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1DF1A">
      <w:pPr>
        <w:shd w:val="clear" w:color="auto"/>
        <w:jc w:val="center"/>
        <w:rPr>
          <w:rFonts w:hint="eastAsia" w:ascii="华文新魏" w:hAnsi="宋体" w:eastAsia="华文新魏"/>
          <w:color w:val="auto"/>
          <w:sz w:val="52"/>
          <w:szCs w:val="52"/>
          <w:highlight w:val="none"/>
          <w:lang w:val="en-US" w:eastAsia="zh-CN"/>
        </w:rPr>
      </w:pPr>
    </w:p>
    <w:p w14:paraId="7F89682E">
      <w:pPr>
        <w:shd w:val="clear" w:color="auto"/>
        <w:spacing w:line="360" w:lineRule="auto"/>
        <w:jc w:val="center"/>
        <w:rPr>
          <w:rFonts w:hint="eastAsia" w:ascii="华文新魏" w:hAnsi="宋体" w:eastAsia="华文新魏"/>
          <w:color w:val="auto"/>
          <w:sz w:val="84"/>
          <w:szCs w:val="84"/>
          <w:highlight w:val="none"/>
        </w:rPr>
      </w:pPr>
      <w:r>
        <w:rPr>
          <w:rFonts w:hint="eastAsia" w:ascii="华文新魏" w:hAnsi="宋体" w:eastAsia="华文新魏"/>
          <w:color w:val="auto"/>
          <w:sz w:val="84"/>
          <w:szCs w:val="84"/>
          <w:highlight w:val="none"/>
        </w:rPr>
        <w:t>广西国力招标有限公司</w:t>
      </w:r>
    </w:p>
    <w:p w14:paraId="48234DEA">
      <w:pPr>
        <w:shd w:val="clear" w:color="auto"/>
        <w:spacing w:before="158"/>
        <w:jc w:val="center"/>
        <w:rPr>
          <w:rFonts w:hint="eastAsia" w:ascii="楷体" w:hAnsi="楷体" w:eastAsia="楷体"/>
          <w:color w:val="auto"/>
          <w:sz w:val="48"/>
          <w:szCs w:val="48"/>
          <w:highlight w:val="none"/>
        </w:rPr>
      </w:pPr>
    </w:p>
    <w:p w14:paraId="6FBA7E54">
      <w:pPr>
        <w:shd w:val="clear" w:color="auto"/>
        <w:spacing w:before="158"/>
        <w:jc w:val="center"/>
        <w:rPr>
          <w:rFonts w:hint="eastAsia" w:ascii="楷体" w:hAnsi="楷体" w:eastAsia="楷体"/>
          <w:color w:val="auto"/>
          <w:sz w:val="72"/>
          <w:szCs w:val="72"/>
          <w:highlight w:val="none"/>
        </w:rPr>
      </w:pPr>
      <w:r>
        <w:rPr>
          <w:rFonts w:hint="eastAsia" w:ascii="楷体" w:hAnsi="楷体" w:eastAsia="楷体"/>
          <w:color w:val="auto"/>
          <w:sz w:val="72"/>
          <w:szCs w:val="72"/>
          <w:highlight w:val="none"/>
        </w:rPr>
        <w:t>竞争性磋商文件</w:t>
      </w:r>
    </w:p>
    <w:p w14:paraId="7D3C80D2">
      <w:pPr>
        <w:pStyle w:val="25"/>
        <w:shd w:val="clear" w:color="auto"/>
        <w:spacing w:before="120" w:after="120" w:line="360" w:lineRule="auto"/>
        <w:rPr>
          <w:rFonts w:hint="eastAsia" w:ascii="仿宋_GB2312" w:hAnsi="宋体" w:eastAsia="仿宋_GB2312"/>
          <w:b/>
          <w:bCs/>
          <w:color w:val="auto"/>
          <w:sz w:val="30"/>
          <w:szCs w:val="30"/>
          <w:highlight w:val="none"/>
        </w:rPr>
      </w:pPr>
    </w:p>
    <w:p w14:paraId="23FAE5E2">
      <w:pPr>
        <w:pStyle w:val="25"/>
        <w:shd w:val="clear" w:color="auto"/>
        <w:spacing w:before="120" w:after="120" w:line="360" w:lineRule="auto"/>
        <w:jc w:val="center"/>
        <w:rPr>
          <w:rFonts w:hint="eastAsia" w:ascii="仿宋_GB2312" w:hAnsi="宋体" w:eastAsia="仿宋_GB2312"/>
          <w:b/>
          <w:bCs/>
          <w:color w:val="auto"/>
          <w:sz w:val="30"/>
          <w:szCs w:val="30"/>
          <w:highlight w:val="none"/>
        </w:rPr>
      </w:pPr>
      <w:r>
        <w:rPr>
          <w:rFonts w:hint="eastAsia" w:ascii="仿宋_GB2312" w:hAnsi="宋体" w:eastAsia="仿宋_GB2312"/>
          <w:b/>
          <w:bCs/>
          <w:color w:val="auto"/>
          <w:sz w:val="30"/>
          <w:szCs w:val="30"/>
          <w:highlight w:val="none"/>
        </w:rPr>
        <w:drawing>
          <wp:inline distT="0" distB="0" distL="0" distR="0">
            <wp:extent cx="2285365" cy="1624965"/>
            <wp:effectExtent l="0" t="0" r="635" b="13335"/>
            <wp:docPr id="5"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logo"/>
                    <pic:cNvPicPr>
                      <a:picLocks noChangeAspect="1"/>
                    </pic:cNvPicPr>
                  </pic:nvPicPr>
                  <pic:blipFill>
                    <a:blip r:embed="rId9"/>
                    <a:stretch>
                      <a:fillRect/>
                    </a:stretch>
                  </pic:blipFill>
                  <pic:spPr>
                    <a:xfrm>
                      <a:off x="0" y="0"/>
                      <a:ext cx="2285365" cy="1624965"/>
                    </a:xfrm>
                    <a:prstGeom prst="rect">
                      <a:avLst/>
                    </a:prstGeom>
                    <a:noFill/>
                    <a:ln>
                      <a:noFill/>
                    </a:ln>
                  </pic:spPr>
                </pic:pic>
              </a:graphicData>
            </a:graphic>
          </wp:inline>
        </w:drawing>
      </w:r>
    </w:p>
    <w:p w14:paraId="22DFDEF9">
      <w:pPr>
        <w:pStyle w:val="25"/>
        <w:shd w:val="clear" w:color="auto"/>
        <w:spacing w:before="120" w:after="120" w:line="500" w:lineRule="exact"/>
        <w:jc w:val="left"/>
        <w:rPr>
          <w:rFonts w:hint="eastAsia" w:hAnsi="宋体"/>
          <w:b/>
          <w:bCs/>
          <w:color w:val="auto"/>
          <w:sz w:val="32"/>
          <w:szCs w:val="36"/>
          <w:highlight w:val="none"/>
        </w:rPr>
      </w:pPr>
    </w:p>
    <w:p w14:paraId="6A39B0E8">
      <w:pPr>
        <w:pStyle w:val="25"/>
        <w:shd w:val="clear" w:color="auto"/>
        <w:spacing w:before="120" w:after="120" w:line="500" w:lineRule="exact"/>
        <w:ind w:firstLine="1485"/>
        <w:jc w:val="left"/>
        <w:rPr>
          <w:rFonts w:hint="eastAsia" w:hAnsi="宋体" w:eastAsia="宋体"/>
          <w:b/>
          <w:bCs/>
          <w:color w:val="auto"/>
          <w:sz w:val="36"/>
          <w:szCs w:val="36"/>
          <w:highlight w:val="none"/>
          <w:lang w:eastAsia="zh-CN"/>
        </w:rPr>
      </w:pPr>
      <w:r>
        <w:rPr>
          <w:rFonts w:hint="eastAsia" w:hAnsi="宋体"/>
          <w:b/>
          <w:bCs/>
          <w:color w:val="auto"/>
          <w:sz w:val="36"/>
          <w:szCs w:val="36"/>
          <w:highlight w:val="none"/>
        </w:rPr>
        <w:t>采购项目编号：</w:t>
      </w:r>
      <w:r>
        <w:rPr>
          <w:rFonts w:hint="eastAsia" w:hAnsi="宋体"/>
          <w:b/>
          <w:bCs/>
          <w:color w:val="auto"/>
          <w:sz w:val="36"/>
          <w:szCs w:val="36"/>
          <w:highlight w:val="none"/>
          <w:lang w:eastAsia="zh-CN"/>
        </w:rPr>
        <w:t>GXZC2026-C2-003142-GLZB</w:t>
      </w:r>
    </w:p>
    <w:p w14:paraId="36AD89DB">
      <w:pPr>
        <w:widowControl/>
        <w:ind w:firstLine="1446"/>
        <w:jc w:val="left"/>
        <w:rPr>
          <w:rFonts w:ascii="Times New Roman" w:hAnsi="Times New Roman" w:cs="Times New Roman"/>
          <w:b/>
          <w:bCs/>
          <w:color w:val="auto"/>
          <w:sz w:val="36"/>
          <w:szCs w:val="36"/>
          <w:highlight w:val="none"/>
        </w:rPr>
      </w:pPr>
      <w:r>
        <w:rPr>
          <w:rFonts w:hint="eastAsia" w:hAnsi="宋体"/>
          <w:b/>
          <w:color w:val="auto"/>
          <w:sz w:val="36"/>
          <w:szCs w:val="36"/>
          <w:highlight w:val="none"/>
        </w:rPr>
        <w:t>采购项目名称：</w:t>
      </w:r>
      <w:r>
        <w:rPr>
          <w:rFonts w:hint="eastAsia" w:hAnsi="宋体"/>
          <w:b/>
          <w:color w:val="auto"/>
          <w:sz w:val="36"/>
          <w:szCs w:val="36"/>
          <w:highlight w:val="none"/>
          <w:lang w:eastAsia="zh-CN"/>
        </w:rPr>
        <w:t>101青年创新港施工项目</w:t>
      </w:r>
    </w:p>
    <w:p w14:paraId="7170FF41">
      <w:pPr>
        <w:keepNext w:val="0"/>
        <w:keepLines w:val="0"/>
        <w:pageBreakBefore w:val="0"/>
        <w:widowControl w:val="0"/>
        <w:pBdr>
          <w:bottom w:val="single" w:color="000000" w:sz="24" w:space="1"/>
        </w:pBdr>
        <w:shd w:val="clear" w:color="auto"/>
        <w:bidi w:val="0"/>
        <w:spacing w:before="158" w:line="240" w:lineRule="auto"/>
        <w:ind w:firstLine="0"/>
        <w:jc w:val="center"/>
        <w:rPr>
          <w:rFonts w:hint="eastAsia" w:ascii="宋体" w:hAnsi="宋体" w:cs="宋体"/>
          <w:b/>
          <w:bCs/>
          <w:color w:val="auto"/>
          <w:sz w:val="24"/>
          <w:szCs w:val="24"/>
          <w:highlight w:val="none"/>
          <w:lang w:eastAsia="zh-CN"/>
        </w:rPr>
      </w:pPr>
    </w:p>
    <w:p w14:paraId="6B268DA6">
      <w:pPr>
        <w:keepNext w:val="0"/>
        <w:keepLines w:val="0"/>
        <w:pageBreakBefore w:val="0"/>
        <w:widowControl w:val="0"/>
        <w:pBdr>
          <w:bottom w:val="single" w:color="000000" w:sz="24" w:space="1"/>
        </w:pBdr>
        <w:shd w:val="clear" w:color="auto"/>
        <w:bidi w:val="0"/>
        <w:spacing w:line="240" w:lineRule="auto"/>
        <w:ind w:firstLine="0"/>
        <w:jc w:val="center"/>
        <w:rPr>
          <w:rFonts w:hint="eastAsia" w:ascii="宋体" w:hAnsi="宋体" w:eastAsia="宋体" w:cs="宋体"/>
          <w:b/>
          <w:color w:val="auto"/>
          <w:sz w:val="28"/>
          <w:szCs w:val="28"/>
          <w:highlight w:val="none"/>
        </w:rPr>
      </w:pPr>
      <w:r>
        <w:rPr>
          <w:rFonts w:hint="eastAsia" w:ascii="宋体" w:hAnsi="宋体" w:cs="宋体"/>
          <w:b/>
          <w:bCs/>
          <w:color w:val="auto"/>
          <w:sz w:val="28"/>
          <w:szCs w:val="28"/>
          <w:highlight w:val="none"/>
          <w:lang w:eastAsia="zh-CN"/>
        </w:rPr>
        <w:t>(</w:t>
      </w:r>
      <w:r>
        <w:rPr>
          <w:rFonts w:hint="eastAsia" w:ascii="宋体" w:hAnsi="宋体" w:eastAsia="宋体" w:cs="宋体"/>
          <w:b/>
          <w:bCs/>
          <w:color w:val="auto"/>
          <w:sz w:val="28"/>
          <w:szCs w:val="28"/>
          <w:highlight w:val="none"/>
        </w:rPr>
        <w:t>GXGL2026A-C427-Z</w:t>
      </w:r>
      <w:r>
        <w:rPr>
          <w:rFonts w:hint="eastAsia" w:ascii="宋体" w:hAnsi="宋体" w:cs="宋体"/>
          <w:b/>
          <w:bCs/>
          <w:color w:val="auto"/>
          <w:sz w:val="28"/>
          <w:szCs w:val="28"/>
          <w:highlight w:val="none"/>
          <w:lang w:eastAsia="zh-CN"/>
        </w:rPr>
        <w:t>)</w:t>
      </w:r>
    </w:p>
    <w:p w14:paraId="59C6BC49">
      <w:pPr>
        <w:shd w:val="clear" w:color="auto"/>
        <w:spacing w:before="158" w:line="500" w:lineRule="exact"/>
        <w:ind w:firstLine="1506"/>
        <w:jc w:val="left"/>
        <w:rPr>
          <w:rFonts w:hint="eastAsia" w:ascii="宋体" w:hAnsi="宋体"/>
          <w:b/>
          <w:color w:val="auto"/>
          <w:sz w:val="30"/>
          <w:szCs w:val="72"/>
          <w:highlight w:val="none"/>
        </w:rPr>
      </w:pPr>
      <w:r>
        <w:rPr>
          <w:rFonts w:hint="eastAsia" w:ascii="宋体" w:hAnsi="宋体"/>
          <w:b/>
          <w:color w:val="auto"/>
          <w:sz w:val="30"/>
          <w:szCs w:val="72"/>
          <w:highlight w:val="none"/>
        </w:rPr>
        <w:t>采</w:t>
      </w:r>
      <w:r>
        <w:rPr>
          <w:rFonts w:hint="eastAsia" w:ascii="宋体" w:hAnsi="宋体"/>
          <w:b/>
          <w:color w:val="auto"/>
          <w:sz w:val="30"/>
          <w:szCs w:val="72"/>
          <w:highlight w:val="none"/>
          <w:lang w:val="en-US" w:eastAsia="zh-CN"/>
        </w:rPr>
        <w:t xml:space="preserve">   </w:t>
      </w:r>
      <w:r>
        <w:rPr>
          <w:rFonts w:hint="eastAsia" w:ascii="宋体" w:hAnsi="宋体"/>
          <w:b/>
          <w:color w:val="auto"/>
          <w:sz w:val="30"/>
          <w:szCs w:val="72"/>
          <w:highlight w:val="none"/>
        </w:rPr>
        <w:t>购</w:t>
      </w:r>
      <w:r>
        <w:rPr>
          <w:rFonts w:hint="eastAsia" w:ascii="宋体" w:hAnsi="宋体"/>
          <w:b/>
          <w:color w:val="auto"/>
          <w:sz w:val="30"/>
          <w:szCs w:val="72"/>
          <w:highlight w:val="none"/>
          <w:lang w:val="en-US" w:eastAsia="zh-CN"/>
        </w:rPr>
        <w:t xml:space="preserve">   </w:t>
      </w:r>
      <w:r>
        <w:rPr>
          <w:rFonts w:hint="eastAsia" w:ascii="宋体" w:hAnsi="宋体"/>
          <w:b/>
          <w:color w:val="auto"/>
          <w:sz w:val="30"/>
          <w:szCs w:val="72"/>
          <w:highlight w:val="none"/>
        </w:rPr>
        <w:t>人：</w:t>
      </w:r>
      <w:r>
        <w:rPr>
          <w:rFonts w:hint="eastAsia" w:ascii="宋体" w:hAnsi="宋体"/>
          <w:b/>
          <w:color w:val="auto"/>
          <w:sz w:val="30"/>
          <w:szCs w:val="72"/>
          <w:highlight w:val="none"/>
          <w:lang w:eastAsia="zh-CN"/>
        </w:rPr>
        <w:t>广西机电职业技术学院</w:t>
      </w:r>
      <w:r>
        <w:rPr>
          <w:rFonts w:hint="eastAsia" w:ascii="宋体" w:hAnsi="宋体"/>
          <w:b/>
          <w:color w:val="auto"/>
          <w:sz w:val="30"/>
          <w:szCs w:val="72"/>
          <w:highlight w:val="none"/>
        </w:rPr>
        <w:t xml:space="preserve"> </w:t>
      </w:r>
    </w:p>
    <w:p w14:paraId="10DFA490">
      <w:pPr>
        <w:shd w:val="clear" w:color="auto"/>
        <w:spacing w:before="158" w:line="500" w:lineRule="exact"/>
        <w:ind w:firstLine="1506"/>
        <w:jc w:val="left"/>
        <w:rPr>
          <w:rFonts w:hint="eastAsia" w:ascii="宋体" w:hAnsi="宋体"/>
          <w:b/>
          <w:color w:val="auto"/>
          <w:sz w:val="30"/>
          <w:szCs w:val="72"/>
          <w:highlight w:val="none"/>
        </w:rPr>
      </w:pPr>
      <w:r>
        <w:rPr>
          <w:rFonts w:hint="eastAsia" w:ascii="宋体" w:hAnsi="宋体"/>
          <w:b/>
          <w:color w:val="auto"/>
          <w:sz w:val="30"/>
          <w:szCs w:val="72"/>
          <w:highlight w:val="none"/>
        </w:rPr>
        <w:t>采购代理机构：广西国力招标有限公司</w:t>
      </w:r>
    </w:p>
    <w:p w14:paraId="56B97A38">
      <w:pPr>
        <w:shd w:val="clear" w:color="auto"/>
        <w:spacing w:before="158" w:line="500" w:lineRule="exact"/>
        <w:jc w:val="center"/>
        <w:rPr>
          <w:rFonts w:hint="eastAsia" w:ascii="宋体" w:hAnsi="宋体"/>
          <w:b/>
          <w:color w:val="auto"/>
          <w:sz w:val="30"/>
          <w:szCs w:val="72"/>
          <w:highlight w:val="none"/>
        </w:rPr>
      </w:pPr>
      <w:r>
        <w:rPr>
          <w:rFonts w:hint="eastAsia" w:ascii="宋体" w:hAnsi="宋体"/>
          <w:b/>
          <w:color w:val="auto"/>
          <w:sz w:val="30"/>
          <w:szCs w:val="72"/>
          <w:highlight w:val="none"/>
          <w:lang w:eastAsia="zh-CN"/>
        </w:rPr>
        <w:t>2026</w:t>
      </w:r>
      <w:r>
        <w:rPr>
          <w:rFonts w:hint="eastAsia" w:ascii="宋体" w:hAnsi="宋体"/>
          <w:b/>
          <w:color w:val="auto"/>
          <w:sz w:val="30"/>
          <w:szCs w:val="72"/>
          <w:highlight w:val="none"/>
        </w:rPr>
        <w:t>年</w:t>
      </w:r>
      <w:r>
        <w:rPr>
          <w:rFonts w:hint="eastAsia" w:ascii="宋体" w:hAnsi="宋体"/>
          <w:b/>
          <w:color w:val="auto"/>
          <w:sz w:val="30"/>
          <w:szCs w:val="72"/>
          <w:highlight w:val="none"/>
          <w:lang w:val="en-US" w:eastAsia="zh-CN"/>
        </w:rPr>
        <w:t>9</w:t>
      </w:r>
      <w:r>
        <w:rPr>
          <w:rFonts w:hint="eastAsia" w:ascii="宋体" w:hAnsi="宋体"/>
          <w:b/>
          <w:color w:val="auto"/>
          <w:sz w:val="30"/>
          <w:szCs w:val="72"/>
          <w:highlight w:val="none"/>
        </w:rPr>
        <w:t>月</w:t>
      </w:r>
    </w:p>
    <w:p w14:paraId="5A5771BF">
      <w:pPr>
        <w:shd w:val="clear" w:color="auto"/>
        <w:jc w:val="center"/>
        <w:rPr>
          <w:rFonts w:hint="eastAsia" w:ascii="仿宋_GB2312" w:hAnsi="宋体" w:eastAsia="仿宋_GB2312"/>
          <w:b/>
          <w:color w:val="auto"/>
          <w:sz w:val="44"/>
          <w:szCs w:val="44"/>
          <w:highlight w:val="none"/>
        </w:rPr>
      </w:pPr>
      <w:r>
        <w:rPr>
          <w:rFonts w:ascii="仿宋_GB2312" w:hAnsi="宋体" w:eastAsia="仿宋_GB2312"/>
          <w:b/>
          <w:color w:val="auto"/>
          <w:sz w:val="32"/>
          <w:szCs w:val="32"/>
          <w:highlight w:val="none"/>
        </w:rPr>
        <w:br w:type="page" w:clear="all"/>
      </w:r>
      <w:r>
        <w:rPr>
          <w:rFonts w:ascii="仿宋_GB2312" w:hAnsi="宋体" w:eastAsia="仿宋_GB2312"/>
          <w:b/>
          <w:color w:val="auto"/>
          <w:sz w:val="32"/>
          <w:szCs w:val="32"/>
          <w:highlight w:val="none"/>
        </w:rPr>
        <w:t xml:space="preserve"> </w:t>
      </w:r>
    </w:p>
    <w:p w14:paraId="011A8F3E">
      <w:pPr>
        <w:shd w:val="clear" w:color="auto"/>
        <w:jc w:val="center"/>
        <w:rPr>
          <w:rFonts w:hint="eastAsia" w:ascii="宋体" w:hAnsi="宋体"/>
          <w:b/>
          <w:color w:val="auto"/>
          <w:sz w:val="44"/>
          <w:szCs w:val="44"/>
          <w:highlight w:val="none"/>
        </w:rPr>
      </w:pPr>
      <w:r>
        <w:rPr>
          <w:rFonts w:hint="eastAsia" w:ascii="宋体" w:hAnsi="宋体"/>
          <w:b/>
          <w:color w:val="auto"/>
          <w:sz w:val="44"/>
          <w:szCs w:val="44"/>
          <w:highlight w:val="none"/>
        </w:rPr>
        <w:t>目  录</w:t>
      </w:r>
    </w:p>
    <w:p w14:paraId="1EBF2B99">
      <w:pPr>
        <w:shd w:val="clear" w:color="auto"/>
        <w:jc w:val="center"/>
        <w:rPr>
          <w:rFonts w:hint="eastAsia" w:ascii="宋体" w:hAnsi="宋体"/>
          <w:b/>
          <w:color w:val="auto"/>
          <w:sz w:val="44"/>
          <w:szCs w:val="44"/>
          <w:highlight w:val="none"/>
        </w:rPr>
      </w:pPr>
    </w:p>
    <w:p w14:paraId="7E8D676A">
      <w:pPr>
        <w:pStyle w:val="32"/>
        <w:tabs>
          <w:tab w:val="right" w:leader="dot" w:pos="9637"/>
        </w:tabs>
        <w:spacing w:line="360" w:lineRule="auto"/>
        <w:rPr>
          <w:rFonts w:hint="eastAsia" w:ascii="宋体" w:hAnsi="宋体" w:eastAsia="宋体" w:cs="宋体"/>
          <w:sz w:val="28"/>
          <w:szCs w:val="28"/>
        </w:rPr>
      </w:pPr>
      <w:r>
        <w:rPr>
          <w:rFonts w:hint="eastAsia" w:ascii="宋体" w:hAnsi="宋体" w:eastAsia="宋体" w:cs="宋体"/>
          <w:b/>
          <w:color w:val="auto"/>
          <w:sz w:val="28"/>
          <w:szCs w:val="28"/>
          <w:highlight w:val="none"/>
        </w:rPr>
        <w:fldChar w:fldCharType="begin"/>
      </w:r>
      <w:r>
        <w:rPr>
          <w:rFonts w:hint="eastAsia" w:ascii="宋体" w:hAnsi="宋体" w:eastAsia="宋体" w:cs="宋体"/>
          <w:b/>
          <w:color w:val="auto"/>
          <w:sz w:val="28"/>
          <w:szCs w:val="28"/>
          <w:highlight w:val="none"/>
        </w:rPr>
        <w:instrText xml:space="preserve"> TOC \o "1-1" \h \z \u </w:instrText>
      </w:r>
      <w:r>
        <w:rPr>
          <w:rFonts w:hint="eastAsia" w:ascii="宋体" w:hAnsi="宋体" w:eastAsia="宋体" w:cs="宋体"/>
          <w:b/>
          <w:color w:val="auto"/>
          <w:sz w:val="28"/>
          <w:szCs w:val="28"/>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_Toc1231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第一章  竞争性磋商公告</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_Toc1231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0FC555DC">
      <w:pPr>
        <w:pStyle w:val="32"/>
        <w:tabs>
          <w:tab w:val="right" w:leader="dot" w:pos="9637"/>
        </w:tabs>
        <w:spacing w:line="360" w:lineRule="auto"/>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_Toc5387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第二章  磋商供应商须知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_Toc5387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002924BE">
      <w:pPr>
        <w:pStyle w:val="32"/>
        <w:tabs>
          <w:tab w:val="right" w:leader="dot" w:pos="9637"/>
        </w:tabs>
        <w:spacing w:line="360" w:lineRule="auto"/>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_Toc19130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第三章  采购需求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_Toc19130 \h </w:instrText>
      </w:r>
      <w:r>
        <w:rPr>
          <w:rFonts w:hint="eastAsia" w:ascii="宋体" w:hAnsi="宋体" w:eastAsia="宋体" w:cs="宋体"/>
          <w:sz w:val="28"/>
          <w:szCs w:val="28"/>
        </w:rPr>
        <w:fldChar w:fldCharType="separate"/>
      </w:r>
      <w:r>
        <w:rPr>
          <w:rFonts w:hint="eastAsia" w:ascii="宋体" w:hAnsi="宋体" w:eastAsia="宋体" w:cs="宋体"/>
          <w:sz w:val="28"/>
          <w:szCs w:val="28"/>
        </w:rPr>
        <w:t>22</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79E1FDD9">
      <w:pPr>
        <w:pStyle w:val="32"/>
        <w:tabs>
          <w:tab w:val="right" w:leader="dot" w:pos="9637"/>
        </w:tabs>
        <w:spacing w:line="360" w:lineRule="auto"/>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_Toc2995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第四章  竞争性磋商响应文件格式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_Toc2995 \h </w:instrText>
      </w:r>
      <w:r>
        <w:rPr>
          <w:rFonts w:hint="eastAsia" w:ascii="宋体" w:hAnsi="宋体" w:eastAsia="宋体" w:cs="宋体"/>
          <w:sz w:val="28"/>
          <w:szCs w:val="28"/>
        </w:rPr>
        <w:fldChar w:fldCharType="separate"/>
      </w:r>
      <w:r>
        <w:rPr>
          <w:rFonts w:hint="eastAsia" w:ascii="宋体" w:hAnsi="宋体" w:eastAsia="宋体" w:cs="宋体"/>
          <w:sz w:val="28"/>
          <w:szCs w:val="28"/>
        </w:rPr>
        <w:t>27</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5FB52523">
      <w:pPr>
        <w:pStyle w:val="32"/>
        <w:tabs>
          <w:tab w:val="right" w:leader="dot" w:pos="9637"/>
        </w:tabs>
        <w:spacing w:line="360" w:lineRule="auto"/>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_Toc8999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第五章  合同主要条款</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_Toc8999 \h </w:instrText>
      </w:r>
      <w:r>
        <w:rPr>
          <w:rFonts w:hint="eastAsia" w:ascii="宋体" w:hAnsi="宋体" w:eastAsia="宋体" w:cs="宋体"/>
          <w:sz w:val="28"/>
          <w:szCs w:val="28"/>
        </w:rPr>
        <w:fldChar w:fldCharType="separate"/>
      </w:r>
      <w:r>
        <w:rPr>
          <w:rFonts w:hint="eastAsia" w:ascii="宋体" w:hAnsi="宋体" w:eastAsia="宋体" w:cs="宋体"/>
          <w:sz w:val="28"/>
          <w:szCs w:val="28"/>
        </w:rPr>
        <w:t>44</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019BEE70">
      <w:pPr>
        <w:pStyle w:val="32"/>
        <w:tabs>
          <w:tab w:val="right" w:leader="dot" w:pos="9637"/>
        </w:tabs>
        <w:spacing w:line="360" w:lineRule="auto"/>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_Toc3164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w:t>
      </w:r>
      <w:r>
        <w:rPr>
          <w:rFonts w:hint="eastAsia" w:ascii="宋体" w:hAnsi="宋体" w:eastAsia="宋体" w:cs="宋体"/>
          <w:sz w:val="28"/>
          <w:szCs w:val="28"/>
          <w:highlight w:val="none"/>
          <w:lang w:val="en-US" w:eastAsia="zh-CN"/>
        </w:rPr>
        <w:t>六</w:t>
      </w:r>
      <w:r>
        <w:rPr>
          <w:rFonts w:hint="eastAsia" w:ascii="宋体" w:hAnsi="宋体" w:eastAsia="宋体" w:cs="宋体"/>
          <w:sz w:val="28"/>
          <w:szCs w:val="28"/>
          <w:highlight w:val="none"/>
        </w:rPr>
        <w:t>章  技术标准和要求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_Toc3164 \h </w:instrText>
      </w:r>
      <w:r>
        <w:rPr>
          <w:rFonts w:hint="eastAsia" w:ascii="宋体" w:hAnsi="宋体" w:eastAsia="宋体" w:cs="宋体"/>
          <w:sz w:val="28"/>
          <w:szCs w:val="28"/>
        </w:rPr>
        <w:fldChar w:fldCharType="separate"/>
      </w:r>
      <w:r>
        <w:rPr>
          <w:rFonts w:hint="eastAsia" w:ascii="宋体" w:hAnsi="宋体" w:eastAsia="宋体" w:cs="宋体"/>
          <w:sz w:val="28"/>
          <w:szCs w:val="28"/>
        </w:rPr>
        <w:t>125</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56E86BF0">
      <w:pPr>
        <w:pStyle w:val="32"/>
        <w:tabs>
          <w:tab w:val="right" w:leader="dot" w:pos="9637"/>
        </w:tabs>
        <w:spacing w:line="360" w:lineRule="auto"/>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_Toc17917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w:t>
      </w:r>
      <w:r>
        <w:rPr>
          <w:rFonts w:hint="eastAsia" w:ascii="宋体" w:hAnsi="宋体" w:eastAsia="宋体" w:cs="宋体"/>
          <w:sz w:val="28"/>
          <w:szCs w:val="28"/>
          <w:highlight w:val="none"/>
          <w:lang w:val="en-US" w:eastAsia="zh-CN"/>
        </w:rPr>
        <w:t>七</w:t>
      </w:r>
      <w:r>
        <w:rPr>
          <w:rFonts w:hint="eastAsia" w:ascii="宋体" w:hAnsi="宋体" w:eastAsia="宋体" w:cs="宋体"/>
          <w:sz w:val="28"/>
          <w:szCs w:val="28"/>
          <w:highlight w:val="none"/>
        </w:rPr>
        <w:t>章  图纸</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_Toc17917 \h </w:instrText>
      </w:r>
      <w:r>
        <w:rPr>
          <w:rFonts w:hint="eastAsia" w:ascii="宋体" w:hAnsi="宋体" w:eastAsia="宋体" w:cs="宋体"/>
          <w:sz w:val="28"/>
          <w:szCs w:val="28"/>
        </w:rPr>
        <w:fldChar w:fldCharType="separate"/>
      </w:r>
      <w:r>
        <w:rPr>
          <w:rFonts w:hint="eastAsia" w:ascii="宋体" w:hAnsi="宋体" w:eastAsia="宋体" w:cs="宋体"/>
          <w:sz w:val="28"/>
          <w:szCs w:val="28"/>
        </w:rPr>
        <w:t>126</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4137D5AC">
      <w:pPr>
        <w:pStyle w:val="32"/>
        <w:tabs>
          <w:tab w:val="right" w:leader="dot" w:pos="9637"/>
        </w:tabs>
        <w:spacing w:line="360" w:lineRule="auto"/>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_Toc28044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w:t>
      </w:r>
      <w:r>
        <w:rPr>
          <w:rFonts w:hint="eastAsia" w:ascii="宋体" w:hAnsi="宋体" w:eastAsia="宋体" w:cs="宋体"/>
          <w:sz w:val="28"/>
          <w:szCs w:val="28"/>
          <w:highlight w:val="none"/>
          <w:lang w:val="en-US" w:eastAsia="zh-CN"/>
        </w:rPr>
        <w:t>八</w:t>
      </w:r>
      <w:r>
        <w:rPr>
          <w:rFonts w:hint="eastAsia" w:ascii="宋体" w:hAnsi="宋体" w:eastAsia="宋体" w:cs="宋体"/>
          <w:sz w:val="28"/>
          <w:szCs w:val="28"/>
          <w:highlight w:val="none"/>
        </w:rPr>
        <w:t>章  工程量清单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_Toc28044 \h </w:instrText>
      </w:r>
      <w:r>
        <w:rPr>
          <w:rFonts w:hint="eastAsia" w:ascii="宋体" w:hAnsi="宋体" w:eastAsia="宋体" w:cs="宋体"/>
          <w:sz w:val="28"/>
          <w:szCs w:val="28"/>
        </w:rPr>
        <w:fldChar w:fldCharType="separate"/>
      </w:r>
      <w:r>
        <w:rPr>
          <w:rFonts w:hint="eastAsia" w:ascii="宋体" w:hAnsi="宋体" w:eastAsia="宋体" w:cs="宋体"/>
          <w:sz w:val="28"/>
          <w:szCs w:val="28"/>
        </w:rPr>
        <w:t>127</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65A80963">
      <w:pPr>
        <w:pStyle w:val="32"/>
        <w:tabs>
          <w:tab w:val="right" w:leader="dot" w:pos="9637"/>
        </w:tabs>
        <w:spacing w:line="360" w:lineRule="auto"/>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_Toc7416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w:t>
      </w:r>
      <w:r>
        <w:rPr>
          <w:rFonts w:hint="eastAsia" w:ascii="宋体" w:hAnsi="宋体" w:eastAsia="宋体" w:cs="宋体"/>
          <w:sz w:val="28"/>
          <w:szCs w:val="28"/>
          <w:highlight w:val="none"/>
          <w:lang w:val="en-US" w:eastAsia="zh-CN"/>
        </w:rPr>
        <w:t>九</w:t>
      </w:r>
      <w:r>
        <w:rPr>
          <w:rFonts w:hint="eastAsia" w:ascii="宋体" w:hAnsi="宋体" w:eastAsia="宋体" w:cs="宋体"/>
          <w:sz w:val="28"/>
          <w:szCs w:val="28"/>
          <w:highlight w:val="none"/>
        </w:rPr>
        <w:t>章  评标标准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_Toc7416 \h </w:instrText>
      </w:r>
      <w:r>
        <w:rPr>
          <w:rFonts w:hint="eastAsia" w:ascii="宋体" w:hAnsi="宋体" w:eastAsia="宋体" w:cs="宋体"/>
          <w:sz w:val="28"/>
          <w:szCs w:val="28"/>
        </w:rPr>
        <w:fldChar w:fldCharType="separate"/>
      </w:r>
      <w:r>
        <w:rPr>
          <w:rFonts w:hint="eastAsia" w:ascii="宋体" w:hAnsi="宋体" w:eastAsia="宋体" w:cs="宋体"/>
          <w:sz w:val="28"/>
          <w:szCs w:val="28"/>
        </w:rPr>
        <w:t>128</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76D4EDAC">
      <w:pPr>
        <w:shd w:val="clear" w:color="auto"/>
        <w:spacing w:line="360" w:lineRule="auto"/>
        <w:jc w:val="center"/>
        <w:rPr>
          <w:rFonts w:hint="eastAsia" w:ascii="仿宋_GB2312" w:hAnsi="宋体" w:eastAsia="仿宋_GB2312"/>
          <w:b/>
          <w:color w:val="auto"/>
          <w:sz w:val="32"/>
          <w:szCs w:val="32"/>
          <w:highlight w:val="none"/>
        </w:rPr>
      </w:pPr>
      <w:r>
        <w:rPr>
          <w:rFonts w:hint="eastAsia" w:ascii="宋体" w:hAnsi="宋体" w:eastAsia="宋体" w:cs="宋体"/>
          <w:color w:val="auto"/>
          <w:sz w:val="28"/>
          <w:szCs w:val="28"/>
          <w:highlight w:val="none"/>
        </w:rPr>
        <w:fldChar w:fldCharType="end"/>
      </w:r>
    </w:p>
    <w:p w14:paraId="0C7EF8A8">
      <w:pPr>
        <w:shd w:val="clear" w:color="auto"/>
        <w:spacing w:line="400" w:lineRule="exact"/>
        <w:jc w:val="center"/>
        <w:rPr>
          <w:rFonts w:hint="eastAsia" w:ascii="仿宋_GB2312" w:hAnsi="宋体" w:eastAsia="仿宋_GB2312"/>
          <w:b/>
          <w:color w:val="auto"/>
          <w:sz w:val="32"/>
          <w:szCs w:val="32"/>
          <w:highlight w:val="none"/>
        </w:rPr>
      </w:pPr>
    </w:p>
    <w:p w14:paraId="197139B7">
      <w:pPr>
        <w:shd w:val="clear" w:color="auto"/>
        <w:spacing w:line="400" w:lineRule="exact"/>
        <w:jc w:val="center"/>
        <w:rPr>
          <w:rFonts w:hint="eastAsia" w:ascii="仿宋_GB2312" w:hAnsi="宋体" w:eastAsia="仿宋_GB2312"/>
          <w:b/>
          <w:color w:val="auto"/>
          <w:sz w:val="32"/>
          <w:szCs w:val="32"/>
          <w:highlight w:val="none"/>
        </w:rPr>
      </w:pPr>
    </w:p>
    <w:p w14:paraId="0592590A">
      <w:pPr>
        <w:shd w:val="clear" w:color="auto"/>
        <w:spacing w:line="400" w:lineRule="exact"/>
        <w:jc w:val="center"/>
        <w:rPr>
          <w:rFonts w:hint="eastAsia" w:ascii="仿宋_GB2312" w:hAnsi="宋体" w:eastAsia="仿宋_GB2312"/>
          <w:b/>
          <w:color w:val="auto"/>
          <w:sz w:val="32"/>
          <w:szCs w:val="32"/>
          <w:highlight w:val="none"/>
        </w:rPr>
      </w:pPr>
    </w:p>
    <w:p w14:paraId="2EB911D3">
      <w:pPr>
        <w:shd w:val="clear" w:color="auto"/>
        <w:spacing w:line="400" w:lineRule="exact"/>
        <w:jc w:val="center"/>
        <w:rPr>
          <w:rFonts w:hint="eastAsia" w:ascii="仿宋_GB2312" w:hAnsi="宋体" w:eastAsia="仿宋_GB2312"/>
          <w:b/>
          <w:color w:val="auto"/>
          <w:sz w:val="32"/>
          <w:szCs w:val="32"/>
          <w:highlight w:val="none"/>
        </w:rPr>
      </w:pPr>
    </w:p>
    <w:p w14:paraId="6C1F6758">
      <w:pPr>
        <w:shd w:val="clear" w:color="auto"/>
        <w:spacing w:line="400" w:lineRule="exact"/>
        <w:jc w:val="center"/>
        <w:rPr>
          <w:rFonts w:hint="eastAsia" w:ascii="黑体" w:hAnsi="宋体" w:eastAsia="黑体"/>
          <w:b/>
          <w:color w:val="auto"/>
          <w:sz w:val="32"/>
          <w:szCs w:val="32"/>
          <w:highlight w:val="none"/>
        </w:rPr>
      </w:pPr>
    </w:p>
    <w:p w14:paraId="26FB1868">
      <w:pPr>
        <w:shd w:val="clear" w:color="auto"/>
        <w:spacing w:line="400" w:lineRule="exact"/>
        <w:jc w:val="center"/>
        <w:rPr>
          <w:rFonts w:hint="eastAsia" w:ascii="黑体" w:hAnsi="宋体" w:eastAsia="黑体"/>
          <w:b/>
          <w:color w:val="auto"/>
          <w:sz w:val="32"/>
          <w:szCs w:val="32"/>
          <w:highlight w:val="none"/>
        </w:rPr>
      </w:pPr>
    </w:p>
    <w:p w14:paraId="1AA6CF4D">
      <w:pPr>
        <w:shd w:val="clear" w:color="auto"/>
        <w:spacing w:line="400" w:lineRule="exact"/>
        <w:jc w:val="center"/>
        <w:rPr>
          <w:rFonts w:hint="eastAsia" w:ascii="黑体" w:hAnsi="宋体" w:eastAsia="黑体"/>
          <w:b/>
          <w:color w:val="auto"/>
          <w:sz w:val="32"/>
          <w:szCs w:val="32"/>
          <w:highlight w:val="none"/>
        </w:rPr>
      </w:pPr>
    </w:p>
    <w:p w14:paraId="3888ECF5">
      <w:pPr>
        <w:shd w:val="clear" w:color="auto"/>
        <w:spacing w:line="400" w:lineRule="exact"/>
        <w:jc w:val="center"/>
        <w:rPr>
          <w:rFonts w:hint="eastAsia" w:ascii="黑体" w:hAnsi="宋体" w:eastAsia="黑体"/>
          <w:b/>
          <w:color w:val="auto"/>
          <w:sz w:val="32"/>
          <w:szCs w:val="32"/>
          <w:highlight w:val="none"/>
        </w:rPr>
      </w:pPr>
    </w:p>
    <w:p w14:paraId="48E569B3">
      <w:pPr>
        <w:shd w:val="clear" w:color="auto"/>
        <w:spacing w:line="400" w:lineRule="exact"/>
        <w:jc w:val="center"/>
        <w:rPr>
          <w:rFonts w:hint="eastAsia" w:ascii="黑体" w:hAnsi="宋体" w:eastAsia="黑体"/>
          <w:b/>
          <w:color w:val="auto"/>
          <w:sz w:val="32"/>
          <w:szCs w:val="32"/>
          <w:highlight w:val="none"/>
        </w:rPr>
      </w:pPr>
    </w:p>
    <w:p w14:paraId="14954FA8">
      <w:pPr>
        <w:shd w:val="clear" w:color="auto"/>
        <w:spacing w:line="400" w:lineRule="exact"/>
        <w:jc w:val="center"/>
        <w:rPr>
          <w:rFonts w:hint="eastAsia" w:ascii="黑体" w:hAnsi="宋体" w:eastAsia="黑体"/>
          <w:b/>
          <w:color w:val="auto"/>
          <w:sz w:val="32"/>
          <w:szCs w:val="32"/>
          <w:highlight w:val="none"/>
        </w:rPr>
      </w:pPr>
    </w:p>
    <w:p w14:paraId="52EF32DD">
      <w:pPr>
        <w:shd w:val="clear" w:color="auto"/>
        <w:spacing w:line="400" w:lineRule="exact"/>
        <w:jc w:val="center"/>
        <w:rPr>
          <w:rFonts w:hint="eastAsia" w:ascii="黑体" w:hAnsi="宋体" w:eastAsia="黑体"/>
          <w:b/>
          <w:color w:val="auto"/>
          <w:sz w:val="32"/>
          <w:szCs w:val="32"/>
          <w:highlight w:val="none"/>
        </w:rPr>
      </w:pPr>
    </w:p>
    <w:p w14:paraId="2B7B2048">
      <w:pPr>
        <w:shd w:val="clear" w:color="auto"/>
        <w:spacing w:line="400" w:lineRule="exact"/>
        <w:jc w:val="center"/>
        <w:rPr>
          <w:rFonts w:hint="eastAsia" w:ascii="黑体" w:hAnsi="宋体" w:eastAsia="黑体"/>
          <w:b/>
          <w:color w:val="auto"/>
          <w:sz w:val="32"/>
          <w:szCs w:val="32"/>
          <w:highlight w:val="none"/>
        </w:rPr>
      </w:pPr>
    </w:p>
    <w:p w14:paraId="016327CE">
      <w:pPr>
        <w:shd w:val="clear" w:color="auto"/>
        <w:spacing w:line="400" w:lineRule="exact"/>
        <w:jc w:val="center"/>
        <w:rPr>
          <w:rFonts w:hint="eastAsia" w:ascii="黑体" w:hAnsi="宋体" w:eastAsia="黑体"/>
          <w:b/>
          <w:color w:val="auto"/>
          <w:sz w:val="32"/>
          <w:szCs w:val="32"/>
          <w:highlight w:val="none"/>
        </w:rPr>
      </w:pPr>
    </w:p>
    <w:p w14:paraId="193EDE24">
      <w:pPr>
        <w:shd w:val="clear" w:color="auto"/>
        <w:spacing w:line="400" w:lineRule="exact"/>
        <w:jc w:val="center"/>
        <w:rPr>
          <w:rFonts w:hint="eastAsia" w:ascii="宋体" w:hAnsi="宋体"/>
          <w:b/>
          <w:color w:val="auto"/>
          <w:sz w:val="32"/>
          <w:szCs w:val="32"/>
          <w:highlight w:val="none"/>
        </w:rPr>
        <w:sectPr>
          <w:headerReference r:id="rId3" w:type="default"/>
          <w:pgSz w:w="11905" w:h="16838"/>
          <w:pgMar w:top="1134" w:right="1134" w:bottom="1134" w:left="1134" w:header="850" w:footer="992" w:gutter="0"/>
          <w:cols w:space="720" w:num="1"/>
          <w:titlePg/>
        </w:sectPr>
      </w:pPr>
    </w:p>
    <w:p w14:paraId="499B41AA">
      <w:pPr>
        <w:pStyle w:val="18"/>
        <w:shd w:val="clear" w:color="auto"/>
        <w:rPr>
          <w:rFonts w:hint="eastAsia"/>
          <w:color w:val="auto"/>
          <w:highlight w:val="none"/>
        </w:rPr>
      </w:pPr>
    </w:p>
    <w:p w14:paraId="31E87438">
      <w:pPr>
        <w:shd w:val="clear" w:color="auto"/>
        <w:spacing w:line="400" w:lineRule="exact"/>
        <w:jc w:val="center"/>
        <w:rPr>
          <w:rFonts w:hint="eastAsia" w:ascii="宋体" w:hAnsi="宋体"/>
          <w:b/>
          <w:color w:val="auto"/>
          <w:sz w:val="32"/>
          <w:szCs w:val="32"/>
          <w:highlight w:val="none"/>
        </w:rPr>
      </w:pPr>
    </w:p>
    <w:p w14:paraId="3AD2B356">
      <w:pPr>
        <w:shd w:val="clear" w:color="auto"/>
        <w:spacing w:line="400" w:lineRule="exact"/>
        <w:jc w:val="center"/>
        <w:rPr>
          <w:rFonts w:hint="eastAsia" w:ascii="宋体" w:hAnsi="宋体"/>
          <w:b/>
          <w:color w:val="auto"/>
          <w:sz w:val="32"/>
          <w:szCs w:val="32"/>
          <w:highlight w:val="none"/>
        </w:rPr>
      </w:pPr>
    </w:p>
    <w:p w14:paraId="3C04D604">
      <w:pPr>
        <w:shd w:val="clear" w:color="auto"/>
        <w:spacing w:line="400" w:lineRule="exact"/>
        <w:jc w:val="center"/>
        <w:rPr>
          <w:rFonts w:hint="eastAsia" w:ascii="宋体" w:hAnsi="宋体"/>
          <w:b/>
          <w:color w:val="auto"/>
          <w:sz w:val="32"/>
          <w:szCs w:val="32"/>
          <w:highlight w:val="none"/>
        </w:rPr>
      </w:pPr>
    </w:p>
    <w:p w14:paraId="61F6E87D">
      <w:pPr>
        <w:shd w:val="clear" w:color="auto"/>
        <w:spacing w:line="400" w:lineRule="exact"/>
        <w:jc w:val="center"/>
        <w:rPr>
          <w:rFonts w:hint="eastAsia" w:ascii="宋体" w:hAnsi="宋体"/>
          <w:b/>
          <w:color w:val="auto"/>
          <w:sz w:val="32"/>
          <w:szCs w:val="32"/>
          <w:highlight w:val="none"/>
        </w:rPr>
      </w:pPr>
    </w:p>
    <w:p w14:paraId="43245BE3">
      <w:pPr>
        <w:shd w:val="clear" w:color="auto"/>
        <w:spacing w:line="400" w:lineRule="exact"/>
        <w:jc w:val="center"/>
        <w:rPr>
          <w:rFonts w:hint="eastAsia" w:ascii="宋体" w:hAnsi="宋体"/>
          <w:b/>
          <w:color w:val="auto"/>
          <w:sz w:val="32"/>
          <w:szCs w:val="32"/>
          <w:highlight w:val="none"/>
        </w:rPr>
      </w:pPr>
    </w:p>
    <w:p w14:paraId="5BCC472D">
      <w:pPr>
        <w:shd w:val="clear" w:color="auto"/>
        <w:spacing w:line="400" w:lineRule="exact"/>
        <w:jc w:val="center"/>
        <w:rPr>
          <w:rFonts w:hint="eastAsia" w:ascii="宋体" w:hAnsi="宋体"/>
          <w:b/>
          <w:color w:val="auto"/>
          <w:sz w:val="32"/>
          <w:szCs w:val="32"/>
          <w:highlight w:val="none"/>
        </w:rPr>
      </w:pPr>
    </w:p>
    <w:p w14:paraId="310FC99E">
      <w:pPr>
        <w:shd w:val="clear" w:color="auto"/>
        <w:spacing w:line="400" w:lineRule="exact"/>
        <w:jc w:val="center"/>
        <w:rPr>
          <w:rFonts w:hint="eastAsia" w:ascii="宋体" w:hAnsi="宋体"/>
          <w:b/>
          <w:color w:val="auto"/>
          <w:sz w:val="32"/>
          <w:szCs w:val="32"/>
          <w:highlight w:val="none"/>
        </w:rPr>
      </w:pPr>
    </w:p>
    <w:p w14:paraId="3370E642">
      <w:pPr>
        <w:shd w:val="clear" w:color="auto"/>
        <w:spacing w:line="400" w:lineRule="exact"/>
        <w:jc w:val="center"/>
        <w:rPr>
          <w:rFonts w:hint="eastAsia" w:ascii="宋体" w:hAnsi="宋体"/>
          <w:b/>
          <w:color w:val="auto"/>
          <w:sz w:val="32"/>
          <w:szCs w:val="32"/>
          <w:highlight w:val="none"/>
        </w:rPr>
      </w:pPr>
    </w:p>
    <w:p w14:paraId="6D2D9D6D">
      <w:pPr>
        <w:shd w:val="clear" w:color="auto"/>
        <w:spacing w:line="400" w:lineRule="exact"/>
        <w:jc w:val="center"/>
        <w:rPr>
          <w:rFonts w:hint="eastAsia" w:ascii="宋体" w:hAnsi="宋体"/>
          <w:b/>
          <w:color w:val="auto"/>
          <w:sz w:val="32"/>
          <w:szCs w:val="32"/>
          <w:highlight w:val="none"/>
        </w:rPr>
      </w:pPr>
    </w:p>
    <w:p w14:paraId="19B60495">
      <w:pPr>
        <w:shd w:val="clear" w:color="auto"/>
        <w:spacing w:line="400" w:lineRule="exact"/>
        <w:jc w:val="center"/>
        <w:rPr>
          <w:rFonts w:hint="eastAsia" w:ascii="宋体" w:hAnsi="宋体"/>
          <w:b/>
          <w:color w:val="auto"/>
          <w:sz w:val="32"/>
          <w:szCs w:val="32"/>
          <w:highlight w:val="none"/>
        </w:rPr>
      </w:pPr>
    </w:p>
    <w:p w14:paraId="3E2CF97D">
      <w:pPr>
        <w:shd w:val="clear" w:color="auto"/>
        <w:spacing w:line="400" w:lineRule="exact"/>
        <w:jc w:val="center"/>
        <w:rPr>
          <w:rFonts w:hint="eastAsia" w:ascii="宋体" w:hAnsi="宋体"/>
          <w:b/>
          <w:color w:val="auto"/>
          <w:sz w:val="32"/>
          <w:szCs w:val="32"/>
          <w:highlight w:val="none"/>
        </w:rPr>
      </w:pPr>
    </w:p>
    <w:p w14:paraId="40DBE3A7">
      <w:pPr>
        <w:shd w:val="clear" w:color="auto"/>
        <w:spacing w:line="400" w:lineRule="exact"/>
        <w:rPr>
          <w:rFonts w:hint="eastAsia" w:ascii="宋体" w:hAnsi="宋体"/>
          <w:b/>
          <w:color w:val="auto"/>
          <w:sz w:val="32"/>
          <w:szCs w:val="32"/>
          <w:highlight w:val="none"/>
        </w:rPr>
      </w:pPr>
    </w:p>
    <w:p w14:paraId="2D7B4942">
      <w:pPr>
        <w:pStyle w:val="45"/>
        <w:shd w:val="clear" w:color="auto"/>
        <w:rPr>
          <w:rFonts w:hint="eastAsia"/>
          <w:color w:val="auto"/>
          <w:sz w:val="44"/>
          <w:szCs w:val="44"/>
          <w:highlight w:val="none"/>
        </w:rPr>
      </w:pPr>
      <w:bookmarkStart w:id="0" w:name="_Toc1231"/>
      <w:bookmarkStart w:id="1" w:name="_Toc476258662"/>
      <w:r>
        <w:rPr>
          <w:rFonts w:hint="eastAsia"/>
          <w:color w:val="auto"/>
          <w:sz w:val="44"/>
          <w:szCs w:val="44"/>
          <w:highlight w:val="none"/>
        </w:rPr>
        <w:t>第一章  竞争性磋商公告</w:t>
      </w:r>
      <w:bookmarkEnd w:id="0"/>
      <w:bookmarkEnd w:id="1"/>
    </w:p>
    <w:p w14:paraId="0D02003A">
      <w:pPr>
        <w:keepNext w:val="0"/>
        <w:keepLines w:val="0"/>
        <w:pageBreakBefore w:val="0"/>
        <w:widowControl w:val="0"/>
        <w:shd w:val="clear" w:color="auto"/>
        <w:bidi w:val="0"/>
        <w:spacing w:after="160" w:line="440" w:lineRule="exact"/>
        <w:jc w:val="center"/>
        <w:rPr>
          <w:rFonts w:hint="eastAsia" w:ascii="宋体" w:hAnsi="宋体" w:eastAsia="宋体" w:cs="宋体"/>
          <w:b/>
          <w:bCs/>
          <w:color w:val="auto"/>
          <w:sz w:val="32"/>
          <w:szCs w:val="32"/>
          <w:highlight w:val="none"/>
        </w:rPr>
      </w:pPr>
      <w:r>
        <w:rPr>
          <w:rFonts w:ascii="华文新魏" w:hAnsi="宋体" w:eastAsia="华文新魏"/>
          <w:color w:val="auto"/>
          <w:sz w:val="44"/>
          <w:szCs w:val="44"/>
          <w:highlight w:val="none"/>
        </w:rPr>
        <w:br w:type="page" w:clear="all"/>
      </w:r>
      <w:r>
        <w:rPr>
          <w:rFonts w:hint="eastAsia" w:ascii="宋体" w:hAnsi="宋体" w:eastAsia="宋体" w:cs="宋体"/>
          <w:b/>
          <w:bCs/>
          <w:color w:val="auto"/>
          <w:sz w:val="32"/>
          <w:szCs w:val="32"/>
          <w:highlight w:val="none"/>
        </w:rPr>
        <w:t>广西国力招标有限公司</w:t>
      </w:r>
    </w:p>
    <w:p w14:paraId="7A1B4DB9">
      <w:pPr>
        <w:keepNext w:val="0"/>
        <w:keepLines w:val="0"/>
        <w:pageBreakBefore w:val="0"/>
        <w:widowControl w:val="0"/>
        <w:shd w:val="clear" w:color="auto"/>
        <w:bidi w:val="0"/>
        <w:spacing w:after="160" w:line="44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竞争性磋商公告</w:t>
      </w:r>
    </w:p>
    <w:p w14:paraId="15C43658">
      <w:pPr>
        <w:pBdr>
          <w:top w:val="single" w:color="000000" w:sz="4" w:space="1"/>
          <w:left w:val="single" w:color="000000" w:sz="4" w:space="4"/>
          <w:bottom w:val="single" w:color="000000" w:sz="4" w:space="1"/>
          <w:right w:val="single" w:color="000000" w:sz="4" w:space="4"/>
        </w:pBdr>
        <w:shd w:val="clear" w:color="auto"/>
        <w:spacing w:line="380" w:lineRule="exact"/>
        <w:rPr>
          <w:rFonts w:ascii="宋体" w:hAnsi="宋体"/>
          <w:color w:val="auto"/>
          <w:szCs w:val="21"/>
          <w:highlight w:val="none"/>
        </w:rPr>
      </w:pPr>
      <w:r>
        <w:rPr>
          <w:rFonts w:hint="eastAsia" w:ascii="宋体" w:hAnsi="宋体"/>
          <w:color w:val="auto"/>
          <w:szCs w:val="21"/>
          <w:highlight w:val="none"/>
        </w:rPr>
        <w:t>项目概况</w:t>
      </w:r>
    </w:p>
    <w:p w14:paraId="44A2FD84">
      <w:pPr>
        <w:pBdr>
          <w:top w:val="single" w:color="000000" w:sz="4" w:space="1"/>
          <w:left w:val="single" w:color="000000" w:sz="4" w:space="4"/>
          <w:bottom w:val="single" w:color="000000" w:sz="4" w:space="1"/>
          <w:right w:val="single" w:color="000000" w:sz="4" w:space="4"/>
        </w:pBdr>
        <w:shd w:val="clear" w:color="auto"/>
        <w:spacing w:line="380" w:lineRule="exact"/>
        <w:ind w:firstLine="420"/>
        <w:rPr>
          <w:rFonts w:ascii="宋体" w:hAnsi="宋体"/>
          <w:color w:val="auto"/>
          <w:szCs w:val="21"/>
          <w:highlight w:val="none"/>
        </w:rPr>
      </w:pPr>
      <w:r>
        <w:rPr>
          <w:rFonts w:hint="eastAsia" w:ascii="宋体" w:hAnsi="宋体"/>
          <w:color w:val="auto"/>
          <w:szCs w:val="21"/>
          <w:highlight w:val="none"/>
          <w:u w:val="single"/>
          <w:lang w:eastAsia="zh-CN"/>
        </w:rPr>
        <w:t>101青年创新港施工项目</w:t>
      </w:r>
      <w:r>
        <w:rPr>
          <w:rFonts w:hint="eastAsia" w:ascii="宋体" w:hAnsi="宋体"/>
          <w:color w:val="auto"/>
          <w:szCs w:val="21"/>
          <w:highlight w:val="none"/>
        </w:rPr>
        <w:t>采购项目的潜在供应商应在</w:t>
      </w:r>
      <w:r>
        <w:rPr>
          <w:rFonts w:hint="eastAsia" w:ascii="宋体" w:hAnsi="宋体"/>
          <w:color w:val="auto"/>
          <w:szCs w:val="21"/>
          <w:highlight w:val="none"/>
          <w:u w:val="single"/>
        </w:rPr>
        <w:t>广西政府采购云平台（https://www.gcy.zfcg.gxzf.gov.cn）</w:t>
      </w:r>
      <w:r>
        <w:rPr>
          <w:rFonts w:hint="eastAsia" w:ascii="宋体" w:hAnsi="宋体"/>
          <w:color w:val="auto"/>
          <w:szCs w:val="21"/>
          <w:highlight w:val="none"/>
        </w:rPr>
        <w:t>获取采购文件，并于</w:t>
      </w:r>
      <w:r>
        <w:rPr>
          <w:rFonts w:hint="eastAsia" w:ascii="宋体" w:hAnsi="宋体"/>
          <w:color w:val="auto"/>
          <w:szCs w:val="21"/>
          <w:highlight w:val="none"/>
          <w:u w:val="single"/>
          <w:lang w:eastAsia="zh-CN"/>
        </w:rPr>
        <w:t>2026</w:t>
      </w:r>
      <w:r>
        <w:rPr>
          <w:rFonts w:hint="eastAsia" w:ascii="宋体" w:hAnsi="宋体"/>
          <w:color w:val="auto"/>
          <w:szCs w:val="21"/>
          <w:highlight w:val="none"/>
          <w:u w:val="single"/>
        </w:rPr>
        <w:t>年</w:t>
      </w:r>
      <w:r>
        <w:rPr>
          <w:rFonts w:hint="eastAsia" w:ascii="宋体" w:hAnsi="宋体"/>
          <w:bCs/>
          <w:color w:val="auto"/>
          <w:szCs w:val="21"/>
          <w:highlight w:val="none"/>
          <w:u w:val="single"/>
          <w:lang w:val="en-US" w:eastAsia="zh-CN"/>
        </w:rPr>
        <w:t>9</w:t>
      </w:r>
      <w:r>
        <w:rPr>
          <w:rFonts w:hint="eastAsia" w:ascii="宋体" w:hAnsi="宋体"/>
          <w:bCs/>
          <w:color w:val="auto"/>
          <w:szCs w:val="21"/>
          <w:highlight w:val="none"/>
          <w:u w:val="single"/>
        </w:rPr>
        <w:t>月</w:t>
      </w:r>
      <w:r>
        <w:rPr>
          <w:rFonts w:hint="eastAsia" w:ascii="宋体" w:hAnsi="宋体"/>
          <w:bCs/>
          <w:color w:val="auto"/>
          <w:szCs w:val="21"/>
          <w:highlight w:val="none"/>
          <w:u w:val="single"/>
          <w:lang w:val="en-US" w:eastAsia="zh-CN"/>
        </w:rPr>
        <w:t>30</w:t>
      </w:r>
      <w:r>
        <w:rPr>
          <w:rFonts w:hint="eastAsia" w:ascii="宋体" w:hAnsi="宋体"/>
          <w:bCs/>
          <w:color w:val="auto"/>
          <w:szCs w:val="21"/>
          <w:highlight w:val="none"/>
          <w:u w:val="single"/>
        </w:rPr>
        <w:t>日</w:t>
      </w:r>
      <w:r>
        <w:rPr>
          <w:rFonts w:hint="eastAsia" w:ascii="宋体" w:hAnsi="宋体"/>
          <w:bCs/>
          <w:color w:val="auto"/>
          <w:szCs w:val="21"/>
          <w:highlight w:val="none"/>
          <w:u w:val="single"/>
          <w:lang w:val="en-US" w:eastAsia="zh-CN"/>
        </w:rPr>
        <w:t>9</w:t>
      </w:r>
      <w:r>
        <w:rPr>
          <w:rFonts w:hint="eastAsia" w:ascii="宋体" w:hAnsi="宋体"/>
          <w:bCs/>
          <w:color w:val="auto"/>
          <w:szCs w:val="21"/>
          <w:highlight w:val="none"/>
          <w:u w:val="single"/>
        </w:rPr>
        <w:t>时</w:t>
      </w:r>
      <w:r>
        <w:rPr>
          <w:rFonts w:hint="eastAsia" w:ascii="宋体" w:hAnsi="宋体"/>
          <w:bCs/>
          <w:color w:val="auto"/>
          <w:szCs w:val="21"/>
          <w:highlight w:val="none"/>
          <w:u w:val="single"/>
          <w:lang w:val="en-US" w:eastAsia="zh-CN"/>
        </w:rPr>
        <w:t>30</w:t>
      </w:r>
      <w:r>
        <w:rPr>
          <w:rFonts w:hint="eastAsia" w:ascii="宋体" w:hAnsi="宋体"/>
          <w:bCs/>
          <w:color w:val="auto"/>
          <w:szCs w:val="21"/>
          <w:highlight w:val="none"/>
          <w:u w:val="single"/>
        </w:rPr>
        <w:t>分</w:t>
      </w:r>
      <w:r>
        <w:rPr>
          <w:rFonts w:hint="eastAsia" w:ascii="宋体" w:hAnsi="宋体"/>
          <w:bCs/>
          <w:color w:val="auto"/>
          <w:szCs w:val="21"/>
          <w:highlight w:val="none"/>
        </w:rPr>
        <w:t>（北京时间）前提交响应</w:t>
      </w:r>
      <w:r>
        <w:rPr>
          <w:rFonts w:ascii="宋体" w:hAnsi="宋体"/>
          <w:bCs/>
          <w:color w:val="auto"/>
          <w:szCs w:val="21"/>
          <w:highlight w:val="none"/>
        </w:rPr>
        <w:t>文件</w:t>
      </w:r>
      <w:r>
        <w:rPr>
          <w:rFonts w:hint="eastAsia" w:ascii="宋体" w:hAnsi="宋体"/>
          <w:color w:val="auto"/>
          <w:szCs w:val="21"/>
          <w:highlight w:val="none"/>
        </w:rPr>
        <w:t>。</w:t>
      </w:r>
    </w:p>
    <w:p w14:paraId="2FCBA7E3">
      <w:pPr>
        <w:shd w:val="clear" w:color="auto"/>
        <w:spacing w:line="380" w:lineRule="exact"/>
        <w:rPr>
          <w:rFonts w:ascii="宋体" w:hAnsi="宋体"/>
          <w:color w:val="auto"/>
          <w:szCs w:val="21"/>
          <w:highlight w:val="none"/>
        </w:rPr>
      </w:pPr>
    </w:p>
    <w:p w14:paraId="469B63A5">
      <w:pPr>
        <w:shd w:val="clear" w:color="auto"/>
        <w:spacing w:line="380" w:lineRule="exact"/>
        <w:rPr>
          <w:rFonts w:ascii="宋体" w:hAnsi="宋体"/>
          <w:b/>
          <w:color w:val="auto"/>
          <w:highlight w:val="none"/>
        </w:rPr>
      </w:pPr>
      <w:bookmarkStart w:id="2" w:name="_Toc28359012"/>
      <w:bookmarkStart w:id="3" w:name="_Toc28359089"/>
      <w:bookmarkStart w:id="4" w:name="_Toc35393629"/>
      <w:bookmarkStart w:id="5" w:name="_Toc35393798"/>
      <w:r>
        <w:rPr>
          <w:rFonts w:hint="eastAsia" w:ascii="宋体" w:hAnsi="宋体"/>
          <w:b/>
          <w:color w:val="auto"/>
          <w:highlight w:val="none"/>
        </w:rPr>
        <w:t>一、项目基本情况</w:t>
      </w:r>
      <w:bookmarkEnd w:id="2"/>
      <w:bookmarkEnd w:id="3"/>
      <w:bookmarkEnd w:id="4"/>
      <w:bookmarkEnd w:id="5"/>
    </w:p>
    <w:p w14:paraId="111A1A44">
      <w:pPr>
        <w:widowControl/>
        <w:shd w:val="clear" w:color="auto"/>
        <w:spacing w:line="400" w:lineRule="exact"/>
        <w:jc w:val="left"/>
        <w:rPr>
          <w:rFonts w:hint="eastAsia" w:ascii="宋体" w:hAnsi="宋体" w:eastAsia="宋体" w:cs="宋体"/>
          <w:color w:val="auto"/>
          <w:szCs w:val="21"/>
          <w:highlight w:val="none"/>
          <w:lang w:eastAsia="zh-CN"/>
        </w:rPr>
      </w:pPr>
      <w:r>
        <w:rPr>
          <w:rFonts w:ascii="宋体" w:hAnsi="宋体" w:cs="宋体"/>
          <w:color w:val="auto"/>
          <w:szCs w:val="21"/>
          <w:highlight w:val="none"/>
        </w:rPr>
        <w:t>    项目编号：</w:t>
      </w:r>
      <w:r>
        <w:rPr>
          <w:rFonts w:hint="eastAsia" w:ascii="宋体" w:hAnsi="宋体" w:cs="宋体"/>
          <w:color w:val="auto"/>
          <w:szCs w:val="21"/>
          <w:highlight w:val="none"/>
          <w:lang w:eastAsia="zh-CN"/>
        </w:rPr>
        <w:t>GXZC2026-C2-003142-GLZB</w:t>
      </w:r>
    </w:p>
    <w:p w14:paraId="5E666937">
      <w:pPr>
        <w:widowControl/>
        <w:shd w:val="clear" w:color="auto"/>
        <w:spacing w:line="400" w:lineRule="exact"/>
        <w:jc w:val="left"/>
        <w:rPr>
          <w:rFonts w:hint="eastAsia" w:ascii="宋体" w:hAnsi="宋体" w:eastAsia="宋体" w:cs="宋体"/>
          <w:color w:val="auto"/>
          <w:szCs w:val="21"/>
          <w:highlight w:val="none"/>
          <w:lang w:eastAsia="zh-CN"/>
        </w:rPr>
      </w:pPr>
      <w:r>
        <w:rPr>
          <w:rFonts w:ascii="宋体" w:hAnsi="宋体" w:cs="宋体"/>
          <w:color w:val="auto"/>
          <w:szCs w:val="21"/>
          <w:highlight w:val="none"/>
        </w:rPr>
        <w:t>    项目名称：</w:t>
      </w:r>
      <w:r>
        <w:rPr>
          <w:rFonts w:hint="eastAsia" w:ascii="宋体" w:hAnsi="宋体" w:cs="宋体"/>
          <w:color w:val="auto"/>
          <w:szCs w:val="21"/>
          <w:highlight w:val="none"/>
          <w:lang w:eastAsia="zh-CN"/>
        </w:rPr>
        <w:t>101青年创新港施工项目</w:t>
      </w:r>
    </w:p>
    <w:p w14:paraId="79C7014E">
      <w:pPr>
        <w:widowControl/>
        <w:shd w:val="clear" w:color="auto"/>
        <w:spacing w:line="400" w:lineRule="exact"/>
        <w:jc w:val="left"/>
        <w:rPr>
          <w:rFonts w:hint="default" w:ascii="宋体" w:hAnsi="宋体" w:cs="宋体"/>
          <w:color w:val="auto"/>
          <w:szCs w:val="21"/>
          <w:highlight w:val="none"/>
          <w:lang w:val="en-US" w:eastAsia="zh-CN"/>
        </w:rPr>
      </w:pPr>
      <w:r>
        <w:rPr>
          <w:rFonts w:ascii="宋体" w:hAnsi="宋体" w:cs="宋体"/>
          <w:color w:val="auto"/>
          <w:szCs w:val="21"/>
          <w:highlight w:val="none"/>
        </w:rPr>
        <w:t>    预算总金额（元）</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3234479.85元</w:t>
      </w:r>
    </w:p>
    <w:p w14:paraId="7A0C5DEE">
      <w:pPr>
        <w:shd w:val="clear" w:color="auto"/>
        <w:spacing w:line="380" w:lineRule="exact"/>
        <w:ind w:firstLine="42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标项名称：101青年创新港施工项目</w:t>
      </w:r>
    </w:p>
    <w:p w14:paraId="2F43D6EB">
      <w:pPr>
        <w:shd w:val="clear" w:color="auto"/>
        <w:spacing w:line="380" w:lineRule="exact"/>
        <w:ind w:firstLine="420"/>
        <w:rPr>
          <w:rFonts w:ascii="宋体" w:hAnsi="宋体" w:cs="宋体"/>
          <w:color w:val="auto"/>
          <w:szCs w:val="21"/>
          <w:highlight w:val="none"/>
        </w:rPr>
      </w:pPr>
      <w:r>
        <w:rPr>
          <w:rFonts w:ascii="宋体" w:hAnsi="宋体" w:cs="宋体"/>
          <w:color w:val="auto"/>
          <w:szCs w:val="21"/>
          <w:highlight w:val="none"/>
        </w:rPr>
        <w:t>采购需求：</w:t>
      </w:r>
    </w:p>
    <w:p w14:paraId="6F2A033C">
      <w:pPr>
        <w:shd w:val="clear" w:color="auto"/>
        <w:spacing w:line="380" w:lineRule="exact"/>
        <w:ind w:firstLine="420"/>
        <w:rPr>
          <w:rFonts w:ascii="宋体" w:hAnsi="宋体"/>
          <w:color w:val="auto"/>
          <w:highlight w:val="none"/>
        </w:rPr>
      </w:pPr>
      <w:r>
        <w:rPr>
          <w:rFonts w:hint="eastAsia" w:ascii="宋体" w:hAnsi="宋体"/>
          <w:color w:val="auto"/>
          <w:highlight w:val="none"/>
        </w:rPr>
        <w:t>数量：1项</w:t>
      </w:r>
    </w:p>
    <w:p w14:paraId="5C16E3B6">
      <w:pPr>
        <w:shd w:val="clear" w:color="auto"/>
        <w:spacing w:line="380" w:lineRule="exact"/>
        <w:ind w:firstLine="420"/>
        <w:rPr>
          <w:rFonts w:hint="default" w:ascii="宋体" w:hAnsi="宋体" w:eastAsia="宋体"/>
          <w:color w:val="auto"/>
          <w:highlight w:val="none"/>
          <w:lang w:val="en-US" w:eastAsia="zh-CN"/>
        </w:rPr>
      </w:pPr>
      <w:r>
        <w:rPr>
          <w:rFonts w:hint="eastAsia" w:ascii="宋体" w:hAnsi="宋体"/>
          <w:color w:val="auto"/>
          <w:highlight w:val="none"/>
        </w:rPr>
        <w:t>预算金额（元）：</w:t>
      </w:r>
      <w:r>
        <w:rPr>
          <w:rFonts w:hint="eastAsia" w:ascii="宋体" w:hAnsi="宋体" w:cs="宋体"/>
          <w:color w:val="auto"/>
          <w:szCs w:val="21"/>
          <w:highlight w:val="none"/>
          <w:lang w:val="en-US" w:eastAsia="zh-CN"/>
        </w:rPr>
        <w:t>3234479.85元</w:t>
      </w:r>
    </w:p>
    <w:p w14:paraId="1EE4EEC9">
      <w:pPr>
        <w:shd w:val="clear" w:color="auto"/>
        <w:spacing w:line="380" w:lineRule="exact"/>
        <w:ind w:firstLine="420"/>
        <w:rPr>
          <w:rFonts w:hint="eastAsia" w:ascii="宋体" w:hAnsi="宋体"/>
          <w:color w:val="auto"/>
          <w:highlight w:val="none"/>
        </w:rPr>
      </w:pPr>
      <w:r>
        <w:rPr>
          <w:rFonts w:hint="eastAsia" w:ascii="宋体" w:hAnsi="宋体"/>
          <w:color w:val="auto"/>
          <w:highlight w:val="none"/>
        </w:rPr>
        <w:t>简要规格描述或项目基本概况介绍、用途：本项目室内装修面积 3372.81㎡、外立面改造 1515㎡、室外景观改造 5976.46㎡</w:t>
      </w:r>
      <w:r>
        <w:rPr>
          <w:rFonts w:hint="eastAsia" w:ascii="宋体" w:hAnsi="宋体"/>
          <w:color w:val="auto"/>
          <w:highlight w:val="none"/>
          <w:lang w:val="en-US" w:eastAsia="zh-CN"/>
        </w:rPr>
        <w:t>,具体施工内容以图纸、工程量清单为准。</w:t>
      </w:r>
      <w:r>
        <w:rPr>
          <w:rFonts w:hint="eastAsia" w:ascii="宋体" w:hAnsi="宋体"/>
          <w:color w:val="auto"/>
          <w:highlight w:val="none"/>
        </w:rPr>
        <w:t>如需进一步了解详细内容，详见竞争性磋商文件。</w:t>
      </w:r>
    </w:p>
    <w:p w14:paraId="0BE3923D">
      <w:pPr>
        <w:shd w:val="clear" w:color="auto"/>
        <w:spacing w:line="380" w:lineRule="exact"/>
        <w:ind w:firstLine="420"/>
        <w:rPr>
          <w:rFonts w:hint="eastAsia" w:ascii="宋体" w:hAnsi="宋体"/>
          <w:color w:val="auto"/>
          <w:highlight w:val="none"/>
        </w:rPr>
      </w:pPr>
      <w:r>
        <w:rPr>
          <w:rFonts w:hint="eastAsia" w:ascii="宋体" w:hAnsi="宋体"/>
          <w:color w:val="auto"/>
          <w:highlight w:val="none"/>
        </w:rPr>
        <w:t>最高限价：</w:t>
      </w:r>
      <w:r>
        <w:rPr>
          <w:rFonts w:hint="eastAsia" w:ascii="宋体" w:hAnsi="宋体" w:cs="宋体"/>
          <w:color w:val="auto"/>
          <w:szCs w:val="21"/>
          <w:highlight w:val="none"/>
          <w:lang w:val="en-US" w:eastAsia="zh-CN"/>
        </w:rPr>
        <w:t>3234479.85</w:t>
      </w:r>
      <w:r>
        <w:rPr>
          <w:rFonts w:hint="eastAsia"/>
          <w:color w:val="auto"/>
          <w:highlight w:val="none"/>
          <w:lang w:val="en-US" w:eastAsia="zh-CN"/>
        </w:rPr>
        <w:t>元</w:t>
      </w:r>
    </w:p>
    <w:p w14:paraId="17DDB156">
      <w:pPr>
        <w:shd w:val="clear" w:color="auto"/>
        <w:spacing w:line="380" w:lineRule="exact"/>
        <w:ind w:firstLine="420"/>
        <w:rPr>
          <w:rFonts w:ascii="宋体" w:hAnsi="宋体"/>
          <w:color w:val="auto"/>
          <w:highlight w:val="none"/>
        </w:rPr>
      </w:pPr>
      <w:r>
        <w:rPr>
          <w:rFonts w:hint="eastAsia" w:ascii="宋体" w:hAnsi="宋体"/>
          <w:color w:val="auto"/>
          <w:highlight w:val="none"/>
        </w:rPr>
        <w:t>合同履约期限：详见第三章采购需求。</w:t>
      </w:r>
    </w:p>
    <w:p w14:paraId="76D70C0A">
      <w:pPr>
        <w:shd w:val="clear" w:color="auto"/>
        <w:spacing w:line="380" w:lineRule="exact"/>
        <w:ind w:firstLine="420"/>
        <w:rPr>
          <w:rFonts w:hint="eastAsia" w:ascii="宋体" w:hAnsi="宋体"/>
          <w:color w:val="auto"/>
          <w:highlight w:val="none"/>
        </w:rPr>
      </w:pPr>
      <w:r>
        <w:rPr>
          <w:rFonts w:hint="eastAsia" w:ascii="宋体" w:hAnsi="宋体"/>
          <w:color w:val="auto"/>
          <w:highlight w:val="none"/>
        </w:rPr>
        <w:t>本标项（否）接受联合体投标</w:t>
      </w:r>
    </w:p>
    <w:p w14:paraId="0B4A380D">
      <w:pPr>
        <w:shd w:val="clear" w:color="auto"/>
        <w:spacing w:line="380" w:lineRule="exact"/>
        <w:ind w:firstLine="420"/>
        <w:rPr>
          <w:rFonts w:hint="eastAsia" w:ascii="宋体" w:hAnsi="宋体"/>
          <w:color w:val="auto"/>
          <w:highlight w:val="none"/>
        </w:rPr>
      </w:pPr>
      <w:r>
        <w:rPr>
          <w:rFonts w:hint="eastAsia" w:ascii="宋体" w:hAnsi="宋体"/>
          <w:color w:val="auto"/>
          <w:highlight w:val="none"/>
        </w:rPr>
        <w:t>备注：本项目为线上电子招标项目，有意向参与本项目的供应商应当做好参与全流程电子招投标交易的充分准备。</w:t>
      </w:r>
    </w:p>
    <w:p w14:paraId="61231101">
      <w:pPr>
        <w:shd w:val="clear" w:color="auto"/>
        <w:spacing w:line="380" w:lineRule="exact"/>
        <w:rPr>
          <w:rFonts w:ascii="宋体" w:hAnsi="宋体"/>
          <w:b/>
          <w:color w:val="auto"/>
          <w:highlight w:val="none"/>
        </w:rPr>
      </w:pPr>
      <w:bookmarkStart w:id="6" w:name="_Toc28359090"/>
      <w:bookmarkStart w:id="7" w:name="_Toc35393799"/>
      <w:bookmarkStart w:id="8" w:name="_Toc35393630"/>
      <w:bookmarkStart w:id="9" w:name="_Toc28359013"/>
      <w:r>
        <w:rPr>
          <w:rFonts w:hint="eastAsia" w:ascii="宋体" w:hAnsi="宋体"/>
          <w:b/>
          <w:color w:val="auto"/>
          <w:highlight w:val="none"/>
        </w:rPr>
        <w:t>二、申请人的资格要求：</w:t>
      </w:r>
      <w:bookmarkEnd w:id="6"/>
      <w:bookmarkEnd w:id="7"/>
      <w:bookmarkEnd w:id="8"/>
      <w:bookmarkEnd w:id="9"/>
    </w:p>
    <w:p w14:paraId="757B1BE2">
      <w:pPr>
        <w:shd w:val="clear" w:color="auto"/>
        <w:spacing w:line="380" w:lineRule="exact"/>
        <w:ind w:firstLine="420"/>
        <w:rPr>
          <w:rFonts w:ascii="宋体" w:hAnsi="宋体"/>
          <w:color w:val="auto"/>
          <w:highlight w:val="none"/>
        </w:rPr>
      </w:pPr>
      <w:r>
        <w:rPr>
          <w:rFonts w:hint="eastAsia" w:ascii="宋体" w:hAnsi="宋体"/>
          <w:color w:val="auto"/>
          <w:highlight w:val="none"/>
        </w:rPr>
        <w:t>1.满足《中华人民共和国政府采购法》第二十二条规定；</w:t>
      </w:r>
    </w:p>
    <w:p w14:paraId="3AF9ABD2">
      <w:pPr>
        <w:shd w:val="clear" w:color="auto"/>
        <w:spacing w:line="380" w:lineRule="exact"/>
        <w:ind w:firstLine="420"/>
        <w:rPr>
          <w:rFonts w:ascii="宋体" w:hAnsi="宋体"/>
          <w:color w:val="auto"/>
          <w:highlight w:val="none"/>
        </w:rPr>
      </w:pPr>
      <w:bookmarkStart w:id="10" w:name="_Toc28359014"/>
      <w:bookmarkStart w:id="11" w:name="_Toc28359091"/>
      <w:r>
        <w:rPr>
          <w:rFonts w:ascii="宋体" w:hAnsi="宋体"/>
          <w:color w:val="auto"/>
          <w:highlight w:val="none"/>
        </w:rPr>
        <w:t>2</w:t>
      </w:r>
      <w:r>
        <w:rPr>
          <w:rFonts w:hint="eastAsia" w:ascii="宋体" w:hAnsi="宋体"/>
          <w:color w:val="auto"/>
          <w:highlight w:val="none"/>
        </w:rPr>
        <w:t>.落实政府采购政策需满足的资格要求：</w:t>
      </w:r>
      <w:r>
        <w:rPr>
          <w:rFonts w:hint="default" w:ascii="宋体" w:hAnsi="宋体"/>
          <w:color w:val="auto"/>
          <w:highlight w:val="none"/>
          <w:lang w:val="en-US"/>
        </w:rPr>
        <w:t>本项目专门面向中小企业采购（供应商应为中小微企业或监狱企业或残疾人福利性单位</w:t>
      </w:r>
      <w:r>
        <w:rPr>
          <w:rFonts w:hint="default" w:ascii="宋体" w:hAnsi="宋体"/>
          <w:color w:val="auto"/>
          <w:highlight w:val="none"/>
          <w:lang w:val="en-US" w:eastAsia="zh-CN"/>
        </w:rPr>
        <w:t>）</w:t>
      </w:r>
      <w:r>
        <w:rPr>
          <w:rFonts w:hint="eastAsia" w:ascii="宋体" w:hAnsi="宋体"/>
          <w:color w:val="auto"/>
          <w:highlight w:val="none"/>
        </w:rPr>
        <w:t>；</w:t>
      </w:r>
    </w:p>
    <w:p w14:paraId="3B91764B">
      <w:pPr>
        <w:shd w:val="clear" w:color="auto"/>
        <w:spacing w:line="380" w:lineRule="exact"/>
        <w:ind w:firstLine="420"/>
        <w:rPr>
          <w:rFonts w:hint="eastAsia" w:ascii="宋体" w:hAnsi="宋体"/>
          <w:color w:val="auto"/>
          <w:highlight w:val="none"/>
        </w:rPr>
      </w:pPr>
      <w:r>
        <w:rPr>
          <w:rFonts w:hint="eastAsia" w:ascii="宋体" w:hAnsi="宋体"/>
          <w:color w:val="auto"/>
          <w:highlight w:val="none"/>
        </w:rPr>
        <w:t>3.本项目的特定资格要求：供应商须具备建筑装修装饰工程专业承包二级及以上资质</w:t>
      </w:r>
      <w:r>
        <w:rPr>
          <w:rFonts w:hint="eastAsia" w:ascii="宋体" w:hAnsi="宋体"/>
          <w:color w:val="auto"/>
          <w:highlight w:val="none"/>
          <w:lang w:val="en-US" w:eastAsia="zh-CN"/>
        </w:rPr>
        <w:t>或</w:t>
      </w:r>
      <w:r>
        <w:rPr>
          <w:rFonts w:hint="eastAsia" w:ascii="宋体" w:hAnsi="宋体"/>
          <w:color w:val="auto"/>
          <w:highlight w:val="none"/>
        </w:rPr>
        <w:t>建筑工程施工总承包三级及以上资质，同时持有在有效期内的安全生产许可证</w:t>
      </w:r>
      <w:r>
        <w:rPr>
          <w:rFonts w:hint="eastAsia" w:ascii="宋体" w:hAnsi="宋体"/>
          <w:color w:val="auto"/>
          <w:highlight w:val="none"/>
          <w:lang w:eastAsia="zh-CN"/>
        </w:rPr>
        <w:t>，</w:t>
      </w:r>
      <w:r>
        <w:rPr>
          <w:rFonts w:hint="eastAsia" w:ascii="宋体" w:hAnsi="宋体"/>
          <w:color w:val="auto"/>
          <w:highlight w:val="none"/>
        </w:rPr>
        <w:t>并在人员、设备、资金等方面具备相应的施工能力。</w:t>
      </w:r>
    </w:p>
    <w:p w14:paraId="312B6201">
      <w:pPr>
        <w:shd w:val="clear" w:color="auto"/>
        <w:spacing w:line="380" w:lineRule="exact"/>
        <w:rPr>
          <w:rFonts w:ascii="宋体" w:hAnsi="宋体"/>
          <w:b/>
          <w:color w:val="auto"/>
          <w:highlight w:val="none"/>
        </w:rPr>
      </w:pPr>
      <w:bookmarkStart w:id="12" w:name="_Toc35393631"/>
      <w:bookmarkStart w:id="13" w:name="_Toc35393800"/>
      <w:r>
        <w:rPr>
          <w:rFonts w:hint="eastAsia" w:ascii="宋体" w:hAnsi="宋体"/>
          <w:b/>
          <w:color w:val="auto"/>
          <w:highlight w:val="none"/>
        </w:rPr>
        <w:t>三、获取采购文件</w:t>
      </w:r>
      <w:bookmarkEnd w:id="10"/>
      <w:bookmarkEnd w:id="11"/>
      <w:bookmarkEnd w:id="12"/>
      <w:bookmarkEnd w:id="13"/>
    </w:p>
    <w:p w14:paraId="6A5F496A">
      <w:pPr>
        <w:shd w:val="clear" w:color="auto"/>
        <w:spacing w:line="380" w:lineRule="exact"/>
        <w:ind w:firstLine="420"/>
        <w:rPr>
          <w:rFonts w:ascii="宋体" w:hAnsi="宋体"/>
          <w:color w:val="auto"/>
          <w:highlight w:val="none"/>
          <w:u w:val="none"/>
        </w:rPr>
      </w:pPr>
      <w:r>
        <w:rPr>
          <w:rFonts w:hint="eastAsia" w:ascii="宋体" w:hAnsi="宋体"/>
          <w:color w:val="auto"/>
          <w:highlight w:val="none"/>
          <w:u w:val="none"/>
        </w:rPr>
        <w:t>时间：</w:t>
      </w:r>
      <w:r>
        <w:rPr>
          <w:rFonts w:hint="eastAsia" w:ascii="宋体" w:hAnsi="宋体"/>
          <w:color w:val="auto"/>
          <w:highlight w:val="none"/>
          <w:u w:val="none"/>
          <w:lang w:eastAsia="zh-CN"/>
        </w:rPr>
        <w:t>2026</w:t>
      </w:r>
      <w:r>
        <w:rPr>
          <w:rFonts w:hint="eastAsia" w:ascii="宋体" w:hAnsi="宋体"/>
          <w:color w:val="auto"/>
          <w:highlight w:val="none"/>
          <w:u w:val="none"/>
        </w:rPr>
        <w:t>年</w:t>
      </w:r>
      <w:r>
        <w:rPr>
          <w:rFonts w:hint="eastAsia" w:ascii="宋体" w:hAnsi="宋体"/>
          <w:color w:val="auto"/>
          <w:highlight w:val="none"/>
          <w:u w:val="none"/>
          <w:lang w:val="en-US" w:eastAsia="zh-CN"/>
        </w:rPr>
        <w:t>9</w:t>
      </w:r>
      <w:r>
        <w:rPr>
          <w:rFonts w:hint="eastAsia" w:ascii="宋体" w:hAnsi="宋体"/>
          <w:color w:val="auto"/>
          <w:highlight w:val="none"/>
          <w:u w:val="none"/>
        </w:rPr>
        <w:t>月</w:t>
      </w:r>
      <w:r>
        <w:rPr>
          <w:rFonts w:hint="eastAsia" w:ascii="宋体" w:hAnsi="宋体"/>
          <w:color w:val="auto"/>
          <w:highlight w:val="none"/>
          <w:u w:val="none"/>
          <w:lang w:val="en-US" w:eastAsia="zh-CN"/>
        </w:rPr>
        <w:t>19</w:t>
      </w:r>
      <w:r>
        <w:rPr>
          <w:rFonts w:hint="eastAsia" w:ascii="宋体" w:hAnsi="宋体"/>
          <w:color w:val="auto"/>
          <w:highlight w:val="none"/>
          <w:u w:val="none"/>
        </w:rPr>
        <w:t>日至</w:t>
      </w:r>
      <w:r>
        <w:rPr>
          <w:rFonts w:hint="eastAsia" w:ascii="宋体" w:hAnsi="宋体"/>
          <w:color w:val="auto"/>
          <w:highlight w:val="none"/>
          <w:u w:val="none"/>
          <w:lang w:eastAsia="zh-CN"/>
        </w:rPr>
        <w:t>2026</w:t>
      </w:r>
      <w:r>
        <w:rPr>
          <w:rFonts w:hint="eastAsia" w:ascii="宋体" w:hAnsi="宋体"/>
          <w:color w:val="auto"/>
          <w:highlight w:val="none"/>
          <w:u w:val="none"/>
        </w:rPr>
        <w:t>年</w:t>
      </w:r>
      <w:r>
        <w:rPr>
          <w:rFonts w:hint="eastAsia" w:ascii="宋体" w:hAnsi="宋体"/>
          <w:color w:val="auto"/>
          <w:highlight w:val="none"/>
          <w:u w:val="none"/>
          <w:lang w:val="en-US" w:eastAsia="zh-CN"/>
        </w:rPr>
        <w:t>9</w:t>
      </w:r>
      <w:r>
        <w:rPr>
          <w:rFonts w:hint="eastAsia" w:ascii="宋体" w:hAnsi="宋体"/>
          <w:color w:val="auto"/>
          <w:highlight w:val="none"/>
          <w:u w:val="none"/>
        </w:rPr>
        <w:t>月</w:t>
      </w:r>
      <w:r>
        <w:rPr>
          <w:rFonts w:hint="eastAsia" w:ascii="宋体" w:hAnsi="宋体"/>
          <w:color w:val="auto"/>
          <w:highlight w:val="none"/>
          <w:u w:val="none"/>
          <w:lang w:val="en-US" w:eastAsia="zh-CN"/>
        </w:rPr>
        <w:t>24</w:t>
      </w:r>
      <w:r>
        <w:rPr>
          <w:rFonts w:hint="eastAsia" w:ascii="宋体" w:hAnsi="宋体"/>
          <w:color w:val="auto"/>
          <w:highlight w:val="none"/>
          <w:u w:val="none"/>
        </w:rPr>
        <w:t>日，每天上午8时30分至</w:t>
      </w:r>
      <w:r>
        <w:rPr>
          <w:rFonts w:hint="eastAsia" w:ascii="宋体" w:hAnsi="宋体"/>
          <w:color w:val="auto"/>
          <w:highlight w:val="none"/>
          <w:u w:val="none"/>
          <w:lang w:val="en-US" w:eastAsia="zh-CN"/>
        </w:rPr>
        <w:t>12</w:t>
      </w:r>
      <w:r>
        <w:rPr>
          <w:rFonts w:hint="eastAsia" w:ascii="宋体" w:hAnsi="宋体"/>
          <w:color w:val="auto"/>
          <w:highlight w:val="none"/>
          <w:u w:val="none"/>
        </w:rPr>
        <w:t>时</w:t>
      </w:r>
      <w:r>
        <w:rPr>
          <w:rFonts w:hint="eastAsia" w:ascii="宋体" w:hAnsi="宋体"/>
          <w:color w:val="auto"/>
          <w:highlight w:val="none"/>
          <w:u w:val="none"/>
          <w:lang w:val="en-US" w:eastAsia="zh-CN"/>
        </w:rPr>
        <w:t>00</w:t>
      </w:r>
      <w:r>
        <w:rPr>
          <w:rFonts w:hint="eastAsia" w:ascii="宋体" w:hAnsi="宋体"/>
          <w:color w:val="auto"/>
          <w:highlight w:val="none"/>
          <w:u w:val="none"/>
        </w:rPr>
        <w:t>分，下午1</w:t>
      </w:r>
      <w:r>
        <w:rPr>
          <w:rFonts w:hint="eastAsia" w:ascii="宋体" w:hAnsi="宋体"/>
          <w:color w:val="auto"/>
          <w:highlight w:val="none"/>
          <w:u w:val="none"/>
          <w:lang w:val="en-US" w:eastAsia="zh-CN"/>
        </w:rPr>
        <w:t>2</w:t>
      </w:r>
      <w:r>
        <w:rPr>
          <w:rFonts w:hint="eastAsia" w:ascii="宋体" w:hAnsi="宋体"/>
          <w:color w:val="auto"/>
          <w:highlight w:val="none"/>
          <w:u w:val="none"/>
        </w:rPr>
        <w:t>时00分至18时00分（北京时间，</w:t>
      </w:r>
      <w:r>
        <w:rPr>
          <w:rFonts w:ascii="宋体" w:hAnsi="宋体"/>
          <w:color w:val="auto"/>
          <w:highlight w:val="none"/>
          <w:u w:val="none"/>
        </w:rPr>
        <w:t>法定节假日</w:t>
      </w:r>
      <w:r>
        <w:rPr>
          <w:rFonts w:hint="eastAsia" w:ascii="宋体" w:hAnsi="宋体"/>
          <w:color w:val="auto"/>
          <w:highlight w:val="none"/>
          <w:u w:val="none"/>
        </w:rPr>
        <w:t>除外）</w:t>
      </w:r>
    </w:p>
    <w:p w14:paraId="37E138C9">
      <w:pPr>
        <w:shd w:val="clear" w:color="auto"/>
        <w:spacing w:line="380" w:lineRule="exact"/>
        <w:ind w:firstLine="420"/>
        <w:rPr>
          <w:rFonts w:ascii="宋体" w:hAnsi="宋体"/>
          <w:color w:val="auto"/>
          <w:highlight w:val="none"/>
          <w:u w:val="single"/>
        </w:rPr>
      </w:pPr>
      <w:r>
        <w:rPr>
          <w:rFonts w:hint="eastAsia" w:ascii="宋体" w:hAnsi="宋体"/>
          <w:color w:val="auto"/>
          <w:highlight w:val="none"/>
        </w:rPr>
        <w:t>地点：广西政府采购云平台（https://www.gcy.zfcg.gxzf.gov.cn）；</w:t>
      </w:r>
    </w:p>
    <w:p w14:paraId="368638AA">
      <w:pPr>
        <w:shd w:val="clear" w:color="auto"/>
        <w:spacing w:line="380" w:lineRule="exact"/>
        <w:ind w:firstLine="420"/>
        <w:rPr>
          <w:rFonts w:hint="eastAsia" w:ascii="宋体" w:hAnsi="宋体"/>
          <w:color w:val="auto"/>
          <w:highlight w:val="none"/>
        </w:rPr>
      </w:pPr>
      <w:r>
        <w:rPr>
          <w:rFonts w:hint="eastAsia" w:ascii="宋体" w:hAnsi="宋体"/>
          <w:color w:val="auto"/>
          <w:highlight w:val="none"/>
        </w:rPr>
        <w:t>方式：本项目不发放纸质采购文件，请登录广西政府采购云平台（https://www.gcy.zfcg.gxzf.gov.cn）进行报名并获取采购文件；未注册的供应商可在广西政府采购云平台完成注册后再行报名。如在操作过程中遇到问题或需技术支持，请致电政采云客服热线：95763 。提示：供应商只有在“广西政府采购云平台”完成获取采购文件申请并下载了采购文件后才视作依法获取采购文件（法律法规所指的供应商获取采购文件时间以供应商完成获取采购文件申请后下载采购文件的时间为准）。</w:t>
      </w:r>
    </w:p>
    <w:p w14:paraId="7E47E374">
      <w:pPr>
        <w:shd w:val="clear" w:color="auto"/>
        <w:spacing w:line="380" w:lineRule="exact"/>
        <w:ind w:firstLine="420"/>
        <w:rPr>
          <w:rFonts w:ascii="宋体" w:hAnsi="宋体"/>
          <w:color w:val="auto"/>
          <w:highlight w:val="none"/>
        </w:rPr>
      </w:pPr>
      <w:r>
        <w:rPr>
          <w:rFonts w:ascii="宋体" w:hAnsi="宋体" w:cs="宋体"/>
          <w:color w:val="auto"/>
          <w:szCs w:val="21"/>
          <w:highlight w:val="none"/>
        </w:rPr>
        <w:t>售价（元）：</w:t>
      </w:r>
      <w:r>
        <w:rPr>
          <w:rFonts w:hint="eastAsia" w:ascii="宋体" w:hAnsi="宋体" w:cs="宋体"/>
          <w:color w:val="auto"/>
          <w:szCs w:val="21"/>
          <w:highlight w:val="none"/>
        </w:rPr>
        <w:t>0</w:t>
      </w:r>
    </w:p>
    <w:p w14:paraId="392C8191">
      <w:pPr>
        <w:shd w:val="clear" w:color="auto"/>
        <w:spacing w:line="380" w:lineRule="exact"/>
        <w:rPr>
          <w:rFonts w:ascii="宋体" w:hAnsi="宋体"/>
          <w:b/>
          <w:color w:val="auto"/>
          <w:highlight w:val="none"/>
        </w:rPr>
      </w:pPr>
      <w:bookmarkStart w:id="14" w:name="_Toc28359015"/>
      <w:bookmarkStart w:id="15" w:name="_Toc35393801"/>
      <w:bookmarkStart w:id="16" w:name="_Toc28359092"/>
      <w:bookmarkStart w:id="17" w:name="_Toc35393632"/>
      <w:r>
        <w:rPr>
          <w:rFonts w:hint="eastAsia" w:ascii="宋体" w:hAnsi="宋体"/>
          <w:b/>
          <w:color w:val="auto"/>
          <w:highlight w:val="none"/>
        </w:rPr>
        <w:t>四、响应文件提交</w:t>
      </w:r>
      <w:bookmarkEnd w:id="14"/>
      <w:bookmarkEnd w:id="15"/>
      <w:bookmarkEnd w:id="16"/>
      <w:bookmarkEnd w:id="17"/>
    </w:p>
    <w:p w14:paraId="7976EED5">
      <w:pPr>
        <w:shd w:val="clear" w:color="auto"/>
        <w:spacing w:line="380" w:lineRule="exact"/>
        <w:ind w:firstLine="420"/>
        <w:rPr>
          <w:rFonts w:ascii="宋体" w:hAnsi="宋体"/>
          <w:bCs/>
          <w:color w:val="auto"/>
          <w:highlight w:val="none"/>
          <w:u w:val="single"/>
        </w:rPr>
      </w:pPr>
      <w:r>
        <w:rPr>
          <w:rFonts w:hint="eastAsia" w:ascii="宋体" w:hAnsi="宋体"/>
          <w:color w:val="auto"/>
          <w:highlight w:val="none"/>
        </w:rPr>
        <w:t>截止时间：</w:t>
      </w:r>
      <w:r>
        <w:rPr>
          <w:rFonts w:hint="eastAsia" w:ascii="宋体" w:hAnsi="宋体"/>
          <w:bCs/>
          <w:color w:val="auto"/>
          <w:highlight w:val="none"/>
          <w:lang w:eastAsia="zh-CN"/>
        </w:rPr>
        <w:t>2026</w:t>
      </w:r>
      <w:r>
        <w:rPr>
          <w:rFonts w:hint="eastAsia" w:ascii="宋体" w:hAnsi="宋体"/>
          <w:bCs/>
          <w:color w:val="auto"/>
          <w:highlight w:val="none"/>
        </w:rPr>
        <w:t>年</w:t>
      </w:r>
      <w:r>
        <w:rPr>
          <w:rFonts w:hint="eastAsia" w:ascii="宋体" w:hAnsi="宋体"/>
          <w:bCs/>
          <w:color w:val="auto"/>
          <w:highlight w:val="none"/>
          <w:lang w:val="en-US" w:eastAsia="zh-CN"/>
        </w:rPr>
        <w:t>9</w:t>
      </w:r>
      <w:r>
        <w:rPr>
          <w:rFonts w:hint="eastAsia" w:ascii="宋体" w:hAnsi="宋体"/>
          <w:bCs/>
          <w:color w:val="auto"/>
          <w:highlight w:val="none"/>
        </w:rPr>
        <w:t>月</w:t>
      </w:r>
      <w:r>
        <w:rPr>
          <w:rFonts w:hint="eastAsia" w:ascii="宋体" w:hAnsi="宋体"/>
          <w:bCs/>
          <w:color w:val="auto"/>
          <w:highlight w:val="none"/>
          <w:lang w:val="en-US" w:eastAsia="zh-CN"/>
        </w:rPr>
        <w:t>30</w:t>
      </w:r>
      <w:r>
        <w:rPr>
          <w:rFonts w:hint="eastAsia" w:ascii="宋体" w:hAnsi="宋体"/>
          <w:bCs/>
          <w:color w:val="auto"/>
          <w:highlight w:val="none"/>
        </w:rPr>
        <w:t>日</w:t>
      </w:r>
      <w:r>
        <w:rPr>
          <w:rFonts w:hint="eastAsia" w:ascii="宋体" w:hAnsi="宋体"/>
          <w:bCs/>
          <w:color w:val="auto"/>
          <w:highlight w:val="none"/>
          <w:lang w:val="en-US" w:eastAsia="zh-CN"/>
        </w:rPr>
        <w:t>9</w:t>
      </w:r>
      <w:r>
        <w:rPr>
          <w:rFonts w:hint="eastAsia" w:ascii="宋体" w:hAnsi="宋体"/>
          <w:bCs/>
          <w:color w:val="auto"/>
          <w:highlight w:val="none"/>
        </w:rPr>
        <w:t>时</w:t>
      </w:r>
      <w:r>
        <w:rPr>
          <w:rFonts w:hint="eastAsia" w:ascii="宋体" w:hAnsi="宋体"/>
          <w:bCs/>
          <w:color w:val="auto"/>
          <w:highlight w:val="none"/>
          <w:lang w:val="en-US" w:eastAsia="zh-CN"/>
        </w:rPr>
        <w:t>30</w:t>
      </w:r>
      <w:r>
        <w:rPr>
          <w:rFonts w:hint="eastAsia" w:ascii="宋体" w:hAnsi="宋体"/>
          <w:bCs/>
          <w:color w:val="auto"/>
          <w:highlight w:val="none"/>
        </w:rPr>
        <w:t>分（北京时间）</w:t>
      </w:r>
    </w:p>
    <w:p w14:paraId="353A0631">
      <w:pPr>
        <w:shd w:val="clear" w:color="auto"/>
        <w:spacing w:line="380" w:lineRule="exact"/>
        <w:ind w:firstLine="420"/>
        <w:rPr>
          <w:rFonts w:ascii="宋体" w:hAnsi="宋体"/>
          <w:bCs/>
          <w:color w:val="auto"/>
          <w:highlight w:val="none"/>
          <w:u w:val="single"/>
        </w:rPr>
      </w:pPr>
      <w:r>
        <w:rPr>
          <w:rFonts w:hint="eastAsia" w:ascii="宋体" w:hAnsi="宋体"/>
          <w:color w:val="auto"/>
          <w:highlight w:val="none"/>
        </w:rPr>
        <w:t>地点（网址）：广西政府采购云平台（https://www.gcy.zfcg.gxzf.gov.cn）</w:t>
      </w:r>
      <w:r>
        <w:rPr>
          <w:rFonts w:hint="eastAsia" w:ascii="宋体" w:hAnsi="宋体"/>
          <w:color w:val="auto"/>
          <w:szCs w:val="21"/>
          <w:highlight w:val="none"/>
        </w:rPr>
        <w:t>（本项目不要求竞标供应商到达开标现场，但供应商应派法定代表人或委托代理人准时在线出席电子开评标会议，随时关注开评标进度，如在开评标过程中有电子询标，应在规定的时间内对电子询标函进行澄清回复。）</w:t>
      </w:r>
    </w:p>
    <w:p w14:paraId="750EA234">
      <w:pPr>
        <w:shd w:val="clear" w:color="auto"/>
        <w:spacing w:line="380" w:lineRule="exact"/>
        <w:rPr>
          <w:rFonts w:ascii="宋体" w:hAnsi="宋体"/>
          <w:b/>
          <w:color w:val="auto"/>
          <w:highlight w:val="none"/>
        </w:rPr>
      </w:pPr>
      <w:bookmarkStart w:id="18" w:name="_Toc28359016"/>
      <w:bookmarkStart w:id="19" w:name="_Toc35393802"/>
      <w:bookmarkStart w:id="20" w:name="_Toc35393633"/>
      <w:bookmarkStart w:id="21" w:name="_Toc28359093"/>
      <w:r>
        <w:rPr>
          <w:rFonts w:hint="eastAsia" w:ascii="宋体" w:hAnsi="宋体"/>
          <w:b/>
          <w:color w:val="auto"/>
          <w:highlight w:val="none"/>
        </w:rPr>
        <w:t>五、开启</w:t>
      </w:r>
      <w:bookmarkEnd w:id="18"/>
      <w:bookmarkEnd w:id="19"/>
      <w:bookmarkEnd w:id="20"/>
      <w:bookmarkEnd w:id="21"/>
    </w:p>
    <w:p w14:paraId="3C6B1A7D">
      <w:pPr>
        <w:shd w:val="clear" w:color="auto"/>
        <w:spacing w:line="380" w:lineRule="exact"/>
        <w:ind w:firstLine="420"/>
        <w:rPr>
          <w:rFonts w:ascii="宋体" w:hAnsi="宋体"/>
          <w:bCs/>
          <w:color w:val="auto"/>
          <w:highlight w:val="none"/>
          <w:u w:val="single"/>
        </w:rPr>
      </w:pPr>
      <w:r>
        <w:rPr>
          <w:rFonts w:hint="eastAsia" w:ascii="宋体" w:hAnsi="宋体"/>
          <w:color w:val="auto"/>
          <w:highlight w:val="none"/>
        </w:rPr>
        <w:t>开启时间：</w:t>
      </w:r>
      <w:r>
        <w:rPr>
          <w:rFonts w:hint="eastAsia" w:ascii="宋体" w:hAnsi="宋体"/>
          <w:bCs/>
          <w:color w:val="auto"/>
          <w:highlight w:val="none"/>
          <w:lang w:eastAsia="zh-CN"/>
        </w:rPr>
        <w:t>2026</w:t>
      </w:r>
      <w:r>
        <w:rPr>
          <w:rFonts w:hint="eastAsia" w:ascii="宋体" w:hAnsi="宋体"/>
          <w:bCs/>
          <w:color w:val="auto"/>
          <w:highlight w:val="none"/>
        </w:rPr>
        <w:t>年</w:t>
      </w:r>
      <w:r>
        <w:rPr>
          <w:rFonts w:hint="eastAsia" w:ascii="宋体" w:hAnsi="宋体"/>
          <w:bCs/>
          <w:color w:val="auto"/>
          <w:highlight w:val="none"/>
          <w:lang w:val="en-US" w:eastAsia="zh-CN"/>
        </w:rPr>
        <w:t>9</w:t>
      </w:r>
      <w:r>
        <w:rPr>
          <w:rFonts w:hint="eastAsia" w:ascii="宋体" w:hAnsi="宋体"/>
          <w:bCs/>
          <w:color w:val="auto"/>
          <w:highlight w:val="none"/>
        </w:rPr>
        <w:t>月</w:t>
      </w:r>
      <w:r>
        <w:rPr>
          <w:rFonts w:hint="eastAsia" w:ascii="宋体" w:hAnsi="宋体"/>
          <w:bCs/>
          <w:color w:val="auto"/>
          <w:highlight w:val="none"/>
          <w:lang w:val="en-US" w:eastAsia="zh-CN"/>
        </w:rPr>
        <w:t>30</w:t>
      </w:r>
      <w:r>
        <w:rPr>
          <w:rFonts w:hint="eastAsia" w:ascii="宋体" w:hAnsi="宋体"/>
          <w:bCs/>
          <w:color w:val="auto"/>
          <w:highlight w:val="none"/>
        </w:rPr>
        <w:t>日</w:t>
      </w:r>
      <w:r>
        <w:rPr>
          <w:rFonts w:hint="eastAsia" w:ascii="宋体" w:hAnsi="宋体"/>
          <w:bCs/>
          <w:color w:val="auto"/>
          <w:highlight w:val="none"/>
          <w:lang w:val="en-US" w:eastAsia="zh-CN"/>
        </w:rPr>
        <w:t>9</w:t>
      </w:r>
      <w:r>
        <w:rPr>
          <w:rFonts w:hint="eastAsia" w:ascii="宋体" w:hAnsi="宋体"/>
          <w:bCs/>
          <w:color w:val="auto"/>
          <w:highlight w:val="none"/>
        </w:rPr>
        <w:t>时</w:t>
      </w:r>
      <w:r>
        <w:rPr>
          <w:rFonts w:hint="eastAsia" w:ascii="宋体" w:hAnsi="宋体"/>
          <w:bCs/>
          <w:color w:val="auto"/>
          <w:highlight w:val="none"/>
          <w:lang w:val="en-US" w:eastAsia="zh-CN"/>
        </w:rPr>
        <w:t>30</w:t>
      </w:r>
      <w:r>
        <w:rPr>
          <w:rFonts w:hint="eastAsia" w:ascii="宋体" w:hAnsi="宋体"/>
          <w:bCs/>
          <w:color w:val="auto"/>
          <w:highlight w:val="none"/>
        </w:rPr>
        <w:t>分（北京时间）</w:t>
      </w:r>
    </w:p>
    <w:p w14:paraId="45760E7E">
      <w:pPr>
        <w:shd w:val="clear" w:color="auto"/>
        <w:spacing w:line="380" w:lineRule="exact"/>
        <w:ind w:firstLine="420"/>
        <w:rPr>
          <w:rFonts w:ascii="宋体" w:hAnsi="宋体"/>
          <w:bCs/>
          <w:color w:val="auto"/>
          <w:highlight w:val="none"/>
          <w:u w:val="single"/>
        </w:rPr>
      </w:pPr>
      <w:r>
        <w:rPr>
          <w:rFonts w:hint="eastAsia" w:ascii="宋体" w:hAnsi="宋体"/>
          <w:color w:val="auto"/>
          <w:highlight w:val="none"/>
        </w:rPr>
        <w:t>地点：</w:t>
      </w:r>
      <w:r>
        <w:rPr>
          <w:rFonts w:hint="eastAsia" w:ascii="宋体" w:hAnsi="宋体"/>
          <w:color w:val="auto"/>
          <w:szCs w:val="21"/>
          <w:highlight w:val="none"/>
        </w:rPr>
        <w:t>广西国力招标有限公司评标室（广西南宁市白沙大道53号松宇时代13楼）。</w:t>
      </w:r>
    </w:p>
    <w:p w14:paraId="560C2BAC">
      <w:pPr>
        <w:shd w:val="clear" w:color="auto"/>
        <w:spacing w:line="380" w:lineRule="exact"/>
        <w:rPr>
          <w:rFonts w:ascii="宋体" w:hAnsi="宋体"/>
          <w:b/>
          <w:color w:val="auto"/>
          <w:highlight w:val="none"/>
        </w:rPr>
      </w:pPr>
      <w:bookmarkStart w:id="22" w:name="_Toc28359017"/>
      <w:bookmarkStart w:id="23" w:name="_Toc35393803"/>
      <w:bookmarkStart w:id="24" w:name="_Toc35393634"/>
      <w:bookmarkStart w:id="25" w:name="_Toc28359094"/>
      <w:r>
        <w:rPr>
          <w:rFonts w:hint="eastAsia" w:ascii="宋体" w:hAnsi="宋体"/>
          <w:b/>
          <w:color w:val="auto"/>
          <w:highlight w:val="none"/>
        </w:rPr>
        <w:t>六、公告期限</w:t>
      </w:r>
      <w:bookmarkEnd w:id="22"/>
      <w:bookmarkEnd w:id="23"/>
      <w:bookmarkEnd w:id="24"/>
      <w:bookmarkEnd w:id="25"/>
    </w:p>
    <w:p w14:paraId="2897D3A4">
      <w:pPr>
        <w:shd w:val="clear" w:color="auto"/>
        <w:spacing w:line="380" w:lineRule="exact"/>
        <w:ind w:firstLine="420"/>
        <w:rPr>
          <w:rFonts w:ascii="宋体" w:hAnsi="宋体"/>
          <w:color w:val="auto"/>
          <w:highlight w:val="none"/>
        </w:rPr>
      </w:pPr>
      <w:r>
        <w:rPr>
          <w:rFonts w:hint="eastAsia" w:ascii="宋体" w:hAnsi="宋体"/>
          <w:color w:val="auto"/>
          <w:highlight w:val="none"/>
        </w:rPr>
        <w:t>自本公告发布之日起</w:t>
      </w:r>
      <w:r>
        <w:rPr>
          <w:rFonts w:hint="eastAsia" w:ascii="宋体" w:hAnsi="宋体"/>
          <w:color w:val="auto"/>
          <w:highlight w:val="none"/>
          <w:lang w:val="en-US" w:eastAsia="zh-CN"/>
        </w:rPr>
        <w:t>5</w:t>
      </w:r>
      <w:r>
        <w:rPr>
          <w:rFonts w:hint="eastAsia" w:ascii="宋体" w:hAnsi="宋体"/>
          <w:color w:val="auto"/>
          <w:highlight w:val="none"/>
        </w:rPr>
        <w:t>个工作日。</w:t>
      </w:r>
    </w:p>
    <w:p w14:paraId="150DF865">
      <w:pPr>
        <w:shd w:val="clear" w:color="auto"/>
        <w:spacing w:line="380" w:lineRule="exact"/>
        <w:rPr>
          <w:rFonts w:ascii="宋体" w:hAnsi="宋体"/>
          <w:b/>
          <w:color w:val="auto"/>
          <w:highlight w:val="none"/>
        </w:rPr>
      </w:pPr>
      <w:bookmarkStart w:id="26" w:name="_Toc35393635"/>
      <w:bookmarkStart w:id="27" w:name="_Toc35393804"/>
      <w:r>
        <w:rPr>
          <w:rFonts w:hint="eastAsia" w:ascii="宋体" w:hAnsi="宋体"/>
          <w:b/>
          <w:color w:val="auto"/>
          <w:highlight w:val="none"/>
        </w:rPr>
        <w:t>七、其他补充事宜</w:t>
      </w:r>
      <w:bookmarkEnd w:id="26"/>
      <w:bookmarkEnd w:id="27"/>
    </w:p>
    <w:p w14:paraId="6882EFB8">
      <w:pPr>
        <w:shd w:val="clear" w:color="auto"/>
        <w:spacing w:line="380" w:lineRule="exact"/>
        <w:ind w:firstLine="422"/>
        <w:rPr>
          <w:rFonts w:hint="eastAsia" w:ascii="宋体" w:hAnsi="宋体"/>
          <w:color w:val="auto"/>
          <w:highlight w:val="none"/>
        </w:rPr>
      </w:pPr>
      <w:r>
        <w:rPr>
          <w:rFonts w:hint="eastAsia" w:ascii="宋体" w:hAnsi="宋体"/>
          <w:b/>
          <w:color w:val="auto"/>
          <w:highlight w:val="none"/>
        </w:rPr>
        <w:t>1.</w:t>
      </w:r>
      <w:r>
        <w:rPr>
          <w:rFonts w:hint="eastAsia" w:ascii="宋体" w:hAnsi="宋体"/>
          <w:b/>
          <w:color w:val="auto"/>
          <w:szCs w:val="21"/>
          <w:highlight w:val="none"/>
        </w:rPr>
        <w:t>磋商</w:t>
      </w:r>
      <w:r>
        <w:rPr>
          <w:rFonts w:hint="eastAsia" w:ascii="宋体" w:hAnsi="宋体"/>
          <w:b/>
          <w:bCs/>
          <w:color w:val="auto"/>
          <w:highlight w:val="none"/>
        </w:rPr>
        <w:t>保证金</w:t>
      </w:r>
      <w:r>
        <w:rPr>
          <w:rFonts w:hint="eastAsia" w:ascii="宋体" w:hAnsi="宋体"/>
          <w:b/>
          <w:color w:val="auto"/>
          <w:highlight w:val="none"/>
        </w:rPr>
        <w:t>（人民币）：</w:t>
      </w:r>
      <w:r>
        <w:rPr>
          <w:rFonts w:hint="eastAsia" w:ascii="宋体" w:hAnsi="宋体"/>
          <w:bCs/>
          <w:color w:val="auto"/>
          <w:highlight w:val="none"/>
          <w:u w:val="none"/>
          <w:lang w:val="en-US" w:eastAsia="zh-CN"/>
        </w:rPr>
        <w:t>28000</w:t>
      </w:r>
      <w:r>
        <w:rPr>
          <w:rFonts w:hint="eastAsia" w:ascii="宋体" w:hAnsi="宋体"/>
          <w:bCs/>
          <w:color w:val="auto"/>
          <w:highlight w:val="none"/>
          <w:u w:val="none"/>
        </w:rPr>
        <w:t>.00元</w:t>
      </w:r>
      <w:r>
        <w:rPr>
          <w:rFonts w:hint="eastAsia" w:ascii="宋体" w:hAnsi="宋体"/>
          <w:color w:val="auto"/>
          <w:highlight w:val="none"/>
        </w:rPr>
        <w:t>。</w:t>
      </w:r>
      <w:r>
        <w:rPr>
          <w:rFonts w:hint="eastAsia" w:ascii="宋体" w:hAnsi="宋体"/>
          <w:b/>
          <w:color w:val="auto"/>
          <w:highlight w:val="none"/>
        </w:rPr>
        <w:t>（必须足额交纳）</w:t>
      </w:r>
    </w:p>
    <w:p w14:paraId="574B05AD">
      <w:pPr>
        <w:shd w:val="clear" w:color="auto"/>
        <w:spacing w:line="380" w:lineRule="exact"/>
        <w:ind w:firstLine="420"/>
        <w:rPr>
          <w:rFonts w:hint="eastAsia" w:ascii="宋体" w:hAnsi="宋体"/>
          <w:color w:val="auto"/>
          <w:szCs w:val="21"/>
          <w:highlight w:val="none"/>
        </w:rPr>
      </w:pPr>
      <w:r>
        <w:rPr>
          <w:rFonts w:hint="eastAsia" w:ascii="宋体" w:hAnsi="宋体"/>
          <w:color w:val="auto"/>
          <w:szCs w:val="21"/>
          <w:highlight w:val="none"/>
        </w:rPr>
        <w:t>磋商保证金的交纳方式：</w:t>
      </w:r>
      <w:r>
        <w:rPr>
          <w:rFonts w:hint="eastAsia" w:cs="Arial"/>
          <w:color w:val="auto"/>
          <w:highlight w:val="none"/>
        </w:rPr>
        <w:t>支票、汇票、本票、网上银行或者银行、保险机构出具的保函等非现金形式。</w:t>
      </w:r>
      <w:r>
        <w:rPr>
          <w:rFonts w:hint="eastAsia" w:ascii="宋体" w:hAnsi="宋体"/>
          <w:color w:val="auto"/>
          <w:szCs w:val="21"/>
          <w:highlight w:val="none"/>
        </w:rPr>
        <w:t>采用银行转账方式的，在响应文件提交截止时间前交至采购代理机构指定账户并且到账；采用支票、汇票、本票或者保函等方式的，在响应文件提交截止时间前，</w:t>
      </w:r>
      <w:r>
        <w:rPr>
          <w:rFonts w:hint="eastAsia" w:ascii="宋体" w:hAnsi="宋体"/>
          <w:color w:val="auto"/>
          <w:szCs w:val="21"/>
        </w:rPr>
        <w:t>磋商供应商</w:t>
      </w:r>
      <w:r>
        <w:rPr>
          <w:rFonts w:hint="eastAsia" w:ascii="宋体" w:hAnsi="宋体"/>
          <w:color w:val="auto"/>
          <w:szCs w:val="21"/>
          <w:highlight w:val="none"/>
        </w:rPr>
        <w:t>应当向我公司财务室递交单独密封的支票、汇票、本票或者保函原件。</w:t>
      </w:r>
      <w:r>
        <w:rPr>
          <w:rFonts w:hint="eastAsia" w:ascii="宋体" w:hAnsi="宋体"/>
          <w:b/>
          <w:bCs/>
          <w:color w:val="auto"/>
          <w:szCs w:val="21"/>
          <w:highlight w:val="none"/>
        </w:rPr>
        <w:t>否则视为无效磋商保证金。</w:t>
      </w:r>
      <w:r>
        <w:rPr>
          <w:rFonts w:hint="eastAsia" w:ascii="宋体" w:hAnsi="宋体"/>
          <w:b/>
          <w:color w:val="auto"/>
          <w:szCs w:val="21"/>
          <w:highlight w:val="none"/>
        </w:rPr>
        <w:t>（财务室电话：</w:t>
      </w:r>
      <w:r>
        <w:rPr>
          <w:rFonts w:hint="eastAsia" w:ascii="宋体" w:hAnsi="宋体"/>
          <w:b/>
          <w:color w:val="auto"/>
          <w:szCs w:val="21"/>
        </w:rPr>
        <w:t>0771-4915100、4915200</w:t>
      </w:r>
      <w:r>
        <w:rPr>
          <w:rFonts w:hint="eastAsia" w:ascii="宋体" w:hAnsi="宋体"/>
          <w:b/>
          <w:color w:val="auto"/>
          <w:szCs w:val="21"/>
          <w:highlight w:val="none"/>
        </w:rPr>
        <w:t>）</w:t>
      </w:r>
    </w:p>
    <w:p w14:paraId="276737AC">
      <w:pPr>
        <w:shd w:val="clear" w:color="auto"/>
        <w:spacing w:line="380" w:lineRule="exact"/>
        <w:ind w:firstLine="420"/>
        <w:rPr>
          <w:rFonts w:hint="eastAsia" w:ascii="宋体" w:hAnsi="宋体"/>
          <w:color w:val="auto"/>
          <w:szCs w:val="21"/>
          <w:highlight w:val="none"/>
        </w:rPr>
      </w:pPr>
      <w:r>
        <w:rPr>
          <w:rFonts w:hint="eastAsia" w:ascii="宋体" w:hAnsi="宋体"/>
          <w:color w:val="auto"/>
          <w:szCs w:val="21"/>
          <w:highlight w:val="none"/>
        </w:rPr>
        <w:t>开户名称：广西国力招标有限公司</w:t>
      </w:r>
    </w:p>
    <w:p w14:paraId="2D1A03B7">
      <w:pPr>
        <w:shd w:val="clear" w:color="auto"/>
        <w:spacing w:line="380" w:lineRule="exact"/>
        <w:ind w:firstLine="420"/>
        <w:rPr>
          <w:rFonts w:hint="eastAsia" w:ascii="宋体" w:hAnsi="宋体"/>
          <w:color w:val="auto"/>
          <w:szCs w:val="21"/>
          <w:highlight w:val="none"/>
        </w:rPr>
      </w:pPr>
      <w:r>
        <w:rPr>
          <w:rFonts w:hint="eastAsia" w:ascii="宋体" w:hAnsi="宋体"/>
          <w:color w:val="auto"/>
          <w:szCs w:val="21"/>
          <w:highlight w:val="none"/>
        </w:rPr>
        <w:t>开户银行：广西北部湾银行金凯支行（网银支付可选广西北部湾银行江南支行）</w:t>
      </w:r>
    </w:p>
    <w:p w14:paraId="1F6E0E00">
      <w:pPr>
        <w:shd w:val="clear" w:color="auto"/>
        <w:spacing w:line="380" w:lineRule="exact"/>
        <w:ind w:firstLine="420"/>
        <w:rPr>
          <w:rFonts w:hint="eastAsia" w:ascii="宋体" w:hAnsi="宋体"/>
          <w:color w:val="auto"/>
          <w:szCs w:val="21"/>
          <w:highlight w:val="none"/>
        </w:rPr>
      </w:pPr>
      <w:r>
        <w:rPr>
          <w:rFonts w:hint="eastAsia" w:ascii="宋体" w:hAnsi="宋体"/>
          <w:color w:val="auto"/>
          <w:szCs w:val="21"/>
          <w:highlight w:val="none"/>
        </w:rPr>
        <w:t>银行账号：800109057455558</w:t>
      </w:r>
    </w:p>
    <w:p w14:paraId="61F3535A">
      <w:pPr>
        <w:shd w:val="clear" w:color="auto"/>
        <w:spacing w:line="380" w:lineRule="exact"/>
        <w:ind w:firstLine="420"/>
        <w:rPr>
          <w:rFonts w:hint="eastAsia" w:ascii="宋体" w:hAnsi="宋体"/>
          <w:color w:val="auto"/>
          <w:highlight w:val="none"/>
        </w:rPr>
      </w:pPr>
      <w:r>
        <w:rPr>
          <w:rFonts w:hint="eastAsia" w:ascii="宋体" w:hAnsi="宋体"/>
          <w:color w:val="auto"/>
          <w:szCs w:val="21"/>
          <w:highlight w:val="none"/>
        </w:rPr>
        <w:t>银行行号：313611002043</w:t>
      </w:r>
    </w:p>
    <w:p w14:paraId="6149803B">
      <w:pPr>
        <w:shd w:val="clear" w:color="auto"/>
        <w:spacing w:line="380" w:lineRule="exact"/>
        <w:ind w:firstLine="422"/>
        <w:rPr>
          <w:rFonts w:hint="eastAsia" w:ascii="宋体" w:hAnsi="宋体"/>
          <w:b/>
          <w:color w:val="auto"/>
          <w:highlight w:val="none"/>
        </w:rPr>
      </w:pPr>
      <w:r>
        <w:rPr>
          <w:rFonts w:hint="eastAsia" w:ascii="宋体" w:hAnsi="宋体"/>
          <w:b/>
          <w:color w:val="auto"/>
          <w:highlight w:val="none"/>
        </w:rPr>
        <w:t>2.本项目需要落实的政府采购政策</w:t>
      </w:r>
    </w:p>
    <w:p w14:paraId="317ECE9C">
      <w:pPr>
        <w:shd w:val="clear" w:color="auto"/>
        <w:spacing w:line="380" w:lineRule="exact"/>
        <w:ind w:firstLine="420"/>
        <w:rPr>
          <w:rFonts w:hint="eastAsia" w:ascii="宋体" w:hAnsi="宋体"/>
          <w:b/>
          <w:color w:val="auto"/>
          <w:highlight w:val="none"/>
        </w:rPr>
      </w:pPr>
      <w:r>
        <w:rPr>
          <w:rFonts w:hint="eastAsia" w:ascii="宋体" w:hAnsi="宋体"/>
          <w:color w:val="auto"/>
          <w:highlight w:val="none"/>
        </w:rPr>
        <w:t>政府采购促进中小企业发展；政府采购促进残疾人就业政策；政府采购支持监狱企业发展。</w:t>
      </w:r>
    </w:p>
    <w:p w14:paraId="6614C5ED">
      <w:pPr>
        <w:shd w:val="clear" w:color="auto"/>
        <w:spacing w:line="380" w:lineRule="exact"/>
        <w:ind w:firstLine="422"/>
        <w:rPr>
          <w:rFonts w:hint="eastAsia" w:ascii="宋体" w:hAnsi="宋体"/>
          <w:b/>
          <w:color w:val="auto"/>
          <w:highlight w:val="none"/>
        </w:rPr>
      </w:pPr>
      <w:r>
        <w:rPr>
          <w:rFonts w:hint="eastAsia" w:ascii="宋体" w:hAnsi="宋体"/>
          <w:b/>
          <w:color w:val="auto"/>
          <w:highlight w:val="none"/>
        </w:rPr>
        <w:t>3.网上公告媒体查询</w:t>
      </w:r>
    </w:p>
    <w:p w14:paraId="4A294D8A">
      <w:pPr>
        <w:shd w:val="clear" w:color="auto"/>
        <w:spacing w:line="380" w:lineRule="exact"/>
        <w:ind w:firstLine="420"/>
        <w:rPr>
          <w:rFonts w:hint="eastAsia" w:ascii="宋体" w:hAnsi="宋体"/>
          <w:color w:val="auto"/>
          <w:highlight w:val="none"/>
        </w:rPr>
      </w:pPr>
      <w:r>
        <w:rPr>
          <w:rFonts w:hint="eastAsia" w:ascii="宋体" w:hAnsi="宋体"/>
          <w:color w:val="auto"/>
          <w:szCs w:val="21"/>
          <w:highlight w:val="none"/>
        </w:rPr>
        <w:t>中国政府采购网（</w:t>
      </w:r>
      <w:r>
        <w:rPr>
          <w:rFonts w:ascii="宋体" w:hAnsi="宋体"/>
          <w:color w:val="auto"/>
          <w:szCs w:val="21"/>
          <w:highlight w:val="none"/>
        </w:rPr>
        <w:t>www.ccgp.gov.cn</w:t>
      </w:r>
      <w:r>
        <w:rPr>
          <w:rFonts w:hint="eastAsia" w:ascii="宋体" w:hAnsi="宋体"/>
          <w:color w:val="auto"/>
          <w:szCs w:val="21"/>
          <w:highlight w:val="none"/>
        </w:rPr>
        <w:t>）、广西壮族自治区政府采购网（</w:t>
      </w:r>
      <w:r>
        <w:rPr>
          <w:rFonts w:ascii="宋体" w:hAnsi="宋体"/>
          <w:color w:val="auto"/>
          <w:szCs w:val="21"/>
          <w:highlight w:val="none"/>
        </w:rPr>
        <w:t>zfcg.gxzf.gov.cn</w:t>
      </w:r>
      <w:r>
        <w:rPr>
          <w:rFonts w:hint="eastAsia" w:ascii="宋体" w:hAnsi="宋体"/>
          <w:color w:val="auto"/>
          <w:szCs w:val="21"/>
          <w:highlight w:val="none"/>
        </w:rPr>
        <w:t>）</w:t>
      </w:r>
      <w:r>
        <w:rPr>
          <w:rFonts w:hint="eastAsia" w:ascii="宋体" w:hAnsi="宋体"/>
          <w:color w:val="auto"/>
          <w:highlight w:val="none"/>
        </w:rPr>
        <w:t>。</w:t>
      </w:r>
    </w:p>
    <w:p w14:paraId="09294AD8">
      <w:pPr>
        <w:shd w:val="clear" w:color="auto"/>
        <w:spacing w:line="380" w:lineRule="exact"/>
        <w:ind w:firstLine="422"/>
        <w:rPr>
          <w:rFonts w:hint="eastAsia" w:ascii="宋体" w:hAnsi="Times New Roman" w:cs="Arial"/>
          <w:color w:val="auto"/>
          <w:szCs w:val="21"/>
          <w:highlight w:val="none"/>
        </w:rPr>
      </w:pPr>
      <w:r>
        <w:rPr>
          <w:rFonts w:hint="eastAsia" w:ascii="宋体" w:hAnsi="宋体"/>
          <w:b/>
          <w:color w:val="auto"/>
          <w:highlight w:val="none"/>
        </w:rPr>
        <w:t>4.</w:t>
      </w:r>
      <w:r>
        <w:rPr>
          <w:rFonts w:hint="eastAsia" w:ascii="宋体" w:hAnsi="Times New Roman" w:cs="Arial"/>
          <w:b/>
          <w:color w:val="auto"/>
          <w:szCs w:val="21"/>
          <w:highlight w:val="none"/>
        </w:rPr>
        <w:t>其他注意事项</w:t>
      </w:r>
    </w:p>
    <w:p w14:paraId="67197146">
      <w:pPr>
        <w:shd w:val="clear" w:color="auto"/>
        <w:spacing w:line="380" w:lineRule="exact"/>
        <w:ind w:firstLine="420"/>
        <w:rPr>
          <w:rFonts w:hint="eastAsia" w:ascii="宋体" w:hAnsi="Times New Roman" w:cs="Arial"/>
          <w:color w:val="auto"/>
          <w:szCs w:val="21"/>
          <w:highlight w:val="none"/>
        </w:rPr>
      </w:pPr>
      <w:r>
        <w:rPr>
          <w:rFonts w:hint="eastAsia" w:ascii="宋体" w:hAnsi="Times New Roman" w:cs="Arial"/>
          <w:color w:val="auto"/>
          <w:szCs w:val="21"/>
          <w:highlight w:val="none"/>
        </w:rPr>
        <w:t>（1）本项目实行电子投标，供应商应按照本项目招标文件和广西政府采购云平台的要求编制、加密并提交投标文件。供应商在使用系统参与投标过程中遇到涉及平台使用的任何问题，可致广西政府采购云平台技术支持热线咨询，联系方式：</w:t>
      </w:r>
      <w:r>
        <w:rPr>
          <w:rFonts w:hint="eastAsia" w:ascii="宋体" w:hAnsi="Times New Roman" w:cs="Arial"/>
          <w:color w:val="auto"/>
          <w:szCs w:val="21"/>
        </w:rPr>
        <w:t>95763</w:t>
      </w:r>
      <w:r>
        <w:rPr>
          <w:rFonts w:hint="eastAsia" w:ascii="宋体" w:hAnsi="Times New Roman" w:cs="Arial"/>
          <w:color w:val="auto"/>
          <w:szCs w:val="21"/>
          <w:highlight w:val="none"/>
        </w:rPr>
        <w:t xml:space="preserve">。 </w:t>
      </w:r>
    </w:p>
    <w:p w14:paraId="08B4F2EC">
      <w:pPr>
        <w:keepNext w:val="0"/>
        <w:keepLines w:val="0"/>
        <w:pageBreakBefore w:val="0"/>
        <w:widowControl w:val="0"/>
        <w:shd w:val="clear" w:color="auto"/>
        <w:kinsoku/>
        <w:wordWrap w:val="0"/>
        <w:overflowPunct/>
        <w:topLinePunct w:val="0"/>
        <w:autoSpaceDE/>
        <w:autoSpaceDN/>
        <w:bidi w:val="0"/>
        <w:adjustRightInd/>
        <w:snapToGrid/>
        <w:spacing w:line="380" w:lineRule="exact"/>
        <w:ind w:firstLine="420"/>
        <w:textAlignment w:val="auto"/>
        <w:rPr>
          <w:rFonts w:hint="eastAsia" w:ascii="宋体" w:hAnsi="Times New Roman" w:cs="Arial"/>
          <w:color w:val="auto"/>
          <w:szCs w:val="21"/>
          <w:highlight w:val="none"/>
        </w:rPr>
      </w:pPr>
      <w:r>
        <w:rPr>
          <w:rFonts w:hint="eastAsia" w:ascii="宋体" w:hAnsi="Times New Roman" w:cs="Arial"/>
          <w:color w:val="auto"/>
          <w:szCs w:val="21"/>
          <w:highlight w:val="none"/>
        </w:rPr>
        <w:t xml:space="preserve">（2）供应商应及时熟悉掌握电子标系统操作指南（见政采云电子卖场首页右上角—服务中心—帮助中心—项目采购）：https://helpcenter.zcygov.cn/document/#/document/dashboard?siteCode=gx。 </w:t>
      </w:r>
    </w:p>
    <w:p w14:paraId="44B4302F">
      <w:pPr>
        <w:shd w:val="clear" w:color="auto"/>
        <w:spacing w:line="380" w:lineRule="exact"/>
        <w:ind w:firstLine="420"/>
        <w:rPr>
          <w:rFonts w:hint="eastAsia" w:ascii="宋体" w:hAnsi="Times New Roman" w:cs="Arial"/>
          <w:color w:val="auto"/>
          <w:szCs w:val="21"/>
          <w:highlight w:val="none"/>
        </w:rPr>
      </w:pPr>
      <w:r>
        <w:rPr>
          <w:rFonts w:hint="eastAsia" w:ascii="宋体" w:hAnsi="Times New Roman" w:cs="Arial"/>
          <w:color w:val="auto"/>
          <w:szCs w:val="21"/>
          <w:highlight w:val="none"/>
        </w:rPr>
        <w:t xml:space="preserve">（3）供应商应及时完成CA申领和绑定（见广西壮族自治区政府采购网—办事服务—下载专区-政采云CA证书办理操作指南） </w:t>
      </w:r>
    </w:p>
    <w:p w14:paraId="12368E83">
      <w:pPr>
        <w:shd w:val="clear" w:color="auto"/>
        <w:spacing w:line="380" w:lineRule="exact"/>
        <w:ind w:firstLine="420"/>
        <w:rPr>
          <w:rFonts w:hint="eastAsia" w:ascii="宋体" w:hAnsi="Times New Roman" w:cs="Arial"/>
          <w:color w:val="auto"/>
          <w:szCs w:val="21"/>
          <w:highlight w:val="none"/>
        </w:rPr>
      </w:pPr>
      <w:r>
        <w:rPr>
          <w:rFonts w:hint="eastAsia" w:ascii="宋体" w:hAnsi="Times New Roman" w:cs="Arial"/>
          <w:color w:val="auto"/>
          <w:szCs w:val="21"/>
          <w:highlight w:val="none"/>
        </w:rPr>
        <w:t>（4）供应商通过政采云投标客户端软件制作投标文件，政采云投标客户端软件请供应商自行前往下载并安装（见广西壮族自治区政府采购网—办事服务—下载专区</w:t>
      </w:r>
      <w:r>
        <w:rPr>
          <w:rFonts w:hint="eastAsia" w:ascii="宋体" w:hAnsi="Times New Roman" w:cs="Arial"/>
          <w:color w:val="auto"/>
          <w:szCs w:val="21"/>
          <w:highlight w:val="none"/>
          <w:lang w:eastAsia="zh-CN"/>
        </w:rPr>
        <w:t>－</w:t>
      </w:r>
      <w:r>
        <w:rPr>
          <w:rFonts w:hint="eastAsia" w:ascii="宋体" w:hAnsi="Times New Roman" w:cs="Arial"/>
          <w:color w:val="auto"/>
          <w:szCs w:val="21"/>
          <w:highlight w:val="none"/>
        </w:rPr>
        <w:t>广西壮族自治区全流程电子招投标项目管理系统</w:t>
      </w:r>
      <w:r>
        <w:rPr>
          <w:rFonts w:hint="eastAsia" w:ascii="宋体" w:hAnsi="Times New Roman" w:cs="Arial"/>
          <w:color w:val="auto"/>
          <w:szCs w:val="21"/>
          <w:highlight w:val="none"/>
          <w:lang w:eastAsia="zh-CN"/>
        </w:rPr>
        <w:t>－</w:t>
      </w:r>
      <w:r>
        <w:rPr>
          <w:rFonts w:hint="eastAsia" w:ascii="宋体" w:hAnsi="Times New Roman" w:cs="Arial"/>
          <w:color w:val="auto"/>
          <w:szCs w:val="21"/>
          <w:highlight w:val="none"/>
        </w:rPr>
        <w:t xml:space="preserve">供应商客户端）。 </w:t>
      </w:r>
    </w:p>
    <w:p w14:paraId="61711667">
      <w:pPr>
        <w:shd w:val="clear" w:color="auto"/>
        <w:spacing w:line="380" w:lineRule="exact"/>
        <w:ind w:firstLine="420"/>
        <w:rPr>
          <w:rFonts w:hint="eastAsia" w:ascii="宋体" w:hAnsi="Times New Roman" w:cs="Arial"/>
          <w:color w:val="auto"/>
          <w:szCs w:val="21"/>
          <w:highlight w:val="none"/>
        </w:rPr>
      </w:pPr>
      <w:r>
        <w:rPr>
          <w:rFonts w:hint="eastAsia" w:ascii="宋体" w:hAnsi="Times New Roman" w:cs="Arial"/>
          <w:color w:val="auto"/>
          <w:szCs w:val="21"/>
          <w:highlight w:val="none"/>
        </w:rPr>
        <w:t xml:space="preserve">（5）因未注册入库、未办理CA数字证书、CA证书故障、操作不当等原因造成无法投标或投标失败等后果由供应商自行承担。 </w:t>
      </w:r>
    </w:p>
    <w:p w14:paraId="60FAE956">
      <w:pPr>
        <w:shd w:val="clear" w:color="auto"/>
        <w:spacing w:line="380" w:lineRule="exact"/>
        <w:ind w:firstLine="420"/>
        <w:rPr>
          <w:rFonts w:ascii="宋体" w:hAnsi="宋体"/>
          <w:color w:val="auto"/>
          <w:highlight w:val="none"/>
        </w:rPr>
      </w:pPr>
      <w:r>
        <w:rPr>
          <w:rFonts w:hint="eastAsia" w:ascii="宋体" w:hAnsi="Times New Roman" w:cs="Arial"/>
          <w:color w:val="auto"/>
          <w:szCs w:val="21"/>
          <w:highlight w:val="none"/>
        </w:rPr>
        <w:t>（6）投标文件网上提交截止后，广西政府采购云平台（电子标系统）自动提取所有投标文件，各供应商须在开标开始后30分钟内对上传广西政府采购云平台的投标文件进行解密，所有供应商在规定的解密时限内解密完成或解密时限结束后，本公司开启投标文件；供应商超过解密时限的，系统默认自动放弃。</w:t>
      </w:r>
    </w:p>
    <w:p w14:paraId="205F9F0A">
      <w:pPr>
        <w:shd w:val="clear" w:color="auto"/>
        <w:spacing w:line="380" w:lineRule="exact"/>
        <w:rPr>
          <w:rFonts w:ascii="宋体" w:hAnsi="宋体"/>
          <w:b/>
          <w:color w:val="auto"/>
          <w:highlight w:val="none"/>
        </w:rPr>
      </w:pPr>
      <w:bookmarkStart w:id="28" w:name="_Toc28359018"/>
      <w:bookmarkStart w:id="29" w:name="_Toc28359095"/>
      <w:bookmarkStart w:id="30" w:name="_Toc35393805"/>
      <w:bookmarkStart w:id="31" w:name="_Toc35393636"/>
      <w:r>
        <w:rPr>
          <w:rFonts w:hint="eastAsia" w:ascii="宋体" w:hAnsi="宋体"/>
          <w:b/>
          <w:color w:val="auto"/>
          <w:highlight w:val="none"/>
        </w:rPr>
        <w:t>八、凡对本次采购提出询问，请按</w:t>
      </w:r>
      <w:r>
        <w:rPr>
          <w:rFonts w:ascii="宋体" w:hAnsi="宋体"/>
          <w:b/>
          <w:color w:val="auto"/>
          <w:highlight w:val="none"/>
        </w:rPr>
        <w:t>以下方式</w:t>
      </w:r>
      <w:r>
        <w:rPr>
          <w:rFonts w:hint="eastAsia" w:ascii="宋体" w:hAnsi="宋体"/>
          <w:b/>
          <w:color w:val="auto"/>
          <w:highlight w:val="none"/>
        </w:rPr>
        <w:t>联系。</w:t>
      </w:r>
      <w:bookmarkEnd w:id="28"/>
      <w:bookmarkEnd w:id="29"/>
      <w:bookmarkEnd w:id="30"/>
      <w:bookmarkEnd w:id="31"/>
    </w:p>
    <w:p w14:paraId="319E82DC">
      <w:pPr>
        <w:shd w:val="clear" w:color="auto"/>
        <w:spacing w:line="380" w:lineRule="exact"/>
        <w:ind w:firstLine="420"/>
        <w:rPr>
          <w:rFonts w:ascii="宋体" w:hAnsi="宋体"/>
          <w:color w:val="auto"/>
          <w:highlight w:val="none"/>
        </w:rPr>
      </w:pPr>
      <w:r>
        <w:rPr>
          <w:rFonts w:hint="eastAsia" w:ascii="宋体" w:hAnsi="宋体"/>
          <w:color w:val="auto"/>
          <w:highlight w:val="none"/>
        </w:rPr>
        <w:t>1.采购人信息</w:t>
      </w:r>
    </w:p>
    <w:p w14:paraId="65798846">
      <w:pPr>
        <w:shd w:val="clear" w:color="auto"/>
        <w:spacing w:line="380" w:lineRule="exact"/>
        <w:ind w:firstLine="420"/>
        <w:rPr>
          <w:rFonts w:hint="eastAsia" w:ascii="宋体" w:hAnsi="宋体" w:eastAsia="宋体"/>
          <w:color w:val="auto"/>
          <w:highlight w:val="none"/>
          <w:lang w:eastAsia="zh-CN"/>
        </w:rPr>
      </w:pPr>
      <w:r>
        <w:rPr>
          <w:rFonts w:hint="eastAsia" w:ascii="宋体" w:hAnsi="宋体"/>
          <w:color w:val="auto"/>
          <w:highlight w:val="none"/>
        </w:rPr>
        <w:t>名    称：</w:t>
      </w:r>
      <w:r>
        <w:rPr>
          <w:rFonts w:hint="eastAsia" w:ascii="宋体" w:hAnsi="宋体"/>
          <w:color w:val="auto"/>
          <w:highlight w:val="none"/>
          <w:lang w:eastAsia="zh-CN"/>
        </w:rPr>
        <w:t>广西机电职业技术学院</w:t>
      </w:r>
    </w:p>
    <w:p w14:paraId="746B3E38">
      <w:pPr>
        <w:shd w:val="clear" w:color="auto"/>
        <w:spacing w:line="380" w:lineRule="exact"/>
        <w:ind w:firstLine="420"/>
        <w:rPr>
          <w:rFonts w:hint="eastAsia" w:ascii="宋体" w:hAnsi="宋体" w:eastAsia="宋体"/>
          <w:color w:val="auto"/>
          <w:highlight w:val="none"/>
          <w:lang w:eastAsia="zh-CN"/>
        </w:rPr>
      </w:pPr>
      <w:r>
        <w:rPr>
          <w:rFonts w:hint="eastAsia" w:ascii="宋体" w:hAnsi="宋体"/>
          <w:color w:val="auto"/>
          <w:highlight w:val="none"/>
        </w:rPr>
        <w:t>地    址：南宁市大学东路101号</w:t>
      </w:r>
    </w:p>
    <w:p w14:paraId="1A843C56">
      <w:pPr>
        <w:shd w:val="clear" w:color="auto"/>
        <w:spacing w:line="380" w:lineRule="exact"/>
        <w:ind w:firstLine="420"/>
        <w:rPr>
          <w:rFonts w:hint="eastAsia" w:ascii="宋体" w:hAnsi="宋体" w:eastAsia="宋体"/>
          <w:color w:val="auto"/>
          <w:highlight w:val="none"/>
          <w:lang w:val="en-US" w:eastAsia="zh-CN"/>
        </w:rPr>
      </w:pPr>
      <w:bookmarkStart w:id="32" w:name="_Toc28359086"/>
      <w:bookmarkStart w:id="33" w:name="_Toc28359009"/>
      <w:r>
        <w:rPr>
          <w:rFonts w:hint="eastAsia" w:ascii="宋体" w:hAnsi="宋体"/>
          <w:color w:val="auto"/>
          <w:highlight w:val="none"/>
        </w:rPr>
        <w:t>项目联系人：梁老师</w:t>
      </w:r>
    </w:p>
    <w:p w14:paraId="41F15A31">
      <w:pPr>
        <w:shd w:val="clear" w:color="auto"/>
        <w:spacing w:line="380" w:lineRule="exact"/>
        <w:ind w:firstLine="420"/>
        <w:rPr>
          <w:rFonts w:hint="default" w:ascii="宋体" w:hAnsi="宋体" w:eastAsia="宋体"/>
          <w:color w:val="auto"/>
          <w:highlight w:val="none"/>
          <w:lang w:val="en-US" w:eastAsia="zh-CN"/>
        </w:rPr>
      </w:pPr>
      <w:r>
        <w:rPr>
          <w:rFonts w:hint="eastAsia" w:ascii="宋体" w:hAnsi="宋体"/>
          <w:color w:val="auto"/>
          <w:highlight w:val="none"/>
        </w:rPr>
        <w:t>项目联系方式：0771-3276119</w:t>
      </w:r>
    </w:p>
    <w:p w14:paraId="09E29B1E">
      <w:pPr>
        <w:shd w:val="clear" w:color="auto"/>
        <w:spacing w:line="380" w:lineRule="exact"/>
        <w:ind w:firstLine="420"/>
        <w:rPr>
          <w:rFonts w:ascii="宋体" w:hAnsi="宋体"/>
          <w:color w:val="auto"/>
          <w:highlight w:val="none"/>
        </w:rPr>
      </w:pPr>
    </w:p>
    <w:p w14:paraId="6F4A0C48">
      <w:pPr>
        <w:shd w:val="clear" w:color="auto"/>
        <w:spacing w:line="380" w:lineRule="exact"/>
        <w:ind w:firstLine="420"/>
        <w:rPr>
          <w:rFonts w:ascii="宋体" w:hAnsi="宋体"/>
          <w:color w:val="auto"/>
          <w:highlight w:val="none"/>
        </w:rPr>
      </w:pPr>
      <w:r>
        <w:rPr>
          <w:rFonts w:hint="eastAsia" w:ascii="宋体" w:hAnsi="宋体"/>
          <w:color w:val="auto"/>
          <w:highlight w:val="none"/>
        </w:rPr>
        <w:t>2.采购代理机构信息</w:t>
      </w:r>
      <w:bookmarkEnd w:id="32"/>
      <w:bookmarkEnd w:id="33"/>
    </w:p>
    <w:p w14:paraId="0A12E70F">
      <w:pPr>
        <w:shd w:val="clear" w:color="auto"/>
        <w:spacing w:line="380" w:lineRule="exact"/>
        <w:ind w:firstLine="420"/>
        <w:rPr>
          <w:rFonts w:ascii="宋体" w:hAnsi="宋体"/>
          <w:color w:val="auto"/>
          <w:highlight w:val="none"/>
        </w:rPr>
      </w:pPr>
      <w:r>
        <w:rPr>
          <w:rFonts w:hint="eastAsia" w:ascii="宋体" w:hAnsi="宋体"/>
          <w:color w:val="auto"/>
          <w:highlight w:val="none"/>
        </w:rPr>
        <w:t>名    称：广西国力招标有限公司</w:t>
      </w:r>
    </w:p>
    <w:p w14:paraId="479255EC">
      <w:pPr>
        <w:shd w:val="clear" w:color="auto"/>
        <w:spacing w:line="380" w:lineRule="exact"/>
        <w:ind w:firstLine="420"/>
        <w:rPr>
          <w:rFonts w:ascii="宋体" w:hAnsi="宋体"/>
          <w:color w:val="auto"/>
          <w:highlight w:val="none"/>
        </w:rPr>
      </w:pPr>
      <w:r>
        <w:rPr>
          <w:rFonts w:hint="eastAsia" w:ascii="宋体" w:hAnsi="宋体"/>
          <w:color w:val="auto"/>
          <w:highlight w:val="none"/>
        </w:rPr>
        <w:t>地    址：南宁市白沙大道53号松宇时代13楼</w:t>
      </w:r>
    </w:p>
    <w:p w14:paraId="475AEC78">
      <w:pPr>
        <w:shd w:val="clear" w:color="auto"/>
        <w:spacing w:line="380" w:lineRule="exact"/>
        <w:ind w:firstLine="420"/>
        <w:rPr>
          <w:rFonts w:hint="default" w:ascii="宋体" w:hAnsi="宋体" w:eastAsia="宋体"/>
          <w:color w:val="auto"/>
          <w:highlight w:val="none"/>
          <w:lang w:val="en-US" w:eastAsia="zh-CN"/>
        </w:rPr>
      </w:pPr>
      <w:r>
        <w:rPr>
          <w:rFonts w:hint="eastAsia" w:ascii="宋体" w:hAnsi="宋体"/>
          <w:color w:val="auto"/>
          <w:highlight w:val="none"/>
        </w:rPr>
        <w:t>项目联系人：</w:t>
      </w:r>
      <w:r>
        <w:rPr>
          <w:rFonts w:hint="eastAsia" w:ascii="宋体" w:hAnsi="宋体"/>
          <w:color w:val="auto"/>
          <w:highlight w:val="none"/>
          <w:lang w:eastAsia="zh-CN"/>
        </w:rPr>
        <w:t>何云飞、</w:t>
      </w:r>
      <w:r>
        <w:rPr>
          <w:rFonts w:hint="eastAsia" w:ascii="宋体" w:hAnsi="宋体"/>
          <w:color w:val="auto"/>
          <w:highlight w:val="none"/>
          <w:lang w:val="en-US" w:eastAsia="zh-CN"/>
        </w:rPr>
        <w:t>李宁芳</w:t>
      </w:r>
    </w:p>
    <w:p w14:paraId="72798F33">
      <w:pPr>
        <w:shd w:val="clear" w:color="auto"/>
        <w:spacing w:line="380" w:lineRule="exact"/>
        <w:ind w:firstLine="420"/>
        <w:rPr>
          <w:rFonts w:ascii="宋体" w:hAnsi="宋体"/>
          <w:color w:val="auto"/>
          <w:highlight w:val="none"/>
          <w:u w:val="single"/>
        </w:rPr>
      </w:pPr>
      <w:r>
        <w:rPr>
          <w:rFonts w:hint="eastAsia" w:ascii="宋体" w:hAnsi="宋体"/>
          <w:color w:val="auto"/>
          <w:highlight w:val="none"/>
        </w:rPr>
        <w:t>项目联系方式：0771-4915558</w:t>
      </w:r>
    </w:p>
    <w:p w14:paraId="3C1DA78D">
      <w:pPr>
        <w:shd w:val="clear" w:color="auto"/>
        <w:spacing w:line="380" w:lineRule="exact"/>
        <w:ind w:firstLine="420"/>
        <w:rPr>
          <w:rFonts w:hint="eastAsia" w:ascii="宋体" w:hAnsi="宋体"/>
          <w:color w:val="auto"/>
          <w:highlight w:val="none"/>
          <w:u w:val="single"/>
        </w:rPr>
      </w:pPr>
    </w:p>
    <w:p w14:paraId="23F5C26B">
      <w:pPr>
        <w:shd w:val="clear" w:color="auto"/>
        <w:spacing w:line="380" w:lineRule="exact"/>
        <w:ind w:firstLine="420"/>
        <w:rPr>
          <w:rFonts w:hint="eastAsia" w:ascii="宋体" w:hAnsi="宋体"/>
          <w:color w:val="auto"/>
          <w:highlight w:val="none"/>
          <w:u w:val="single"/>
        </w:rPr>
      </w:pPr>
    </w:p>
    <w:p w14:paraId="5463BB87">
      <w:pPr>
        <w:shd w:val="clear" w:color="auto"/>
        <w:spacing w:line="350" w:lineRule="exact"/>
        <w:ind w:left="238"/>
        <w:jc w:val="right"/>
        <w:rPr>
          <w:rFonts w:hint="eastAsia" w:ascii="宋体" w:hAnsi="宋体"/>
          <w:color w:val="auto"/>
          <w:highlight w:val="none"/>
        </w:rPr>
      </w:pPr>
      <w:r>
        <w:rPr>
          <w:rFonts w:hint="eastAsia" w:ascii="宋体" w:hAnsi="宋体"/>
          <w:color w:val="auto"/>
          <w:highlight w:val="none"/>
        </w:rPr>
        <w:t>广西国力招标有限公司</w:t>
      </w:r>
    </w:p>
    <w:p w14:paraId="0427D16F">
      <w:pPr>
        <w:shd w:val="clear" w:color="auto"/>
        <w:spacing w:line="380" w:lineRule="exact"/>
        <w:ind w:firstLine="420"/>
        <w:jc w:val="right"/>
        <w:rPr>
          <w:rFonts w:ascii="宋体" w:hAnsi="宋体"/>
          <w:color w:val="auto"/>
          <w:highlight w:val="none"/>
          <w:u w:val="single"/>
        </w:rPr>
      </w:pPr>
      <w:r>
        <w:rPr>
          <w:rFonts w:hint="eastAsia" w:ascii="宋体" w:hAnsi="宋体" w:cs="Arial"/>
          <w:color w:val="auto"/>
          <w:highlight w:val="none"/>
          <w:lang w:eastAsia="zh-CN"/>
        </w:rPr>
        <w:t>2026</w:t>
      </w:r>
      <w:r>
        <w:rPr>
          <w:rFonts w:hint="eastAsia" w:ascii="宋体" w:hAnsi="宋体" w:cs="Arial"/>
          <w:color w:val="auto"/>
          <w:highlight w:val="none"/>
        </w:rPr>
        <w:t>年</w:t>
      </w:r>
      <w:r>
        <w:rPr>
          <w:rFonts w:hint="eastAsia" w:ascii="宋体" w:hAnsi="宋体" w:cs="Arial"/>
          <w:color w:val="auto"/>
          <w:highlight w:val="none"/>
          <w:lang w:val="en-US" w:eastAsia="zh-CN"/>
        </w:rPr>
        <w:t>9</w:t>
      </w:r>
      <w:r>
        <w:rPr>
          <w:rFonts w:hint="eastAsia" w:ascii="宋体" w:hAnsi="宋体" w:cs="Arial"/>
          <w:color w:val="auto"/>
          <w:highlight w:val="none"/>
        </w:rPr>
        <w:t>月</w:t>
      </w:r>
      <w:r>
        <w:rPr>
          <w:rFonts w:hint="eastAsia" w:ascii="宋体" w:hAnsi="宋体" w:cs="Arial"/>
          <w:color w:val="auto"/>
          <w:highlight w:val="none"/>
          <w:lang w:val="en-US" w:eastAsia="zh-CN"/>
        </w:rPr>
        <w:t>19</w:t>
      </w:r>
      <w:r>
        <w:rPr>
          <w:rFonts w:hint="eastAsia" w:ascii="宋体" w:hAnsi="宋体" w:cs="Arial"/>
          <w:color w:val="auto"/>
          <w:highlight w:val="none"/>
        </w:rPr>
        <w:t>日</w:t>
      </w:r>
    </w:p>
    <w:p w14:paraId="3C8BE5FB">
      <w:pPr>
        <w:shd w:val="clear" w:color="auto"/>
        <w:spacing w:line="400" w:lineRule="exact"/>
        <w:jc w:val="center"/>
        <w:rPr>
          <w:rFonts w:hint="eastAsia" w:ascii="宋体" w:hAnsi="宋体"/>
          <w:b/>
          <w:color w:val="auto"/>
          <w:sz w:val="32"/>
          <w:szCs w:val="32"/>
          <w:highlight w:val="none"/>
        </w:rPr>
      </w:pPr>
      <w:r>
        <w:rPr>
          <w:rFonts w:ascii="宋体" w:hAnsi="宋体"/>
          <w:b/>
          <w:color w:val="auto"/>
          <w:sz w:val="32"/>
          <w:szCs w:val="32"/>
          <w:highlight w:val="none"/>
        </w:rPr>
        <w:br w:type="page" w:clear="all"/>
      </w:r>
    </w:p>
    <w:p w14:paraId="57BAE763">
      <w:pPr>
        <w:shd w:val="clear" w:color="auto"/>
        <w:spacing w:line="400" w:lineRule="exact"/>
        <w:jc w:val="center"/>
        <w:rPr>
          <w:rFonts w:hint="eastAsia" w:ascii="宋体" w:hAnsi="宋体"/>
          <w:b/>
          <w:color w:val="auto"/>
          <w:sz w:val="32"/>
          <w:szCs w:val="32"/>
          <w:highlight w:val="none"/>
        </w:rPr>
      </w:pPr>
    </w:p>
    <w:p w14:paraId="0AA2F916">
      <w:pPr>
        <w:shd w:val="clear" w:color="auto"/>
        <w:spacing w:line="400" w:lineRule="exact"/>
        <w:jc w:val="center"/>
        <w:rPr>
          <w:rFonts w:hint="eastAsia" w:ascii="宋体" w:hAnsi="宋体"/>
          <w:b/>
          <w:color w:val="auto"/>
          <w:sz w:val="32"/>
          <w:szCs w:val="32"/>
          <w:highlight w:val="none"/>
        </w:rPr>
      </w:pPr>
    </w:p>
    <w:p w14:paraId="0748A5EA">
      <w:pPr>
        <w:shd w:val="clear" w:color="auto"/>
        <w:spacing w:line="400" w:lineRule="exact"/>
        <w:jc w:val="center"/>
        <w:rPr>
          <w:rFonts w:hint="eastAsia" w:ascii="宋体" w:hAnsi="宋体"/>
          <w:b/>
          <w:color w:val="auto"/>
          <w:sz w:val="32"/>
          <w:szCs w:val="32"/>
          <w:highlight w:val="none"/>
        </w:rPr>
      </w:pPr>
    </w:p>
    <w:p w14:paraId="61040C40">
      <w:pPr>
        <w:shd w:val="clear" w:color="auto"/>
        <w:spacing w:line="400" w:lineRule="exact"/>
        <w:jc w:val="center"/>
        <w:rPr>
          <w:rFonts w:hint="eastAsia" w:ascii="宋体" w:hAnsi="宋体"/>
          <w:b/>
          <w:color w:val="auto"/>
          <w:sz w:val="32"/>
          <w:szCs w:val="32"/>
          <w:highlight w:val="none"/>
        </w:rPr>
      </w:pPr>
    </w:p>
    <w:p w14:paraId="63B1C96E">
      <w:pPr>
        <w:shd w:val="clear" w:color="auto"/>
        <w:spacing w:line="400" w:lineRule="exact"/>
        <w:jc w:val="center"/>
        <w:rPr>
          <w:rFonts w:hint="eastAsia" w:ascii="宋体" w:hAnsi="宋体"/>
          <w:b/>
          <w:color w:val="auto"/>
          <w:sz w:val="32"/>
          <w:szCs w:val="32"/>
          <w:highlight w:val="none"/>
        </w:rPr>
      </w:pPr>
    </w:p>
    <w:p w14:paraId="5E71D049">
      <w:pPr>
        <w:shd w:val="clear" w:color="auto"/>
        <w:spacing w:line="400" w:lineRule="exact"/>
        <w:jc w:val="center"/>
        <w:rPr>
          <w:rFonts w:hint="eastAsia" w:ascii="宋体" w:hAnsi="宋体"/>
          <w:b/>
          <w:color w:val="auto"/>
          <w:sz w:val="32"/>
          <w:szCs w:val="32"/>
          <w:highlight w:val="none"/>
        </w:rPr>
      </w:pPr>
    </w:p>
    <w:p w14:paraId="415429F7">
      <w:pPr>
        <w:shd w:val="clear" w:color="auto"/>
        <w:spacing w:line="400" w:lineRule="exact"/>
        <w:jc w:val="center"/>
        <w:rPr>
          <w:rFonts w:hint="eastAsia" w:ascii="宋体" w:hAnsi="宋体"/>
          <w:b/>
          <w:color w:val="auto"/>
          <w:sz w:val="32"/>
          <w:szCs w:val="32"/>
          <w:highlight w:val="none"/>
        </w:rPr>
      </w:pPr>
    </w:p>
    <w:p w14:paraId="411F0D03">
      <w:pPr>
        <w:shd w:val="clear" w:color="auto"/>
        <w:spacing w:line="400" w:lineRule="exact"/>
        <w:jc w:val="center"/>
        <w:rPr>
          <w:rFonts w:hint="eastAsia" w:ascii="宋体" w:hAnsi="宋体"/>
          <w:b/>
          <w:color w:val="auto"/>
          <w:sz w:val="32"/>
          <w:szCs w:val="32"/>
          <w:highlight w:val="none"/>
        </w:rPr>
      </w:pPr>
    </w:p>
    <w:p w14:paraId="12991EF5">
      <w:pPr>
        <w:shd w:val="clear" w:color="auto"/>
        <w:spacing w:line="400" w:lineRule="exact"/>
        <w:jc w:val="center"/>
        <w:rPr>
          <w:rFonts w:hint="eastAsia" w:ascii="宋体" w:hAnsi="宋体"/>
          <w:b/>
          <w:color w:val="auto"/>
          <w:sz w:val="32"/>
          <w:szCs w:val="32"/>
          <w:highlight w:val="none"/>
        </w:rPr>
      </w:pPr>
    </w:p>
    <w:p w14:paraId="15062025">
      <w:pPr>
        <w:shd w:val="clear" w:color="auto"/>
        <w:spacing w:line="400" w:lineRule="exact"/>
        <w:jc w:val="center"/>
        <w:rPr>
          <w:rFonts w:hint="eastAsia" w:ascii="宋体" w:hAnsi="宋体"/>
          <w:b/>
          <w:color w:val="auto"/>
          <w:sz w:val="32"/>
          <w:szCs w:val="32"/>
          <w:highlight w:val="none"/>
        </w:rPr>
      </w:pPr>
    </w:p>
    <w:p w14:paraId="2831F1C3">
      <w:pPr>
        <w:shd w:val="clear" w:color="auto"/>
        <w:spacing w:line="400" w:lineRule="exact"/>
        <w:jc w:val="center"/>
        <w:rPr>
          <w:rFonts w:hint="eastAsia" w:ascii="宋体" w:hAnsi="宋体"/>
          <w:b/>
          <w:color w:val="auto"/>
          <w:sz w:val="32"/>
          <w:szCs w:val="32"/>
          <w:highlight w:val="none"/>
        </w:rPr>
      </w:pPr>
    </w:p>
    <w:p w14:paraId="6018609D">
      <w:pPr>
        <w:shd w:val="clear" w:color="auto"/>
        <w:spacing w:line="400" w:lineRule="exact"/>
        <w:jc w:val="center"/>
        <w:rPr>
          <w:rFonts w:hint="eastAsia" w:ascii="宋体" w:hAnsi="宋体"/>
          <w:b/>
          <w:color w:val="auto"/>
          <w:sz w:val="32"/>
          <w:szCs w:val="32"/>
          <w:highlight w:val="none"/>
        </w:rPr>
      </w:pPr>
    </w:p>
    <w:p w14:paraId="75856164">
      <w:pPr>
        <w:shd w:val="clear" w:color="auto"/>
        <w:spacing w:line="400" w:lineRule="exact"/>
        <w:rPr>
          <w:rFonts w:hint="eastAsia" w:ascii="宋体" w:hAnsi="宋体"/>
          <w:b/>
          <w:color w:val="auto"/>
          <w:sz w:val="32"/>
          <w:szCs w:val="32"/>
          <w:highlight w:val="none"/>
        </w:rPr>
      </w:pPr>
    </w:p>
    <w:p w14:paraId="38275D56">
      <w:pPr>
        <w:pStyle w:val="45"/>
        <w:shd w:val="clear" w:color="auto"/>
        <w:rPr>
          <w:rFonts w:hint="eastAsia"/>
          <w:color w:val="auto"/>
          <w:sz w:val="44"/>
          <w:szCs w:val="44"/>
          <w:highlight w:val="none"/>
        </w:rPr>
      </w:pPr>
      <w:bookmarkStart w:id="34" w:name="_Toc476258663"/>
      <w:bookmarkStart w:id="35" w:name="_Toc5387"/>
      <w:r>
        <w:rPr>
          <w:rFonts w:hint="eastAsia"/>
          <w:color w:val="auto"/>
          <w:sz w:val="44"/>
          <w:szCs w:val="44"/>
          <w:highlight w:val="none"/>
        </w:rPr>
        <w:t>第二章  磋商供应商须知</w:t>
      </w:r>
      <w:bookmarkEnd w:id="34"/>
      <w:bookmarkEnd w:id="35"/>
    </w:p>
    <w:p w14:paraId="45C2E54A">
      <w:pPr>
        <w:shd w:val="clear" w:color="auto"/>
        <w:spacing w:line="720" w:lineRule="auto"/>
        <w:jc w:val="center"/>
        <w:rPr>
          <w:rFonts w:hint="eastAsia" w:ascii="宋体" w:hAnsi="宋体"/>
          <w:b/>
          <w:color w:val="auto"/>
          <w:sz w:val="32"/>
          <w:szCs w:val="32"/>
          <w:highlight w:val="none"/>
        </w:rPr>
      </w:pPr>
      <w:r>
        <w:rPr>
          <w:rFonts w:ascii="宋体" w:hAnsi="宋体"/>
          <w:b/>
          <w:color w:val="auto"/>
          <w:sz w:val="32"/>
          <w:szCs w:val="32"/>
          <w:highlight w:val="none"/>
        </w:rPr>
        <w:br w:type="page" w:clear="all"/>
      </w:r>
      <w:r>
        <w:rPr>
          <w:rFonts w:hint="eastAsia" w:ascii="宋体" w:hAnsi="宋体"/>
          <w:b/>
          <w:color w:val="auto"/>
          <w:sz w:val="32"/>
          <w:szCs w:val="32"/>
          <w:highlight w:val="none"/>
        </w:rPr>
        <w:t>磋商供应商须知前附表</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8510"/>
      </w:tblGrid>
      <w:tr w14:paraId="09B2C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26" w:type="dxa"/>
            <w:noWrap w:val="0"/>
            <w:vAlign w:val="top"/>
          </w:tcPr>
          <w:p w14:paraId="48AC1C11">
            <w:pPr>
              <w:pStyle w:val="263"/>
              <w:shd w:val="clear" w:color="auto"/>
              <w:spacing w:line="400" w:lineRule="exact"/>
              <w:jc w:val="center"/>
              <w:rPr>
                <w:rFonts w:hint="eastAsia"/>
                <w:color w:val="auto"/>
                <w:highlight w:val="none"/>
              </w:rPr>
            </w:pPr>
            <w:r>
              <w:rPr>
                <w:rFonts w:hint="eastAsia"/>
                <w:color w:val="auto"/>
                <w:highlight w:val="none"/>
              </w:rPr>
              <w:t>序号</w:t>
            </w:r>
          </w:p>
        </w:tc>
        <w:tc>
          <w:tcPr>
            <w:tcW w:w="8510" w:type="dxa"/>
            <w:noWrap w:val="0"/>
            <w:vAlign w:val="top"/>
          </w:tcPr>
          <w:p w14:paraId="3AC50801">
            <w:pPr>
              <w:pStyle w:val="263"/>
              <w:shd w:val="clear" w:color="auto"/>
              <w:spacing w:line="400" w:lineRule="exact"/>
              <w:jc w:val="center"/>
              <w:rPr>
                <w:rFonts w:hint="eastAsia"/>
                <w:color w:val="auto"/>
                <w:highlight w:val="none"/>
              </w:rPr>
            </w:pPr>
            <w:r>
              <w:rPr>
                <w:rFonts w:hint="eastAsia"/>
                <w:color w:val="auto"/>
                <w:highlight w:val="none"/>
              </w:rPr>
              <w:t>内    容</w:t>
            </w:r>
          </w:p>
        </w:tc>
      </w:tr>
      <w:tr w14:paraId="515B2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726" w:type="dxa"/>
            <w:noWrap w:val="0"/>
            <w:vAlign w:val="center"/>
          </w:tcPr>
          <w:p w14:paraId="40DF5CA3">
            <w:pPr>
              <w:pStyle w:val="263"/>
              <w:numPr>
                <w:ilvl w:val="0"/>
                <w:numId w:val="3"/>
              </w:numPr>
              <w:shd w:val="clear" w:color="auto"/>
              <w:spacing w:line="390" w:lineRule="exact"/>
              <w:jc w:val="center"/>
              <w:rPr>
                <w:rFonts w:hint="eastAsia"/>
                <w:color w:val="auto"/>
                <w:highlight w:val="none"/>
              </w:rPr>
            </w:pPr>
          </w:p>
        </w:tc>
        <w:tc>
          <w:tcPr>
            <w:tcW w:w="8510" w:type="dxa"/>
            <w:noWrap w:val="0"/>
            <w:vAlign w:val="center"/>
          </w:tcPr>
          <w:p w14:paraId="59061AE1">
            <w:pPr>
              <w:pStyle w:val="263"/>
              <w:shd w:val="clear" w:color="auto"/>
              <w:spacing w:line="390" w:lineRule="exact"/>
              <w:rPr>
                <w:rFonts w:hint="eastAsia" w:hAnsi="宋体" w:eastAsia="宋体"/>
                <w:bCs/>
                <w:color w:val="auto"/>
                <w:szCs w:val="21"/>
                <w:highlight w:val="none"/>
                <w:lang w:eastAsia="zh-CN"/>
              </w:rPr>
            </w:pPr>
            <w:r>
              <w:rPr>
                <w:rFonts w:hint="eastAsia"/>
                <w:color w:val="auto"/>
                <w:highlight w:val="none"/>
              </w:rPr>
              <w:t>采购项目名称：</w:t>
            </w:r>
            <w:r>
              <w:rPr>
                <w:rFonts w:hint="eastAsia"/>
                <w:color w:val="auto"/>
                <w:highlight w:val="none"/>
                <w:lang w:eastAsia="zh-CN"/>
              </w:rPr>
              <w:t>101青年创新港施工项目</w:t>
            </w:r>
          </w:p>
          <w:p w14:paraId="573F79F3">
            <w:pPr>
              <w:pStyle w:val="263"/>
              <w:shd w:val="clear" w:color="auto"/>
              <w:spacing w:line="390" w:lineRule="exact"/>
              <w:rPr>
                <w:rFonts w:hint="eastAsia" w:hAnsi="宋体" w:eastAsia="宋体"/>
                <w:bCs/>
                <w:color w:val="auto"/>
                <w:szCs w:val="21"/>
                <w:highlight w:val="none"/>
                <w:lang w:eastAsia="zh-CN"/>
              </w:rPr>
            </w:pPr>
            <w:r>
              <w:rPr>
                <w:rFonts w:hint="eastAsia"/>
                <w:color w:val="auto"/>
                <w:highlight w:val="none"/>
              </w:rPr>
              <w:t>采购项目编号：</w:t>
            </w:r>
            <w:r>
              <w:rPr>
                <w:rFonts w:hint="eastAsia" w:hAnsi="宋体"/>
                <w:bCs/>
                <w:color w:val="auto"/>
                <w:szCs w:val="21"/>
                <w:highlight w:val="none"/>
                <w:lang w:eastAsia="zh-CN"/>
              </w:rPr>
              <w:t>GXZC2026-C2-003142-GLZB</w:t>
            </w:r>
          </w:p>
        </w:tc>
      </w:tr>
      <w:tr w14:paraId="4C1E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noWrap w:val="0"/>
            <w:vAlign w:val="center"/>
          </w:tcPr>
          <w:p w14:paraId="2BEAB23B">
            <w:pPr>
              <w:pStyle w:val="263"/>
              <w:numPr>
                <w:ilvl w:val="0"/>
                <w:numId w:val="3"/>
              </w:numPr>
              <w:shd w:val="clear" w:color="auto"/>
              <w:spacing w:line="390" w:lineRule="exact"/>
              <w:jc w:val="center"/>
              <w:rPr>
                <w:rFonts w:hint="eastAsia"/>
                <w:color w:val="auto"/>
                <w:highlight w:val="none"/>
              </w:rPr>
            </w:pPr>
          </w:p>
        </w:tc>
        <w:tc>
          <w:tcPr>
            <w:tcW w:w="8510" w:type="dxa"/>
            <w:noWrap w:val="0"/>
            <w:vAlign w:val="center"/>
          </w:tcPr>
          <w:p w14:paraId="64623FD6">
            <w:pPr>
              <w:pStyle w:val="263"/>
              <w:shd w:val="clear" w:color="auto"/>
              <w:spacing w:line="390" w:lineRule="exact"/>
              <w:ind w:left="-36" w:firstLine="36"/>
              <w:rPr>
                <w:rFonts w:hint="eastAsia"/>
                <w:color w:val="auto"/>
                <w:highlight w:val="none"/>
              </w:rPr>
            </w:pPr>
            <w:r>
              <w:rPr>
                <w:rFonts w:hint="eastAsia"/>
                <w:color w:val="auto"/>
                <w:highlight w:val="none"/>
              </w:rPr>
              <w:t>供应商资格：按第一章磋商公告第二条规定。</w:t>
            </w:r>
          </w:p>
        </w:tc>
      </w:tr>
      <w:tr w14:paraId="2B96A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noWrap w:val="0"/>
            <w:vAlign w:val="center"/>
          </w:tcPr>
          <w:p w14:paraId="7151E2FE">
            <w:pPr>
              <w:pStyle w:val="263"/>
              <w:numPr>
                <w:ilvl w:val="0"/>
                <w:numId w:val="3"/>
              </w:numPr>
              <w:shd w:val="clear" w:color="auto"/>
              <w:spacing w:line="390" w:lineRule="exact"/>
              <w:jc w:val="center"/>
              <w:rPr>
                <w:rFonts w:hint="eastAsia"/>
                <w:color w:val="auto"/>
                <w:highlight w:val="none"/>
              </w:rPr>
            </w:pPr>
          </w:p>
        </w:tc>
        <w:tc>
          <w:tcPr>
            <w:tcW w:w="8510" w:type="dxa"/>
            <w:noWrap w:val="0"/>
            <w:vAlign w:val="center"/>
          </w:tcPr>
          <w:p w14:paraId="25879610">
            <w:pPr>
              <w:shd w:val="clear" w:color="auto"/>
              <w:spacing w:line="390" w:lineRule="exact"/>
              <w:rPr>
                <w:rFonts w:hint="eastAsia" w:ascii="宋体" w:hAnsi="宋体"/>
                <w:color w:val="auto"/>
                <w:szCs w:val="21"/>
                <w:highlight w:val="none"/>
              </w:rPr>
            </w:pPr>
            <w:r>
              <w:rPr>
                <w:rFonts w:hint="eastAsia"/>
                <w:color w:val="auto"/>
                <w:highlight w:val="none"/>
              </w:rPr>
              <w:t>磋商报价：供应商必须就所竞项目的全部内容作完整唯一报价，漏项报价的或有选择的或有条件的报价，其响应文件将视为无效。</w:t>
            </w:r>
          </w:p>
        </w:tc>
      </w:tr>
      <w:tr w14:paraId="0DCD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noWrap w:val="0"/>
            <w:vAlign w:val="center"/>
          </w:tcPr>
          <w:p w14:paraId="11D79D3A">
            <w:pPr>
              <w:pStyle w:val="263"/>
              <w:numPr>
                <w:ilvl w:val="0"/>
                <w:numId w:val="3"/>
              </w:numPr>
              <w:shd w:val="clear" w:color="auto"/>
              <w:spacing w:line="390" w:lineRule="exact"/>
              <w:jc w:val="center"/>
              <w:rPr>
                <w:rFonts w:hint="eastAsia"/>
                <w:color w:val="auto"/>
                <w:highlight w:val="none"/>
              </w:rPr>
            </w:pPr>
          </w:p>
        </w:tc>
        <w:tc>
          <w:tcPr>
            <w:tcW w:w="8510" w:type="dxa"/>
            <w:noWrap w:val="0"/>
            <w:vAlign w:val="center"/>
          </w:tcPr>
          <w:p w14:paraId="760FFC0B">
            <w:pPr>
              <w:shd w:val="clear" w:color="auto"/>
              <w:spacing w:line="390" w:lineRule="exact"/>
              <w:rPr>
                <w:rFonts w:hint="eastAsia" w:ascii="宋体" w:hAnsi="宋体"/>
                <w:color w:val="auto"/>
                <w:highlight w:val="none"/>
              </w:rPr>
            </w:pPr>
            <w:r>
              <w:rPr>
                <w:rFonts w:hint="eastAsia" w:ascii="宋体" w:hAnsi="宋体"/>
                <w:color w:val="auto"/>
                <w:highlight w:val="none"/>
              </w:rPr>
              <w:t>成交服务费：本项目的成交服务费按本须知16.1款规定的标准采用差额定率累进计费方式计取，由成交供应商在发布成交结果公告后，一次性向采购代理机构支付。</w:t>
            </w:r>
          </w:p>
        </w:tc>
      </w:tr>
      <w:tr w14:paraId="4FD2B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26" w:type="dxa"/>
            <w:noWrap w:val="0"/>
            <w:vAlign w:val="center"/>
          </w:tcPr>
          <w:p w14:paraId="447FC8CB">
            <w:pPr>
              <w:pStyle w:val="263"/>
              <w:numPr>
                <w:ilvl w:val="0"/>
                <w:numId w:val="3"/>
              </w:numPr>
              <w:shd w:val="clear" w:color="auto"/>
              <w:spacing w:line="390" w:lineRule="exact"/>
              <w:jc w:val="center"/>
              <w:rPr>
                <w:rFonts w:hint="eastAsia"/>
                <w:color w:val="auto"/>
                <w:highlight w:val="none"/>
              </w:rPr>
            </w:pPr>
          </w:p>
        </w:tc>
        <w:tc>
          <w:tcPr>
            <w:tcW w:w="8510" w:type="dxa"/>
            <w:noWrap w:val="0"/>
            <w:vAlign w:val="center"/>
          </w:tcPr>
          <w:p w14:paraId="2D00FA13">
            <w:pPr>
              <w:pStyle w:val="25"/>
              <w:shd w:val="clear" w:color="auto"/>
              <w:rPr>
                <w:color w:val="auto"/>
                <w:highlight w:val="none"/>
              </w:rPr>
            </w:pPr>
            <w:r>
              <w:rPr>
                <w:rFonts w:hint="eastAsia"/>
                <w:color w:val="auto"/>
                <w:highlight w:val="none"/>
              </w:rPr>
              <w:t>响应文件的上传和提交：本项目通过“广西政府采购云平台（https://www.gcy.zfcg.gxzf.gov.cn）”</w:t>
            </w:r>
            <w:r>
              <w:rPr>
                <w:color w:val="auto"/>
                <w:highlight w:val="none"/>
              </w:rPr>
              <w:t>实行在线</w:t>
            </w:r>
            <w:r>
              <w:rPr>
                <w:rFonts w:hint="eastAsia"/>
                <w:color w:val="auto"/>
                <w:highlight w:val="none"/>
              </w:rPr>
              <w:t>竞标</w:t>
            </w:r>
            <w:r>
              <w:rPr>
                <w:color w:val="auto"/>
                <w:highlight w:val="none"/>
              </w:rPr>
              <w:t>响应（电子标），</w:t>
            </w:r>
            <w:r>
              <w:rPr>
                <w:rFonts w:hint="eastAsia"/>
                <w:color w:val="auto"/>
                <w:highlight w:val="none"/>
              </w:rPr>
              <w:t>竞标</w:t>
            </w:r>
            <w:r>
              <w:rPr>
                <w:color w:val="auto"/>
                <w:highlight w:val="none"/>
              </w:rPr>
              <w:t>供应商应当在</w:t>
            </w:r>
            <w:r>
              <w:rPr>
                <w:rFonts w:hint="eastAsia"/>
                <w:b/>
                <w:color w:val="auto"/>
                <w:highlight w:val="none"/>
              </w:rPr>
              <w:t>响应文件提交截止时间</w:t>
            </w:r>
            <w:r>
              <w:rPr>
                <w:color w:val="auto"/>
                <w:highlight w:val="none"/>
              </w:rPr>
              <w:t>前，将生成的</w:t>
            </w:r>
            <w:r>
              <w:rPr>
                <w:rFonts w:hint="eastAsia"/>
                <w:color w:val="auto"/>
                <w:highlight w:val="none"/>
              </w:rPr>
              <w:t>“</w:t>
            </w:r>
            <w:r>
              <w:rPr>
                <w:color w:val="auto"/>
                <w:highlight w:val="none"/>
              </w:rPr>
              <w:t>电子加密</w:t>
            </w:r>
            <w:r>
              <w:rPr>
                <w:rFonts w:hint="eastAsia"/>
                <w:color w:val="auto"/>
                <w:highlight w:val="none"/>
              </w:rPr>
              <w:t>响应</w:t>
            </w:r>
            <w:r>
              <w:rPr>
                <w:color w:val="auto"/>
                <w:highlight w:val="none"/>
              </w:rPr>
              <w:t>文件</w:t>
            </w:r>
            <w:r>
              <w:rPr>
                <w:rFonts w:hint="eastAsia"/>
                <w:color w:val="auto"/>
                <w:highlight w:val="none"/>
              </w:rPr>
              <w:t>”</w:t>
            </w:r>
            <w:r>
              <w:rPr>
                <w:color w:val="auto"/>
                <w:highlight w:val="none"/>
              </w:rPr>
              <w:t>上传</w:t>
            </w:r>
            <w:r>
              <w:rPr>
                <w:rFonts w:hint="eastAsia"/>
                <w:color w:val="auto"/>
                <w:highlight w:val="none"/>
              </w:rPr>
              <w:t>提交</w:t>
            </w:r>
            <w:r>
              <w:rPr>
                <w:color w:val="auto"/>
                <w:highlight w:val="none"/>
              </w:rPr>
              <w:t>至</w:t>
            </w:r>
            <w:r>
              <w:rPr>
                <w:rFonts w:hint="eastAsia"/>
                <w:color w:val="auto"/>
                <w:highlight w:val="none"/>
              </w:rPr>
              <w:t>“广西政府采购云平台”</w:t>
            </w:r>
            <w:r>
              <w:rPr>
                <w:color w:val="auto"/>
                <w:highlight w:val="none"/>
              </w:rPr>
              <w:t>。</w:t>
            </w:r>
          </w:p>
          <w:p w14:paraId="30A139FB">
            <w:pPr>
              <w:pStyle w:val="25"/>
              <w:shd w:val="clear" w:color="auto"/>
              <w:rPr>
                <w:color w:val="auto"/>
                <w:highlight w:val="none"/>
              </w:rPr>
            </w:pPr>
            <w:r>
              <w:rPr>
                <w:rFonts w:hint="eastAsia"/>
                <w:color w:val="auto"/>
                <w:highlight w:val="none"/>
              </w:rPr>
              <w:t>“电子加密响应文件”的上传、提交：</w:t>
            </w:r>
          </w:p>
          <w:p w14:paraId="00AD47F9">
            <w:pPr>
              <w:pStyle w:val="25"/>
              <w:shd w:val="clear" w:color="auto"/>
              <w:rPr>
                <w:color w:val="auto"/>
                <w:highlight w:val="none"/>
              </w:rPr>
            </w:pPr>
            <w:r>
              <w:rPr>
                <w:rFonts w:hint="eastAsia"/>
                <w:color w:val="auto"/>
                <w:highlight w:val="none"/>
              </w:rPr>
              <w:t>a.磋商供应商应在</w:t>
            </w:r>
            <w:r>
              <w:rPr>
                <w:rFonts w:hint="eastAsia"/>
                <w:b/>
                <w:color w:val="auto"/>
                <w:highlight w:val="none"/>
              </w:rPr>
              <w:t>响应文件提交截止时间</w:t>
            </w:r>
            <w:r>
              <w:rPr>
                <w:rFonts w:hint="eastAsia"/>
                <w:color w:val="auto"/>
                <w:highlight w:val="none"/>
              </w:rPr>
              <w:t>前将“电子加密响应文件”成功上传提交至“广西政府采购云平台”，否则磋商无效。</w:t>
            </w:r>
          </w:p>
          <w:p w14:paraId="063EB3E7">
            <w:pPr>
              <w:pStyle w:val="25"/>
              <w:shd w:val="clear" w:color="auto"/>
              <w:spacing w:line="390" w:lineRule="exact"/>
              <w:rPr>
                <w:rFonts w:hint="eastAsia" w:hAnsi="宋体"/>
                <w:color w:val="auto"/>
                <w:highlight w:val="none"/>
              </w:rPr>
            </w:pPr>
            <w:r>
              <w:rPr>
                <w:rFonts w:hint="eastAsia"/>
                <w:color w:val="auto"/>
                <w:highlight w:val="none"/>
              </w:rPr>
              <w:t>b.“电子加密磋商响应文件”成功上传提交后，供应商可自行打印响应文件接收回执。</w:t>
            </w:r>
          </w:p>
        </w:tc>
      </w:tr>
      <w:tr w14:paraId="000C4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26" w:type="dxa"/>
            <w:noWrap w:val="0"/>
            <w:vAlign w:val="center"/>
          </w:tcPr>
          <w:p w14:paraId="0541EF79">
            <w:pPr>
              <w:pStyle w:val="263"/>
              <w:numPr>
                <w:ilvl w:val="0"/>
                <w:numId w:val="3"/>
              </w:numPr>
              <w:shd w:val="clear" w:color="auto"/>
              <w:spacing w:line="390" w:lineRule="exact"/>
              <w:jc w:val="center"/>
              <w:rPr>
                <w:rFonts w:hint="eastAsia"/>
                <w:color w:val="auto"/>
                <w:highlight w:val="none"/>
              </w:rPr>
            </w:pPr>
          </w:p>
        </w:tc>
        <w:tc>
          <w:tcPr>
            <w:tcW w:w="8510" w:type="dxa"/>
            <w:noWrap w:val="0"/>
            <w:vAlign w:val="center"/>
          </w:tcPr>
          <w:p w14:paraId="3229CF16">
            <w:pPr>
              <w:pStyle w:val="263"/>
              <w:shd w:val="clear" w:color="auto"/>
              <w:spacing w:line="390" w:lineRule="exact"/>
              <w:rPr>
                <w:rFonts w:hint="eastAsia"/>
                <w:bCs/>
                <w:color w:val="auto"/>
                <w:highlight w:val="none"/>
              </w:rPr>
            </w:pPr>
            <w:r>
              <w:rPr>
                <w:rFonts w:hint="eastAsia"/>
                <w:color w:val="auto"/>
                <w:highlight w:val="none"/>
              </w:rPr>
              <w:t>响应文件递交截止时间：</w:t>
            </w:r>
            <w:r>
              <w:rPr>
                <w:rFonts w:hint="eastAsia" w:hAnsi="宋体"/>
                <w:color w:val="auto"/>
                <w:szCs w:val="21"/>
                <w:highlight w:val="none"/>
                <w:u w:val="single"/>
              </w:rPr>
              <w:t>详见磋商公告</w:t>
            </w:r>
          </w:p>
          <w:p w14:paraId="2249A913">
            <w:pPr>
              <w:pStyle w:val="25"/>
              <w:shd w:val="clear" w:color="auto"/>
              <w:spacing w:line="390" w:lineRule="exact"/>
              <w:rPr>
                <w:rFonts w:hint="eastAsia"/>
                <w:color w:val="auto"/>
                <w:highlight w:val="none"/>
              </w:rPr>
            </w:pPr>
            <w:r>
              <w:rPr>
                <w:rFonts w:hint="eastAsia"/>
                <w:color w:val="auto"/>
                <w:highlight w:val="none"/>
              </w:rPr>
              <w:t>响应文件递交地址：</w:t>
            </w:r>
            <w:r>
              <w:rPr>
                <w:rFonts w:hint="eastAsia" w:hAnsi="宋体"/>
                <w:color w:val="auto"/>
                <w:highlight w:val="none"/>
                <w:u w:val="single"/>
              </w:rPr>
              <w:t>详见磋商公告</w:t>
            </w:r>
          </w:p>
        </w:tc>
      </w:tr>
      <w:tr w14:paraId="344F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26" w:type="dxa"/>
            <w:noWrap w:val="0"/>
            <w:vAlign w:val="center"/>
          </w:tcPr>
          <w:p w14:paraId="6A4999F3">
            <w:pPr>
              <w:pStyle w:val="263"/>
              <w:numPr>
                <w:ilvl w:val="0"/>
                <w:numId w:val="3"/>
              </w:numPr>
              <w:shd w:val="clear" w:color="auto"/>
              <w:spacing w:line="390" w:lineRule="exact"/>
              <w:jc w:val="center"/>
              <w:rPr>
                <w:rFonts w:hint="eastAsia"/>
                <w:color w:val="auto"/>
                <w:highlight w:val="none"/>
              </w:rPr>
            </w:pPr>
          </w:p>
        </w:tc>
        <w:tc>
          <w:tcPr>
            <w:tcW w:w="8510" w:type="dxa"/>
            <w:noWrap w:val="0"/>
            <w:vAlign w:val="center"/>
          </w:tcPr>
          <w:p w14:paraId="68820399">
            <w:pPr>
              <w:pStyle w:val="263"/>
              <w:shd w:val="clear" w:color="auto"/>
              <w:spacing w:line="390" w:lineRule="exact"/>
              <w:rPr>
                <w:rFonts w:hint="eastAsia"/>
                <w:color w:val="auto"/>
                <w:highlight w:val="none"/>
              </w:rPr>
            </w:pPr>
            <w:r>
              <w:rPr>
                <w:rFonts w:hint="eastAsia"/>
                <w:color w:val="auto"/>
                <w:highlight w:val="none"/>
              </w:rPr>
              <w:t>竞争性磋商响应文件有效期：响应文件递交截止日期后六十日。</w:t>
            </w:r>
          </w:p>
        </w:tc>
      </w:tr>
      <w:tr w14:paraId="464DE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2DCDB3F9">
            <w:pPr>
              <w:pStyle w:val="263"/>
              <w:numPr>
                <w:ilvl w:val="0"/>
                <w:numId w:val="3"/>
              </w:numPr>
              <w:shd w:val="clear" w:color="auto"/>
              <w:spacing w:line="390" w:lineRule="exact"/>
              <w:jc w:val="center"/>
              <w:rPr>
                <w:rFonts w:hint="eastAsia"/>
                <w:color w:val="auto"/>
                <w:highlight w:val="none"/>
              </w:rPr>
            </w:pPr>
          </w:p>
        </w:tc>
        <w:tc>
          <w:tcPr>
            <w:tcW w:w="8510" w:type="dxa"/>
            <w:noWrap w:val="0"/>
            <w:vAlign w:val="center"/>
          </w:tcPr>
          <w:p w14:paraId="228D9301">
            <w:pPr>
              <w:pStyle w:val="25"/>
              <w:shd w:val="clear" w:color="auto"/>
              <w:spacing w:line="390" w:lineRule="exact"/>
              <w:rPr>
                <w:rFonts w:hint="eastAsia"/>
                <w:color w:val="auto"/>
                <w:highlight w:val="none"/>
              </w:rPr>
            </w:pPr>
            <w:r>
              <w:rPr>
                <w:rFonts w:hint="eastAsia"/>
                <w:color w:val="auto"/>
                <w:highlight w:val="none"/>
              </w:rPr>
              <w:t>磋商保证金（人民币）：</w:t>
            </w:r>
            <w:r>
              <w:rPr>
                <w:rFonts w:hint="eastAsia" w:hAnsi="宋体"/>
                <w:color w:val="auto"/>
                <w:highlight w:val="none"/>
                <w:u w:val="single"/>
              </w:rPr>
              <w:t>详见磋商公告</w:t>
            </w:r>
          </w:p>
        </w:tc>
      </w:tr>
      <w:tr w14:paraId="3A2CA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777B1D31">
            <w:pPr>
              <w:pStyle w:val="263"/>
              <w:numPr>
                <w:ilvl w:val="0"/>
                <w:numId w:val="3"/>
              </w:numPr>
              <w:shd w:val="clear" w:color="auto"/>
              <w:spacing w:line="390" w:lineRule="exact"/>
              <w:jc w:val="center"/>
              <w:rPr>
                <w:rFonts w:hint="eastAsia"/>
                <w:color w:val="auto"/>
                <w:highlight w:val="none"/>
              </w:rPr>
            </w:pPr>
          </w:p>
        </w:tc>
        <w:tc>
          <w:tcPr>
            <w:tcW w:w="8510" w:type="dxa"/>
            <w:noWrap w:val="0"/>
            <w:vAlign w:val="center"/>
          </w:tcPr>
          <w:p w14:paraId="66B44901">
            <w:pPr>
              <w:pStyle w:val="263"/>
              <w:shd w:val="clear" w:color="auto"/>
              <w:spacing w:line="390" w:lineRule="exact"/>
              <w:rPr>
                <w:rFonts w:hint="eastAsia"/>
                <w:bCs/>
                <w:color w:val="auto"/>
                <w:highlight w:val="none"/>
              </w:rPr>
            </w:pPr>
            <w:r>
              <w:rPr>
                <w:rFonts w:hint="eastAsia"/>
                <w:bCs/>
                <w:color w:val="auto"/>
                <w:highlight w:val="none"/>
              </w:rPr>
              <w:t>磋商时间：</w:t>
            </w:r>
            <w:r>
              <w:rPr>
                <w:rFonts w:hint="eastAsia" w:hAnsi="宋体"/>
                <w:color w:val="auto"/>
                <w:szCs w:val="21"/>
                <w:highlight w:val="none"/>
                <w:u w:val="single"/>
              </w:rPr>
              <w:t>详见磋商公告</w:t>
            </w:r>
          </w:p>
          <w:p w14:paraId="48E780F7">
            <w:pPr>
              <w:pStyle w:val="263"/>
              <w:shd w:val="clear" w:color="auto"/>
              <w:spacing w:line="390" w:lineRule="exact"/>
              <w:rPr>
                <w:rFonts w:hint="eastAsia"/>
                <w:color w:val="auto"/>
                <w:highlight w:val="none"/>
              </w:rPr>
            </w:pPr>
            <w:r>
              <w:rPr>
                <w:rFonts w:hint="eastAsia"/>
                <w:bCs/>
                <w:color w:val="auto"/>
                <w:highlight w:val="none"/>
              </w:rPr>
              <w:t>磋商地点：</w:t>
            </w:r>
            <w:r>
              <w:rPr>
                <w:rFonts w:hint="eastAsia"/>
                <w:color w:val="auto"/>
                <w:highlight w:val="none"/>
                <w:u w:val="single"/>
              </w:rPr>
              <w:t>详见磋商公告</w:t>
            </w:r>
          </w:p>
        </w:tc>
      </w:tr>
      <w:tr w14:paraId="0981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6127A14D">
            <w:pPr>
              <w:pStyle w:val="263"/>
              <w:numPr>
                <w:ilvl w:val="0"/>
                <w:numId w:val="3"/>
              </w:numPr>
              <w:shd w:val="clear" w:color="auto"/>
              <w:spacing w:line="390" w:lineRule="exact"/>
              <w:jc w:val="center"/>
              <w:rPr>
                <w:rFonts w:hint="eastAsia"/>
                <w:color w:val="auto"/>
                <w:highlight w:val="none"/>
              </w:rPr>
            </w:pPr>
          </w:p>
        </w:tc>
        <w:tc>
          <w:tcPr>
            <w:tcW w:w="8510" w:type="dxa"/>
            <w:noWrap w:val="0"/>
            <w:vAlign w:val="center"/>
          </w:tcPr>
          <w:p w14:paraId="038A17DF">
            <w:pPr>
              <w:pStyle w:val="263"/>
              <w:shd w:val="clear" w:color="auto"/>
              <w:spacing w:line="390" w:lineRule="exact"/>
              <w:rPr>
                <w:rFonts w:hint="eastAsia"/>
                <w:color w:val="auto"/>
                <w:highlight w:val="none"/>
              </w:rPr>
            </w:pPr>
            <w:r>
              <w:rPr>
                <w:rFonts w:hint="eastAsia"/>
                <w:color w:val="auto"/>
                <w:highlight w:val="none"/>
              </w:rPr>
              <w:t>评标方法：综合评分法（详见第</w:t>
            </w:r>
            <w:r>
              <w:rPr>
                <w:rFonts w:hint="eastAsia"/>
                <w:color w:val="auto"/>
                <w:highlight w:val="none"/>
                <w:lang w:val="en-US" w:eastAsia="zh-CN"/>
              </w:rPr>
              <w:t>九</w:t>
            </w:r>
            <w:r>
              <w:rPr>
                <w:rFonts w:hint="eastAsia"/>
                <w:color w:val="auto"/>
                <w:highlight w:val="none"/>
              </w:rPr>
              <w:t>章）</w:t>
            </w:r>
          </w:p>
        </w:tc>
      </w:tr>
      <w:tr w14:paraId="41C65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5B2A79FA">
            <w:pPr>
              <w:pStyle w:val="263"/>
              <w:numPr>
                <w:ilvl w:val="0"/>
                <w:numId w:val="3"/>
              </w:numPr>
              <w:shd w:val="clear" w:color="auto"/>
              <w:spacing w:line="390" w:lineRule="exact"/>
              <w:jc w:val="center"/>
              <w:rPr>
                <w:rFonts w:hint="eastAsia"/>
                <w:color w:val="auto"/>
                <w:highlight w:val="none"/>
              </w:rPr>
            </w:pPr>
          </w:p>
        </w:tc>
        <w:tc>
          <w:tcPr>
            <w:tcW w:w="8510" w:type="dxa"/>
            <w:noWrap w:val="0"/>
            <w:vAlign w:val="center"/>
          </w:tcPr>
          <w:p w14:paraId="22A0F95A">
            <w:pPr>
              <w:shd w:val="clear" w:color="auto"/>
              <w:spacing w:line="300" w:lineRule="exact"/>
              <w:rPr>
                <w:rFonts w:ascii="宋体" w:hAnsi="宋体"/>
                <w:color w:val="auto"/>
                <w:szCs w:val="21"/>
                <w:highlight w:val="none"/>
              </w:rPr>
            </w:pPr>
            <w:r>
              <w:rPr>
                <w:rFonts w:hint="eastAsia" w:ascii="宋体" w:hAnsi="宋体"/>
                <w:color w:val="auto"/>
                <w:szCs w:val="21"/>
                <w:highlight w:val="none"/>
              </w:rPr>
              <w:t>响应文件形式：磋商供应商应准备电子响应文件。</w:t>
            </w:r>
          </w:p>
          <w:p w14:paraId="160E2793">
            <w:pPr>
              <w:pStyle w:val="263"/>
              <w:shd w:val="clear" w:color="auto"/>
              <w:spacing w:line="400" w:lineRule="exact"/>
              <w:rPr>
                <w:rFonts w:hint="eastAsia"/>
                <w:color w:val="auto"/>
                <w:szCs w:val="21"/>
                <w:highlight w:val="none"/>
              </w:rPr>
            </w:pPr>
            <w:r>
              <w:rPr>
                <w:rFonts w:hint="eastAsia"/>
                <w:color w:val="auto"/>
                <w:szCs w:val="21"/>
                <w:highlight w:val="none"/>
              </w:rPr>
              <w:t>电子响应文件是指通过“政采云电子投标客户端”完成响应文件编制后生成并加密的数据电文形式的电子加密响应文件。</w:t>
            </w:r>
          </w:p>
        </w:tc>
      </w:tr>
      <w:tr w14:paraId="2931A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7E5E30D7">
            <w:pPr>
              <w:pStyle w:val="263"/>
              <w:numPr>
                <w:ilvl w:val="0"/>
                <w:numId w:val="3"/>
              </w:numPr>
              <w:shd w:val="clear" w:color="auto"/>
              <w:spacing w:line="390" w:lineRule="exact"/>
              <w:jc w:val="center"/>
              <w:rPr>
                <w:rFonts w:hint="eastAsia"/>
                <w:color w:val="auto"/>
                <w:highlight w:val="none"/>
              </w:rPr>
            </w:pPr>
          </w:p>
        </w:tc>
        <w:tc>
          <w:tcPr>
            <w:tcW w:w="8510" w:type="dxa"/>
            <w:noWrap w:val="0"/>
            <w:vAlign w:val="center"/>
          </w:tcPr>
          <w:p w14:paraId="33C7DA34">
            <w:pPr>
              <w:pStyle w:val="263"/>
              <w:shd w:val="clear" w:color="auto"/>
              <w:spacing w:line="400" w:lineRule="exact"/>
              <w:rPr>
                <w:rFonts w:hint="eastAsia"/>
                <w:color w:val="auto"/>
                <w:szCs w:val="21"/>
                <w:highlight w:val="none"/>
              </w:rPr>
            </w:pPr>
            <w:r>
              <w:rPr>
                <w:rFonts w:hint="eastAsia"/>
                <w:color w:val="auto"/>
                <w:szCs w:val="21"/>
                <w:highlight w:val="none"/>
              </w:rPr>
              <w:t>响应文件的编制：供应商应先安装“政采云电子投标客户端”，并按照本竞争性磋商文件和“广西政府采购云平台”的要求，通过“政采云电子投标客户端”编制并加密响应文件。</w:t>
            </w:r>
          </w:p>
        </w:tc>
      </w:tr>
      <w:tr w14:paraId="0BB5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3663AF54">
            <w:pPr>
              <w:pStyle w:val="263"/>
              <w:numPr>
                <w:ilvl w:val="0"/>
                <w:numId w:val="3"/>
              </w:numPr>
              <w:shd w:val="clear" w:color="auto"/>
              <w:spacing w:line="390" w:lineRule="exact"/>
              <w:jc w:val="center"/>
              <w:rPr>
                <w:rFonts w:hint="eastAsia"/>
                <w:color w:val="auto"/>
                <w:highlight w:val="none"/>
              </w:rPr>
            </w:pPr>
          </w:p>
        </w:tc>
        <w:tc>
          <w:tcPr>
            <w:tcW w:w="8510" w:type="dxa"/>
            <w:noWrap w:val="0"/>
            <w:vAlign w:val="center"/>
          </w:tcPr>
          <w:p w14:paraId="3094F7BC">
            <w:pPr>
              <w:pStyle w:val="263"/>
              <w:shd w:val="clear" w:color="auto"/>
              <w:spacing w:line="400" w:lineRule="exact"/>
              <w:rPr>
                <w:rFonts w:hint="eastAsia"/>
                <w:color w:val="auto"/>
                <w:szCs w:val="21"/>
                <w:highlight w:val="none"/>
              </w:rPr>
            </w:pPr>
            <w:r>
              <w:rPr>
                <w:rFonts w:hint="eastAsia"/>
                <w:color w:val="auto"/>
                <w:szCs w:val="21"/>
                <w:highlight w:val="none"/>
              </w:rPr>
              <w:t>响应文件的盖章：响应文件中所涉及的加盖公章均采用CA电子签章。</w:t>
            </w:r>
          </w:p>
        </w:tc>
      </w:tr>
      <w:tr w14:paraId="15440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3E56CBAF">
            <w:pPr>
              <w:pStyle w:val="263"/>
              <w:numPr>
                <w:ilvl w:val="0"/>
                <w:numId w:val="3"/>
              </w:numPr>
              <w:shd w:val="clear" w:color="auto"/>
              <w:spacing w:line="390" w:lineRule="exact"/>
              <w:jc w:val="center"/>
              <w:rPr>
                <w:rFonts w:hint="eastAsia"/>
                <w:color w:val="auto"/>
                <w:highlight w:val="none"/>
              </w:rPr>
            </w:pPr>
          </w:p>
        </w:tc>
        <w:tc>
          <w:tcPr>
            <w:tcW w:w="8510" w:type="dxa"/>
            <w:noWrap w:val="0"/>
            <w:vAlign w:val="center"/>
          </w:tcPr>
          <w:p w14:paraId="4683FD38">
            <w:pPr>
              <w:pStyle w:val="263"/>
              <w:shd w:val="clear" w:color="auto"/>
              <w:spacing w:line="400" w:lineRule="exact"/>
              <w:rPr>
                <w:rFonts w:hint="eastAsia"/>
                <w:color w:val="auto"/>
                <w:szCs w:val="21"/>
                <w:highlight w:val="none"/>
              </w:rPr>
            </w:pPr>
            <w:r>
              <w:rPr>
                <w:rFonts w:hint="eastAsia"/>
                <w:color w:val="auto"/>
                <w:szCs w:val="21"/>
                <w:highlight w:val="none"/>
              </w:rPr>
              <w:t>法定代表人或其授权代表签字或盖章：本竞争性磋商文件所涉及的法定代表人或其授权代表签字或盖章的内容，如果磋商供应商没有法定代表人电子签章，</w:t>
            </w:r>
            <w:r>
              <w:rPr>
                <w:rFonts w:hint="eastAsia"/>
                <w:color w:val="auto"/>
                <w:szCs w:val="21"/>
                <w:highlight w:val="none"/>
                <w:lang w:eastAsia="zh-CN"/>
              </w:rPr>
              <w:t>涉及</w:t>
            </w:r>
            <w:r>
              <w:rPr>
                <w:rFonts w:hint="eastAsia"/>
                <w:color w:val="auto"/>
                <w:szCs w:val="21"/>
                <w:highlight w:val="none"/>
              </w:rPr>
              <w:t>法定代表人或其授权代表签字或盖章的内容，磋商供应商可以线下签字或盖章后扫描上传。</w:t>
            </w:r>
          </w:p>
        </w:tc>
      </w:tr>
      <w:tr w14:paraId="6A05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17E14B86">
            <w:pPr>
              <w:pStyle w:val="263"/>
              <w:numPr>
                <w:ilvl w:val="0"/>
                <w:numId w:val="3"/>
              </w:numPr>
              <w:shd w:val="clear" w:color="auto"/>
              <w:spacing w:line="390" w:lineRule="exact"/>
              <w:jc w:val="center"/>
              <w:rPr>
                <w:rFonts w:hint="eastAsia"/>
                <w:color w:val="auto"/>
                <w:highlight w:val="none"/>
              </w:rPr>
            </w:pPr>
          </w:p>
        </w:tc>
        <w:tc>
          <w:tcPr>
            <w:tcW w:w="8510" w:type="dxa"/>
            <w:noWrap w:val="0"/>
            <w:vAlign w:val="center"/>
          </w:tcPr>
          <w:p w14:paraId="646EFA7C">
            <w:pPr>
              <w:pStyle w:val="263"/>
              <w:shd w:val="clear" w:color="auto"/>
              <w:spacing w:line="400" w:lineRule="exact"/>
              <w:rPr>
                <w:rFonts w:hint="eastAsia"/>
                <w:color w:val="auto"/>
                <w:szCs w:val="21"/>
                <w:highlight w:val="none"/>
              </w:rPr>
            </w:pPr>
            <w:r>
              <w:rPr>
                <w:rFonts w:hint="eastAsia"/>
                <w:color w:val="auto"/>
                <w:szCs w:val="21"/>
                <w:highlight w:val="none"/>
              </w:rPr>
              <w:t>响应文件份数：电子加密响应文件在线上传提交一份。</w:t>
            </w:r>
          </w:p>
        </w:tc>
      </w:tr>
      <w:tr w14:paraId="2EB9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12F741C7">
            <w:pPr>
              <w:pStyle w:val="263"/>
              <w:numPr>
                <w:ilvl w:val="0"/>
                <w:numId w:val="3"/>
              </w:numPr>
              <w:shd w:val="clear" w:color="auto"/>
              <w:spacing w:line="390" w:lineRule="exact"/>
              <w:jc w:val="center"/>
              <w:rPr>
                <w:rFonts w:hint="eastAsia"/>
                <w:color w:val="auto"/>
                <w:highlight w:val="none"/>
              </w:rPr>
            </w:pPr>
          </w:p>
        </w:tc>
        <w:tc>
          <w:tcPr>
            <w:tcW w:w="8510" w:type="dxa"/>
            <w:noWrap w:val="0"/>
            <w:vAlign w:val="center"/>
          </w:tcPr>
          <w:p w14:paraId="4491ECAF">
            <w:pPr>
              <w:pStyle w:val="263"/>
              <w:shd w:val="clear" w:color="auto"/>
              <w:spacing w:line="400" w:lineRule="exact"/>
              <w:rPr>
                <w:rFonts w:hint="eastAsia"/>
                <w:color w:val="auto"/>
                <w:szCs w:val="21"/>
                <w:highlight w:val="none"/>
              </w:rPr>
            </w:pPr>
            <w:r>
              <w:rPr>
                <w:rFonts w:hint="eastAsia"/>
                <w:color w:val="auto"/>
                <w:szCs w:val="21"/>
                <w:highlight w:val="none"/>
              </w:rPr>
              <w:t>电子加密响应文件的解密：</w:t>
            </w:r>
          </w:p>
          <w:p w14:paraId="323E0C46">
            <w:pPr>
              <w:pStyle w:val="263"/>
              <w:shd w:val="clear" w:color="auto"/>
              <w:spacing w:line="400" w:lineRule="exact"/>
              <w:rPr>
                <w:rFonts w:hint="eastAsia"/>
                <w:color w:val="auto"/>
                <w:szCs w:val="21"/>
                <w:highlight w:val="none"/>
              </w:rPr>
            </w:pPr>
            <w:r>
              <w:rPr>
                <w:rFonts w:hint="eastAsia"/>
                <w:color w:val="auto"/>
                <w:szCs w:val="21"/>
                <w:highlight w:val="none"/>
              </w:rPr>
              <w:t>磋商响应文件开启后，本公司将向各参与磋商供应商发出“电子加密响应文件”的解密通知，各磋商供应商代表应当在接到解密通知后30分钟内自行完成“电子加密响应文件”的在线解密。</w:t>
            </w:r>
          </w:p>
        </w:tc>
      </w:tr>
    </w:tbl>
    <w:p w14:paraId="48FC4C51">
      <w:pPr>
        <w:shd w:val="clear" w:color="auto"/>
        <w:spacing w:line="400" w:lineRule="exact"/>
        <w:jc w:val="center"/>
        <w:rPr>
          <w:rFonts w:hint="eastAsia" w:ascii="仿宋_GB2312" w:hAnsi="宋体" w:eastAsia="仿宋_GB2312"/>
          <w:b/>
          <w:color w:val="auto"/>
          <w:sz w:val="32"/>
          <w:szCs w:val="32"/>
          <w:highlight w:val="none"/>
        </w:rPr>
      </w:pPr>
    </w:p>
    <w:p w14:paraId="2991727B">
      <w:pPr>
        <w:shd w:val="clear" w:color="auto"/>
        <w:spacing w:line="720" w:lineRule="auto"/>
        <w:jc w:val="center"/>
        <w:rPr>
          <w:rFonts w:hint="eastAsia" w:ascii="宋体" w:hAnsi="宋体"/>
          <w:b/>
          <w:color w:val="auto"/>
          <w:sz w:val="32"/>
          <w:szCs w:val="32"/>
          <w:highlight w:val="none"/>
        </w:rPr>
      </w:pPr>
      <w:r>
        <w:rPr>
          <w:rFonts w:ascii="仿宋_GB2312" w:hAnsi="宋体" w:eastAsia="仿宋_GB2312"/>
          <w:b/>
          <w:color w:val="auto"/>
          <w:sz w:val="32"/>
          <w:szCs w:val="32"/>
          <w:highlight w:val="none"/>
        </w:rPr>
        <w:br w:type="page" w:clear="all"/>
      </w:r>
      <w:r>
        <w:rPr>
          <w:rFonts w:hint="eastAsia" w:ascii="宋体" w:hAnsi="宋体"/>
          <w:b/>
          <w:color w:val="auto"/>
          <w:sz w:val="32"/>
          <w:szCs w:val="32"/>
          <w:highlight w:val="none"/>
        </w:rPr>
        <w:t>磋商供应商须知</w:t>
      </w:r>
    </w:p>
    <w:p w14:paraId="763167EA">
      <w:pPr>
        <w:keepNext w:val="0"/>
        <w:keepLines w:val="0"/>
        <w:pageBreakBefore w:val="0"/>
        <w:widowControl w:val="0"/>
        <w:shd w:val="clear" w:color="auto"/>
        <w:bidi w:val="0"/>
        <w:spacing w:before="60" w:after="60" w:line="400" w:lineRule="exact"/>
        <w:ind w:left="0" w:firstLine="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一、总　则</w:t>
      </w:r>
    </w:p>
    <w:p w14:paraId="27C99EA8">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适用范围</w:t>
      </w:r>
    </w:p>
    <w:p w14:paraId="2109B374">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本文件仅适用于本文件中所叙述的</w:t>
      </w:r>
      <w:r>
        <w:rPr>
          <w:rFonts w:hint="eastAsia" w:ascii="宋体" w:hAnsi="宋体" w:eastAsia="宋体" w:cs="宋体"/>
          <w:b/>
          <w:color w:val="auto"/>
          <w:szCs w:val="21"/>
          <w:highlight w:val="none"/>
        </w:rPr>
        <w:t>工程类</w:t>
      </w:r>
      <w:r>
        <w:rPr>
          <w:rFonts w:hint="eastAsia" w:ascii="宋体" w:hAnsi="宋体" w:eastAsia="宋体" w:cs="宋体"/>
          <w:color w:val="auto"/>
          <w:szCs w:val="21"/>
          <w:highlight w:val="none"/>
        </w:rPr>
        <w:t>政府采购项目。</w:t>
      </w:r>
    </w:p>
    <w:p w14:paraId="1A447DFF">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定义</w:t>
      </w:r>
    </w:p>
    <w:p w14:paraId="2D9CFA50">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w:t>
      </w:r>
      <w:r>
        <w:rPr>
          <w:rFonts w:hint="eastAsia" w:ascii="宋体" w:hAnsi="宋体" w:eastAsia="宋体" w:cs="宋体"/>
          <w:color w:val="auto"/>
          <w:highlight w:val="none"/>
        </w:rPr>
        <w:t>指组织本次采购的采购单位</w:t>
      </w:r>
      <w:r>
        <w:rPr>
          <w:rFonts w:hint="eastAsia" w:ascii="宋体" w:hAnsi="宋体" w:eastAsia="宋体" w:cs="宋体"/>
          <w:color w:val="auto"/>
          <w:szCs w:val="21"/>
          <w:highlight w:val="none"/>
        </w:rPr>
        <w:t>。</w:t>
      </w:r>
    </w:p>
    <w:p w14:paraId="0A0389C6">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2.2“采购代理机构”是指：</w:t>
      </w:r>
      <w:r>
        <w:rPr>
          <w:rFonts w:hint="eastAsia" w:ascii="宋体" w:hAnsi="宋体" w:eastAsia="宋体" w:cs="宋体"/>
          <w:color w:val="auto"/>
          <w:highlight w:val="none"/>
        </w:rPr>
        <w:t>广西国力招标有限公司。</w:t>
      </w:r>
    </w:p>
    <w:p w14:paraId="7571E256">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2.3“磋商供应商”是指响应本文件要求，参加磋商的法人或者其他组织和自然人。如果该供应商在本次磋商中成交</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即成为“成交供应商”。</w:t>
      </w:r>
    </w:p>
    <w:p w14:paraId="0A321802">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2.4“货物”是指各种形态和种类的物品，包括原材料、燃料、设备、产品等。</w:t>
      </w:r>
    </w:p>
    <w:p w14:paraId="43DD0F89">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2.5“服务”是指除货物和工程以外的其他政府采购对象。</w:t>
      </w:r>
    </w:p>
    <w:p w14:paraId="44510514">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2.6“竞争性磋商响应文件”是指：供应商根据本文件要求，编制包含报价、技术和服务等所有内容的文件。</w:t>
      </w:r>
    </w:p>
    <w:p w14:paraId="33E977FD">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3. 磋商供应商的基本条件：详见须知前附表。</w:t>
      </w:r>
    </w:p>
    <w:p w14:paraId="0D1D43C9">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4. 磋商费用、代理服务费</w:t>
      </w:r>
    </w:p>
    <w:p w14:paraId="76C2F999">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4.1磋商供应商应自行承担所有与编写和提交竞争性磋商响应文件有关的费用，不论磋商结果如何，采购人和</w:t>
      </w:r>
      <w:r>
        <w:rPr>
          <w:rFonts w:hint="eastAsia" w:ascii="宋体" w:hAnsi="宋体" w:eastAsia="宋体" w:cs="宋体"/>
          <w:color w:val="auto"/>
          <w:highlight w:val="none"/>
        </w:rPr>
        <w:t>广西国力招标有限公司</w:t>
      </w:r>
      <w:r>
        <w:rPr>
          <w:rFonts w:hint="eastAsia" w:ascii="宋体" w:hAnsi="宋体" w:eastAsia="宋体" w:cs="宋体"/>
          <w:color w:val="auto"/>
          <w:szCs w:val="21"/>
          <w:highlight w:val="none"/>
        </w:rPr>
        <w:t>在任何情况下无义务和责任承担此类费用。</w:t>
      </w:r>
    </w:p>
    <w:p w14:paraId="11017CA9">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4.2本项目的代理服务费按须知前附表的规定执行，由成交供应商在发布成交结果公告后，一次性向采购代理机构支付。</w:t>
      </w:r>
    </w:p>
    <w:p w14:paraId="79CD0E9F">
      <w:pPr>
        <w:pageBreakBefore w:val="0"/>
        <w:shd w:val="clear" w:color="auto"/>
        <w:bidi w:val="0"/>
        <w:spacing w:line="400" w:lineRule="exact"/>
        <w:ind w:left="0" w:firstLine="422"/>
        <w:rPr>
          <w:rFonts w:hint="eastAsia" w:ascii="宋体" w:hAnsi="宋体" w:eastAsia="宋体" w:cs="宋体"/>
          <w:color w:val="auto"/>
          <w:szCs w:val="21"/>
          <w:highlight w:val="none"/>
        </w:rPr>
      </w:pPr>
      <w:r>
        <w:rPr>
          <w:rFonts w:hint="eastAsia" w:ascii="宋体" w:hAnsi="宋体" w:eastAsia="宋体" w:cs="宋体"/>
          <w:b/>
          <w:bCs/>
          <w:color w:val="auto"/>
          <w:highlight w:val="none"/>
        </w:rPr>
        <w:t xml:space="preserve">5. </w:t>
      </w:r>
      <w:r>
        <w:rPr>
          <w:rFonts w:hint="eastAsia" w:ascii="宋体" w:hAnsi="宋体" w:eastAsia="宋体" w:cs="宋体"/>
          <w:b/>
          <w:color w:val="auto"/>
          <w:szCs w:val="21"/>
          <w:highlight w:val="none"/>
        </w:rPr>
        <w:t>竞争性</w:t>
      </w:r>
      <w:r>
        <w:rPr>
          <w:rFonts w:hint="eastAsia" w:ascii="宋体" w:hAnsi="宋体" w:eastAsia="宋体" w:cs="宋体"/>
          <w:b/>
          <w:color w:val="auto"/>
          <w:highlight w:val="none"/>
        </w:rPr>
        <w:t>磋商文件的澄清和修改：</w:t>
      </w:r>
    </w:p>
    <w:p w14:paraId="3EAF7F9B">
      <w:pPr>
        <w:pageBreakBefore w:val="0"/>
        <w:widowControl/>
        <w:shd w:val="clear" w:color="auto"/>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5.1供应商应认真阅读磋商文件，供应商认为采购文件使自己的权益受到损害的，供应商必须在获取竞争性磋商文件之日起7个工作日内，以书面形式向采购人、采购代理机构提出，</w:t>
      </w:r>
      <w:r>
        <w:rPr>
          <w:rFonts w:hint="eastAsia" w:ascii="宋体" w:hAnsi="宋体" w:eastAsia="宋体" w:cs="宋体"/>
          <w:color w:val="auto"/>
          <w:highlight w:val="none"/>
        </w:rPr>
        <w:t>供应商在法定质疑期内必须一次性提出针对同一采购程序环节的质疑</w:t>
      </w:r>
      <w:r>
        <w:rPr>
          <w:rFonts w:hint="eastAsia" w:ascii="宋体" w:hAnsi="宋体" w:eastAsia="宋体" w:cs="宋体"/>
          <w:color w:val="auto"/>
          <w:szCs w:val="21"/>
          <w:highlight w:val="none"/>
        </w:rPr>
        <w:t>。</w:t>
      </w:r>
    </w:p>
    <w:p w14:paraId="6700C879">
      <w:pPr>
        <w:pageBreakBefore w:val="0"/>
        <w:widowControl/>
        <w:shd w:val="clear" w:color="auto"/>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5.2供应商提出质疑应当提交质疑函和必要的证明材料。质疑函应当包括下列内容：</w:t>
      </w:r>
    </w:p>
    <w:p w14:paraId="2FABEB00">
      <w:pPr>
        <w:pageBreakBefore w:val="0"/>
        <w:widowControl/>
        <w:shd w:val="clear" w:color="auto"/>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（1）供应商的姓名或者名称、地址、邮编、联系人及联系电话；</w:t>
      </w:r>
    </w:p>
    <w:p w14:paraId="52DDEE55">
      <w:pPr>
        <w:pageBreakBefore w:val="0"/>
        <w:widowControl/>
        <w:shd w:val="clear" w:color="auto"/>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（2）质疑项目的名称、编号；</w:t>
      </w:r>
    </w:p>
    <w:p w14:paraId="2FCB771B">
      <w:pPr>
        <w:pageBreakBefore w:val="0"/>
        <w:widowControl/>
        <w:shd w:val="clear" w:color="auto"/>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（3）具体、明确的质疑事项和与质疑事项相关的请求；</w:t>
      </w:r>
    </w:p>
    <w:p w14:paraId="23E49965">
      <w:pPr>
        <w:pageBreakBefore w:val="0"/>
        <w:widowControl/>
        <w:shd w:val="clear" w:color="auto"/>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（4）事实依据；</w:t>
      </w:r>
    </w:p>
    <w:p w14:paraId="39292B5D">
      <w:pPr>
        <w:pageBreakBefore w:val="0"/>
        <w:widowControl/>
        <w:shd w:val="clear" w:color="auto"/>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（5）必要的法律依据；</w:t>
      </w:r>
    </w:p>
    <w:p w14:paraId="0BAD0CCB">
      <w:pPr>
        <w:pageBreakBefore w:val="0"/>
        <w:widowControl/>
        <w:shd w:val="clear" w:color="auto"/>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（6）提出质疑的日期。</w:t>
      </w:r>
    </w:p>
    <w:p w14:paraId="6F9DD414">
      <w:pPr>
        <w:pageBreakBefore w:val="0"/>
        <w:widowControl/>
        <w:shd w:val="clear" w:color="auto"/>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供应商为自然人的，应当由本人签字；供应商为法人或者其他组织的，应当由法定代表人、主要负责人，或者其授权代表签字或者盖章，并加盖公章。</w:t>
      </w:r>
    </w:p>
    <w:p w14:paraId="7A0B5BE5">
      <w:pPr>
        <w:pageBreakBefore w:val="0"/>
        <w:widowControl/>
        <w:shd w:val="clear" w:color="auto"/>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应当在提交首次响应文件截止时间5日前，以书面形式通知所有接收磋商文件的供应商，不足5日的，应当顺延提交首次响应文件截止之日。</w:t>
      </w:r>
    </w:p>
    <w:p w14:paraId="1EA7F110">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0"/>
          <w:highlight w:val="none"/>
        </w:rPr>
        <w:t>5.4磋商</w:t>
      </w:r>
      <w:r>
        <w:rPr>
          <w:rFonts w:hint="eastAsia" w:ascii="宋体" w:hAnsi="宋体" w:eastAsia="宋体" w:cs="宋体"/>
          <w:color w:val="auto"/>
          <w:highlight w:val="none"/>
        </w:rPr>
        <w:t>供应商</w:t>
      </w:r>
      <w:r>
        <w:rPr>
          <w:rFonts w:hint="eastAsia" w:ascii="宋体" w:hAnsi="宋体" w:eastAsia="宋体" w:cs="宋体"/>
          <w:color w:val="auto"/>
          <w:highlight w:val="none"/>
          <w:lang w:eastAsia="zh-CN"/>
        </w:rPr>
        <w:t>接到</w:t>
      </w:r>
      <w:r>
        <w:rPr>
          <w:rFonts w:hint="eastAsia" w:ascii="宋体" w:hAnsi="宋体" w:eastAsia="宋体" w:cs="宋体"/>
          <w:color w:val="auto"/>
          <w:highlight w:val="none"/>
        </w:rPr>
        <w:t>电话通知后到采购代理机构处领取以上澄清答复（或补充通知、更改通知等），或在网上查询，如在电话通知后24小时内不上门领取的，则视为已在网上查询收到。该澄清或修改的内容为竞争性磋商文件的组成部分。磋商供应商在每一次收到澄清答复或补充通知后应立即以书面形式通知采购代理机构，确认已收到该澄清答复或补充通知。否则，由此造成的一切后果由磋商供应商负责。</w:t>
      </w:r>
    </w:p>
    <w:p w14:paraId="02B7ECD8">
      <w:pPr>
        <w:keepNext w:val="0"/>
        <w:keepLines w:val="0"/>
        <w:pageBreakBefore w:val="0"/>
        <w:widowControl w:val="0"/>
        <w:shd w:val="clear" w:color="auto"/>
        <w:bidi w:val="0"/>
        <w:spacing w:before="60" w:after="60" w:line="400" w:lineRule="exact"/>
        <w:ind w:left="0" w:firstLine="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二、竞争性磋商响应文件的编制</w:t>
      </w:r>
    </w:p>
    <w:p w14:paraId="2D841F11">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6. 竞争性磋商响应文件编制基本要求</w:t>
      </w:r>
    </w:p>
    <w:p w14:paraId="603B70ED">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磋商供应商应按本竞争性磋商文件规定的格式和顺序编制并标注页码，响应文件内容不完整、编排混乱导致响应文件被误读、漏读或者查找不到相关内容的后果由磋商供应商承担。供应商应准确设置评审关联点。未设置或设置错误导致响应文件被误读、漏读或者查找不到相关内容的后果由磋商供应商承担。</w:t>
      </w:r>
    </w:p>
    <w:p w14:paraId="172B7D9A">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6.2响应文件须由磋商供应商在规定位置盖章并由法定代表人或法定代表人的授权委托人签署，磋商供应商应写全称。</w:t>
      </w:r>
    </w:p>
    <w:p w14:paraId="20CC7A6C">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6.3响应文件不得涂改，若有修改错漏处，须加盖单位公章或者法定代表人或授权委托人签字或盖章。响应文件因扫描不清晰或乱码或表达不清所引起的后果由磋商供应商负责。</w:t>
      </w:r>
    </w:p>
    <w:p w14:paraId="2CA8566C">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6.4竞争性磋商响应文件的组成：竞争性磋商响应文件应分为资格证明文件、商务技术文件、报价文件三个部分组成</w:t>
      </w:r>
      <w:r>
        <w:rPr>
          <w:rFonts w:hint="eastAsia" w:ascii="宋体" w:hAnsi="宋体" w:eastAsia="宋体" w:cs="宋体"/>
          <w:b/>
          <w:color w:val="auto"/>
          <w:szCs w:val="21"/>
          <w:highlight w:val="none"/>
        </w:rPr>
        <w:t>（扫描件或其他电子文件）</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（以下文件要求必须提供的文件如未提供，磋商小组有权拒绝其竞争性磋商响应文件）</w:t>
      </w:r>
    </w:p>
    <w:p w14:paraId="2CBB40BB">
      <w:pPr>
        <w:pageBreakBefore w:val="0"/>
        <w:shd w:val="clear" w:color="auto"/>
        <w:bidi w:val="0"/>
        <w:spacing w:line="400" w:lineRule="exact"/>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6.4.1第一部分：资格证明文件</w:t>
      </w:r>
    </w:p>
    <w:p w14:paraId="6A0B85C3">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1）有效的营业执照等证明文件复印件；</w:t>
      </w:r>
    </w:p>
    <w:p w14:paraId="77FE7CFA">
      <w:pPr>
        <w:pageBreakBefore w:val="0"/>
        <w:shd w:val="clear" w:color="auto"/>
        <w:bidi w:val="0"/>
        <w:spacing w:line="400" w:lineRule="exact"/>
        <w:ind w:left="0" w:firstLine="420"/>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①</w:t>
      </w:r>
      <w:r>
        <w:rPr>
          <w:rFonts w:hint="eastAsia" w:ascii="宋体" w:hAnsi="宋体" w:eastAsia="宋体" w:cs="宋体"/>
          <w:color w:val="auto"/>
          <w:szCs w:val="21"/>
          <w:highlight w:val="none"/>
        </w:rPr>
        <w:t>磋商供应商有效的“主体资格证明文件”复印件（如营业执照、事业单位法人证书、执业许可证、自然人身份证等）</w:t>
      </w:r>
      <w:r>
        <w:rPr>
          <w:rFonts w:hint="eastAsia" w:ascii="宋体" w:hAnsi="宋体" w:eastAsia="宋体" w:cs="宋体"/>
          <w:b/>
          <w:color w:val="auto"/>
          <w:szCs w:val="21"/>
          <w:highlight w:val="none"/>
        </w:rPr>
        <w:t xml:space="preserve">[必须提供] </w:t>
      </w:r>
    </w:p>
    <w:p w14:paraId="41FAEAA6">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②</w:t>
      </w:r>
      <w:r>
        <w:rPr>
          <w:rFonts w:hint="eastAsia" w:ascii="宋体" w:hAnsi="宋体" w:eastAsia="宋体" w:cs="宋体"/>
          <w:color w:val="auto"/>
          <w:highlight w:val="none"/>
        </w:rPr>
        <w:t>磋商供应商</w:t>
      </w:r>
      <w:r>
        <w:rPr>
          <w:rFonts w:hint="eastAsia" w:ascii="宋体" w:hAnsi="宋体" w:eastAsia="宋体" w:cs="宋体"/>
          <w:bCs/>
          <w:color w:val="auto"/>
          <w:highlight w:val="none"/>
        </w:rPr>
        <w:t>有效的</w:t>
      </w:r>
      <w:r>
        <w:rPr>
          <w:rFonts w:hint="eastAsia" w:ascii="宋体" w:hAnsi="宋体" w:eastAsia="宋体" w:cs="宋体"/>
          <w:color w:val="auto"/>
          <w:szCs w:val="21"/>
          <w:highlight w:val="none"/>
        </w:rPr>
        <w:t>企业资质证书</w:t>
      </w:r>
      <w:r>
        <w:rPr>
          <w:rFonts w:hint="eastAsia" w:ascii="宋体" w:hAnsi="宋体" w:eastAsia="宋体" w:cs="宋体"/>
          <w:bCs/>
          <w:color w:val="auto"/>
          <w:highlight w:val="none"/>
        </w:rPr>
        <w:t>复印件</w:t>
      </w:r>
      <w:r>
        <w:rPr>
          <w:rFonts w:hint="eastAsia" w:ascii="宋体" w:hAnsi="宋体" w:eastAsia="宋体" w:cs="宋体"/>
          <w:b/>
          <w:color w:val="auto"/>
          <w:szCs w:val="21"/>
          <w:highlight w:val="none"/>
        </w:rPr>
        <w:t>[必须提供]</w:t>
      </w:r>
      <w:r>
        <w:rPr>
          <w:rFonts w:hint="eastAsia" w:ascii="宋体" w:hAnsi="宋体" w:eastAsia="宋体" w:cs="宋体"/>
          <w:color w:val="auto"/>
          <w:szCs w:val="21"/>
          <w:highlight w:val="none"/>
        </w:rPr>
        <w:t xml:space="preserve"> </w:t>
      </w:r>
    </w:p>
    <w:p w14:paraId="149F62DD">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③磋商供应商</w:t>
      </w:r>
      <w:r>
        <w:rPr>
          <w:rFonts w:hint="eastAsia" w:ascii="宋体" w:hAnsi="宋体" w:eastAsia="宋体" w:cs="宋体"/>
          <w:bCs/>
          <w:color w:val="auto"/>
          <w:szCs w:val="21"/>
          <w:highlight w:val="none"/>
        </w:rPr>
        <w:t>有效的</w:t>
      </w:r>
      <w:r>
        <w:rPr>
          <w:rFonts w:hint="eastAsia" w:ascii="宋体" w:hAnsi="宋体" w:eastAsia="宋体" w:cs="宋体"/>
          <w:color w:val="auto"/>
          <w:szCs w:val="21"/>
          <w:highlight w:val="none"/>
        </w:rPr>
        <w:t>安全生产许可证副本</w:t>
      </w:r>
      <w:r>
        <w:rPr>
          <w:rFonts w:hint="eastAsia" w:ascii="宋体" w:hAnsi="宋体" w:eastAsia="宋体" w:cs="宋体"/>
          <w:b/>
          <w:color w:val="auto"/>
          <w:szCs w:val="21"/>
          <w:highlight w:val="none"/>
        </w:rPr>
        <w:t>[必须提供]</w:t>
      </w:r>
      <w:r>
        <w:rPr>
          <w:rFonts w:hint="eastAsia" w:ascii="宋体" w:hAnsi="宋体" w:eastAsia="宋体" w:cs="宋体"/>
          <w:color w:val="auto"/>
          <w:szCs w:val="21"/>
          <w:highlight w:val="none"/>
        </w:rPr>
        <w:t xml:space="preserve"> </w:t>
      </w:r>
    </w:p>
    <w:p w14:paraId="4A3FD224">
      <w:pPr>
        <w:pageBreakBefore w:val="0"/>
        <w:shd w:val="clear" w:color="auto"/>
        <w:bidi w:val="0"/>
        <w:spacing w:line="400" w:lineRule="exact"/>
        <w:ind w:left="0" w:firstLine="411"/>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2）法定代表人身份证正、反面复印件</w:t>
      </w:r>
      <w:r>
        <w:rPr>
          <w:rFonts w:hint="eastAsia" w:ascii="宋体" w:hAnsi="宋体" w:eastAsia="宋体" w:cs="宋体"/>
          <w:b/>
          <w:color w:val="auto"/>
          <w:szCs w:val="21"/>
          <w:highlight w:val="none"/>
        </w:rPr>
        <w:t>[必须提供]</w:t>
      </w:r>
      <w:r>
        <w:rPr>
          <w:rFonts w:hint="eastAsia" w:ascii="宋体" w:hAnsi="宋体" w:eastAsia="宋体" w:cs="宋体"/>
          <w:color w:val="auto"/>
          <w:szCs w:val="21"/>
          <w:highlight w:val="none"/>
        </w:rPr>
        <w:t xml:space="preserve"> </w:t>
      </w:r>
    </w:p>
    <w:p w14:paraId="084A6D37">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3）法定代表人授权委托书原件和委托代理人身份证正、反面复印件</w:t>
      </w:r>
      <w:r>
        <w:rPr>
          <w:rFonts w:hint="eastAsia" w:ascii="宋体" w:hAnsi="宋体" w:eastAsia="宋体" w:cs="宋体"/>
          <w:b/>
          <w:color w:val="auto"/>
          <w:szCs w:val="21"/>
          <w:highlight w:val="none"/>
        </w:rPr>
        <w:t>[委托代理时</w:t>
      </w:r>
      <w:r>
        <w:rPr>
          <w:rFonts w:hint="eastAsia" w:ascii="宋体" w:hAnsi="宋体" w:eastAsia="宋体" w:cs="宋体"/>
          <w:b/>
          <w:bCs/>
          <w:color w:val="auto"/>
          <w:szCs w:val="21"/>
          <w:highlight w:val="none"/>
        </w:rPr>
        <w:t>必须提供</w:t>
      </w:r>
      <w:r>
        <w:rPr>
          <w:rFonts w:hint="eastAsia" w:ascii="宋体" w:hAnsi="宋体" w:eastAsia="宋体" w:cs="宋体"/>
          <w:b/>
          <w:color w:val="auto"/>
          <w:szCs w:val="21"/>
          <w:highlight w:val="none"/>
        </w:rPr>
        <w:t>]</w:t>
      </w:r>
      <w:r>
        <w:rPr>
          <w:rFonts w:hint="eastAsia" w:ascii="宋体" w:hAnsi="宋体" w:eastAsia="宋体" w:cs="宋体"/>
          <w:color w:val="auto"/>
          <w:szCs w:val="21"/>
          <w:highlight w:val="none"/>
        </w:rPr>
        <w:t xml:space="preserve"> </w:t>
      </w:r>
    </w:p>
    <w:p w14:paraId="427183FE">
      <w:pPr>
        <w:pageBreakBefore w:val="0"/>
        <w:shd w:val="clear" w:color="auto"/>
        <w:bidi w:val="0"/>
        <w:spacing w:line="400" w:lineRule="exact"/>
        <w:ind w:left="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4）响应文件递交截止之日</w:t>
      </w:r>
      <w:r>
        <w:rPr>
          <w:rFonts w:hint="eastAsia" w:ascii="宋体" w:hAnsi="宋体" w:cs="宋体"/>
          <w:color w:val="auto"/>
          <w:szCs w:val="21"/>
          <w:highlight w:val="none"/>
          <w:lang w:eastAsia="zh-CN"/>
        </w:rPr>
        <w:t>前半年</w:t>
      </w:r>
      <w:r>
        <w:rPr>
          <w:rFonts w:hint="eastAsia" w:ascii="宋体" w:hAnsi="宋体" w:eastAsia="宋体" w:cs="宋体"/>
          <w:color w:val="auto"/>
          <w:szCs w:val="21"/>
          <w:highlight w:val="none"/>
        </w:rPr>
        <w:t>内磋商供应商</w:t>
      </w:r>
      <w:r>
        <w:rPr>
          <w:rFonts w:hint="eastAsia" w:ascii="宋体" w:hAnsi="宋体" w:cs="宋体"/>
          <w:color w:val="auto"/>
          <w:szCs w:val="21"/>
          <w:highlight w:val="none"/>
          <w:lang w:eastAsia="zh-CN"/>
        </w:rPr>
        <w:t>任意一个月</w:t>
      </w:r>
      <w:r>
        <w:rPr>
          <w:rFonts w:hint="eastAsia" w:ascii="宋体" w:hAnsi="宋体" w:eastAsia="宋体" w:cs="宋体"/>
          <w:color w:val="auto"/>
          <w:szCs w:val="21"/>
          <w:highlight w:val="none"/>
        </w:rPr>
        <w:t xml:space="preserve">的依法缴纳税费或依法免缴税费的证明复印件；无纳税记录的，应提供由磋商供应商所在地的税务部门出具的《依法纳税或依法免税证明》复印件 </w:t>
      </w:r>
      <w:r>
        <w:rPr>
          <w:rFonts w:hint="eastAsia" w:ascii="宋体" w:hAnsi="宋体" w:eastAsia="宋体" w:cs="宋体"/>
          <w:b/>
          <w:color w:val="auto"/>
          <w:highlight w:val="none"/>
          <w:lang w:eastAsia="zh-CN"/>
        </w:rPr>
        <w:t>[必须提供，新成立单位按实际提供]</w:t>
      </w:r>
    </w:p>
    <w:p w14:paraId="7A1E8883">
      <w:pPr>
        <w:pageBreakBefore w:val="0"/>
        <w:shd w:val="clear" w:color="auto"/>
        <w:bidi w:val="0"/>
        <w:spacing w:line="400" w:lineRule="exact"/>
        <w:ind w:left="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5）响应文件递交截止之日</w:t>
      </w:r>
      <w:r>
        <w:rPr>
          <w:rFonts w:hint="eastAsia" w:ascii="宋体" w:hAnsi="宋体" w:cs="宋体"/>
          <w:color w:val="auto"/>
          <w:szCs w:val="21"/>
          <w:highlight w:val="none"/>
          <w:lang w:eastAsia="zh-CN"/>
        </w:rPr>
        <w:t>前半年</w:t>
      </w:r>
      <w:r>
        <w:rPr>
          <w:rFonts w:hint="eastAsia" w:ascii="宋体" w:hAnsi="宋体" w:eastAsia="宋体" w:cs="宋体"/>
          <w:color w:val="auto"/>
          <w:szCs w:val="21"/>
          <w:highlight w:val="none"/>
        </w:rPr>
        <w:t>内磋商供应商</w:t>
      </w:r>
      <w:r>
        <w:rPr>
          <w:rFonts w:hint="eastAsia" w:ascii="宋体" w:hAnsi="宋体" w:cs="宋体"/>
          <w:color w:val="auto"/>
          <w:szCs w:val="21"/>
          <w:highlight w:val="none"/>
          <w:lang w:eastAsia="zh-CN"/>
        </w:rPr>
        <w:t>任意一个月</w:t>
      </w:r>
      <w:r>
        <w:rPr>
          <w:rFonts w:hint="eastAsia" w:ascii="宋体" w:hAnsi="宋体" w:eastAsia="宋体" w:cs="宋体"/>
          <w:color w:val="auto"/>
          <w:szCs w:val="21"/>
          <w:highlight w:val="none"/>
        </w:rPr>
        <w:t>的依法缴纳社保费的缴费凭证复印件</w:t>
      </w:r>
      <w:r>
        <w:rPr>
          <w:rFonts w:hint="eastAsia" w:ascii="宋体" w:hAnsi="宋体" w:eastAsia="宋体" w:cs="宋体"/>
          <w:b/>
          <w:color w:val="auto"/>
          <w:szCs w:val="21"/>
          <w:highlight w:val="none"/>
        </w:rPr>
        <w:t>；</w:t>
      </w:r>
      <w:r>
        <w:rPr>
          <w:rFonts w:hint="eastAsia" w:ascii="宋体" w:hAnsi="宋体" w:eastAsia="宋体" w:cs="宋体"/>
          <w:color w:val="auto"/>
          <w:szCs w:val="21"/>
          <w:highlight w:val="none"/>
        </w:rPr>
        <w:t>无缴费记录的，应提供由磋商供应商所在地社保部门出具的《依法缴纳或依法免缴社保费证明》复印件</w:t>
      </w:r>
      <w:r>
        <w:rPr>
          <w:rFonts w:hint="eastAsia" w:ascii="宋体" w:hAnsi="宋体" w:eastAsia="宋体" w:cs="宋体"/>
          <w:b/>
          <w:color w:val="auto"/>
          <w:highlight w:val="none"/>
          <w:lang w:eastAsia="zh-CN"/>
        </w:rPr>
        <w:t>[必须提供，新成立单位按实际提供]</w:t>
      </w:r>
    </w:p>
    <w:p w14:paraId="3B847531">
      <w:pPr>
        <w:pageBreakBefore w:val="0"/>
        <w:shd w:val="clear" w:color="auto"/>
        <w:bidi w:val="0"/>
        <w:spacing w:line="400" w:lineRule="exact"/>
        <w:ind w:left="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6）财务状况报告</w:t>
      </w:r>
      <w:r>
        <w:rPr>
          <w:rFonts w:hint="eastAsia" w:ascii="宋体" w:hAnsi="宋体" w:eastAsia="宋体" w:cs="宋体"/>
          <w:b/>
          <w:color w:val="auto"/>
          <w:szCs w:val="21"/>
          <w:highlight w:val="none"/>
          <w:lang w:eastAsia="zh-CN"/>
        </w:rPr>
        <w:t>[格式自拟，必须提供]</w:t>
      </w:r>
    </w:p>
    <w:p w14:paraId="4B0F68D1">
      <w:pPr>
        <w:pageBreakBefore w:val="0"/>
        <w:shd w:val="clear" w:color="auto"/>
        <w:bidi w:val="0"/>
        <w:spacing w:line="400" w:lineRule="exact"/>
        <w:ind w:left="0" w:firstLine="411"/>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7）参加政府采购活动前三年内在经营活动中没有重大违法记录和不良信用记录的书面声明</w:t>
      </w:r>
      <w:r>
        <w:rPr>
          <w:rFonts w:hint="eastAsia" w:ascii="宋体" w:hAnsi="宋体" w:eastAsia="宋体" w:cs="宋体"/>
          <w:b/>
          <w:color w:val="auto"/>
          <w:szCs w:val="21"/>
          <w:highlight w:val="none"/>
        </w:rPr>
        <w:t>[格式自拟，必须提供]</w:t>
      </w:r>
    </w:p>
    <w:p w14:paraId="53CFD99C">
      <w:pPr>
        <w:pageBreakBefore w:val="0"/>
        <w:shd w:val="clear" w:color="auto"/>
        <w:bidi w:val="0"/>
        <w:spacing w:line="400" w:lineRule="exact"/>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注：采购人或采购代理机构在资格审查结束前对供应商进行信用查询</w:t>
      </w:r>
    </w:p>
    <w:p w14:paraId="71344F5B">
      <w:pPr>
        <w:pageBreakBefore w:val="0"/>
        <w:shd w:val="clear" w:color="auto"/>
        <w:bidi w:val="0"/>
        <w:spacing w:line="400" w:lineRule="exact"/>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查询渠道：“信用中国”网站</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www.creditchina.gov.cn</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 xml:space="preserve"> 、中国政府采购网</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www.ccgp.gov.cn</w:t>
      </w:r>
      <w:r>
        <w:rPr>
          <w:rFonts w:hint="eastAsia" w:ascii="宋体" w:hAnsi="宋体" w:eastAsia="宋体" w:cs="宋体"/>
          <w:b/>
          <w:color w:val="auto"/>
          <w:szCs w:val="21"/>
          <w:highlight w:val="none"/>
          <w:lang w:eastAsia="zh-CN"/>
        </w:rPr>
        <w:t>）</w:t>
      </w:r>
    </w:p>
    <w:p w14:paraId="73D55685">
      <w:pPr>
        <w:pageBreakBefore w:val="0"/>
        <w:shd w:val="clear" w:color="auto"/>
        <w:bidi w:val="0"/>
        <w:spacing w:line="400" w:lineRule="exact"/>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查询截止时间：资格审查结束前。</w:t>
      </w:r>
    </w:p>
    <w:p w14:paraId="775E7E7E">
      <w:pPr>
        <w:pageBreakBefore w:val="0"/>
        <w:shd w:val="clear" w:color="auto"/>
        <w:bidi w:val="0"/>
        <w:spacing w:line="400" w:lineRule="exact"/>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查询记录和证据留存方式：在查询网站中直接打印查询记录，打印材料作为评审资料保存。</w:t>
      </w:r>
    </w:p>
    <w:p w14:paraId="267349C5">
      <w:pPr>
        <w:pageBreakBefore w:val="0"/>
        <w:shd w:val="clear" w:color="auto"/>
        <w:bidi w:val="0"/>
        <w:spacing w:line="400" w:lineRule="exact"/>
        <w:ind w:left="0" w:firstLine="422"/>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信用信息使用规则：对在“信用中国”网站</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www.creditchina.gov.cn</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 xml:space="preserve"> 、中国政府采购网</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www.ccgp.gov.cn</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被列入失信被执行人、重大税收违法失信主体、政府采购严重违法失信行为记录名单及其他不符合《中华人民共和国政府采购法》第二十二条规定条件的供应商，将拒绝其参与政府采购活动。</w:t>
      </w:r>
    </w:p>
    <w:p w14:paraId="49070599">
      <w:pPr>
        <w:pageBreakBefore w:val="0"/>
        <w:shd w:val="clear" w:color="auto"/>
        <w:bidi w:val="0"/>
        <w:spacing w:line="400" w:lineRule="exact"/>
        <w:ind w:left="0" w:firstLine="420"/>
        <w:rPr>
          <w:rFonts w:hint="eastAsia" w:ascii="宋体" w:hAnsi="宋体" w:eastAsia="宋体" w:cs="宋体"/>
          <w:b/>
          <w:color w:val="auto"/>
          <w:szCs w:val="21"/>
          <w:highlight w:val="none"/>
          <w:lang w:eastAsia="zh-CN"/>
        </w:rPr>
      </w:pPr>
      <w:r>
        <w:rPr>
          <w:rFonts w:hint="eastAsia" w:ascii="宋体" w:hAnsi="宋体" w:eastAsia="宋体" w:cs="宋体"/>
          <w:color w:val="auto"/>
          <w:szCs w:val="21"/>
          <w:highlight w:val="none"/>
        </w:rPr>
        <w:t>8）中小企业声明函（或残疾人福利性单位声明函或监狱企业证明文件）</w:t>
      </w:r>
      <w:r>
        <w:rPr>
          <w:rFonts w:hint="eastAsia" w:ascii="宋体" w:hAnsi="宋体" w:eastAsia="宋体" w:cs="宋体"/>
          <w:b/>
          <w:color w:val="auto"/>
          <w:szCs w:val="21"/>
          <w:highlight w:val="none"/>
          <w:lang w:val="en-US" w:eastAsia="zh-CN"/>
        </w:rPr>
        <w:t>[</w:t>
      </w:r>
      <w:r>
        <w:rPr>
          <w:rFonts w:hint="eastAsia" w:ascii="宋体" w:hAnsi="宋体" w:eastAsia="宋体" w:cs="宋体"/>
          <w:b/>
          <w:color w:val="auto"/>
          <w:szCs w:val="21"/>
          <w:highlight w:val="none"/>
        </w:rPr>
        <w:t>按最新相关政策执行，</w:t>
      </w:r>
      <w:r>
        <w:rPr>
          <w:rFonts w:hint="eastAsia" w:ascii="宋体" w:hAnsi="宋体" w:eastAsia="宋体" w:cs="宋体"/>
          <w:b/>
          <w:color w:val="auto"/>
          <w:szCs w:val="21"/>
          <w:highlight w:val="none"/>
          <w:lang w:val="en-US" w:eastAsia="zh-CN"/>
        </w:rPr>
        <w:t>必须</w:t>
      </w:r>
      <w:r>
        <w:rPr>
          <w:rFonts w:hint="eastAsia" w:ascii="宋体" w:hAnsi="宋体" w:eastAsia="宋体" w:cs="宋体"/>
          <w:b/>
          <w:color w:val="auto"/>
          <w:szCs w:val="21"/>
          <w:highlight w:val="none"/>
        </w:rPr>
        <w:t>提供</w:t>
      </w:r>
      <w:r>
        <w:rPr>
          <w:rFonts w:hint="eastAsia" w:ascii="宋体" w:hAnsi="宋体" w:eastAsia="宋体" w:cs="宋体"/>
          <w:b/>
          <w:color w:val="auto"/>
          <w:szCs w:val="21"/>
          <w:highlight w:val="none"/>
          <w:lang w:val="en-US" w:eastAsia="zh-CN"/>
        </w:rPr>
        <w:t>]</w:t>
      </w:r>
    </w:p>
    <w:p w14:paraId="6EDF53EA">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9）磋商保证金的提交凭证</w:t>
      </w:r>
      <w:r>
        <w:rPr>
          <w:rFonts w:hint="eastAsia" w:ascii="宋体" w:hAnsi="宋体" w:eastAsia="宋体" w:cs="宋体"/>
          <w:b/>
          <w:bCs/>
          <w:color w:val="auto"/>
          <w:szCs w:val="21"/>
          <w:highlight w:val="none"/>
        </w:rPr>
        <w:t>[必须提供]</w:t>
      </w:r>
    </w:p>
    <w:p w14:paraId="3D4F7147">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10）除磋商文件规定必须提供以外，供应商认为需要提供的其他证明材料</w:t>
      </w:r>
    </w:p>
    <w:p w14:paraId="6C4B6C2B">
      <w:pPr>
        <w:pageBreakBefore w:val="0"/>
        <w:shd w:val="clear" w:color="auto"/>
        <w:bidi w:val="0"/>
        <w:spacing w:line="400" w:lineRule="exact"/>
        <w:ind w:left="0" w:firstLine="422"/>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6.4.2 第二部分：商务技术文件</w:t>
      </w:r>
    </w:p>
    <w:p w14:paraId="705AA83E">
      <w:pPr>
        <w:pageBreakBefore w:val="0"/>
        <w:shd w:val="clear" w:color="auto"/>
        <w:bidi w:val="0"/>
        <w:spacing w:line="400" w:lineRule="exact"/>
        <w:ind w:left="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1）商务条款偏离表</w:t>
      </w:r>
      <w:r>
        <w:rPr>
          <w:rFonts w:hint="eastAsia" w:ascii="宋体" w:hAnsi="宋体" w:eastAsia="宋体" w:cs="宋体"/>
          <w:b/>
          <w:bCs/>
          <w:color w:val="auto"/>
          <w:szCs w:val="21"/>
          <w:highlight w:val="none"/>
          <w:lang w:eastAsia="zh-CN"/>
        </w:rPr>
        <w:t>[必须提供]</w:t>
      </w:r>
    </w:p>
    <w:p w14:paraId="489442DA">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2）企业概况（格式自拟）</w:t>
      </w:r>
    </w:p>
    <w:p w14:paraId="2AEEB279">
      <w:pPr>
        <w:pageBreakBefore w:val="0"/>
        <w:shd w:val="clear" w:color="auto"/>
        <w:bidi w:val="0"/>
        <w:spacing w:line="400" w:lineRule="exact"/>
        <w:ind w:left="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3）近</w:t>
      </w:r>
      <w:r>
        <w:rPr>
          <w:rFonts w:hint="eastAsia" w:ascii="宋体" w:hAnsi="宋体" w:cs="宋体"/>
          <w:color w:val="auto"/>
          <w:szCs w:val="21"/>
          <w:highlight w:val="none"/>
          <w:lang w:val="en-US" w:eastAsia="zh-CN"/>
        </w:rPr>
        <w:t>五</w:t>
      </w:r>
      <w:r>
        <w:rPr>
          <w:rFonts w:hint="eastAsia" w:ascii="宋体" w:hAnsi="宋体" w:eastAsia="宋体" w:cs="宋体"/>
          <w:color w:val="auto"/>
          <w:szCs w:val="21"/>
          <w:highlight w:val="none"/>
        </w:rPr>
        <w:t>年来施工企业承建的项目竣工工程情况表</w:t>
      </w:r>
    </w:p>
    <w:p w14:paraId="24EEFCCD">
      <w:pPr>
        <w:pageBreakBefore w:val="0"/>
        <w:shd w:val="clear" w:color="auto"/>
        <w:bidi w:val="0"/>
        <w:spacing w:line="400" w:lineRule="exact"/>
        <w:ind w:left="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4）项目经理（或建造师）简历表</w:t>
      </w:r>
      <w:r>
        <w:rPr>
          <w:rFonts w:hint="eastAsia" w:ascii="宋体" w:hAnsi="宋体" w:eastAsia="宋体" w:cs="宋体"/>
          <w:b/>
          <w:bCs/>
          <w:color w:val="auto"/>
          <w:szCs w:val="21"/>
          <w:highlight w:val="none"/>
          <w:lang w:eastAsia="zh-CN"/>
        </w:rPr>
        <w:t>[必须提供]</w:t>
      </w:r>
    </w:p>
    <w:p w14:paraId="5003974F">
      <w:pPr>
        <w:pageBreakBefore w:val="0"/>
        <w:shd w:val="clear" w:color="auto"/>
        <w:bidi w:val="0"/>
        <w:spacing w:line="400" w:lineRule="exact"/>
        <w:ind w:left="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5）主要施工管理人员表</w:t>
      </w:r>
      <w:r>
        <w:rPr>
          <w:rFonts w:hint="eastAsia" w:ascii="宋体" w:hAnsi="宋体" w:eastAsia="宋体" w:cs="宋体"/>
          <w:b/>
          <w:bCs/>
          <w:color w:val="auto"/>
          <w:szCs w:val="21"/>
          <w:highlight w:val="none"/>
          <w:lang w:eastAsia="zh-CN"/>
        </w:rPr>
        <w:t>[必须提供]</w:t>
      </w:r>
    </w:p>
    <w:p w14:paraId="128776B5">
      <w:pPr>
        <w:pageBreakBefore w:val="0"/>
        <w:shd w:val="clear" w:color="auto"/>
        <w:bidi w:val="0"/>
        <w:spacing w:line="400" w:lineRule="exact"/>
        <w:ind w:left="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6）施工组织设计</w:t>
      </w:r>
      <w:r>
        <w:rPr>
          <w:rFonts w:hint="eastAsia" w:ascii="宋体" w:hAnsi="宋体" w:eastAsia="宋体" w:cs="宋体"/>
          <w:b/>
          <w:bCs/>
          <w:color w:val="auto"/>
          <w:szCs w:val="21"/>
          <w:highlight w:val="none"/>
          <w:lang w:eastAsia="zh-CN"/>
        </w:rPr>
        <w:t>[必须提供]</w:t>
      </w:r>
    </w:p>
    <w:p w14:paraId="740089DA">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7）技术需要的</w:t>
      </w:r>
      <w:r>
        <w:rPr>
          <w:rFonts w:hint="eastAsia" w:ascii="宋体" w:hAnsi="宋体" w:eastAsia="宋体" w:cs="宋体"/>
          <w:color w:val="auto"/>
          <w:szCs w:val="21"/>
          <w:highlight w:val="none"/>
          <w:lang w:eastAsia="zh-CN"/>
        </w:rPr>
        <w:t>其他</w:t>
      </w:r>
      <w:r>
        <w:rPr>
          <w:rFonts w:hint="eastAsia" w:ascii="宋体" w:hAnsi="宋体" w:eastAsia="宋体" w:cs="宋体"/>
          <w:color w:val="auto"/>
          <w:szCs w:val="21"/>
          <w:highlight w:val="none"/>
        </w:rPr>
        <w:t>资料（按评分办法中技术标要求内容，格式自定义）</w:t>
      </w:r>
    </w:p>
    <w:p w14:paraId="0C74EA58">
      <w:pPr>
        <w:pageBreakBefore w:val="0"/>
        <w:shd w:val="clear" w:color="auto"/>
        <w:bidi w:val="0"/>
        <w:spacing w:line="400" w:lineRule="exact"/>
        <w:ind w:left="0" w:firstLine="422"/>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6.4.3 第三部分：报价文件</w:t>
      </w:r>
    </w:p>
    <w:p w14:paraId="34319266">
      <w:pPr>
        <w:pageBreakBefore w:val="0"/>
        <w:shd w:val="clear" w:color="auto"/>
        <w:bidi w:val="0"/>
        <w:spacing w:line="400" w:lineRule="exact"/>
        <w:ind w:left="0" w:firstLine="420"/>
        <w:rPr>
          <w:rFonts w:hint="eastAsia" w:ascii="宋体" w:hAnsi="宋体" w:eastAsia="宋体" w:cs="宋体"/>
          <w:b/>
          <w:color w:val="auto"/>
          <w:szCs w:val="21"/>
          <w:highlight w:val="none"/>
          <w:lang w:eastAsia="zh-CN"/>
        </w:rPr>
      </w:pPr>
      <w:r>
        <w:rPr>
          <w:rFonts w:hint="eastAsia" w:ascii="宋体" w:hAnsi="宋体" w:eastAsia="宋体" w:cs="宋体"/>
          <w:color w:val="auto"/>
          <w:szCs w:val="21"/>
          <w:highlight w:val="none"/>
        </w:rPr>
        <w:t>1）响应函及附录</w:t>
      </w:r>
      <w:r>
        <w:rPr>
          <w:rFonts w:hint="eastAsia" w:ascii="宋体" w:hAnsi="宋体" w:eastAsia="宋体" w:cs="宋体"/>
          <w:b/>
          <w:color w:val="auto"/>
          <w:szCs w:val="21"/>
          <w:highlight w:val="none"/>
          <w:lang w:eastAsia="zh-CN"/>
        </w:rPr>
        <w:t>[必须提供]</w:t>
      </w:r>
    </w:p>
    <w:p w14:paraId="5E0EB682">
      <w:pPr>
        <w:pageBreakBefore w:val="0"/>
        <w:shd w:val="clear" w:color="auto"/>
        <w:bidi w:val="0"/>
        <w:spacing w:line="400" w:lineRule="exact"/>
        <w:ind w:left="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2）响应报价表</w:t>
      </w:r>
      <w:r>
        <w:rPr>
          <w:rFonts w:hint="eastAsia" w:ascii="宋体" w:hAnsi="宋体" w:eastAsia="宋体" w:cs="宋体"/>
          <w:b/>
          <w:bCs/>
          <w:color w:val="auto"/>
          <w:szCs w:val="21"/>
          <w:highlight w:val="none"/>
          <w:lang w:eastAsia="zh-CN"/>
        </w:rPr>
        <w:t>[必须提供]</w:t>
      </w:r>
    </w:p>
    <w:p w14:paraId="63FAF0D7">
      <w:pPr>
        <w:pageBreakBefore w:val="0"/>
        <w:shd w:val="clear" w:color="auto"/>
        <w:bidi w:val="0"/>
        <w:spacing w:line="400" w:lineRule="exact"/>
        <w:ind w:left="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w:t>
      </w:r>
      <w:r>
        <w:rPr>
          <w:rFonts w:hint="eastAsia" w:ascii="宋体" w:hAnsi="宋体" w:eastAsia="宋体" w:cs="宋体"/>
          <w:color w:val="auto"/>
          <w:highlight w:val="none"/>
        </w:rPr>
        <w:t>已</w:t>
      </w:r>
      <w:r>
        <w:rPr>
          <w:rFonts w:hint="eastAsia" w:ascii="宋体" w:hAnsi="宋体" w:eastAsia="宋体" w:cs="宋体"/>
          <w:color w:val="auto"/>
          <w:szCs w:val="21"/>
          <w:highlight w:val="none"/>
        </w:rPr>
        <w:t>标价</w:t>
      </w:r>
      <w:r>
        <w:rPr>
          <w:rFonts w:hint="eastAsia" w:ascii="宋体" w:hAnsi="宋体" w:eastAsia="宋体" w:cs="宋体"/>
          <w:color w:val="auto"/>
          <w:highlight w:val="none"/>
        </w:rPr>
        <w:t>的工程量清单报价文件</w:t>
      </w:r>
      <w:r>
        <w:rPr>
          <w:rFonts w:hint="eastAsia" w:ascii="宋体" w:hAnsi="宋体" w:eastAsia="宋体" w:cs="宋体"/>
          <w:b/>
          <w:bCs/>
          <w:color w:val="auto"/>
          <w:szCs w:val="21"/>
          <w:highlight w:val="none"/>
          <w:lang w:eastAsia="zh-CN"/>
        </w:rPr>
        <w:t>[必须提供]</w:t>
      </w:r>
    </w:p>
    <w:p w14:paraId="39E88926">
      <w:pPr>
        <w:keepNext w:val="0"/>
        <w:keepLines w:val="0"/>
        <w:pageBreakBefore w:val="0"/>
        <w:widowControl w:val="0"/>
        <w:shd w:val="clear" w:color="auto"/>
        <w:bidi w:val="0"/>
        <w:spacing w:before="60" w:after="60" w:line="400" w:lineRule="exact"/>
        <w:ind w:left="0" w:firstLine="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三、报价要求</w:t>
      </w:r>
    </w:p>
    <w:p w14:paraId="2C316536">
      <w:pPr>
        <w:pageBreakBefore w:val="0"/>
        <w:shd w:val="clear" w:color="auto"/>
        <w:bidi w:val="0"/>
        <w:spacing w:line="400" w:lineRule="exact"/>
        <w:ind w:left="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7.1本工程报价采用</w:t>
      </w:r>
      <w:r>
        <w:rPr>
          <w:rFonts w:hint="eastAsia" w:ascii="宋体" w:hAnsi="宋体" w:eastAsia="宋体" w:cs="宋体"/>
          <w:color w:val="auto"/>
          <w:szCs w:val="21"/>
          <w:highlight w:val="none"/>
          <w:u w:val="single"/>
        </w:rPr>
        <w:t>工程量清单报价方式</w:t>
      </w:r>
      <w:r>
        <w:rPr>
          <w:rFonts w:hint="eastAsia" w:ascii="宋体" w:hAnsi="宋体" w:eastAsia="宋体" w:cs="宋体"/>
          <w:color w:val="auto"/>
          <w:szCs w:val="21"/>
          <w:highlight w:val="none"/>
        </w:rPr>
        <w:t>。供应商应使用符合该数据交换标准的计价软件导入电子工程量清单，填写单价和计算总额价，完成已标价工程量清单的编制。严禁供应商修改工程量清单的项目结构、标段名称、单项工程名称、单位工程名称、项目编码、项目名称、项目特征、计量单位、工程量、清单顺序和序号。供应商不得对工程量清单项目进行增减调整</w:t>
      </w:r>
      <w:r>
        <w:rPr>
          <w:rFonts w:hint="eastAsia" w:ascii="宋体" w:hAnsi="宋体" w:eastAsia="宋体" w:cs="宋体"/>
          <w:color w:val="auto"/>
          <w:szCs w:val="21"/>
          <w:highlight w:val="none"/>
          <w:lang w:eastAsia="zh-CN"/>
        </w:rPr>
        <w:t>。</w:t>
      </w:r>
    </w:p>
    <w:p w14:paraId="6F48621C">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7.1.1 合同价款采用</w:t>
      </w:r>
      <w:r>
        <w:rPr>
          <w:rFonts w:hint="eastAsia" w:ascii="宋体" w:hAnsi="宋体" w:eastAsia="宋体" w:cs="宋体"/>
          <w:b/>
          <w:bCs/>
          <w:color w:val="auto"/>
          <w:highlight w:val="none"/>
          <w:u w:val="single"/>
        </w:rPr>
        <w:t>固定</w:t>
      </w:r>
      <w:r>
        <w:rPr>
          <w:rFonts w:hint="eastAsia" w:ascii="宋体" w:hAnsi="宋体" w:cs="宋体"/>
          <w:b/>
          <w:bCs/>
          <w:color w:val="auto"/>
          <w:highlight w:val="none"/>
          <w:u w:val="single"/>
          <w:lang w:val="en-US" w:eastAsia="zh-CN"/>
        </w:rPr>
        <w:t>综合单价</w:t>
      </w:r>
      <w:r>
        <w:rPr>
          <w:rFonts w:hint="eastAsia" w:ascii="宋体" w:hAnsi="宋体" w:eastAsia="宋体" w:cs="宋体"/>
          <w:color w:val="auto"/>
          <w:highlight w:val="none"/>
        </w:rPr>
        <w:t>方式确定</w:t>
      </w:r>
      <w:r>
        <w:rPr>
          <w:rFonts w:hint="eastAsia" w:ascii="宋体" w:hAnsi="宋体" w:eastAsia="宋体" w:cs="宋体"/>
          <w:color w:val="auto"/>
          <w:szCs w:val="21"/>
          <w:highlight w:val="none"/>
        </w:rPr>
        <w:t>。磋商报价为供应商在响应文件中提出的各项支付金额的总和。</w:t>
      </w:r>
    </w:p>
    <w:p w14:paraId="06FFFE18">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7.1.2除非合同中另有规定，供应商在报价中所报的单价和合价，均应包括完成该工程项目的成本（包括施工设备、劳务、管理、材料、安装、维护、保险、交通维护等）、利润、税金、开办费、技术措施费、大型机械进出场费、污水、废水、建筑垃圾处理费、风险费、政策性文件规定的费用等所有费用。供应商所填报的综合单价在合同实施期间不因市场价格变化因素而变动，供应商在报价时应考虑各种风险因素和自己的承受能力。</w:t>
      </w:r>
    </w:p>
    <w:p w14:paraId="30AB6C82">
      <w:pPr>
        <w:pageBreakBefore w:val="0"/>
        <w:shd w:val="clear" w:color="auto"/>
        <w:bidi w:val="0"/>
        <w:spacing w:line="400" w:lineRule="exact"/>
        <w:ind w:left="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7.1.3 因设计变更引起工程项目、工程量变化的，变更合同价款按下列方法进行：①因工程设计变更引起工程项目和工程量变化的，工程量清单中有相同项目的按磋商供应商的成交单价进行结算；工程量清单中有类似项目的按类似项目成交单价结算；新增项目的单价有定额的套定额计算，其中材料价格按响应文件价格，如响应文件中无相应材料价格则有信息价的按信息价，无信息价的由发包人、承包人、监理人到市场询价确定；新增项目无定额可套的，由发包人、承包人、监理人到市场询价确定。②国家和本自治区政策性调整有关费用标准的，按文件规定执行。③招标工程量清单中漏项、施工图纸上标有的内容施工时作为增加工程签证，结算时按实际发生工程量进行结算</w:t>
      </w:r>
      <w:r>
        <w:rPr>
          <w:rFonts w:hint="eastAsia" w:ascii="宋体" w:hAnsi="宋体" w:eastAsia="宋体" w:cs="宋体"/>
          <w:color w:val="auto"/>
          <w:szCs w:val="21"/>
          <w:highlight w:val="none"/>
          <w:lang w:eastAsia="zh-CN"/>
        </w:rPr>
        <w:t>。</w:t>
      </w:r>
    </w:p>
    <w:p w14:paraId="17E541FF">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7.1.4供应商应认真填写工程量清单中所列的所有各细目的单价和合价，填写时应注意：</w:t>
      </w:r>
    </w:p>
    <w:p w14:paraId="58011FD1">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（1）有工程数量的应报单价和合价；</w:t>
      </w:r>
    </w:p>
    <w:p w14:paraId="2812A107">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（2）无工程数量的项目不报价；</w:t>
      </w:r>
    </w:p>
    <w:p w14:paraId="0102410F">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3）除非采购人对采购文件予以修改，供应商应按采购人提供的工程量清单中列出的工程项目和工程量填报单价和合价。每一项目只允许有一个报价。任何有选择的报价将不予接受。供应商未填单价或合价的工程项目，承包人必须实施且在实施后，采购人</w:t>
      </w:r>
      <w:r>
        <w:rPr>
          <w:rFonts w:hint="eastAsia" w:ascii="宋体" w:hAnsi="宋体" w:eastAsia="宋体" w:cs="宋体"/>
          <w:color w:val="auto"/>
          <w:szCs w:val="21"/>
          <w:highlight w:val="none"/>
          <w:lang w:eastAsia="zh-CN"/>
        </w:rPr>
        <w:t>将不予支付</w:t>
      </w:r>
      <w:r>
        <w:rPr>
          <w:rFonts w:hint="eastAsia" w:ascii="宋体" w:hAnsi="宋体" w:eastAsia="宋体" w:cs="宋体"/>
          <w:color w:val="auto"/>
          <w:szCs w:val="21"/>
          <w:highlight w:val="none"/>
        </w:rPr>
        <w:t>，并视为该项费用已包括在其他有价款的单价或合价内，承包人必须按发包人现场代表或发包人授权的监理工程师的指令完成工程量清单中未填入单价或总价的工程细目，但不能得到支付与结算。</w:t>
      </w:r>
    </w:p>
    <w:p w14:paraId="0EA4C8B1">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采购人所提供的工程量清单，应认为已包括按正常施工工艺完成工程量清单项目各单项的有关内容。凡工程量清单所示工程所必不可少的附属工程、相关工程、衔接与后续工程所需的费用，供应商应计入相关项目的单价中。</w:t>
      </w:r>
    </w:p>
    <w:p w14:paraId="0F4BB3CD">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）按采购预算控制价明细施工，工程最终按实际工程结算。</w:t>
      </w:r>
    </w:p>
    <w:p w14:paraId="20A215F3">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7.1.5 磋商供应商的临时占地（含半成品加工厂、料厂、拌和站、借弃土场、项目部驻地等）租用费（含拆迁补偿）、临时用地的环保、恢复及所有临时性占地的青苗补偿及地面附着物发生的费用均由供应商负责；由于磋商供应商原因引起工期延长造成磋商供应商临时占地的租用费增加由磋商供应商负责。以上费用在报价中自行考虑。</w:t>
      </w:r>
    </w:p>
    <w:p w14:paraId="2570287F">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7.1.6 施工用的水、电供应由承包人通过现场勘察后自行确定。施工用水、电由承包人负责施工场地内的管、线路的铺、架设</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采购人仅提供场外水电接入点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接入点到施工场地边由承包人负责</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，并承担施工期间用电、用水的使用、维护和安全责任等。</w:t>
      </w:r>
    </w:p>
    <w:p w14:paraId="32ACC3F3">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7.1.7 有关土料的一切费用，包括挖、填、弃、运距以及运输过程中所发生的费用，以及土料场（包括弃土场）的林地补偿费、林木补偿费、林地安置补助费、森林植被恢复费、取土费、复垦费、运输道路修建费、临时占地费、青苗补偿费、维护费等，由磋商供应商根据市场价格及本身所能承受的风险自行考虑。但土料场的土料必须试验合格并经设计、监理和发包人同意后方可用于本工程。</w:t>
      </w:r>
    </w:p>
    <w:p w14:paraId="5B1218D2">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7.1.8供应商可先到工地踏勘以充分了解工地位置、情况、道路、储存空间、装卸限制及任何其他足以影响承包价的情况，任何因忽视或误解工地情况而导致的索赔或工期延长申请将不被批准。</w:t>
      </w:r>
    </w:p>
    <w:p w14:paraId="3822D493">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7.1.9供应商不得采用总价优惠、总价百分比优惠或以报价调整函的方式进行报价，其优惠应直接体现在各项报价的单价中。工程量清单总造价与报价汇总表中以文字表示的报价不一致的，应在竞争性磋商中详细说明原因。</w:t>
      </w:r>
    </w:p>
    <w:p w14:paraId="0DD3F788">
      <w:pPr>
        <w:pageBreakBefore w:val="0"/>
        <w:widowControl w:val="0"/>
        <w:shd w:val="clear" w:color="auto"/>
        <w:bidi w:val="0"/>
        <w:spacing w:line="400" w:lineRule="exact"/>
        <w:ind w:left="0" w:firstLine="408"/>
        <w:rPr>
          <w:rFonts w:hint="eastAsia" w:ascii="宋体" w:hAnsi="宋体" w:eastAsia="宋体" w:cs="宋体"/>
          <w:b/>
          <w:color w:val="auto"/>
          <w:szCs w:val="21"/>
          <w:highlight w:val="none"/>
          <w:u w:val="single"/>
        </w:rPr>
      </w:pPr>
      <w:r>
        <w:rPr>
          <w:rFonts w:hint="eastAsia" w:ascii="宋体" w:hAnsi="宋体" w:eastAsia="宋体" w:cs="宋体"/>
          <w:color w:val="auto"/>
          <w:szCs w:val="21"/>
          <w:highlight w:val="none"/>
        </w:rPr>
        <w:t>7.1.10</w:t>
      </w:r>
      <w:r>
        <w:rPr>
          <w:rFonts w:hint="eastAsia" w:ascii="宋体" w:hAnsi="宋体" w:eastAsia="宋体" w:cs="宋体"/>
          <w:b/>
          <w:color w:val="auto"/>
          <w:szCs w:val="21"/>
          <w:highlight w:val="none"/>
          <w:u w:val="single"/>
        </w:rPr>
        <w:t>供应商在报价时不能改变采购文件规定的暂定部分价格，否则作无效标处理。</w:t>
      </w:r>
    </w:p>
    <w:p w14:paraId="0CF491B1">
      <w:pPr>
        <w:pageBreakBefore w:val="0"/>
        <w:widowControl w:val="0"/>
        <w:shd w:val="clear" w:color="auto"/>
        <w:bidi w:val="0"/>
        <w:spacing w:line="400" w:lineRule="exact"/>
        <w:ind w:left="0" w:firstLine="408"/>
        <w:rPr>
          <w:rFonts w:hint="eastAsia" w:ascii="宋体" w:hAnsi="宋体" w:eastAsia="宋体" w:cs="宋体"/>
          <w:b/>
          <w:color w:val="auto"/>
          <w:szCs w:val="21"/>
          <w:highlight w:val="none"/>
          <w:u w:val="single"/>
        </w:rPr>
      </w:pPr>
      <w:r>
        <w:rPr>
          <w:rFonts w:hint="eastAsia" w:ascii="宋体" w:hAnsi="宋体" w:eastAsia="宋体" w:cs="宋体"/>
          <w:color w:val="auto"/>
          <w:szCs w:val="21"/>
          <w:highlight w:val="none"/>
        </w:rPr>
        <w:t>7.1.11</w:t>
      </w:r>
      <w:r>
        <w:rPr>
          <w:rFonts w:hint="eastAsia" w:ascii="宋体" w:hAnsi="宋体" w:eastAsia="宋体" w:cs="宋体"/>
          <w:b/>
          <w:color w:val="auto"/>
          <w:szCs w:val="21"/>
          <w:highlight w:val="none"/>
          <w:u w:val="single"/>
        </w:rPr>
        <w:t>供应商的报价须按竞争性磋商文件及澄清答疑中所确认的工程量清单及清单顺序进行报价，否则，将视为实质上不响应竞争性磋商文件的要求。</w:t>
      </w:r>
    </w:p>
    <w:p w14:paraId="518AB996">
      <w:pPr>
        <w:pageBreakBefore w:val="0"/>
        <w:widowControl w:val="0"/>
        <w:shd w:val="clear" w:color="auto"/>
        <w:bidi w:val="0"/>
        <w:spacing w:line="400" w:lineRule="exact"/>
        <w:ind w:left="0" w:firstLine="420"/>
        <w:rPr>
          <w:rFonts w:hint="eastAsia" w:ascii="宋体" w:hAnsi="宋体" w:eastAsia="宋体" w:cs="宋体"/>
          <w:b/>
          <w:color w:val="auto"/>
          <w:szCs w:val="21"/>
          <w:highlight w:val="none"/>
          <w:u w:val="single"/>
        </w:rPr>
      </w:pPr>
      <w:r>
        <w:rPr>
          <w:rFonts w:hint="eastAsia" w:ascii="宋体" w:hAnsi="宋体" w:eastAsia="宋体" w:cs="宋体"/>
          <w:color w:val="auto"/>
          <w:szCs w:val="21"/>
          <w:highlight w:val="none"/>
        </w:rPr>
        <w:t>7.1.12</w:t>
      </w:r>
      <w:r>
        <w:rPr>
          <w:rFonts w:hint="eastAsia" w:ascii="宋体" w:hAnsi="宋体" w:eastAsia="宋体" w:cs="宋体"/>
          <w:b/>
          <w:color w:val="auto"/>
          <w:szCs w:val="21"/>
          <w:highlight w:val="none"/>
          <w:u w:val="single"/>
        </w:rPr>
        <w:t>供应商在进行工程量清单竞标时，应按照采购人提供的工程量清单进行报价。供应商对自己所填写的项目编码、项目名称、计量单位、工程数量负责。如项目编码、项目名称、项目特征、计量单位、工程数量无法与采购人提供的工程量清单逐一对应时，视为不响应竞争性磋商文件实质性内容，将作无效标处理。</w:t>
      </w:r>
    </w:p>
    <w:p w14:paraId="0D8AD8DA">
      <w:pPr>
        <w:pageBreakBefore w:val="0"/>
        <w:widowControl w:val="0"/>
        <w:shd w:val="clear" w:color="auto"/>
        <w:bidi w:val="0"/>
        <w:spacing w:line="400" w:lineRule="exact"/>
        <w:ind w:left="0" w:firstLine="420"/>
        <w:rPr>
          <w:rFonts w:hint="eastAsia" w:ascii="宋体" w:hAnsi="宋体" w:eastAsia="宋体" w:cs="宋体"/>
          <w:b/>
          <w:bCs/>
          <w:color w:val="auto"/>
          <w:szCs w:val="21"/>
          <w:highlight w:val="none"/>
          <w:u w:val="none"/>
        </w:rPr>
      </w:pPr>
      <w:r>
        <w:rPr>
          <w:rFonts w:hint="eastAsia" w:ascii="宋体" w:hAnsi="宋体" w:eastAsia="宋体" w:cs="宋体"/>
          <w:b/>
          <w:bCs/>
          <w:color w:val="auto"/>
          <w:szCs w:val="21"/>
          <w:highlight w:val="none"/>
        </w:rPr>
        <w:t>7.2</w:t>
      </w:r>
      <w:r>
        <w:rPr>
          <w:rFonts w:hint="eastAsia" w:ascii="宋体" w:hAnsi="宋体" w:eastAsia="宋体" w:cs="宋体"/>
          <w:b/>
          <w:bCs/>
          <w:color w:val="auto"/>
          <w:szCs w:val="21"/>
          <w:highlight w:val="none"/>
          <w:u w:val="none"/>
        </w:rPr>
        <w:t>为贯彻落实财政部《关于推动解决政府采购异常低价问题的通知》（财库〔2026〕2号）的相关政策精神，深化整治“内卷式”、无序低价竞争，防止恶意低价中标（成交）可能导致的项目质量风险与诚信履约问题，本项目特设立异常低价审查程序。</w:t>
      </w:r>
    </w:p>
    <w:p w14:paraId="47E7165A">
      <w:pPr>
        <w:pageBreakBefore w:val="0"/>
        <w:widowControl w:val="0"/>
        <w:shd w:val="clear" w:color="auto"/>
        <w:bidi w:val="0"/>
        <w:spacing w:line="400" w:lineRule="exact"/>
        <w:ind w:left="0" w:firstLine="420"/>
        <w:rPr>
          <w:rFonts w:hint="eastAsia" w:ascii="宋体" w:hAnsi="宋体" w:eastAsia="宋体" w:cs="宋体"/>
          <w:b/>
          <w:bCs/>
          <w:color w:val="auto"/>
          <w:szCs w:val="21"/>
          <w:highlight w:val="none"/>
          <w:u w:val="none"/>
        </w:rPr>
      </w:pPr>
      <w:r>
        <w:rPr>
          <w:rFonts w:hint="eastAsia" w:ascii="宋体" w:hAnsi="宋体" w:eastAsia="宋体" w:cs="宋体"/>
          <w:b/>
          <w:bCs/>
          <w:color w:val="auto"/>
          <w:szCs w:val="21"/>
          <w:highlight w:val="none"/>
          <w:u w:val="none"/>
          <w:lang w:eastAsia="zh-CN"/>
        </w:rPr>
        <w:t>磋商小组</w:t>
      </w:r>
      <w:r>
        <w:rPr>
          <w:rFonts w:hint="eastAsia" w:ascii="宋体" w:hAnsi="宋体" w:eastAsia="宋体" w:cs="宋体"/>
          <w:b/>
          <w:bCs/>
          <w:color w:val="auto"/>
          <w:szCs w:val="21"/>
          <w:highlight w:val="none"/>
          <w:u w:val="none"/>
        </w:rPr>
        <w:t>在评审过程中</w:t>
      </w:r>
      <w:r>
        <w:rPr>
          <w:rFonts w:hint="eastAsia" w:ascii="宋体" w:hAnsi="宋体" w:eastAsia="宋体" w:cs="宋体"/>
          <w:b/>
          <w:bCs/>
          <w:color w:val="auto"/>
          <w:szCs w:val="21"/>
          <w:highlight w:val="none"/>
          <w:u w:val="none"/>
          <w:lang w:eastAsia="zh-CN"/>
        </w:rPr>
        <w:t>，</w:t>
      </w:r>
      <w:r>
        <w:rPr>
          <w:rFonts w:hint="eastAsia" w:ascii="宋体" w:hAnsi="宋体" w:eastAsia="宋体" w:cs="宋体"/>
          <w:b/>
          <w:bCs/>
          <w:color w:val="auto"/>
          <w:szCs w:val="21"/>
          <w:highlight w:val="none"/>
          <w:u w:val="none"/>
        </w:rPr>
        <w:t>出现下列情形之一的，</w:t>
      </w:r>
      <w:r>
        <w:rPr>
          <w:rFonts w:hint="eastAsia" w:ascii="宋体" w:hAnsi="宋体" w:eastAsia="宋体" w:cs="宋体"/>
          <w:b/>
          <w:bCs/>
          <w:color w:val="auto"/>
          <w:szCs w:val="21"/>
          <w:highlight w:val="none"/>
          <w:u w:val="none"/>
          <w:lang w:eastAsia="zh-CN"/>
        </w:rPr>
        <w:t>磋商小组</w:t>
      </w:r>
      <w:r>
        <w:rPr>
          <w:rFonts w:hint="eastAsia" w:ascii="宋体" w:hAnsi="宋体" w:eastAsia="宋体" w:cs="宋体"/>
          <w:b/>
          <w:bCs/>
          <w:color w:val="auto"/>
          <w:szCs w:val="21"/>
          <w:highlight w:val="none"/>
          <w:u w:val="none"/>
        </w:rPr>
        <w:t>应当启动异常低价投标（响应）审查程序：</w:t>
      </w:r>
    </w:p>
    <w:p w14:paraId="32B14DC9">
      <w:pPr>
        <w:pageBreakBefore w:val="0"/>
        <w:widowControl w:val="0"/>
        <w:shd w:val="clear" w:color="auto"/>
        <w:bidi w:val="0"/>
        <w:spacing w:line="400" w:lineRule="exact"/>
        <w:ind w:left="0" w:firstLine="420"/>
        <w:rPr>
          <w:rFonts w:hint="eastAsia" w:ascii="宋体" w:hAnsi="宋体" w:eastAsia="宋体" w:cs="宋体"/>
          <w:b w:val="0"/>
          <w:bCs w:val="0"/>
          <w:color w:val="auto"/>
          <w:szCs w:val="21"/>
          <w:highlight w:val="none"/>
          <w:u w:val="none"/>
        </w:rPr>
      </w:pPr>
      <w:r>
        <w:rPr>
          <w:rFonts w:hint="eastAsia" w:ascii="宋体" w:hAnsi="宋体" w:eastAsia="宋体" w:cs="宋体"/>
          <w:b w:val="0"/>
          <w:bCs w:val="0"/>
          <w:color w:val="auto"/>
          <w:szCs w:val="21"/>
          <w:highlight w:val="none"/>
          <w:u w:val="none"/>
        </w:rPr>
        <w:t>①投标（响应）报价低于全部通过符合性审查供应商投标（响应）报价平均值50%的，即投标（响应）报价＜全部通过符合性审查供应商投标（响应）报价平均值×50%；</w:t>
      </w:r>
    </w:p>
    <w:p w14:paraId="1972A606">
      <w:pPr>
        <w:pageBreakBefore w:val="0"/>
        <w:widowControl w:val="0"/>
        <w:shd w:val="clear" w:color="auto"/>
        <w:bidi w:val="0"/>
        <w:spacing w:line="400" w:lineRule="exact"/>
        <w:ind w:left="0" w:firstLine="420"/>
        <w:rPr>
          <w:rFonts w:hint="eastAsia" w:ascii="宋体" w:hAnsi="宋体" w:eastAsia="宋体" w:cs="宋体"/>
          <w:b w:val="0"/>
          <w:bCs w:val="0"/>
          <w:color w:val="auto"/>
          <w:szCs w:val="21"/>
          <w:highlight w:val="none"/>
          <w:u w:val="none"/>
        </w:rPr>
      </w:pPr>
      <w:r>
        <w:rPr>
          <w:rFonts w:hint="eastAsia" w:ascii="宋体" w:hAnsi="宋体" w:eastAsia="宋体" w:cs="宋体"/>
          <w:b w:val="0"/>
          <w:bCs w:val="0"/>
          <w:color w:val="auto"/>
          <w:szCs w:val="21"/>
          <w:highlight w:val="none"/>
          <w:u w:val="none"/>
        </w:rPr>
        <w:t>②投标（响应）报价低于通过符合性审查的次低报价供应商投标（响应）报价50%的，即投标（响应）报价＜通过符合性审查的次低报价供应商投标（响应）报价×50%；</w:t>
      </w:r>
    </w:p>
    <w:p w14:paraId="5BB7BB93">
      <w:pPr>
        <w:pageBreakBefore w:val="0"/>
        <w:widowControl w:val="0"/>
        <w:shd w:val="clear" w:color="auto"/>
        <w:bidi w:val="0"/>
        <w:spacing w:line="400" w:lineRule="exact"/>
        <w:ind w:left="0" w:firstLine="420"/>
        <w:rPr>
          <w:rFonts w:hint="eastAsia" w:ascii="宋体" w:hAnsi="宋体" w:eastAsia="宋体" w:cs="宋体"/>
          <w:b w:val="0"/>
          <w:bCs w:val="0"/>
          <w:color w:val="auto"/>
          <w:szCs w:val="21"/>
          <w:highlight w:val="none"/>
          <w:u w:val="none"/>
        </w:rPr>
      </w:pPr>
      <w:r>
        <w:rPr>
          <w:rFonts w:hint="eastAsia" w:ascii="宋体" w:hAnsi="宋体" w:eastAsia="宋体" w:cs="宋体"/>
          <w:b w:val="0"/>
          <w:bCs w:val="0"/>
          <w:color w:val="auto"/>
          <w:szCs w:val="21"/>
          <w:highlight w:val="none"/>
          <w:u w:val="none"/>
        </w:rPr>
        <w:t>③投标（响应）报价低于采购项目最高限价45%的，即投标（响应）报价＜采购项目最高限价×45%；</w:t>
      </w:r>
    </w:p>
    <w:p w14:paraId="601B5F4F">
      <w:pPr>
        <w:pageBreakBefore w:val="0"/>
        <w:widowControl w:val="0"/>
        <w:shd w:val="clear" w:color="auto"/>
        <w:bidi w:val="0"/>
        <w:spacing w:line="400" w:lineRule="exact"/>
        <w:ind w:left="0" w:firstLine="420"/>
        <w:rPr>
          <w:rFonts w:hint="eastAsia" w:ascii="宋体" w:hAnsi="宋体" w:eastAsia="宋体" w:cs="宋体"/>
          <w:b w:val="0"/>
          <w:bCs w:val="0"/>
          <w:color w:val="auto"/>
          <w:szCs w:val="21"/>
          <w:highlight w:val="none"/>
          <w:u w:val="none"/>
        </w:rPr>
      </w:pPr>
      <w:r>
        <w:rPr>
          <w:rFonts w:hint="eastAsia" w:ascii="宋体" w:hAnsi="宋体" w:eastAsia="宋体" w:cs="宋体"/>
          <w:b w:val="0"/>
          <w:bCs w:val="0"/>
          <w:color w:val="auto"/>
          <w:szCs w:val="21"/>
          <w:highlight w:val="none"/>
          <w:u w:val="none"/>
        </w:rPr>
        <w:t>④</w:t>
      </w:r>
      <w:r>
        <w:rPr>
          <w:rFonts w:hint="eastAsia" w:ascii="宋体" w:hAnsi="宋体" w:eastAsia="宋体" w:cs="宋体"/>
          <w:b w:val="0"/>
          <w:bCs w:val="0"/>
          <w:color w:val="auto"/>
          <w:szCs w:val="21"/>
          <w:highlight w:val="none"/>
          <w:u w:val="none"/>
          <w:lang w:val="en-US" w:eastAsia="zh-CN"/>
        </w:rPr>
        <w:t>磋商小组</w:t>
      </w:r>
      <w:r>
        <w:rPr>
          <w:rFonts w:hint="eastAsia" w:ascii="宋体" w:hAnsi="宋体" w:eastAsia="宋体" w:cs="宋体"/>
          <w:b w:val="0"/>
          <w:bCs w:val="0"/>
          <w:color w:val="auto"/>
          <w:szCs w:val="21"/>
          <w:highlight w:val="none"/>
          <w:u w:val="none"/>
        </w:rPr>
        <w:t>基于专业判断，认为供应商报价过低，有可能影响产品质量或者不能诚信履约的其他情形。</w:t>
      </w:r>
    </w:p>
    <w:p w14:paraId="57F2456E">
      <w:pPr>
        <w:pageBreakBefore w:val="0"/>
        <w:widowControl w:val="0"/>
        <w:shd w:val="clear" w:color="auto"/>
        <w:bidi w:val="0"/>
        <w:spacing w:line="400" w:lineRule="exact"/>
        <w:ind w:left="0" w:firstLine="420"/>
        <w:rPr>
          <w:rFonts w:hint="eastAsia" w:ascii="宋体" w:hAnsi="宋体" w:eastAsia="宋体" w:cs="宋体"/>
          <w:b w:val="0"/>
          <w:bCs w:val="0"/>
          <w:color w:val="auto"/>
          <w:szCs w:val="21"/>
          <w:highlight w:val="none"/>
          <w:u w:val="none"/>
        </w:rPr>
      </w:pPr>
      <w:r>
        <w:rPr>
          <w:rFonts w:hint="eastAsia" w:ascii="宋体" w:hAnsi="宋体" w:eastAsia="宋体" w:cs="宋体"/>
          <w:b w:val="0"/>
          <w:bCs w:val="0"/>
          <w:color w:val="auto"/>
          <w:szCs w:val="21"/>
          <w:highlight w:val="none"/>
          <w:u w:val="none"/>
        </w:rPr>
        <w:t>触发审查的供应商应在</w:t>
      </w:r>
      <w:r>
        <w:rPr>
          <w:rFonts w:hint="eastAsia" w:ascii="宋体" w:hAnsi="宋体" w:eastAsia="宋体" w:cs="宋体"/>
          <w:b w:val="0"/>
          <w:bCs w:val="0"/>
          <w:color w:val="auto"/>
          <w:szCs w:val="21"/>
          <w:highlight w:val="none"/>
          <w:u w:val="none"/>
          <w:lang w:eastAsia="zh-CN"/>
        </w:rPr>
        <w:t>磋商小组</w:t>
      </w:r>
      <w:r>
        <w:rPr>
          <w:rFonts w:hint="eastAsia" w:ascii="宋体" w:hAnsi="宋体" w:eastAsia="宋体" w:cs="宋体"/>
          <w:b w:val="0"/>
          <w:bCs w:val="0"/>
          <w:color w:val="auto"/>
          <w:szCs w:val="21"/>
          <w:highlight w:val="none"/>
          <w:u w:val="none"/>
        </w:rPr>
        <w:t>规定的时间内（一般不少于30分钟，供应商应提前做好充分准备）提交书面说明，并提供必要的证明材料，包括但不限于：详细的成本构成分析（包括人工、材料、机械、管理费、利润、税金等分项报价明细），拟采用的主要材料品牌、型号、产地及供应商报价单，拟投入本项目的关键人员、设备清单及来源说明，能够证明报价合理性的其他材料（如类似项目合同、采购凭证等）。</w:t>
      </w:r>
    </w:p>
    <w:p w14:paraId="088A19A5">
      <w:pPr>
        <w:pageBreakBefore w:val="0"/>
        <w:widowControl w:val="0"/>
        <w:shd w:val="clear" w:color="auto"/>
        <w:bidi w:val="0"/>
        <w:spacing w:line="400" w:lineRule="exact"/>
        <w:ind w:left="0" w:firstLine="420"/>
        <w:rPr>
          <w:rFonts w:hint="eastAsia" w:ascii="宋体" w:hAnsi="宋体" w:eastAsia="宋体" w:cs="宋体"/>
          <w:b w:val="0"/>
          <w:bCs w:val="0"/>
          <w:color w:val="auto"/>
          <w:szCs w:val="21"/>
          <w:highlight w:val="none"/>
          <w:u w:val="none"/>
        </w:rPr>
      </w:pPr>
      <w:r>
        <w:rPr>
          <w:rFonts w:hint="eastAsia" w:ascii="宋体" w:hAnsi="宋体" w:eastAsia="宋体" w:cs="宋体"/>
          <w:b w:val="0"/>
          <w:bCs w:val="0"/>
          <w:color w:val="auto"/>
          <w:szCs w:val="21"/>
          <w:highlight w:val="none"/>
          <w:u w:val="none"/>
          <w:lang w:eastAsia="zh-CN"/>
        </w:rPr>
        <w:t>磋商小组</w:t>
      </w:r>
      <w:r>
        <w:rPr>
          <w:rFonts w:hint="eastAsia" w:ascii="宋体" w:hAnsi="宋体" w:eastAsia="宋体" w:cs="宋体"/>
          <w:b w:val="0"/>
          <w:bCs w:val="0"/>
          <w:color w:val="auto"/>
          <w:szCs w:val="21"/>
          <w:highlight w:val="none"/>
          <w:u w:val="none"/>
        </w:rPr>
        <w:t>结合项目具体特点、市场行情、供应商的说明及证明材料，对其报价是否低于成本、是否影响项目质量和合同履约进行集体评议。</w:t>
      </w:r>
    </w:p>
    <w:p w14:paraId="53C8E15F">
      <w:pPr>
        <w:keepNext/>
        <w:keepLines/>
        <w:pageBreakBefore w:val="0"/>
        <w:widowControl w:val="0"/>
        <w:shd w:val="clear" w:color="auto"/>
        <w:bidi w:val="0"/>
        <w:spacing w:line="400" w:lineRule="exact"/>
        <w:ind w:left="0" w:firstLine="420"/>
        <w:outlineLvl w:val="3"/>
        <w:rPr>
          <w:rFonts w:hint="eastAsia" w:ascii="宋体" w:hAnsi="宋体" w:eastAsia="宋体" w:cs="宋体"/>
          <w:b w:val="0"/>
          <w:bCs w:val="0"/>
          <w:color w:val="auto"/>
          <w:szCs w:val="21"/>
          <w:highlight w:val="none"/>
          <w:u w:val="none"/>
        </w:rPr>
      </w:pPr>
      <w:r>
        <w:rPr>
          <w:rFonts w:hint="eastAsia" w:ascii="宋体" w:hAnsi="宋体" w:eastAsia="宋体" w:cs="宋体"/>
          <w:b w:val="0"/>
          <w:bCs w:val="0"/>
          <w:color w:val="auto"/>
          <w:szCs w:val="21"/>
          <w:highlight w:val="none"/>
          <w:u w:val="none"/>
        </w:rPr>
        <w:t>若供应商未能按时提交说明和证明材料，或提交的材料不足以合理证明其报价能够保证项目质量并诚信履约，经</w:t>
      </w:r>
      <w:r>
        <w:rPr>
          <w:rFonts w:hint="eastAsia" w:ascii="宋体" w:hAnsi="宋体" w:eastAsia="宋体" w:cs="宋体"/>
          <w:b w:val="0"/>
          <w:bCs w:val="0"/>
          <w:color w:val="auto"/>
          <w:szCs w:val="21"/>
          <w:highlight w:val="none"/>
          <w:u w:val="none"/>
          <w:lang w:eastAsia="zh-CN"/>
        </w:rPr>
        <w:t>磋商小组</w:t>
      </w:r>
      <w:r>
        <w:rPr>
          <w:rFonts w:hint="eastAsia" w:ascii="宋体" w:hAnsi="宋体" w:eastAsia="宋体" w:cs="宋体"/>
          <w:b w:val="0"/>
          <w:bCs w:val="0"/>
          <w:color w:val="auto"/>
          <w:szCs w:val="21"/>
          <w:highlight w:val="none"/>
          <w:u w:val="none"/>
        </w:rPr>
        <w:t>过半数成员认定，其响应文件将按无效响应处理。</w:t>
      </w:r>
    </w:p>
    <w:p w14:paraId="4D59A255">
      <w:pPr>
        <w:keepNext/>
        <w:keepLines/>
        <w:pageBreakBefore w:val="0"/>
        <w:widowControl w:val="0"/>
        <w:shd w:val="clear" w:color="auto"/>
        <w:bidi w:val="0"/>
        <w:spacing w:line="400" w:lineRule="exact"/>
        <w:ind w:left="0" w:firstLine="420"/>
        <w:outlineLvl w:val="3"/>
        <w:rPr>
          <w:rFonts w:hint="eastAsia" w:ascii="宋体" w:hAnsi="宋体" w:eastAsia="宋体" w:cs="宋体"/>
          <w:b/>
          <w:bCs/>
          <w:color w:val="auto"/>
          <w:szCs w:val="21"/>
          <w:highlight w:val="none"/>
        </w:rPr>
      </w:pPr>
      <w:r>
        <w:rPr>
          <w:rFonts w:hint="eastAsia" w:ascii="宋体" w:hAnsi="宋体" w:eastAsia="宋体" w:cs="宋体"/>
          <w:b w:val="0"/>
          <w:bCs w:val="0"/>
          <w:color w:val="auto"/>
          <w:szCs w:val="21"/>
          <w:highlight w:val="none"/>
          <w:u w:val="none"/>
        </w:rPr>
        <w:t>若供应商的说明和证明材料经</w:t>
      </w:r>
      <w:r>
        <w:rPr>
          <w:rFonts w:hint="eastAsia" w:ascii="宋体" w:hAnsi="宋体" w:eastAsia="宋体" w:cs="宋体"/>
          <w:b w:val="0"/>
          <w:bCs w:val="0"/>
          <w:color w:val="auto"/>
          <w:szCs w:val="21"/>
          <w:highlight w:val="none"/>
          <w:u w:val="none"/>
          <w:lang w:eastAsia="zh-CN"/>
        </w:rPr>
        <w:t>磋商小组</w:t>
      </w:r>
      <w:r>
        <w:rPr>
          <w:rFonts w:hint="eastAsia" w:ascii="宋体" w:hAnsi="宋体" w:eastAsia="宋体" w:cs="宋体"/>
          <w:b w:val="0"/>
          <w:bCs w:val="0"/>
          <w:color w:val="auto"/>
          <w:szCs w:val="21"/>
          <w:highlight w:val="none"/>
          <w:u w:val="none"/>
        </w:rPr>
        <w:t>评议认为合理、可信，其报价继续参与后续评审</w:t>
      </w:r>
      <w:r>
        <w:rPr>
          <w:rFonts w:hint="eastAsia" w:ascii="宋体" w:hAnsi="宋体" w:eastAsia="宋体" w:cs="宋体"/>
          <w:b w:val="0"/>
          <w:bCs w:val="0"/>
          <w:color w:val="auto"/>
          <w:szCs w:val="21"/>
          <w:highlight w:val="none"/>
        </w:rPr>
        <w:t>。</w:t>
      </w:r>
    </w:p>
    <w:p w14:paraId="405D4A5B">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7.3.工程上限控制价的公布和修改</w:t>
      </w:r>
    </w:p>
    <w:p w14:paraId="03C74736">
      <w:pPr>
        <w:pageBreakBefore w:val="0"/>
        <w:shd w:val="clear" w:color="auto"/>
        <w:bidi w:val="0"/>
        <w:spacing w:line="400" w:lineRule="exact"/>
        <w:ind w:left="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7.3.1</w:t>
      </w:r>
      <w:r>
        <w:rPr>
          <w:rFonts w:hint="eastAsia" w:ascii="宋体" w:hAnsi="宋体" w:eastAsia="宋体" w:cs="宋体"/>
          <w:b/>
          <w:color w:val="auto"/>
          <w:szCs w:val="21"/>
          <w:highlight w:val="none"/>
        </w:rPr>
        <w:t>本项目工程上限控制价为：</w:t>
      </w:r>
      <w:r>
        <w:rPr>
          <w:rFonts w:hint="eastAsia" w:ascii="宋体" w:hAnsi="宋体" w:cs="宋体"/>
          <w:b/>
          <w:color w:val="auto"/>
          <w:szCs w:val="21"/>
          <w:lang w:val="en-US" w:eastAsia="zh-CN"/>
        </w:rPr>
        <w:t>叁佰贰拾叁万肆仟肆佰柒拾玖元捌角伍分</w:t>
      </w:r>
      <w:r>
        <w:rPr>
          <w:rFonts w:hint="eastAsia" w:ascii="宋体" w:hAnsi="宋体" w:eastAsia="宋体" w:cs="宋体"/>
          <w:b/>
          <w:bCs/>
          <w:color w:val="auto"/>
          <w:szCs w:val="21"/>
          <w:u w:val="none"/>
        </w:rPr>
        <w:t>（¥3234479</w:t>
      </w:r>
      <w:r>
        <w:rPr>
          <w:rFonts w:hint="eastAsia" w:ascii="宋体" w:hAnsi="宋体" w:cs="宋体"/>
          <w:b/>
          <w:bCs/>
          <w:color w:val="auto"/>
          <w:szCs w:val="21"/>
          <w:u w:val="none"/>
          <w:lang w:val="en-US" w:eastAsia="zh-CN"/>
        </w:rPr>
        <w:t>.</w:t>
      </w:r>
      <w:r>
        <w:rPr>
          <w:rFonts w:hint="eastAsia" w:ascii="宋体" w:hAnsi="宋体" w:eastAsia="宋体" w:cs="宋体"/>
          <w:b/>
          <w:bCs/>
          <w:color w:val="auto"/>
          <w:szCs w:val="21"/>
          <w:u w:val="none"/>
        </w:rPr>
        <w:t>85）</w:t>
      </w:r>
      <w:r>
        <w:rPr>
          <w:rFonts w:hint="eastAsia" w:ascii="宋体" w:hAnsi="宋体" w:eastAsia="宋体" w:cs="宋体"/>
          <w:b/>
          <w:bCs/>
          <w:color w:val="auto"/>
          <w:highlight w:val="none"/>
        </w:rPr>
        <w:t>。</w:t>
      </w:r>
    </w:p>
    <w:p w14:paraId="1D567BCE">
      <w:pPr>
        <w:pageBreakBefore w:val="0"/>
        <w:shd w:val="clear" w:color="auto"/>
        <w:bidi w:val="0"/>
        <w:spacing w:line="400" w:lineRule="exact"/>
        <w:ind w:left="0" w:firstLine="42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7.3.2供应商应认真对照工程量清单等文件核对采购人公布的上限控制价，发现上限控制价有误的，必须在磋商截止时间5天前向采购人提出书面异议或修正要求。采购人应对磋商供应商提出的书面异议或修正要求进行核实。如采购人认为有必要对上限控制价进行修正的，将在开标5天前重新公布修正后的工程招标控制价。</w:t>
      </w:r>
    </w:p>
    <w:p w14:paraId="5A71B8FE">
      <w:pPr>
        <w:keepNext w:val="0"/>
        <w:keepLines w:val="0"/>
        <w:pageBreakBefore w:val="0"/>
        <w:widowControl w:val="0"/>
        <w:shd w:val="clear" w:color="auto"/>
        <w:bidi w:val="0"/>
        <w:spacing w:before="60" w:after="60" w:line="400" w:lineRule="exact"/>
        <w:ind w:left="0" w:firstLine="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四、竞争性磋商响应文件的份数、上传、提交、修改、撤回和解密</w:t>
      </w:r>
    </w:p>
    <w:p w14:paraId="222E52B3">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8. 竞争性磋商响应文件的份数、上传、提交、解密</w:t>
      </w:r>
    </w:p>
    <w:p w14:paraId="69EE2F55">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见须知前附表。</w:t>
      </w:r>
    </w:p>
    <w:p w14:paraId="59E3703B">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9. 磋商响应文件的修改和撤回：供应商应当在截止时</w:t>
      </w:r>
      <w:r>
        <w:rPr>
          <w:rFonts w:hint="eastAsia" w:ascii="宋体" w:hAnsi="宋体" w:eastAsia="宋体" w:cs="宋体"/>
          <w:color w:val="auto"/>
          <w:szCs w:val="21"/>
          <w:highlight w:val="none"/>
          <w:lang w:eastAsia="zh-CN"/>
        </w:rPr>
        <w:t>间之</w:t>
      </w:r>
      <w:r>
        <w:rPr>
          <w:rFonts w:hint="eastAsia" w:ascii="宋体" w:hAnsi="宋体" w:eastAsia="宋体" w:cs="宋体"/>
          <w:color w:val="auto"/>
          <w:szCs w:val="21"/>
          <w:highlight w:val="none"/>
        </w:rPr>
        <w:t>前完成响应文件的上传、提交，并可以补充、修改或者撤回响应文件。补充或者修改响应文件的，应当先行撤回原文件，补充、修改后重新上传、递交。截止时间前未完成上传、递交的，视为撤回响应文件。截止时间后递交的响应文件，“政府采购云平台”将予以拒收。截止时间后，供应商不得撤回、修改响应文件。</w:t>
      </w:r>
    </w:p>
    <w:p w14:paraId="4EC45922">
      <w:pPr>
        <w:keepNext w:val="0"/>
        <w:keepLines w:val="0"/>
        <w:pageBreakBefore w:val="0"/>
        <w:widowControl w:val="0"/>
        <w:shd w:val="clear" w:color="auto"/>
        <w:bidi w:val="0"/>
        <w:spacing w:before="60" w:after="60" w:line="400" w:lineRule="exact"/>
        <w:ind w:left="0" w:firstLine="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五、磋商保证金</w:t>
      </w:r>
    </w:p>
    <w:p w14:paraId="15C388B4">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10.1保证金应用人民币，具体金额及缴纳方式详见竞争性磋商。</w:t>
      </w:r>
    </w:p>
    <w:p w14:paraId="26450B84">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10.2未成交磋商供应商的保证金，将在成交通知书发出后四个工作日内予以退还，不计利息。成交供应商的保证金在合同签订后四个工作日内退还（合同签订后</w:t>
      </w:r>
      <w:r>
        <w:rPr>
          <w:rFonts w:hint="eastAsia" w:ascii="宋体" w:hAnsi="宋体" w:eastAsia="宋体" w:cs="宋体"/>
          <w:color w:val="auto"/>
          <w:szCs w:val="21"/>
          <w:highlight w:val="none"/>
          <w:lang w:eastAsia="zh-CN"/>
        </w:rPr>
        <w:t>送达</w:t>
      </w:r>
      <w:r>
        <w:rPr>
          <w:rFonts w:hint="eastAsia" w:ascii="宋体" w:hAnsi="宋体" w:eastAsia="宋体" w:cs="宋体"/>
          <w:color w:val="auto"/>
          <w:szCs w:val="21"/>
          <w:highlight w:val="none"/>
        </w:rPr>
        <w:t>广西国力招标有限公司），不计利息。</w:t>
      </w:r>
    </w:p>
    <w:p w14:paraId="62A91039">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10.3供应商为联合体的，可以由联合体中的一方或者多方共同交纳保证金，其交纳的保证金对联合体各方均具有约束力。</w:t>
      </w:r>
    </w:p>
    <w:p w14:paraId="10BA51E9">
      <w:pPr>
        <w:pageBreakBefore w:val="0"/>
        <w:shd w:val="clear" w:color="auto"/>
        <w:tabs>
          <w:tab w:val="left" w:pos="975"/>
        </w:tabs>
        <w:bidi w:val="0"/>
        <w:spacing w:line="400" w:lineRule="exact"/>
        <w:ind w:left="0" w:firstLine="413"/>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10.4磋商供应商有下列情形之一的，保证金将不予退还：</w:t>
      </w:r>
    </w:p>
    <w:p w14:paraId="6CEEE1F3">
      <w:pPr>
        <w:pageBreakBefore w:val="0"/>
        <w:shd w:val="clear" w:color="auto"/>
        <w:tabs>
          <w:tab w:val="left" w:pos="975"/>
        </w:tabs>
        <w:bidi w:val="0"/>
        <w:spacing w:line="400" w:lineRule="exact"/>
        <w:ind w:left="0" w:firstLine="411"/>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1）磋商供应商在提交竞争性磋商响应文件截止时间后撤回竞争性磋商响应文件的；</w:t>
      </w:r>
    </w:p>
    <w:p w14:paraId="37EC11E5">
      <w:pPr>
        <w:pageBreakBefore w:val="0"/>
        <w:shd w:val="clear" w:color="auto"/>
        <w:tabs>
          <w:tab w:val="left" w:pos="975"/>
        </w:tabs>
        <w:bidi w:val="0"/>
        <w:spacing w:line="400" w:lineRule="exact"/>
        <w:ind w:left="0" w:firstLine="411"/>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2）磋商供应商在竞争性磋商响应文件中提供虚假材料的；</w:t>
      </w:r>
    </w:p>
    <w:p w14:paraId="51E5BF32">
      <w:pPr>
        <w:pageBreakBefore w:val="0"/>
        <w:shd w:val="clear" w:color="auto"/>
        <w:tabs>
          <w:tab w:val="left" w:pos="975"/>
        </w:tabs>
        <w:bidi w:val="0"/>
        <w:spacing w:line="400" w:lineRule="exact"/>
        <w:ind w:left="0" w:firstLine="411"/>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3）除因不可抗力或竞争性磋商文件认可的情形以外，成交供应商不与采购人签订合同的；</w:t>
      </w:r>
    </w:p>
    <w:p w14:paraId="0DA862B1">
      <w:pPr>
        <w:pageBreakBefore w:val="0"/>
        <w:shd w:val="clear" w:color="auto"/>
        <w:tabs>
          <w:tab w:val="left" w:pos="975"/>
        </w:tabs>
        <w:bidi w:val="0"/>
        <w:spacing w:line="400" w:lineRule="exact"/>
        <w:ind w:left="0" w:firstLine="411"/>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4）磋商供应商与采购人、其他供应商或者采购代理机构恶意串通的。</w:t>
      </w:r>
    </w:p>
    <w:p w14:paraId="1D83D324">
      <w:pPr>
        <w:pageBreakBefore w:val="0"/>
        <w:shd w:val="clear" w:color="auto"/>
        <w:tabs>
          <w:tab w:val="left" w:pos="975"/>
        </w:tabs>
        <w:bidi w:val="0"/>
        <w:spacing w:line="400" w:lineRule="exact"/>
        <w:ind w:left="0" w:firstLine="411"/>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5）法律法规规定的其他情形。</w:t>
      </w:r>
    </w:p>
    <w:p w14:paraId="31696F9E">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bCs/>
          <w:color w:val="auto"/>
          <w:szCs w:val="21"/>
          <w:highlight w:val="none"/>
        </w:rPr>
        <w:t>注：</w:t>
      </w:r>
      <w:r>
        <w:rPr>
          <w:rFonts w:hint="eastAsia" w:ascii="宋体" w:hAnsi="宋体" w:eastAsia="宋体" w:cs="宋体"/>
          <w:b/>
          <w:color w:val="auto"/>
          <w:szCs w:val="21"/>
          <w:highlight w:val="none"/>
        </w:rPr>
        <w:t>磋商供应商</w:t>
      </w:r>
      <w:r>
        <w:rPr>
          <w:rFonts w:hint="eastAsia" w:ascii="宋体" w:hAnsi="宋体" w:eastAsia="宋体" w:cs="宋体"/>
          <w:b/>
          <w:color w:val="auto"/>
          <w:highlight w:val="none"/>
        </w:rPr>
        <w:t>已经被推荐为第一成交候选供应商后撤回</w:t>
      </w:r>
      <w:r>
        <w:rPr>
          <w:rFonts w:hint="eastAsia" w:ascii="宋体" w:hAnsi="宋体" w:eastAsia="宋体" w:cs="宋体"/>
          <w:b/>
          <w:color w:val="auto"/>
          <w:szCs w:val="21"/>
          <w:highlight w:val="none"/>
        </w:rPr>
        <w:t>竞争性磋商响应文件</w:t>
      </w:r>
      <w:r>
        <w:rPr>
          <w:rFonts w:hint="eastAsia" w:ascii="宋体" w:hAnsi="宋体" w:eastAsia="宋体" w:cs="宋体"/>
          <w:b/>
          <w:color w:val="auto"/>
          <w:highlight w:val="none"/>
        </w:rPr>
        <w:t>或</w:t>
      </w:r>
      <w:r>
        <w:rPr>
          <w:rFonts w:hint="eastAsia" w:ascii="宋体" w:hAnsi="宋体" w:eastAsia="宋体" w:cs="宋体"/>
          <w:b/>
          <w:color w:val="auto"/>
          <w:szCs w:val="21"/>
          <w:highlight w:val="none"/>
        </w:rPr>
        <w:t>拒绝签订政府采购合同的</w:t>
      </w:r>
      <w:r>
        <w:rPr>
          <w:rFonts w:hint="eastAsia" w:ascii="宋体" w:hAnsi="宋体" w:eastAsia="宋体" w:cs="宋体"/>
          <w:b/>
          <w:color w:val="auto"/>
          <w:highlight w:val="none"/>
        </w:rPr>
        <w:t>，其保证金将不予退还，并上缴国库，给采购人造成损失的，还应当赔偿损失，并作为不良行为记录在案。</w:t>
      </w:r>
    </w:p>
    <w:p w14:paraId="067A8DE2">
      <w:pPr>
        <w:keepNext w:val="0"/>
        <w:keepLines w:val="0"/>
        <w:pageBreakBefore w:val="0"/>
        <w:widowControl w:val="0"/>
        <w:shd w:val="clear" w:color="auto"/>
        <w:bidi w:val="0"/>
        <w:spacing w:before="60" w:after="60" w:line="400" w:lineRule="exact"/>
        <w:ind w:left="0" w:firstLine="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六、磋商程序及评标方法</w:t>
      </w:r>
    </w:p>
    <w:p w14:paraId="642EEE73">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color w:val="auto"/>
          <w:highlight w:val="none"/>
        </w:rPr>
        <w:t>（一）竞争性磋商响应文件无效的情形：</w:t>
      </w:r>
    </w:p>
    <w:p w14:paraId="2CA9A0EC">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color w:val="auto"/>
          <w:highlight w:val="none"/>
        </w:rPr>
        <w:t>1.未实质性响应竞争性磋商文件的竞争性磋商响应文件按无效处理。</w:t>
      </w:r>
    </w:p>
    <w:p w14:paraId="21A198A8">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color w:val="auto"/>
          <w:highlight w:val="none"/>
        </w:rPr>
        <w:t>2.有下列情形之一的视为供应商相互串通参与磋商活动，竞争性磋商响应文件将被视为无效：</w:t>
      </w:r>
    </w:p>
    <w:p w14:paraId="0A27ADF9">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color w:val="auto"/>
          <w:highlight w:val="none"/>
        </w:rPr>
        <w:t>（1）不同供应商的竞争性磋商响应文件由同一单位或者个人编制；或不同供应商报名的IP地址一致的；</w:t>
      </w:r>
    </w:p>
    <w:p w14:paraId="1D04A572">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color w:val="auto"/>
          <w:highlight w:val="none"/>
        </w:rPr>
        <w:t>（2）不同供应商委托同一单位或者个人办理磋商活动事宜；</w:t>
      </w:r>
    </w:p>
    <w:p w14:paraId="72B6CA0D">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color w:val="auto"/>
          <w:highlight w:val="none"/>
        </w:rPr>
        <w:t>（3）不同的供应商的竞争性磋商响应文件载明的项目管理员或者联系人员为同一个人；</w:t>
      </w:r>
    </w:p>
    <w:p w14:paraId="071AF146">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color w:val="auto"/>
          <w:highlight w:val="none"/>
        </w:rPr>
        <w:t>（4）不同供应商的竞争性磋商响应文件异常一致或磋商报价呈规律性差异；</w:t>
      </w:r>
    </w:p>
    <w:p w14:paraId="1431F515">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color w:val="auto"/>
          <w:highlight w:val="none"/>
        </w:rPr>
        <w:t>（5）不同供应商的竞争性磋商响应文件相互混装；</w:t>
      </w:r>
    </w:p>
    <w:p w14:paraId="262A90D4">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color w:val="auto"/>
          <w:highlight w:val="none"/>
        </w:rPr>
        <w:t>（6）不同供应商的保证金从同一单位或者个人账户转出。</w:t>
      </w:r>
    </w:p>
    <w:p w14:paraId="2B122AB7">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color w:val="auto"/>
          <w:highlight w:val="none"/>
        </w:rPr>
        <w:t>3.有下列情形之一的视为关联供应商参加同一合同项下政府采购活动，竞争性磋商响应文件将被视为无效：</w:t>
      </w:r>
    </w:p>
    <w:p w14:paraId="1A893A4B">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color w:val="auto"/>
          <w:highlight w:val="none"/>
        </w:rPr>
        <w:t>（1）单位负责人为同一人或者存在直接控股、管理关系的不同供应商，参加同一合同项下政府采购活动；</w:t>
      </w:r>
    </w:p>
    <w:p w14:paraId="37891ACC">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color w:val="auto"/>
          <w:highlight w:val="none"/>
        </w:rPr>
        <w:t>（2）生产厂商授权给供应商后又参加同一合同项下的政府采购活动；生产厂商对同一品牌同一型号的货物委托多个代理商参加磋商活动。</w:t>
      </w:r>
    </w:p>
    <w:p w14:paraId="66F32455">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color w:val="auto"/>
          <w:highlight w:val="none"/>
        </w:rPr>
        <w:t>4. 其他竞标无效的情形：</w:t>
      </w:r>
    </w:p>
    <w:p w14:paraId="5F5C6D4F">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color w:val="auto"/>
          <w:highlight w:val="none"/>
        </w:rPr>
        <w:t>（1）竞争性磋商响应文件未按竞争性磋商文件要求签署或CA电子签章的；</w:t>
      </w:r>
    </w:p>
    <w:p w14:paraId="3C8481BA">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color w:val="auto"/>
          <w:highlight w:val="none"/>
        </w:rPr>
        <w:t>（2）供应商提交两份或两份以上内容不同的竞争性磋商响应文件；</w:t>
      </w:r>
    </w:p>
    <w:p w14:paraId="5771B9BD">
      <w:pPr>
        <w:pageBreakBefore w:val="0"/>
        <w:shd w:val="clear" w:color="auto"/>
        <w:tabs>
          <w:tab w:val="left" w:pos="975"/>
        </w:tabs>
        <w:bidi w:val="0"/>
        <w:spacing w:line="400" w:lineRule="exact"/>
        <w:ind w:left="0" w:firstLine="413"/>
        <w:jc w:val="left"/>
        <w:rPr>
          <w:rFonts w:hint="eastAsia" w:ascii="宋体" w:hAnsi="宋体" w:eastAsia="宋体" w:cs="宋体"/>
          <w:b/>
          <w:color w:val="auto"/>
          <w:highlight w:val="none"/>
        </w:rPr>
      </w:pPr>
      <w:r>
        <w:rPr>
          <w:rFonts w:hint="eastAsia" w:ascii="宋体" w:hAnsi="宋体" w:eastAsia="宋体" w:cs="宋体"/>
          <w:b/>
          <w:color w:val="auto"/>
          <w:highlight w:val="none"/>
        </w:rPr>
        <w:t>（3）磋商供应商在线制作竞争性磋商响应文件时填写的报价金额与解密后“电子加密响应文件”中《报价文件》填写的金额不一致并拒绝按采购文件要求接受调整的；</w:t>
      </w:r>
    </w:p>
    <w:p w14:paraId="71715920">
      <w:pPr>
        <w:pageBreakBefore w:val="0"/>
        <w:shd w:val="clear" w:color="auto"/>
        <w:tabs>
          <w:tab w:val="left" w:pos="975"/>
        </w:tabs>
        <w:bidi w:val="0"/>
        <w:spacing w:line="400" w:lineRule="exact"/>
        <w:ind w:left="0" w:firstLine="413"/>
        <w:jc w:val="left"/>
        <w:rPr>
          <w:rFonts w:hint="eastAsia" w:ascii="宋体" w:hAnsi="宋体" w:eastAsia="宋体" w:cs="宋体"/>
          <w:color w:val="auto"/>
          <w:highlight w:val="none"/>
        </w:rPr>
      </w:pPr>
      <w:r>
        <w:rPr>
          <w:rFonts w:hint="eastAsia" w:ascii="宋体" w:hAnsi="宋体" w:eastAsia="宋体" w:cs="宋体"/>
          <w:b/>
          <w:color w:val="auto"/>
          <w:highlight w:val="none"/>
        </w:rPr>
        <w:t>（4）</w:t>
      </w:r>
      <w:r>
        <w:rPr>
          <w:rFonts w:hint="eastAsia" w:ascii="宋体" w:hAnsi="宋体" w:eastAsia="宋体" w:cs="宋体"/>
          <w:b/>
          <w:color w:val="auto"/>
          <w:highlight w:val="none"/>
          <w:lang w:eastAsia="zh-CN"/>
        </w:rPr>
        <w:t>法律法规</w:t>
      </w:r>
      <w:r>
        <w:rPr>
          <w:rFonts w:hint="eastAsia" w:ascii="宋体" w:hAnsi="宋体" w:eastAsia="宋体" w:cs="宋体"/>
          <w:b/>
          <w:color w:val="auto"/>
          <w:highlight w:val="none"/>
        </w:rPr>
        <w:t>和采购文件规定的其他无效情形（或出现重大偏差）。</w:t>
      </w:r>
      <w:r>
        <w:rPr>
          <w:rFonts w:hint="eastAsia" w:ascii="宋体" w:hAnsi="宋体" w:eastAsia="宋体" w:cs="宋体"/>
          <w:color w:val="auto"/>
          <w:highlight w:val="none"/>
        </w:rPr>
        <w:t xml:space="preserve">  </w:t>
      </w:r>
    </w:p>
    <w:p w14:paraId="27A1AEC6">
      <w:pPr>
        <w:pageBreakBefore w:val="0"/>
        <w:shd w:val="clear" w:color="auto"/>
        <w:tabs>
          <w:tab w:val="left" w:pos="975"/>
        </w:tabs>
        <w:bidi w:val="0"/>
        <w:spacing w:line="400" w:lineRule="exact"/>
        <w:ind w:left="0" w:firstLine="411"/>
        <w:jc w:val="left"/>
        <w:rPr>
          <w:rFonts w:hint="eastAsia" w:ascii="宋体" w:hAnsi="宋体" w:eastAsia="宋体" w:cs="宋体"/>
          <w:color w:val="auto"/>
          <w:highlight w:val="none"/>
        </w:rPr>
      </w:pPr>
      <w:r>
        <w:rPr>
          <w:rFonts w:hint="eastAsia" w:ascii="宋体" w:hAnsi="宋体" w:eastAsia="宋体" w:cs="宋体"/>
          <w:color w:val="auto"/>
          <w:szCs w:val="21"/>
          <w:highlight w:val="none"/>
        </w:rPr>
        <w:t>5.</w:t>
      </w:r>
      <w:r>
        <w:rPr>
          <w:rFonts w:hint="eastAsia" w:ascii="宋体" w:hAnsi="宋体" w:eastAsia="宋体" w:cs="宋体"/>
          <w:color w:val="auto"/>
          <w:highlight w:val="none"/>
        </w:rPr>
        <w:t xml:space="preserve"> 被拒绝的响应文件为无效。</w:t>
      </w:r>
    </w:p>
    <w:p w14:paraId="1606ABE4">
      <w:pPr>
        <w:pageBreakBefore w:val="0"/>
        <w:shd w:val="clear" w:color="auto"/>
        <w:tabs>
          <w:tab w:val="left" w:pos="975"/>
        </w:tabs>
        <w:bidi w:val="0"/>
        <w:spacing w:line="400" w:lineRule="exact"/>
        <w:ind w:left="0" w:firstLine="413"/>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磋商供应商竞争性磋商响应文件无效的，磋商小组应当告知有关供应商。</w:t>
      </w:r>
    </w:p>
    <w:p w14:paraId="02A23C33">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（二）磋商</w:t>
      </w:r>
    </w:p>
    <w:p w14:paraId="4237B53B">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11.1第一轮磋商</w:t>
      </w:r>
    </w:p>
    <w:p w14:paraId="64E5558E">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1.磋商会由本公司主持，主持人宣布磋商会议开始；</w:t>
      </w:r>
    </w:p>
    <w:p w14:paraId="023C6F57">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2.主持人介绍参加磋商会的人员名单； </w:t>
      </w:r>
    </w:p>
    <w:p w14:paraId="39C6807D">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3.主持人宣布磋商会议纪律及评审期间的有关事项；告知应当回避的情形</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提请有关人员回避；</w:t>
      </w:r>
    </w:p>
    <w:p w14:paraId="2D1D51CE">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4.磋商及评审程序</w:t>
      </w:r>
    </w:p>
    <w:p w14:paraId="32CACDBC">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（1）在磋商开始时间截止后30分钟内由各供应商自行对磋商响应文件进行解密；</w:t>
      </w:r>
    </w:p>
    <w:p w14:paraId="2C2F9A9E">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（2）由磋商小组进行资格审查和符合性审查，审查结束后，在线通知无效磋商供应商磋商响应文件无效理由，有效磋商供应商进入磋商程序。</w:t>
      </w:r>
    </w:p>
    <w:p w14:paraId="6846F3AC">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（3）系统对各供应商的商务技术进行汇总；</w:t>
      </w:r>
    </w:p>
    <w:p w14:paraId="51576355">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（4）磋商小组所有成员应当集中与单一供应商分别进行在线磋商，并给予所有参加磋商的供应商平等的磋商机会。</w:t>
      </w:r>
    </w:p>
    <w:p w14:paraId="586D2273">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当磋商小组一致确定供应商的竞争性磋商响应文件能够详细列明采购标的的技术、服务要求且符合竞争性磋商文件要求，无需再磋商的，磋商小组按竞争性磋商文件设定的11.4、11.6程序和综合评分法确定成交候选供应商。第一轮磋商后竞争性磋商文件有实质性变动或仍需磋商的，磋商小组对竞争性磋商文件变动或提出磋商意见后进行第二轮磋商。</w:t>
      </w:r>
    </w:p>
    <w:p w14:paraId="3C3896C9">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11.2竞争性磋商文件变动</w:t>
      </w:r>
    </w:p>
    <w:p w14:paraId="1747DA0F">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轮磋商结束后，由磋商小组组长主持，根据竞争性磋商文件和磋商情况结合第一轮磋商整体情况，可以对竞争性磋商文件采购需求中已事先明确的可能实质性变动采购需求中的技术、服务要求以及合同草案条款进行统一变动，但不得变动竞争性磋商文件中的其他内容。实质性变动的内容，须经采购人代表确认。</w:t>
      </w:r>
    </w:p>
    <w:p w14:paraId="40DA010C">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对竞争性磋商文件作出的实质性变动是竞争性磋商文件的有效组成部分，磋商小组应当在询标规定时间内及时通知所有参加磋商的供应商，并要求供应商</w:t>
      </w:r>
      <w:r>
        <w:rPr>
          <w:rFonts w:hint="eastAsia" w:ascii="宋体" w:hAnsi="宋体" w:eastAsia="宋体" w:cs="宋体"/>
          <w:color w:val="auto"/>
          <w:szCs w:val="21"/>
          <w:highlight w:val="none"/>
          <w:lang w:eastAsia="zh-CN"/>
        </w:rPr>
        <w:t>作出</w:t>
      </w:r>
      <w:r>
        <w:rPr>
          <w:rFonts w:hint="eastAsia" w:ascii="宋体" w:hAnsi="宋体" w:eastAsia="宋体" w:cs="宋体"/>
          <w:color w:val="auto"/>
          <w:szCs w:val="21"/>
          <w:highlight w:val="none"/>
        </w:rPr>
        <w:t>响应（需盖CA电子签章）。</w:t>
      </w:r>
    </w:p>
    <w:p w14:paraId="2443F914">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11.3第二轮磋商</w:t>
      </w:r>
    </w:p>
    <w:p w14:paraId="6F6F5CDE">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磋商小组集中就重新递交的响应材料或磋商小组提出的磋商意见与单一响应供应商分别进行在线磋商。</w:t>
      </w:r>
    </w:p>
    <w:p w14:paraId="0DB4A1DB">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磋商后，在询标规定时间内供应商根据磋商小组统一整理的磋商记录要求做出承诺（需盖CA电子签章）。</w:t>
      </w:r>
    </w:p>
    <w:p w14:paraId="776F455B">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当磋商小组一致确定供应商的竞争性磋商响应文件能够详细列明采购标的的技术、服务要求且符合竞争性磋商文件要求，无需再磋商的，磋商小组按竞争性磋商文件设定的11.4、11.6程序和综合评分法确定成交候选供应商。第二轮磋商后竞争性磋商文件仍有实质性变动的或仍需磋商的，磋商小组对竞争性磋商文件变动或提出磋商意见后进行第三轮磋商。以此类推。</w:t>
      </w:r>
    </w:p>
    <w:p w14:paraId="6913C151">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特别说明：</w:t>
      </w:r>
    </w:p>
    <w:p w14:paraId="78A4B62C">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政采云公司如对电子化开标及评审程序有调整的，按调整后的程序操作。</w:t>
      </w:r>
    </w:p>
    <w:p w14:paraId="37D43260">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磋商评审在严格保密的情况下进行，磋商的任何一方不得透露与磋商有关的其他供应商的技术资料、价格和其他信息。</w:t>
      </w:r>
    </w:p>
    <w:p w14:paraId="24540E56">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电子磋商过程中需要供应商在线确认的所有内容，供应商不予确认的应说明理由，超过规定时间未确认的，将被视为放弃确认或者无异议。</w:t>
      </w:r>
    </w:p>
    <w:p w14:paraId="15232BA0">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澄清问题的形式：对响应文件中含义不明确、同类问题表述不一致或者有明显文字和计算错误的内容，磋商小组可要求供应商作出必要的澄清、说明或者纠正，供应商应在询标规定时间内进行澄清或说明（需盖CA电子签章），并不得超出采购文件的范围或者改变磋商响应文件的实质性内容。</w:t>
      </w:r>
    </w:p>
    <w:p w14:paraId="45150875">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11.4最后报价及成交候选供应商推荐</w:t>
      </w:r>
    </w:p>
    <w:p w14:paraId="2B7AA62B">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磋商结束后，磋商小组要求所有继续参加磋商的供应商在规定时间内在线提交最后报价。</w:t>
      </w:r>
      <w:r>
        <w:rPr>
          <w:rFonts w:hint="eastAsia" w:ascii="宋体" w:hAnsi="宋体" w:eastAsia="宋体" w:cs="宋体"/>
          <w:b/>
          <w:bCs/>
          <w:color w:val="auto"/>
          <w:szCs w:val="21"/>
          <w:highlight w:val="none"/>
          <w:u w:val="single"/>
        </w:rPr>
        <w:t>供应商的最终报价如有变动，则必须以完整的工程量清单报价表的格式（按清单报价表的相关规定签字盖章）编制并在政采云系统以附件形式提交，供应商须提前做好相关准备并按时递交最终报价文件，否则按响应无效处理。</w:t>
      </w:r>
      <w:r>
        <w:rPr>
          <w:rFonts w:hint="eastAsia" w:ascii="宋体" w:hAnsi="宋体" w:eastAsia="宋体" w:cs="宋体"/>
          <w:color w:val="auto"/>
          <w:szCs w:val="21"/>
          <w:highlight w:val="none"/>
        </w:rPr>
        <w:t>继续参加磋商的供应商作最后报价，由其法定代表人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负责人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或授权代表CA电子签章后提交。</w:t>
      </w:r>
    </w:p>
    <w:p w14:paraId="0F3781AC">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根据综合评分情况，按照评审得分由高到低顺序推荐3名以上成交候选供应商，并编写评审报告。市场竞争不充分的科研项目，以及需要扶持的科技成果转化项目，可以推荐2家成交候选供应商。评审得分相同的，按照最后报价由低到高的顺序推荐。评审得分且最后报价相同的，按照技术指标优劣顺序推荐。最后报价是供应商竞争性磋商响应文件的有效组成部分。</w:t>
      </w:r>
    </w:p>
    <w:p w14:paraId="6A53CD1B">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磋商小组按照少数服从多数的原则推荐成交候选供应商，采购程序继续进行。对评审报告有异议的磋商小组成员，应当明确不同意见并说明理由。磋商小组成员拒绝提出理由的，视为同意评审结果。</w:t>
      </w:r>
    </w:p>
    <w:p w14:paraId="26CFD8D1">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11.5供应商的报价均超过了政府采购最高限价，采购人不能支付的，磋商活动终止。</w:t>
      </w:r>
    </w:p>
    <w:p w14:paraId="24C7ED38">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highlight w:val="none"/>
        </w:rPr>
      </w:pPr>
      <w:r>
        <w:rPr>
          <w:rFonts w:hint="eastAsia" w:ascii="宋体" w:hAnsi="宋体" w:eastAsia="宋体" w:cs="宋体"/>
          <w:color w:val="auto"/>
          <w:szCs w:val="21"/>
          <w:highlight w:val="none"/>
        </w:rPr>
        <w:t>11.6</w:t>
      </w:r>
      <w:r>
        <w:rPr>
          <w:rFonts w:hint="eastAsia" w:ascii="宋体" w:hAnsi="宋体" w:eastAsia="宋体" w:cs="宋体"/>
          <w:color w:val="auto"/>
          <w:highlight w:val="none"/>
        </w:rPr>
        <w:t>本采购项目的评审依据为竞争性磋商文件和竞争性磋商响应文件，采用的评标方法为</w:t>
      </w:r>
      <w:r>
        <w:rPr>
          <w:rFonts w:hint="eastAsia" w:ascii="宋体" w:hAnsi="宋体" w:eastAsia="宋体" w:cs="宋体"/>
          <w:b/>
          <w:color w:val="auto"/>
          <w:highlight w:val="none"/>
        </w:rPr>
        <w:t>综合评分法</w:t>
      </w:r>
      <w:r>
        <w:rPr>
          <w:rFonts w:hint="eastAsia" w:ascii="宋体" w:hAnsi="宋体" w:eastAsia="宋体" w:cs="宋体"/>
          <w:color w:val="auto"/>
          <w:highlight w:val="none"/>
        </w:rPr>
        <w:t>。</w:t>
      </w:r>
    </w:p>
    <w:p w14:paraId="05BDB837">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highlight w:val="none"/>
        </w:rPr>
      </w:pPr>
      <w:r>
        <w:rPr>
          <w:rFonts w:hint="eastAsia" w:ascii="宋体" w:hAnsi="宋体" w:eastAsia="宋体" w:cs="宋体"/>
          <w:color w:val="auto"/>
          <w:highlight w:val="none"/>
        </w:rPr>
        <w:t>11.7可中止电子交易活动的情形</w:t>
      </w:r>
    </w:p>
    <w:p w14:paraId="5E4CAF1F">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highlight w:val="none"/>
        </w:rPr>
      </w:pPr>
      <w:r>
        <w:rPr>
          <w:rFonts w:hint="eastAsia" w:ascii="宋体" w:hAnsi="宋体" w:eastAsia="宋体" w:cs="宋体"/>
          <w:color w:val="auto"/>
          <w:highlight w:val="none"/>
        </w:rPr>
        <w:t>采购过程中出现以下情形，导致电子交易平台无法正常运行，或者无法保证电子交易的公平、公正和安全时，本公司可中止电子交易活动：</w:t>
      </w:r>
    </w:p>
    <w:p w14:paraId="682EC450">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highlight w:val="none"/>
        </w:rPr>
      </w:pPr>
      <w:r>
        <w:rPr>
          <w:rFonts w:hint="eastAsia" w:ascii="宋体" w:hAnsi="宋体" w:eastAsia="宋体" w:cs="宋体"/>
          <w:color w:val="auto"/>
          <w:highlight w:val="none"/>
          <w:lang w:eastAsia="zh-CN"/>
        </w:rPr>
        <w:t>（1）</w:t>
      </w:r>
      <w:r>
        <w:rPr>
          <w:rFonts w:hint="eastAsia" w:ascii="宋体" w:hAnsi="宋体" w:eastAsia="宋体" w:cs="宋体"/>
          <w:color w:val="auto"/>
          <w:highlight w:val="none"/>
        </w:rPr>
        <w:t>电子交易平台发生故障而无法登录访问的；</w:t>
      </w:r>
    </w:p>
    <w:p w14:paraId="02519483">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highlight w:val="none"/>
        </w:rPr>
      </w:pPr>
      <w:r>
        <w:rPr>
          <w:rFonts w:hint="eastAsia" w:ascii="宋体" w:hAnsi="宋体" w:eastAsia="宋体" w:cs="宋体"/>
          <w:color w:val="auto"/>
          <w:highlight w:val="none"/>
          <w:lang w:eastAsia="zh-CN"/>
        </w:rPr>
        <w:t>（2）</w:t>
      </w:r>
      <w:r>
        <w:rPr>
          <w:rFonts w:hint="eastAsia" w:ascii="宋体" w:hAnsi="宋体" w:eastAsia="宋体" w:cs="宋体"/>
          <w:color w:val="auto"/>
          <w:highlight w:val="none"/>
        </w:rPr>
        <w:t>电子交易平台应用或数据库出现错误，不能进行正常操作的；</w:t>
      </w:r>
    </w:p>
    <w:p w14:paraId="329BE85E">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highlight w:val="none"/>
        </w:rPr>
      </w:pPr>
      <w:r>
        <w:rPr>
          <w:rFonts w:hint="eastAsia" w:ascii="宋体" w:hAnsi="宋体" w:eastAsia="宋体" w:cs="宋体"/>
          <w:color w:val="auto"/>
          <w:highlight w:val="none"/>
          <w:lang w:eastAsia="zh-CN"/>
        </w:rPr>
        <w:t>（3）</w:t>
      </w:r>
      <w:r>
        <w:rPr>
          <w:rFonts w:hint="eastAsia" w:ascii="宋体" w:hAnsi="宋体" w:eastAsia="宋体" w:cs="宋体"/>
          <w:color w:val="auto"/>
          <w:highlight w:val="none"/>
        </w:rPr>
        <w:t>电子交易平台发现严重安全漏洞，有潜在泄密危险的；</w:t>
      </w:r>
    </w:p>
    <w:p w14:paraId="38FA1394">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highlight w:val="none"/>
        </w:rPr>
      </w:pPr>
      <w:r>
        <w:rPr>
          <w:rFonts w:hint="eastAsia" w:ascii="宋体" w:hAnsi="宋体" w:eastAsia="宋体" w:cs="宋体"/>
          <w:color w:val="auto"/>
          <w:highlight w:val="none"/>
          <w:lang w:eastAsia="zh-CN"/>
        </w:rPr>
        <w:t>（4）</w:t>
      </w:r>
      <w:r>
        <w:rPr>
          <w:rFonts w:hint="eastAsia" w:ascii="宋体" w:hAnsi="宋体" w:eastAsia="宋体" w:cs="宋体"/>
          <w:color w:val="auto"/>
          <w:highlight w:val="none"/>
        </w:rPr>
        <w:t>病毒发作导致不能进行正常操作的；</w:t>
      </w:r>
    </w:p>
    <w:p w14:paraId="4E0E7990">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highlight w:val="none"/>
        </w:rPr>
      </w:pPr>
      <w:r>
        <w:rPr>
          <w:rFonts w:hint="eastAsia" w:ascii="宋体" w:hAnsi="宋体" w:eastAsia="宋体" w:cs="宋体"/>
          <w:color w:val="auto"/>
          <w:highlight w:val="none"/>
          <w:lang w:eastAsia="zh-CN"/>
        </w:rPr>
        <w:t>（5）</w:t>
      </w:r>
      <w:r>
        <w:rPr>
          <w:rFonts w:hint="eastAsia" w:ascii="宋体" w:hAnsi="宋体" w:eastAsia="宋体" w:cs="宋体"/>
          <w:color w:val="auto"/>
          <w:highlight w:val="none"/>
        </w:rPr>
        <w:t>其他无法保证电子交易的公平、公正和安全的情况。</w:t>
      </w:r>
    </w:p>
    <w:p w14:paraId="4763738E">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highlight w:val="none"/>
        </w:rPr>
      </w:pPr>
      <w:r>
        <w:rPr>
          <w:rFonts w:hint="eastAsia" w:ascii="宋体" w:hAnsi="宋体" w:eastAsia="宋体" w:cs="宋体"/>
          <w:color w:val="auto"/>
          <w:highlight w:val="none"/>
        </w:rPr>
        <w:t>出现前款规定情形，不影响采购公平、公正性的，本公司待上述情形消除后继续组织电子交易活动；影响或可能影响采购公平、公正性的，重新组织采购活动。</w:t>
      </w:r>
    </w:p>
    <w:p w14:paraId="195C0645">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highlight w:val="none"/>
        </w:rPr>
      </w:pPr>
      <w:r>
        <w:rPr>
          <w:rFonts w:hint="eastAsia" w:ascii="宋体" w:hAnsi="宋体" w:eastAsia="宋体" w:cs="宋体"/>
          <w:color w:val="auto"/>
          <w:highlight w:val="none"/>
        </w:rPr>
        <w:t>11.8.终止竞争性磋商采购活动</w:t>
      </w:r>
    </w:p>
    <w:p w14:paraId="0B862A67">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highlight w:val="none"/>
        </w:rPr>
      </w:pPr>
      <w:r>
        <w:rPr>
          <w:rFonts w:hint="eastAsia" w:ascii="宋体" w:hAnsi="宋体" w:eastAsia="宋体" w:cs="宋体"/>
          <w:color w:val="auto"/>
          <w:highlight w:val="none"/>
        </w:rPr>
        <w:t>在竞争性磋商采购活动过程中，出现下列情形之一的，采购人或者本公司将终止竞争性磋商采购活动，发布项目终止公告并说明原因，重新开展采购活动：</w:t>
      </w:r>
    </w:p>
    <w:p w14:paraId="04CA5994">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highlight w:val="none"/>
        </w:rPr>
      </w:pPr>
      <w:r>
        <w:rPr>
          <w:rFonts w:hint="eastAsia" w:ascii="宋体" w:hAnsi="宋体" w:eastAsia="宋体" w:cs="宋体"/>
          <w:color w:val="auto"/>
          <w:highlight w:val="none"/>
          <w:lang w:eastAsia="zh-CN"/>
        </w:rPr>
        <w:t>（1）</w:t>
      </w:r>
      <w:r>
        <w:rPr>
          <w:rFonts w:hint="eastAsia" w:ascii="宋体" w:hAnsi="宋体" w:eastAsia="宋体" w:cs="宋体"/>
          <w:color w:val="auto"/>
          <w:highlight w:val="none"/>
        </w:rPr>
        <w:t>因情况变化，不再符合规定的竞争性磋商采购方式适用情形的；</w:t>
      </w:r>
    </w:p>
    <w:p w14:paraId="64E586DE">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highlight w:val="none"/>
        </w:rPr>
      </w:pPr>
      <w:r>
        <w:rPr>
          <w:rFonts w:hint="eastAsia" w:ascii="宋体" w:hAnsi="宋体" w:eastAsia="宋体" w:cs="宋体"/>
          <w:color w:val="auto"/>
          <w:highlight w:val="none"/>
          <w:lang w:eastAsia="zh-CN"/>
        </w:rPr>
        <w:t>（2）</w:t>
      </w:r>
      <w:r>
        <w:rPr>
          <w:rFonts w:hint="eastAsia" w:ascii="宋体" w:hAnsi="宋体" w:eastAsia="宋体" w:cs="宋体"/>
          <w:color w:val="auto"/>
          <w:highlight w:val="none"/>
        </w:rPr>
        <w:t>出现影响采购公正的违法、违规行为的；</w:t>
      </w:r>
    </w:p>
    <w:p w14:paraId="2889300A">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highlight w:val="none"/>
        </w:rPr>
      </w:pPr>
      <w:r>
        <w:rPr>
          <w:rFonts w:hint="eastAsia" w:ascii="宋体" w:hAnsi="宋体" w:eastAsia="宋体" w:cs="宋体"/>
          <w:color w:val="auto"/>
          <w:highlight w:val="none"/>
          <w:lang w:eastAsia="zh-CN"/>
        </w:rPr>
        <w:t>（3）</w:t>
      </w:r>
      <w:r>
        <w:rPr>
          <w:rFonts w:hint="eastAsia" w:ascii="宋体" w:hAnsi="宋体" w:eastAsia="宋体" w:cs="宋体"/>
          <w:color w:val="auto"/>
          <w:highlight w:val="none"/>
        </w:rPr>
        <w:t>在采购过程中符合要求的供应商或者报价未超过采购预算的供应商不足 3 家的。（符合磋商文件规定的特殊情形除外；符合《政府采购竞争性磋商采购方式管理暂行办法》第三条第四项情形除外；符合财库〔2015〕124 号文件规定情形的除外。）</w:t>
      </w:r>
    </w:p>
    <w:p w14:paraId="338FA7D3">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highlight w:val="none"/>
        </w:rPr>
      </w:pPr>
      <w:r>
        <w:rPr>
          <w:rFonts w:hint="eastAsia" w:ascii="宋体" w:hAnsi="宋体" w:eastAsia="宋体" w:cs="宋体"/>
          <w:color w:val="auto"/>
          <w:highlight w:val="none"/>
        </w:rPr>
        <w:t>在采购活动中因重大变故，采购任务取消的，采购人或者本公司将终止采购活动，通知所有参加采购活动的供应商，并将项目实施情况和采购任务取消原因报送本级财政部门。</w:t>
      </w:r>
    </w:p>
    <w:p w14:paraId="7388BB64">
      <w:pPr>
        <w:keepNext w:val="0"/>
        <w:keepLines w:val="0"/>
        <w:pageBreakBefore w:val="0"/>
        <w:widowControl w:val="0"/>
        <w:shd w:val="clear" w:color="auto"/>
        <w:bidi w:val="0"/>
        <w:spacing w:before="60" w:after="60" w:line="400" w:lineRule="exact"/>
        <w:ind w:left="0" w:firstLine="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七、确定成交供应商办法</w:t>
      </w:r>
    </w:p>
    <w:p w14:paraId="037A896A">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12.根据以下原则确定成交供应商</w:t>
      </w:r>
      <w:r>
        <w:rPr>
          <w:rFonts w:hint="eastAsia" w:ascii="宋体" w:hAnsi="宋体" w:eastAsia="宋体" w:cs="宋体"/>
          <w:color w:val="auto"/>
          <w:szCs w:val="21"/>
          <w:highlight w:val="none"/>
          <w:lang w:eastAsia="zh-CN"/>
        </w:rPr>
        <w:t>：在</w:t>
      </w:r>
      <w:r>
        <w:rPr>
          <w:rFonts w:hint="eastAsia" w:ascii="宋体" w:hAnsi="宋体" w:eastAsia="宋体" w:cs="宋体"/>
          <w:color w:val="auto"/>
          <w:szCs w:val="21"/>
          <w:highlight w:val="none"/>
        </w:rPr>
        <w:t>质量和服务均能满足</w:t>
      </w:r>
      <w:r>
        <w:rPr>
          <w:rFonts w:hint="eastAsia" w:ascii="宋体" w:hAnsi="宋体" w:eastAsia="宋体" w:cs="宋体"/>
          <w:color w:val="auto"/>
          <w:highlight w:val="none"/>
        </w:rPr>
        <w:t>竞争性磋商文件</w:t>
      </w:r>
      <w:r>
        <w:rPr>
          <w:rFonts w:hint="eastAsia" w:ascii="宋体" w:hAnsi="宋体" w:eastAsia="宋体" w:cs="宋体"/>
          <w:color w:val="auto"/>
          <w:szCs w:val="21"/>
          <w:highlight w:val="none"/>
        </w:rPr>
        <w:t>实质性响应要求的供应商中按综合评分法的成交候选供应商推荐原则确定成交供应商。</w:t>
      </w:r>
    </w:p>
    <w:p w14:paraId="6ECB1D39">
      <w:pPr>
        <w:keepNext w:val="0"/>
        <w:keepLines w:val="0"/>
        <w:pageBreakBefore w:val="0"/>
        <w:widowControl w:val="0"/>
        <w:shd w:val="clear" w:color="auto"/>
        <w:bidi w:val="0"/>
        <w:spacing w:before="60" w:after="60" w:line="400" w:lineRule="exact"/>
        <w:ind w:left="0" w:firstLine="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八、成交结果公告</w:t>
      </w:r>
    </w:p>
    <w:p w14:paraId="4F764C75">
      <w:pPr>
        <w:pageBreakBefore w:val="0"/>
        <w:widowControl/>
        <w:shd w:val="clear" w:color="auto"/>
        <w:tabs>
          <w:tab w:val="left" w:pos="540"/>
        </w:tabs>
        <w:bidi w:val="0"/>
        <w:spacing w:line="400" w:lineRule="exact"/>
        <w:ind w:left="0" w:firstLine="420"/>
        <w:jc w:val="left"/>
        <w:rPr>
          <w:rFonts w:hint="eastAsia" w:ascii="宋体" w:hAnsi="宋体" w:eastAsia="宋体" w:cs="宋体"/>
          <w:color w:val="auto"/>
          <w:highlight w:val="none"/>
        </w:rPr>
      </w:pPr>
      <w:r>
        <w:rPr>
          <w:rFonts w:hint="eastAsia" w:ascii="宋体" w:hAnsi="宋体" w:eastAsia="宋体" w:cs="宋体"/>
          <w:color w:val="auto"/>
          <w:szCs w:val="21"/>
          <w:highlight w:val="none"/>
        </w:rPr>
        <w:t>13.1</w:t>
      </w:r>
      <w:r>
        <w:rPr>
          <w:rFonts w:hint="eastAsia" w:ascii="宋体" w:hAnsi="宋体" w:eastAsia="宋体" w:cs="宋体"/>
          <w:color w:val="auto"/>
          <w:highlight w:val="none"/>
        </w:rPr>
        <w:t>采购代理机构在评审结束后2个工作日内将磋商评审报告送采购人确认，采购人确认后，成交结果公告将在财政部门指定的政府采购信息发布媒体上发布，同时向成交供应商发出成交通知书。</w:t>
      </w:r>
    </w:p>
    <w:p w14:paraId="621AB450">
      <w:pPr>
        <w:pStyle w:val="25"/>
        <w:pageBreakBefore w:val="0"/>
        <w:shd w:val="clear" w:color="auto"/>
        <w:bidi w:val="0"/>
        <w:spacing w:line="400" w:lineRule="exact"/>
        <w:ind w:left="0" w:firstLine="315"/>
        <w:rPr>
          <w:rFonts w:hint="eastAsia" w:ascii="宋体" w:hAnsi="宋体" w:eastAsia="宋体" w:cs="宋体"/>
          <w:bCs/>
          <w:color w:val="auto"/>
          <w:highlight w:val="none"/>
        </w:rPr>
      </w:pPr>
      <w:r>
        <w:rPr>
          <w:rFonts w:hint="eastAsia" w:ascii="宋体" w:hAnsi="宋体" w:eastAsia="宋体" w:cs="宋体"/>
          <w:color w:val="auto"/>
          <w:highlight w:val="none"/>
        </w:rPr>
        <w:t>13.2磋商供应商认为采购过程、成交结果使自己的权益受到损害的，可以在成交结果公告期限届满之日起</w:t>
      </w:r>
      <w:r>
        <w:rPr>
          <w:rFonts w:hint="eastAsia" w:ascii="宋体" w:hAnsi="宋体" w:eastAsia="宋体" w:cs="宋体"/>
          <w:bCs/>
          <w:color w:val="auto"/>
          <w:highlight w:val="none"/>
        </w:rPr>
        <w:t>七个工作日内以书面形式向采购代理机构提出质疑</w:t>
      </w:r>
      <w:r>
        <w:rPr>
          <w:rFonts w:hint="eastAsia" w:ascii="宋体" w:hAnsi="宋体" w:eastAsia="宋体" w:cs="宋体"/>
          <w:color w:val="auto"/>
          <w:highlight w:val="none"/>
        </w:rPr>
        <w:t>，供应商在法定质疑期内必须一次性提出针对同一采购程序环节的质疑</w:t>
      </w:r>
      <w:r>
        <w:rPr>
          <w:rFonts w:hint="eastAsia" w:ascii="宋体" w:hAnsi="宋体" w:eastAsia="宋体" w:cs="宋体"/>
          <w:bCs/>
          <w:color w:val="auto"/>
          <w:highlight w:val="none"/>
        </w:rPr>
        <w:t>。采购代理机构将在收到</w:t>
      </w:r>
      <w:r>
        <w:rPr>
          <w:rFonts w:hint="eastAsia" w:ascii="宋体" w:hAnsi="宋体" w:eastAsia="宋体" w:cs="宋体"/>
          <w:color w:val="auto"/>
          <w:highlight w:val="none"/>
        </w:rPr>
        <w:t>磋商供应商</w:t>
      </w:r>
      <w:r>
        <w:rPr>
          <w:rFonts w:hint="eastAsia" w:ascii="宋体" w:hAnsi="宋体" w:eastAsia="宋体" w:cs="宋体"/>
          <w:bCs/>
          <w:color w:val="auto"/>
          <w:highlight w:val="none"/>
        </w:rPr>
        <w:t>的书面质疑后七个工作日内</w:t>
      </w:r>
      <w:r>
        <w:rPr>
          <w:rFonts w:hint="eastAsia" w:ascii="宋体" w:hAnsi="宋体" w:eastAsia="宋体" w:cs="宋体"/>
          <w:bCs/>
          <w:color w:val="auto"/>
          <w:highlight w:val="none"/>
          <w:lang w:eastAsia="zh-CN"/>
        </w:rPr>
        <w:t>作出</w:t>
      </w:r>
      <w:r>
        <w:rPr>
          <w:rFonts w:hint="eastAsia" w:ascii="宋体" w:hAnsi="宋体" w:eastAsia="宋体" w:cs="宋体"/>
          <w:bCs/>
          <w:color w:val="auto"/>
          <w:highlight w:val="none"/>
        </w:rPr>
        <w:t>答复，但答复的内容不得涉及商业秘密。</w:t>
      </w:r>
    </w:p>
    <w:p w14:paraId="1E44A437">
      <w:pPr>
        <w:pStyle w:val="25"/>
        <w:pageBreakBefore w:val="0"/>
        <w:shd w:val="clear" w:color="auto"/>
        <w:bidi w:val="0"/>
        <w:spacing w:line="400" w:lineRule="exact"/>
        <w:ind w:left="0" w:firstLine="420"/>
        <w:rPr>
          <w:rFonts w:hint="eastAsia" w:ascii="宋体" w:hAnsi="宋体" w:eastAsia="宋体" w:cs="宋体"/>
          <w:bCs/>
          <w:color w:val="auto"/>
          <w:highlight w:val="none"/>
        </w:rPr>
      </w:pPr>
      <w:r>
        <w:rPr>
          <w:rFonts w:hint="eastAsia" w:ascii="宋体" w:hAnsi="宋体" w:eastAsia="宋体" w:cs="宋体"/>
          <w:color w:val="auto"/>
          <w:highlight w:val="none"/>
        </w:rPr>
        <w:t>13.3</w:t>
      </w:r>
      <w:r>
        <w:rPr>
          <w:rFonts w:hint="eastAsia" w:ascii="宋体" w:hAnsi="宋体" w:eastAsia="宋体" w:cs="宋体"/>
          <w:bCs/>
          <w:color w:val="auto"/>
          <w:highlight w:val="none"/>
        </w:rPr>
        <w:t>质疑</w:t>
      </w:r>
      <w:r>
        <w:rPr>
          <w:rFonts w:hint="eastAsia" w:ascii="宋体" w:hAnsi="宋体" w:eastAsia="宋体" w:cs="宋体"/>
          <w:color w:val="auto"/>
          <w:highlight w:val="none"/>
        </w:rPr>
        <w:t>磋商供应商</w:t>
      </w:r>
      <w:r>
        <w:rPr>
          <w:rFonts w:hint="eastAsia" w:ascii="宋体" w:hAnsi="宋体" w:eastAsia="宋体" w:cs="宋体"/>
          <w:bCs/>
          <w:color w:val="auto"/>
          <w:highlight w:val="none"/>
        </w:rPr>
        <w:t>必须首先经过质疑程序，在对采购代理机构的答复不满意或者采购代理机构未在规定的时间</w:t>
      </w:r>
      <w:r>
        <w:rPr>
          <w:rFonts w:hint="eastAsia" w:ascii="宋体" w:hAnsi="宋体" w:eastAsia="宋体" w:cs="宋体"/>
          <w:bCs/>
          <w:color w:val="auto"/>
          <w:highlight w:val="none"/>
          <w:lang w:eastAsia="zh-CN"/>
        </w:rPr>
        <w:t>内作出答复</w:t>
      </w:r>
      <w:r>
        <w:rPr>
          <w:rFonts w:hint="eastAsia" w:ascii="宋体" w:hAnsi="宋体" w:eastAsia="宋体" w:cs="宋体"/>
          <w:bCs/>
          <w:color w:val="auto"/>
          <w:highlight w:val="none"/>
        </w:rPr>
        <w:t>的，可以在答复期满后十五个工作日内书面向相关监督管理部门投诉。</w:t>
      </w:r>
    </w:p>
    <w:p w14:paraId="5C2EC10E">
      <w:pPr>
        <w:pStyle w:val="25"/>
        <w:pageBreakBefore w:val="0"/>
        <w:shd w:val="clear" w:color="auto"/>
        <w:bidi w:val="0"/>
        <w:spacing w:line="400" w:lineRule="exact"/>
        <w:ind w:left="0" w:firstLine="420"/>
        <w:rPr>
          <w:rFonts w:hint="eastAsia" w:ascii="宋体" w:hAnsi="宋体" w:eastAsia="宋体" w:cs="宋体"/>
          <w:color w:val="auto"/>
          <w:highlight w:val="none"/>
        </w:rPr>
      </w:pPr>
      <w:r>
        <w:rPr>
          <w:rFonts w:hint="eastAsia" w:ascii="宋体" w:hAnsi="宋体" w:eastAsia="宋体" w:cs="宋体"/>
          <w:color w:val="auto"/>
          <w:highlight w:val="none"/>
        </w:rPr>
        <w:t>质疑联系部门及电话为：</w:t>
      </w:r>
      <w:r>
        <w:rPr>
          <w:rFonts w:hint="eastAsia" w:ascii="宋体" w:hAnsi="宋体" w:eastAsia="宋体" w:cs="宋体"/>
          <w:color w:val="auto"/>
        </w:rPr>
        <w:t>广西国力招标有限公司                    0771-4915558</w:t>
      </w:r>
    </w:p>
    <w:p w14:paraId="4B6FD462">
      <w:pPr>
        <w:pStyle w:val="25"/>
        <w:pageBreakBefore w:val="0"/>
        <w:shd w:val="clear" w:color="auto"/>
        <w:bidi w:val="0"/>
        <w:spacing w:line="400" w:lineRule="exact"/>
        <w:ind w:left="0" w:firstLine="420"/>
        <w:rPr>
          <w:rFonts w:hint="eastAsia" w:ascii="宋体" w:hAnsi="宋体" w:eastAsia="宋体" w:cs="宋体"/>
          <w:color w:val="auto"/>
          <w:highlight w:val="none"/>
        </w:rPr>
      </w:pPr>
      <w:r>
        <w:rPr>
          <w:rFonts w:hint="eastAsia" w:ascii="宋体" w:hAnsi="宋体" w:eastAsia="宋体" w:cs="宋体"/>
          <w:color w:val="auto"/>
          <w:highlight w:val="none"/>
        </w:rPr>
        <w:t>通讯地址：广西南宁市白沙大道53号松宇时代13楼</w:t>
      </w:r>
    </w:p>
    <w:p w14:paraId="4D61D155">
      <w:pPr>
        <w:keepNext w:val="0"/>
        <w:keepLines w:val="0"/>
        <w:pageBreakBefore w:val="0"/>
        <w:widowControl w:val="0"/>
        <w:shd w:val="clear" w:color="auto"/>
        <w:bidi w:val="0"/>
        <w:spacing w:before="60" w:after="60" w:line="400" w:lineRule="exact"/>
        <w:ind w:left="0" w:firstLine="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九、签订合同</w:t>
      </w:r>
    </w:p>
    <w:p w14:paraId="44F77A43">
      <w:pPr>
        <w:pStyle w:val="25"/>
        <w:pageBreakBefore w:val="0"/>
        <w:shd w:val="clear" w:color="auto"/>
        <w:bidi w:val="0"/>
        <w:spacing w:line="400" w:lineRule="exact"/>
        <w:ind w:left="0" w:firstLine="420"/>
        <w:rPr>
          <w:rFonts w:hint="eastAsia" w:ascii="宋体" w:hAnsi="宋体" w:eastAsia="宋体" w:cs="宋体"/>
          <w:color w:val="auto"/>
          <w:highlight w:val="none"/>
        </w:rPr>
      </w:pPr>
      <w:r>
        <w:rPr>
          <w:rFonts w:hint="eastAsia" w:ascii="宋体" w:hAnsi="宋体" w:eastAsia="宋体" w:cs="宋体"/>
          <w:color w:val="auto"/>
          <w:highlight w:val="none"/>
        </w:rPr>
        <w:t>14.1成交供应商自成交通知书发出之日起</w:t>
      </w:r>
      <w:r>
        <w:rPr>
          <w:rFonts w:hint="eastAsia" w:ascii="宋体" w:hAnsi="宋体" w:eastAsia="宋体" w:cs="宋体"/>
          <w:b/>
          <w:color w:val="auto"/>
          <w:highlight w:val="none"/>
        </w:rPr>
        <w:t>25日</w:t>
      </w:r>
      <w:r>
        <w:rPr>
          <w:rFonts w:hint="eastAsia" w:ascii="宋体" w:hAnsi="宋体" w:eastAsia="宋体" w:cs="宋体"/>
          <w:color w:val="auto"/>
          <w:highlight w:val="none"/>
        </w:rPr>
        <w:t>内与采购人签订合同。</w:t>
      </w:r>
    </w:p>
    <w:p w14:paraId="01A0FE91">
      <w:pPr>
        <w:pStyle w:val="25"/>
        <w:pageBreakBefore w:val="0"/>
        <w:shd w:val="clear" w:color="auto"/>
        <w:bidi w:val="0"/>
        <w:spacing w:line="400" w:lineRule="exact"/>
        <w:ind w:left="0" w:firstLine="420"/>
        <w:rPr>
          <w:rFonts w:hint="eastAsia" w:ascii="宋体" w:hAnsi="宋体" w:eastAsia="宋体" w:cs="宋体"/>
          <w:color w:val="auto"/>
          <w:highlight w:val="none"/>
        </w:rPr>
      </w:pPr>
      <w:r>
        <w:rPr>
          <w:rFonts w:hint="eastAsia" w:ascii="宋体" w:hAnsi="宋体" w:eastAsia="宋体" w:cs="宋体"/>
          <w:color w:val="auto"/>
          <w:highlight w:val="none"/>
        </w:rPr>
        <w:t>14.2成交供应商拒绝签订政府采购合同的，采购人可以根据磋商评审报告确定成交供应商之后排名第一的成交候选供应商作为成交供应商并签订政府采购合同，也可以重新开展采购活动。拒绝签订政府采购合同的成交供应商不得参加对该项目重新开展的采购活动。</w:t>
      </w:r>
    </w:p>
    <w:p w14:paraId="332C772D">
      <w:pPr>
        <w:pStyle w:val="25"/>
        <w:pageBreakBefore w:val="0"/>
        <w:shd w:val="clear" w:color="auto"/>
        <w:bidi w:val="0"/>
        <w:spacing w:line="400" w:lineRule="exact"/>
        <w:ind w:left="0" w:firstLine="420"/>
        <w:rPr>
          <w:rFonts w:hint="eastAsia" w:ascii="宋体" w:hAnsi="宋体" w:eastAsia="宋体" w:cs="宋体"/>
          <w:b/>
          <w:color w:val="auto"/>
          <w:highlight w:val="none"/>
        </w:rPr>
      </w:pPr>
      <w:r>
        <w:rPr>
          <w:rFonts w:hint="eastAsia" w:ascii="宋体" w:hAnsi="宋体" w:eastAsia="宋体" w:cs="宋体"/>
          <w:b/>
          <w:color w:val="auto"/>
          <w:highlight w:val="none"/>
        </w:rPr>
        <w:t>14.3成交供应商拒绝签订政府采购合同的，其保证金将不予退还，并上缴国库，给采购人造成损失的，还应当赔偿损失，并作为不良行为记录在案。</w:t>
      </w:r>
    </w:p>
    <w:p w14:paraId="49EAB702">
      <w:pPr>
        <w:pStyle w:val="25"/>
        <w:pageBreakBefore w:val="0"/>
        <w:shd w:val="clear" w:color="auto"/>
        <w:bidi w:val="0"/>
        <w:spacing w:line="400" w:lineRule="exact"/>
        <w:ind w:left="0" w:firstLine="420"/>
        <w:rPr>
          <w:rFonts w:hint="eastAsia" w:ascii="宋体" w:hAnsi="宋体" w:eastAsia="宋体" w:cs="宋体"/>
          <w:b/>
          <w:color w:val="auto"/>
          <w:highlight w:val="none"/>
        </w:rPr>
      </w:pPr>
      <w:r>
        <w:rPr>
          <w:rFonts w:hint="eastAsia" w:ascii="宋体" w:hAnsi="宋体" w:eastAsia="宋体" w:cs="宋体"/>
          <w:b/>
          <w:color w:val="auto"/>
          <w:highlight w:val="none"/>
        </w:rPr>
        <w:t>14.4履约保证金</w:t>
      </w:r>
    </w:p>
    <w:p w14:paraId="5DED2EEB">
      <w:pPr>
        <w:pStyle w:val="25"/>
        <w:pageBreakBefore w:val="0"/>
        <w:shd w:val="clear" w:color="auto"/>
        <w:bidi w:val="0"/>
        <w:spacing w:line="400" w:lineRule="exact"/>
        <w:ind w:left="0" w:firstLine="420"/>
        <w:rPr>
          <w:rFonts w:hint="eastAsia" w:ascii="宋体" w:hAnsi="宋体" w:eastAsia="宋体" w:cs="宋体"/>
          <w:color w:val="auto"/>
          <w:highlight w:val="none"/>
        </w:rPr>
      </w:pPr>
      <w:r>
        <w:rPr>
          <w:rFonts w:hint="eastAsia" w:ascii="宋体" w:hAnsi="宋体" w:eastAsia="宋体" w:cs="宋体"/>
          <w:color w:val="auto"/>
          <w:highlight w:val="none"/>
        </w:rPr>
        <w:t>1.成交人须于签订合同前按本项目关于履约保证金的规定进行办理。否则，不予签订合同。</w:t>
      </w:r>
    </w:p>
    <w:p w14:paraId="357DA0E1">
      <w:pPr>
        <w:pStyle w:val="25"/>
        <w:pageBreakBefore w:val="0"/>
        <w:shd w:val="clear" w:color="auto"/>
        <w:bidi w:val="0"/>
        <w:spacing w:line="400" w:lineRule="exact"/>
        <w:ind w:left="0" w:firstLine="420"/>
        <w:rPr>
          <w:rFonts w:hint="eastAsia" w:ascii="宋体" w:hAnsi="宋体" w:eastAsia="宋体" w:cs="宋体"/>
          <w:color w:val="auto"/>
          <w:highlight w:val="none"/>
        </w:rPr>
      </w:pPr>
      <w:r>
        <w:rPr>
          <w:rFonts w:hint="eastAsia" w:ascii="宋体" w:hAnsi="宋体" w:eastAsia="宋体" w:cs="宋体"/>
          <w:color w:val="auto"/>
          <w:highlight w:val="none"/>
        </w:rPr>
        <w:t>2.签订合同后，如成交人不按双方签订的合同规定履约，则没收其全部履约保证金，履约保证金不足以赔偿损失的，按实际损失赔偿。</w:t>
      </w:r>
    </w:p>
    <w:p w14:paraId="7A805BBC">
      <w:pPr>
        <w:pStyle w:val="25"/>
        <w:pageBreakBefore w:val="0"/>
        <w:shd w:val="clear" w:color="auto"/>
        <w:bidi w:val="0"/>
        <w:spacing w:line="400" w:lineRule="exact"/>
        <w:ind w:left="0" w:firstLine="420"/>
        <w:rPr>
          <w:rFonts w:hint="eastAsia" w:ascii="宋体" w:hAnsi="宋体" w:eastAsia="宋体" w:cs="宋体"/>
          <w:color w:val="auto"/>
          <w:highlight w:val="none"/>
        </w:rPr>
      </w:pPr>
      <w:r>
        <w:rPr>
          <w:rFonts w:hint="eastAsia" w:ascii="宋体" w:hAnsi="宋体" w:eastAsia="宋体" w:cs="宋体"/>
          <w:color w:val="auto"/>
          <w:highlight w:val="none"/>
        </w:rPr>
        <w:t>3.履约保证金在成交人按合同约定验收合格后，由成交人提供《政府采购项目履约保证金退付意见书》及《政府采购项目合同验收报告》（详见附件），履约保证金在收到合格材料后5个工作日内以银行转账方式如数退还（不计利息）。</w:t>
      </w:r>
    </w:p>
    <w:p w14:paraId="77515A90">
      <w:pPr>
        <w:pStyle w:val="25"/>
        <w:pageBreakBefore w:val="0"/>
        <w:shd w:val="clear" w:color="auto"/>
        <w:bidi w:val="0"/>
        <w:spacing w:line="400" w:lineRule="exact"/>
        <w:ind w:left="0" w:firstLine="420"/>
        <w:rPr>
          <w:rFonts w:hint="eastAsia" w:ascii="宋体" w:hAnsi="宋体" w:eastAsia="宋体" w:cs="宋体"/>
          <w:color w:val="auto"/>
          <w:highlight w:val="none"/>
        </w:rPr>
      </w:pPr>
      <w:r>
        <w:rPr>
          <w:rFonts w:hint="eastAsia" w:ascii="宋体" w:hAnsi="宋体" w:eastAsia="宋体" w:cs="宋体"/>
          <w:color w:val="auto"/>
          <w:highlight w:val="none"/>
        </w:rPr>
        <w:t>4.在履约保证金退还日期前，若成交人的开户名称、开户银行、账号有变动的，请以书面形式通知履约保证金收取机构，否则由此产生的后果由成交人自负。</w:t>
      </w:r>
    </w:p>
    <w:p w14:paraId="134EAE5F">
      <w:pPr>
        <w:keepNext w:val="0"/>
        <w:keepLines w:val="0"/>
        <w:pageBreakBefore w:val="0"/>
        <w:widowControl w:val="0"/>
        <w:shd w:val="clear" w:color="auto"/>
        <w:bidi w:val="0"/>
        <w:spacing w:before="60" w:after="60" w:line="400" w:lineRule="exact"/>
        <w:ind w:left="0" w:firstLine="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十、适用法律</w:t>
      </w:r>
    </w:p>
    <w:p w14:paraId="3D3A0976">
      <w:pPr>
        <w:pStyle w:val="25"/>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highlight w:val="none"/>
        </w:rPr>
        <w:t>15.采购当事人的一切活动均适用于《中华人民共和国政府采购法》及相关规定。最终磋商结束后，</w:t>
      </w:r>
      <w:r>
        <w:rPr>
          <w:rFonts w:hint="eastAsia" w:ascii="宋体" w:hAnsi="宋体" w:eastAsia="宋体" w:cs="宋体"/>
          <w:color w:val="auto"/>
          <w:szCs w:val="21"/>
          <w:highlight w:val="none"/>
        </w:rPr>
        <w:t>磋商小组不得再与磋商供应商进行任何形式的商谈。</w:t>
      </w:r>
    </w:p>
    <w:p w14:paraId="42BE092B">
      <w:pPr>
        <w:keepNext w:val="0"/>
        <w:keepLines w:val="0"/>
        <w:pageBreakBefore w:val="0"/>
        <w:widowControl w:val="0"/>
        <w:shd w:val="clear" w:color="auto"/>
        <w:bidi w:val="0"/>
        <w:spacing w:before="60" w:after="60" w:line="400" w:lineRule="exact"/>
        <w:ind w:left="0" w:firstLine="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十一、其他事项</w:t>
      </w:r>
    </w:p>
    <w:p w14:paraId="5100DAAA">
      <w:pPr>
        <w:pageBreakBefore w:val="0"/>
        <w:shd w:val="clear" w:color="auto"/>
        <w:bidi w:val="0"/>
        <w:spacing w:line="400" w:lineRule="exact"/>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16.1成交服务费</w:t>
      </w:r>
    </w:p>
    <w:p w14:paraId="5057C05F">
      <w:pPr>
        <w:pStyle w:val="25"/>
        <w:pageBreakBefore w:val="0"/>
        <w:shd w:val="clear" w:color="auto"/>
        <w:bidi w:val="0"/>
        <w:spacing w:line="400" w:lineRule="exact"/>
        <w:ind w:left="0" w:firstLine="420"/>
        <w:rPr>
          <w:rFonts w:hint="eastAsia" w:ascii="宋体" w:hAnsi="宋体" w:eastAsia="宋体" w:cs="宋体"/>
          <w:color w:val="auto"/>
          <w:highlight w:val="none"/>
        </w:rPr>
      </w:pPr>
      <w:r>
        <w:rPr>
          <w:rFonts w:hint="eastAsia" w:ascii="宋体" w:hAnsi="宋体" w:eastAsia="宋体" w:cs="宋体"/>
          <w:color w:val="auto"/>
          <w:highlight w:val="none"/>
        </w:rPr>
        <w:t>（1）采购代理机构</w:t>
      </w:r>
      <w:r>
        <w:rPr>
          <w:rFonts w:hint="eastAsia" w:hAnsi="宋体" w:cs="宋体"/>
          <w:color w:val="auto"/>
          <w:highlight w:val="none"/>
          <w:lang w:val="en-US" w:eastAsia="zh-CN"/>
        </w:rPr>
        <w:t>参照原国家发展计划委员会</w:t>
      </w:r>
      <w:r>
        <w:rPr>
          <w:rFonts w:hint="eastAsia" w:hAnsi="宋体" w:cs="宋体"/>
          <w:color w:val="auto"/>
          <w:lang w:val="en-US" w:eastAsia="zh-CN"/>
        </w:rPr>
        <w:t>《招标代理服务费管理暂行办法》（</w:t>
      </w:r>
      <w:r>
        <w:rPr>
          <w:rFonts w:hint="eastAsia" w:ascii="宋体" w:hAnsi="宋体" w:eastAsia="宋体" w:cs="宋体"/>
          <w:color w:val="auto"/>
        </w:rPr>
        <w:t>计价格</w:t>
      </w:r>
      <w:r>
        <w:rPr>
          <w:rFonts w:hint="eastAsia" w:ascii="宋体" w:hAnsi="宋体" w:eastAsia="宋体" w:cs="宋体"/>
          <w:color w:val="auto"/>
          <w:lang w:eastAsia="zh-CN"/>
        </w:rPr>
        <w:t>〔2002〕1980号</w:t>
      </w:r>
      <w:r>
        <w:rPr>
          <w:rFonts w:hint="eastAsia" w:hAnsi="宋体" w:cs="宋体"/>
          <w:color w:val="auto"/>
          <w:lang w:val="en-US" w:eastAsia="zh-CN"/>
        </w:rPr>
        <w:t>）</w:t>
      </w:r>
      <w:r>
        <w:rPr>
          <w:rFonts w:hint="eastAsia" w:ascii="宋体" w:hAnsi="宋体" w:eastAsia="宋体" w:cs="宋体"/>
          <w:color w:val="auto"/>
          <w:highlight w:val="none"/>
        </w:rPr>
        <w:t>收费标准</w:t>
      </w:r>
      <w:r>
        <w:rPr>
          <w:rFonts w:hint="eastAsia" w:hAnsi="宋体" w:cs="宋体"/>
          <w:color w:val="auto"/>
          <w:highlight w:val="none"/>
          <w:lang w:eastAsia="zh-CN"/>
        </w:rPr>
        <w:t>（</w:t>
      </w:r>
      <w:r>
        <w:rPr>
          <w:rFonts w:hint="eastAsia" w:hAnsi="宋体" w:cs="宋体"/>
          <w:color w:val="auto"/>
          <w:highlight w:val="none"/>
          <w:lang w:val="en-US" w:eastAsia="zh-CN"/>
        </w:rPr>
        <w:t>工程类</w:t>
      </w:r>
      <w:r>
        <w:rPr>
          <w:rFonts w:hint="eastAsia" w:hAnsi="宋体" w:cs="宋体"/>
          <w:color w:val="auto"/>
          <w:highlight w:val="none"/>
          <w:lang w:eastAsia="zh-CN"/>
        </w:rPr>
        <w:t>）</w:t>
      </w:r>
      <w:r>
        <w:rPr>
          <w:rFonts w:hint="eastAsia" w:ascii="宋体" w:hAnsi="宋体" w:eastAsia="宋体" w:cs="宋体"/>
          <w:color w:val="auto"/>
          <w:highlight w:val="none"/>
        </w:rPr>
        <w:t>下浮20%向</w:t>
      </w:r>
      <w:r>
        <w:rPr>
          <w:rFonts w:hint="eastAsia" w:hAnsi="宋体" w:cs="宋体"/>
          <w:color w:val="auto"/>
          <w:highlight w:val="none"/>
          <w:lang w:val="en-US" w:eastAsia="zh-CN"/>
        </w:rPr>
        <w:t>成交</w:t>
      </w:r>
      <w:r>
        <w:rPr>
          <w:rFonts w:hint="eastAsia" w:ascii="宋体" w:hAnsi="宋体" w:eastAsia="宋体" w:cs="宋体"/>
          <w:color w:val="auto"/>
          <w:highlight w:val="none"/>
        </w:rPr>
        <w:t>供应商收取</w:t>
      </w:r>
      <w:r>
        <w:rPr>
          <w:rFonts w:hint="eastAsia" w:hAnsi="宋体" w:cs="宋体"/>
          <w:color w:val="auto"/>
          <w:highlight w:val="none"/>
          <w:lang w:eastAsia="zh-CN"/>
        </w:rPr>
        <w:t>。</w:t>
      </w:r>
      <w:r>
        <w:rPr>
          <w:rFonts w:hint="eastAsia" w:ascii="宋体" w:hAnsi="宋体" w:eastAsia="宋体" w:cs="宋体"/>
          <w:color w:val="auto"/>
          <w:highlight w:val="none"/>
        </w:rPr>
        <w:t>发布</w:t>
      </w:r>
      <w:r>
        <w:rPr>
          <w:rFonts w:hint="eastAsia" w:hAnsi="宋体" w:cs="宋体"/>
          <w:color w:val="auto"/>
          <w:highlight w:val="none"/>
          <w:lang w:val="en-US" w:eastAsia="zh-CN"/>
        </w:rPr>
        <w:t>成交</w:t>
      </w:r>
      <w:r>
        <w:rPr>
          <w:rFonts w:hint="eastAsia" w:ascii="宋体" w:hAnsi="宋体" w:eastAsia="宋体" w:cs="宋体"/>
          <w:color w:val="auto"/>
          <w:highlight w:val="none"/>
        </w:rPr>
        <w:t>结果公告后，</w:t>
      </w:r>
      <w:r>
        <w:rPr>
          <w:rFonts w:hint="eastAsia" w:hAnsi="宋体" w:cs="宋体"/>
          <w:color w:val="auto"/>
          <w:highlight w:val="none"/>
          <w:lang w:val="en-US" w:eastAsia="zh-CN"/>
        </w:rPr>
        <w:t>成交供应商</w:t>
      </w:r>
      <w:r>
        <w:rPr>
          <w:rFonts w:hint="eastAsia" w:ascii="宋体" w:hAnsi="宋体" w:eastAsia="宋体" w:cs="宋体"/>
          <w:color w:val="auto"/>
          <w:highlight w:val="none"/>
        </w:rPr>
        <w:t>须向广西国力招标有限公司一次付清</w:t>
      </w:r>
      <w:r>
        <w:rPr>
          <w:rFonts w:hint="eastAsia" w:hAnsi="宋体" w:cs="宋体"/>
          <w:color w:val="auto"/>
          <w:highlight w:val="none"/>
          <w:lang w:val="en-US" w:eastAsia="zh-CN"/>
        </w:rPr>
        <w:t>成交</w:t>
      </w:r>
      <w:r>
        <w:rPr>
          <w:rFonts w:hint="eastAsia" w:ascii="宋体" w:hAnsi="宋体" w:eastAsia="宋体" w:cs="宋体"/>
          <w:color w:val="auto"/>
          <w:highlight w:val="none"/>
        </w:rPr>
        <w:t>服务费。</w:t>
      </w:r>
    </w:p>
    <w:p w14:paraId="29798964">
      <w:pPr>
        <w:pStyle w:val="25"/>
        <w:pageBreakBefore w:val="0"/>
        <w:shd w:val="clear" w:color="auto"/>
        <w:bidi w:val="0"/>
        <w:spacing w:line="400" w:lineRule="exact"/>
        <w:ind w:left="0" w:firstLine="435"/>
        <w:rPr>
          <w:rFonts w:hint="eastAsia" w:ascii="宋体" w:hAnsi="宋体" w:eastAsia="宋体" w:cs="宋体"/>
          <w:color w:val="auto"/>
          <w:highlight w:val="none"/>
        </w:rPr>
      </w:pPr>
      <w:r>
        <w:rPr>
          <w:rFonts w:hint="eastAsia" w:ascii="宋体" w:hAnsi="宋体" w:eastAsia="宋体" w:cs="宋体"/>
          <w:color w:val="auto"/>
          <w:highlight w:val="none"/>
        </w:rPr>
        <w:t>（2）代理服务收费标准：</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4A36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top"/>
          </w:tcPr>
          <w:p w14:paraId="5A211447">
            <w:pPr>
              <w:pageBreakBefore w:val="0"/>
              <w:shd w:val="clear" w:color="auto"/>
              <w:bidi w:val="0"/>
              <w:spacing w:line="400" w:lineRule="exact"/>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费率</w:t>
            </w:r>
          </w:p>
          <w:p w14:paraId="1BEB05E5">
            <w:pPr>
              <w:pageBreakBefore w:val="0"/>
              <w:shd w:val="clear" w:color="auto"/>
              <w:bidi w:val="0"/>
              <w:spacing w:line="400" w:lineRule="exact"/>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中标金额</w:t>
            </w:r>
          </w:p>
        </w:tc>
        <w:tc>
          <w:tcPr>
            <w:tcW w:w="1659" w:type="dxa"/>
            <w:noWrap w:val="0"/>
            <w:vAlign w:val="center"/>
          </w:tcPr>
          <w:p w14:paraId="2E57CABE">
            <w:pPr>
              <w:pageBreakBefore w:val="0"/>
              <w:shd w:val="clear" w:color="auto"/>
              <w:bidi w:val="0"/>
              <w:spacing w:line="400" w:lineRule="exact"/>
              <w:ind w:left="0" w:firstLine="105"/>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货物招标</w:t>
            </w:r>
          </w:p>
        </w:tc>
        <w:tc>
          <w:tcPr>
            <w:tcW w:w="1687" w:type="dxa"/>
            <w:noWrap w:val="0"/>
            <w:vAlign w:val="center"/>
          </w:tcPr>
          <w:p w14:paraId="03F993F1">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服务招标</w:t>
            </w:r>
          </w:p>
        </w:tc>
        <w:tc>
          <w:tcPr>
            <w:tcW w:w="1659" w:type="dxa"/>
            <w:noWrap w:val="0"/>
            <w:vAlign w:val="center"/>
          </w:tcPr>
          <w:p w14:paraId="44CAF06E">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工程招标</w:t>
            </w:r>
          </w:p>
        </w:tc>
      </w:tr>
      <w:tr w14:paraId="0CEB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45687CEB">
            <w:pPr>
              <w:pageBreakBefore w:val="0"/>
              <w:shd w:val="clear" w:color="auto"/>
              <w:bidi w:val="0"/>
              <w:spacing w:line="400" w:lineRule="exact"/>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100万元以下</w:t>
            </w:r>
          </w:p>
        </w:tc>
        <w:tc>
          <w:tcPr>
            <w:tcW w:w="1659" w:type="dxa"/>
            <w:noWrap w:val="0"/>
            <w:vAlign w:val="center"/>
          </w:tcPr>
          <w:p w14:paraId="00EE67C8">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1687" w:type="dxa"/>
            <w:noWrap w:val="0"/>
            <w:vAlign w:val="center"/>
          </w:tcPr>
          <w:p w14:paraId="75EE1237">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1659" w:type="dxa"/>
            <w:noWrap w:val="0"/>
            <w:vAlign w:val="center"/>
          </w:tcPr>
          <w:p w14:paraId="40B0CA0F">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r>
      <w:tr w14:paraId="3786A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4D66E560">
            <w:pPr>
              <w:pageBreakBefore w:val="0"/>
              <w:shd w:val="clear" w:color="auto"/>
              <w:bidi w:val="0"/>
              <w:spacing w:line="400" w:lineRule="exact"/>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100万～500万</w:t>
            </w:r>
            <w:r>
              <w:rPr>
                <w:rFonts w:hint="eastAsia" w:ascii="宋体" w:hAnsi="宋体" w:eastAsia="宋体" w:cs="宋体"/>
                <w:color w:val="auto"/>
                <w:szCs w:val="21"/>
                <w:highlight w:val="none"/>
              </w:rPr>
              <w:t>元</w:t>
            </w:r>
          </w:p>
        </w:tc>
        <w:tc>
          <w:tcPr>
            <w:tcW w:w="1659" w:type="dxa"/>
            <w:noWrap w:val="0"/>
            <w:vAlign w:val="center"/>
          </w:tcPr>
          <w:p w14:paraId="2C05EAFF">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1687" w:type="dxa"/>
            <w:noWrap w:val="0"/>
            <w:vAlign w:val="center"/>
          </w:tcPr>
          <w:p w14:paraId="7166068D">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0.8%</w:t>
            </w:r>
          </w:p>
        </w:tc>
        <w:tc>
          <w:tcPr>
            <w:tcW w:w="1659" w:type="dxa"/>
            <w:noWrap w:val="0"/>
            <w:vAlign w:val="center"/>
          </w:tcPr>
          <w:p w14:paraId="6E8F26A4">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w:t>
            </w:r>
          </w:p>
        </w:tc>
      </w:tr>
      <w:tr w14:paraId="416E9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47A490F1">
            <w:pPr>
              <w:pageBreakBefore w:val="0"/>
              <w:shd w:val="clear" w:color="auto"/>
              <w:bidi w:val="0"/>
              <w:spacing w:line="400" w:lineRule="exact"/>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500万～1000万</w:t>
            </w:r>
            <w:r>
              <w:rPr>
                <w:rFonts w:hint="eastAsia" w:ascii="宋体" w:hAnsi="宋体" w:eastAsia="宋体" w:cs="宋体"/>
                <w:color w:val="auto"/>
                <w:szCs w:val="21"/>
                <w:highlight w:val="none"/>
              </w:rPr>
              <w:t>元</w:t>
            </w:r>
          </w:p>
        </w:tc>
        <w:tc>
          <w:tcPr>
            <w:tcW w:w="1659" w:type="dxa"/>
            <w:noWrap w:val="0"/>
            <w:vAlign w:val="center"/>
          </w:tcPr>
          <w:p w14:paraId="1850C971">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0.8%</w:t>
            </w:r>
          </w:p>
        </w:tc>
        <w:tc>
          <w:tcPr>
            <w:tcW w:w="1687" w:type="dxa"/>
            <w:noWrap w:val="0"/>
            <w:vAlign w:val="center"/>
          </w:tcPr>
          <w:p w14:paraId="75DD82B8">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0.45%</w:t>
            </w:r>
          </w:p>
        </w:tc>
        <w:tc>
          <w:tcPr>
            <w:tcW w:w="1659" w:type="dxa"/>
            <w:noWrap w:val="0"/>
            <w:vAlign w:val="center"/>
          </w:tcPr>
          <w:p w14:paraId="0F64A804">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0.55%</w:t>
            </w:r>
          </w:p>
        </w:tc>
      </w:tr>
      <w:tr w14:paraId="1FC2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7F4C98A7">
            <w:pPr>
              <w:pageBreakBefore w:val="0"/>
              <w:shd w:val="clear" w:color="auto"/>
              <w:bidi w:val="0"/>
              <w:spacing w:line="400" w:lineRule="exact"/>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1000万～5000万</w:t>
            </w:r>
            <w:r>
              <w:rPr>
                <w:rFonts w:hint="eastAsia" w:ascii="宋体" w:hAnsi="宋体" w:eastAsia="宋体" w:cs="宋体"/>
                <w:color w:val="auto"/>
                <w:szCs w:val="21"/>
                <w:highlight w:val="none"/>
              </w:rPr>
              <w:t>元</w:t>
            </w:r>
          </w:p>
        </w:tc>
        <w:tc>
          <w:tcPr>
            <w:tcW w:w="1659" w:type="dxa"/>
            <w:noWrap w:val="0"/>
            <w:vAlign w:val="center"/>
          </w:tcPr>
          <w:p w14:paraId="7D2632C3">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0.5%</w:t>
            </w:r>
          </w:p>
        </w:tc>
        <w:tc>
          <w:tcPr>
            <w:tcW w:w="1687" w:type="dxa"/>
            <w:noWrap w:val="0"/>
            <w:vAlign w:val="center"/>
          </w:tcPr>
          <w:p w14:paraId="09C7F65D">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0.25%</w:t>
            </w:r>
          </w:p>
        </w:tc>
        <w:tc>
          <w:tcPr>
            <w:tcW w:w="1659" w:type="dxa"/>
            <w:noWrap w:val="0"/>
            <w:vAlign w:val="center"/>
          </w:tcPr>
          <w:p w14:paraId="24B8C596">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0.35%</w:t>
            </w:r>
          </w:p>
        </w:tc>
      </w:tr>
      <w:tr w14:paraId="0BFA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18528AF1">
            <w:pPr>
              <w:pageBreakBefore w:val="0"/>
              <w:shd w:val="clear" w:color="auto"/>
              <w:bidi w:val="0"/>
              <w:spacing w:line="400" w:lineRule="exact"/>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5000万元～1亿元</w:t>
            </w:r>
          </w:p>
        </w:tc>
        <w:tc>
          <w:tcPr>
            <w:tcW w:w="1659" w:type="dxa"/>
            <w:noWrap w:val="0"/>
            <w:vAlign w:val="center"/>
          </w:tcPr>
          <w:p w14:paraId="4C88506D">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0.25%</w:t>
            </w:r>
          </w:p>
        </w:tc>
        <w:tc>
          <w:tcPr>
            <w:tcW w:w="1687" w:type="dxa"/>
            <w:noWrap w:val="0"/>
            <w:vAlign w:val="center"/>
          </w:tcPr>
          <w:p w14:paraId="36DFD026">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0.1%</w:t>
            </w:r>
          </w:p>
        </w:tc>
        <w:tc>
          <w:tcPr>
            <w:tcW w:w="1659" w:type="dxa"/>
            <w:noWrap w:val="0"/>
            <w:vAlign w:val="center"/>
          </w:tcPr>
          <w:p w14:paraId="278D73FD">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0.2%</w:t>
            </w:r>
          </w:p>
        </w:tc>
      </w:tr>
      <w:tr w14:paraId="4A4F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129CAC47">
            <w:pPr>
              <w:pageBreakBefore w:val="0"/>
              <w:shd w:val="clear" w:color="auto"/>
              <w:bidi w:val="0"/>
              <w:spacing w:line="400" w:lineRule="exact"/>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1亿～5亿</w:t>
            </w:r>
            <w:r>
              <w:rPr>
                <w:rFonts w:hint="eastAsia" w:ascii="宋体" w:hAnsi="宋体" w:eastAsia="宋体" w:cs="宋体"/>
                <w:color w:val="auto"/>
                <w:szCs w:val="21"/>
                <w:highlight w:val="none"/>
              </w:rPr>
              <w:t>元</w:t>
            </w:r>
          </w:p>
        </w:tc>
        <w:tc>
          <w:tcPr>
            <w:tcW w:w="1659" w:type="dxa"/>
            <w:noWrap w:val="0"/>
            <w:vAlign w:val="center"/>
          </w:tcPr>
          <w:p w14:paraId="5C85E3FF">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0.05%</w:t>
            </w:r>
          </w:p>
        </w:tc>
        <w:tc>
          <w:tcPr>
            <w:tcW w:w="1687" w:type="dxa"/>
            <w:noWrap w:val="0"/>
            <w:vAlign w:val="center"/>
          </w:tcPr>
          <w:p w14:paraId="02CAB5C1">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0.05%</w:t>
            </w:r>
          </w:p>
        </w:tc>
        <w:tc>
          <w:tcPr>
            <w:tcW w:w="1659" w:type="dxa"/>
            <w:noWrap w:val="0"/>
            <w:vAlign w:val="center"/>
          </w:tcPr>
          <w:p w14:paraId="0D2110B1">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0.05%</w:t>
            </w:r>
          </w:p>
        </w:tc>
      </w:tr>
      <w:tr w14:paraId="387D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0397D14D">
            <w:pPr>
              <w:pageBreakBefore w:val="0"/>
              <w:shd w:val="clear" w:color="auto"/>
              <w:bidi w:val="0"/>
              <w:spacing w:line="400" w:lineRule="exact"/>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5亿～10亿</w:t>
            </w:r>
            <w:r>
              <w:rPr>
                <w:rFonts w:hint="eastAsia" w:ascii="宋体" w:hAnsi="宋体" w:eastAsia="宋体" w:cs="宋体"/>
                <w:color w:val="auto"/>
                <w:szCs w:val="21"/>
                <w:highlight w:val="none"/>
              </w:rPr>
              <w:t>元</w:t>
            </w:r>
          </w:p>
        </w:tc>
        <w:tc>
          <w:tcPr>
            <w:tcW w:w="1659" w:type="dxa"/>
            <w:noWrap w:val="0"/>
            <w:vAlign w:val="center"/>
          </w:tcPr>
          <w:p w14:paraId="5F4E6445">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0.035%</w:t>
            </w:r>
          </w:p>
        </w:tc>
        <w:tc>
          <w:tcPr>
            <w:tcW w:w="1687" w:type="dxa"/>
            <w:noWrap w:val="0"/>
            <w:vAlign w:val="center"/>
          </w:tcPr>
          <w:p w14:paraId="18BA6730">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0.035%</w:t>
            </w:r>
          </w:p>
        </w:tc>
        <w:tc>
          <w:tcPr>
            <w:tcW w:w="1659" w:type="dxa"/>
            <w:noWrap w:val="0"/>
            <w:vAlign w:val="center"/>
          </w:tcPr>
          <w:p w14:paraId="4C481B9F">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0.035%</w:t>
            </w:r>
          </w:p>
        </w:tc>
      </w:tr>
      <w:tr w14:paraId="5D31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01FEF012">
            <w:pPr>
              <w:pageBreakBefore w:val="0"/>
              <w:shd w:val="clear" w:color="auto"/>
              <w:bidi w:val="0"/>
              <w:spacing w:line="400" w:lineRule="exact"/>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10亿～50亿</w:t>
            </w:r>
            <w:r>
              <w:rPr>
                <w:rFonts w:hint="eastAsia" w:ascii="宋体" w:hAnsi="宋体" w:eastAsia="宋体" w:cs="宋体"/>
                <w:color w:val="auto"/>
                <w:szCs w:val="21"/>
                <w:highlight w:val="none"/>
              </w:rPr>
              <w:t>元</w:t>
            </w:r>
          </w:p>
        </w:tc>
        <w:tc>
          <w:tcPr>
            <w:tcW w:w="1659" w:type="dxa"/>
            <w:noWrap w:val="0"/>
            <w:vAlign w:val="center"/>
          </w:tcPr>
          <w:p w14:paraId="386FB1C8">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c>
          <w:tcPr>
            <w:tcW w:w="1687" w:type="dxa"/>
            <w:noWrap w:val="0"/>
            <w:vAlign w:val="center"/>
          </w:tcPr>
          <w:p w14:paraId="0579AACA">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c>
          <w:tcPr>
            <w:tcW w:w="1659" w:type="dxa"/>
            <w:noWrap w:val="0"/>
            <w:vAlign w:val="center"/>
          </w:tcPr>
          <w:p w14:paraId="7F9A9FC2">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r>
      <w:tr w14:paraId="35E96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27D8F6FD">
            <w:pPr>
              <w:pageBreakBefore w:val="0"/>
              <w:shd w:val="clear" w:color="auto"/>
              <w:bidi w:val="0"/>
              <w:spacing w:line="400" w:lineRule="exact"/>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50亿～100亿</w:t>
            </w:r>
            <w:r>
              <w:rPr>
                <w:rFonts w:hint="eastAsia" w:ascii="宋体" w:hAnsi="宋体" w:eastAsia="宋体" w:cs="宋体"/>
                <w:color w:val="auto"/>
                <w:szCs w:val="21"/>
                <w:highlight w:val="none"/>
              </w:rPr>
              <w:t>元</w:t>
            </w:r>
          </w:p>
        </w:tc>
        <w:tc>
          <w:tcPr>
            <w:tcW w:w="1659" w:type="dxa"/>
            <w:noWrap w:val="0"/>
            <w:vAlign w:val="center"/>
          </w:tcPr>
          <w:p w14:paraId="17840B4A">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0.006%</w:t>
            </w:r>
          </w:p>
        </w:tc>
        <w:tc>
          <w:tcPr>
            <w:tcW w:w="1687" w:type="dxa"/>
            <w:noWrap w:val="0"/>
            <w:vAlign w:val="center"/>
          </w:tcPr>
          <w:p w14:paraId="158353E8">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0.006%</w:t>
            </w:r>
          </w:p>
        </w:tc>
        <w:tc>
          <w:tcPr>
            <w:tcW w:w="1659" w:type="dxa"/>
            <w:noWrap w:val="0"/>
            <w:vAlign w:val="center"/>
          </w:tcPr>
          <w:p w14:paraId="475719DA">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0.006%</w:t>
            </w:r>
          </w:p>
        </w:tc>
      </w:tr>
      <w:tr w14:paraId="2AFD6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146595DA">
            <w:pPr>
              <w:pageBreakBefore w:val="0"/>
              <w:shd w:val="clear" w:color="auto"/>
              <w:bidi w:val="0"/>
              <w:spacing w:line="400" w:lineRule="exact"/>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w:t>
            </w:r>
            <w:r>
              <w:rPr>
                <w:rFonts w:hint="eastAsia" w:ascii="宋体" w:hAnsi="宋体" w:eastAsia="宋体" w:cs="宋体"/>
                <w:color w:val="auto"/>
                <w:szCs w:val="21"/>
                <w:highlight w:val="none"/>
                <w:lang w:eastAsia="zh-CN"/>
              </w:rPr>
              <w:t>亿元</w:t>
            </w:r>
            <w:r>
              <w:rPr>
                <w:rFonts w:hint="eastAsia" w:ascii="宋体" w:hAnsi="宋体" w:eastAsia="宋体" w:cs="宋体"/>
                <w:color w:val="auto"/>
                <w:szCs w:val="21"/>
                <w:highlight w:val="none"/>
              </w:rPr>
              <w:t>以上</w:t>
            </w:r>
          </w:p>
        </w:tc>
        <w:tc>
          <w:tcPr>
            <w:tcW w:w="1659" w:type="dxa"/>
            <w:noWrap w:val="0"/>
            <w:vAlign w:val="center"/>
          </w:tcPr>
          <w:p w14:paraId="6D7FDBD1">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0.004%</w:t>
            </w:r>
          </w:p>
        </w:tc>
        <w:tc>
          <w:tcPr>
            <w:tcW w:w="1687" w:type="dxa"/>
            <w:noWrap w:val="0"/>
            <w:vAlign w:val="center"/>
          </w:tcPr>
          <w:p w14:paraId="2061EAA3">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0.004%</w:t>
            </w:r>
          </w:p>
        </w:tc>
        <w:tc>
          <w:tcPr>
            <w:tcW w:w="1659" w:type="dxa"/>
            <w:noWrap w:val="0"/>
            <w:vAlign w:val="center"/>
          </w:tcPr>
          <w:p w14:paraId="5A2F8CD8">
            <w:pPr>
              <w:pageBreakBefore w:val="0"/>
              <w:shd w:val="clear" w:color="auto"/>
              <w:bidi w:val="0"/>
              <w:spacing w:line="400" w:lineRule="exact"/>
              <w:ind w:lef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0.004%</w:t>
            </w:r>
          </w:p>
        </w:tc>
      </w:tr>
    </w:tbl>
    <w:p w14:paraId="51A87B74">
      <w:pPr>
        <w:pStyle w:val="25"/>
        <w:pageBreakBefore w:val="0"/>
        <w:shd w:val="clear" w:color="auto"/>
        <w:bidi w:val="0"/>
        <w:spacing w:line="400" w:lineRule="exact"/>
        <w:ind w:left="0" w:firstLine="435"/>
        <w:rPr>
          <w:rFonts w:hint="eastAsia" w:ascii="宋体" w:hAnsi="宋体" w:eastAsia="宋体" w:cs="宋体"/>
          <w:color w:val="auto"/>
          <w:highlight w:val="none"/>
        </w:rPr>
      </w:pPr>
      <w:r>
        <w:rPr>
          <w:rFonts w:hint="eastAsia" w:ascii="宋体" w:hAnsi="宋体" w:eastAsia="宋体" w:cs="宋体"/>
          <w:color w:val="auto"/>
          <w:highlight w:val="none"/>
        </w:rPr>
        <w:t>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招标代理服务收费按差额定率累进法计算。</w:t>
      </w:r>
    </w:p>
    <w:p w14:paraId="53368DCA">
      <w:pPr>
        <w:pStyle w:val="25"/>
        <w:pageBreakBefore w:val="0"/>
        <w:shd w:val="clear" w:color="auto"/>
        <w:bidi w:val="0"/>
        <w:spacing w:line="400" w:lineRule="exact"/>
        <w:ind w:left="0" w:firstLine="435"/>
        <w:rPr>
          <w:rFonts w:hint="eastAsia" w:ascii="宋体" w:hAnsi="宋体" w:eastAsia="宋体" w:cs="宋体"/>
          <w:color w:val="auto"/>
          <w:highlight w:val="none"/>
        </w:rPr>
      </w:pPr>
      <w:r>
        <w:rPr>
          <w:rFonts w:hint="eastAsia" w:ascii="宋体" w:hAnsi="宋体" w:eastAsia="宋体" w:cs="宋体"/>
          <w:color w:val="auto"/>
          <w:highlight w:val="none"/>
        </w:rPr>
        <w:t>（3）服务费指定银行账户：</w:t>
      </w:r>
    </w:p>
    <w:p w14:paraId="48794989">
      <w:pPr>
        <w:pStyle w:val="25"/>
        <w:pageBreakBefore w:val="0"/>
        <w:shd w:val="clear" w:color="auto"/>
        <w:bidi w:val="0"/>
        <w:spacing w:line="400" w:lineRule="exact"/>
        <w:ind w:left="0" w:firstLine="435"/>
        <w:rPr>
          <w:rFonts w:hint="eastAsia" w:ascii="宋体" w:hAnsi="宋体" w:eastAsia="宋体" w:cs="宋体"/>
          <w:color w:val="auto"/>
          <w:highlight w:val="none"/>
        </w:rPr>
      </w:pPr>
      <w:r>
        <w:rPr>
          <w:rFonts w:hint="eastAsia" w:ascii="宋体" w:hAnsi="宋体" w:eastAsia="宋体" w:cs="宋体"/>
          <w:color w:val="auto"/>
          <w:highlight w:val="none"/>
        </w:rPr>
        <w:t>开户名称：</w:t>
      </w:r>
      <w:r>
        <w:rPr>
          <w:rFonts w:hint="eastAsia" w:ascii="宋体" w:hAnsi="宋体" w:eastAsia="宋体" w:cs="宋体"/>
          <w:color w:val="auto"/>
        </w:rPr>
        <w:t>广西国力招标有限公司</w:t>
      </w:r>
    </w:p>
    <w:p w14:paraId="267365A1">
      <w:pPr>
        <w:pStyle w:val="25"/>
        <w:pageBreakBefore w:val="0"/>
        <w:shd w:val="clear" w:color="auto"/>
        <w:bidi w:val="0"/>
        <w:spacing w:line="400" w:lineRule="exact"/>
        <w:ind w:left="0" w:firstLine="435"/>
        <w:rPr>
          <w:rFonts w:hint="eastAsia" w:ascii="宋体" w:hAnsi="宋体" w:eastAsia="宋体" w:cs="宋体"/>
          <w:color w:val="auto"/>
          <w:highlight w:val="none"/>
        </w:rPr>
      </w:pPr>
      <w:r>
        <w:rPr>
          <w:rFonts w:hint="eastAsia" w:ascii="宋体" w:hAnsi="宋体" w:eastAsia="宋体" w:cs="宋体"/>
          <w:color w:val="auto"/>
          <w:highlight w:val="none"/>
        </w:rPr>
        <w:t>开户银行：广西北部湾银行股份有限公司南宁市白沙支行（网银支付可选广西北部湾银行江南支行）</w:t>
      </w:r>
    </w:p>
    <w:p w14:paraId="085215CB">
      <w:pPr>
        <w:pStyle w:val="25"/>
        <w:pageBreakBefore w:val="0"/>
        <w:shd w:val="clear" w:color="auto"/>
        <w:bidi w:val="0"/>
        <w:spacing w:line="400" w:lineRule="exact"/>
        <w:ind w:left="0" w:firstLine="420"/>
        <w:rPr>
          <w:rFonts w:hint="eastAsia" w:ascii="宋体" w:hAnsi="宋体" w:eastAsia="宋体" w:cs="宋体"/>
          <w:color w:val="auto"/>
          <w:highlight w:val="none"/>
        </w:rPr>
      </w:pPr>
      <w:r>
        <w:rPr>
          <w:rFonts w:hint="eastAsia" w:ascii="宋体" w:hAnsi="宋体" w:eastAsia="宋体" w:cs="宋体"/>
          <w:color w:val="auto"/>
          <w:highlight w:val="none"/>
        </w:rPr>
        <w:t xml:space="preserve">银行账号：800109057400039 </w:t>
      </w:r>
    </w:p>
    <w:p w14:paraId="0662AE43">
      <w:pPr>
        <w:pageBreakBefore w:val="0"/>
        <w:shd w:val="clear" w:color="auto"/>
        <w:bidi w:val="0"/>
        <w:spacing w:line="400" w:lineRule="exact"/>
        <w:ind w:left="0" w:firstLine="420"/>
        <w:rPr>
          <w:rFonts w:hint="eastAsia" w:ascii="宋体" w:hAnsi="宋体" w:eastAsia="宋体" w:cs="宋体"/>
          <w:color w:val="auto"/>
          <w:szCs w:val="21"/>
          <w:highlight w:val="none"/>
        </w:rPr>
      </w:pPr>
      <w:r>
        <w:rPr>
          <w:rFonts w:hint="eastAsia" w:ascii="宋体" w:hAnsi="宋体" w:eastAsia="宋体" w:cs="宋体"/>
          <w:color w:val="auto"/>
          <w:highlight w:val="none"/>
        </w:rPr>
        <w:t>银行行号：313611002051</w:t>
      </w:r>
    </w:p>
    <w:p w14:paraId="74D4417F">
      <w:pPr>
        <w:pageBreakBefore w:val="0"/>
        <w:shd w:val="clear" w:color="auto"/>
        <w:bidi w:val="0"/>
        <w:spacing w:line="400" w:lineRule="exact"/>
        <w:ind w:left="0" w:firstLine="422"/>
        <w:rPr>
          <w:rFonts w:hint="eastAsia" w:ascii="宋体" w:hAnsi="宋体" w:eastAsia="宋体" w:cs="宋体"/>
          <w:b/>
          <w:color w:val="auto"/>
          <w:highlight w:val="none"/>
        </w:rPr>
      </w:pPr>
      <w:r>
        <w:rPr>
          <w:rFonts w:hint="eastAsia" w:ascii="宋体" w:hAnsi="宋体" w:eastAsia="宋体" w:cs="宋体"/>
          <w:b/>
          <w:color w:val="auto"/>
          <w:szCs w:val="21"/>
          <w:highlight w:val="none"/>
        </w:rPr>
        <w:t>16.2</w:t>
      </w:r>
      <w:r>
        <w:rPr>
          <w:rFonts w:hint="eastAsia" w:ascii="宋体" w:hAnsi="宋体" w:eastAsia="宋体" w:cs="宋体"/>
          <w:b/>
          <w:color w:val="auto"/>
          <w:highlight w:val="none"/>
        </w:rPr>
        <w:t>解释权</w:t>
      </w:r>
    </w:p>
    <w:p w14:paraId="01DC1D60">
      <w:pPr>
        <w:pageBreakBefore w:val="0"/>
        <w:shd w:val="clear" w:color="auto"/>
        <w:bidi w:val="0"/>
        <w:spacing w:line="400" w:lineRule="exact"/>
        <w:ind w:left="0" w:firstLine="404"/>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本竞争性磋商文件是根据国家有关</w:t>
      </w:r>
      <w:r>
        <w:rPr>
          <w:rFonts w:hint="eastAsia" w:ascii="宋体" w:hAnsi="宋体" w:eastAsia="宋体" w:cs="宋体"/>
          <w:color w:val="auto"/>
          <w:spacing w:val="-4"/>
          <w:highlight w:val="none"/>
          <w:lang w:eastAsia="zh-CN"/>
        </w:rPr>
        <w:t>法律法规</w:t>
      </w:r>
      <w:r>
        <w:rPr>
          <w:rFonts w:hint="eastAsia" w:ascii="宋体" w:hAnsi="宋体" w:eastAsia="宋体" w:cs="宋体"/>
          <w:color w:val="auto"/>
          <w:spacing w:val="-4"/>
          <w:highlight w:val="none"/>
        </w:rPr>
        <w:t>以及政府采购管理的有关规定和参照国际惯例编制，解释权</w:t>
      </w:r>
      <w:r>
        <w:rPr>
          <w:rFonts w:hint="eastAsia" w:ascii="宋体" w:hAnsi="宋体" w:eastAsia="宋体" w:cs="宋体"/>
          <w:color w:val="auto"/>
          <w:spacing w:val="-4"/>
          <w:highlight w:val="none"/>
          <w:lang w:eastAsia="zh-CN"/>
        </w:rPr>
        <w:t>属于</w:t>
      </w:r>
      <w:r>
        <w:rPr>
          <w:rFonts w:hint="eastAsia" w:ascii="宋体" w:hAnsi="宋体" w:eastAsia="宋体" w:cs="宋体"/>
          <w:color w:val="auto"/>
          <w:spacing w:val="-4"/>
          <w:highlight w:val="none"/>
        </w:rPr>
        <w:t>本采购代理机构。</w:t>
      </w:r>
    </w:p>
    <w:p w14:paraId="7EB23B65">
      <w:pPr>
        <w:pageBreakBefore w:val="0"/>
        <w:shd w:val="clear" w:color="auto"/>
        <w:bidi w:val="0"/>
        <w:spacing w:line="400" w:lineRule="exact"/>
        <w:ind w:left="0" w:firstLine="422"/>
        <w:rPr>
          <w:rFonts w:hint="eastAsia" w:ascii="宋体" w:hAnsi="宋体" w:eastAsia="宋体" w:cs="宋体"/>
          <w:b/>
          <w:color w:val="auto"/>
          <w:highlight w:val="none"/>
        </w:rPr>
      </w:pPr>
      <w:r>
        <w:rPr>
          <w:rFonts w:hint="eastAsia" w:ascii="宋体" w:hAnsi="宋体" w:eastAsia="宋体" w:cs="宋体"/>
          <w:b/>
          <w:color w:val="auto"/>
          <w:szCs w:val="21"/>
          <w:highlight w:val="none"/>
        </w:rPr>
        <w:t>16.3</w:t>
      </w:r>
      <w:r>
        <w:rPr>
          <w:rFonts w:hint="eastAsia" w:ascii="宋体" w:hAnsi="宋体" w:eastAsia="宋体" w:cs="宋体"/>
          <w:b/>
          <w:color w:val="auto"/>
          <w:highlight w:val="none"/>
        </w:rPr>
        <w:t>有关事宜</w:t>
      </w:r>
    </w:p>
    <w:p w14:paraId="60AE769E">
      <w:pPr>
        <w:pageBreakBefore w:val="0"/>
        <w:shd w:val="clear" w:color="auto"/>
        <w:bidi w:val="0"/>
        <w:spacing w:line="400" w:lineRule="exact"/>
        <w:ind w:left="0" w:firstLine="420"/>
        <w:rPr>
          <w:rFonts w:hint="eastAsia" w:ascii="宋体" w:hAnsi="宋体" w:eastAsia="宋体" w:cs="宋体"/>
          <w:color w:val="auto"/>
          <w:highlight w:val="none"/>
        </w:rPr>
      </w:pPr>
      <w:r>
        <w:rPr>
          <w:rFonts w:hint="eastAsia" w:ascii="宋体" w:hAnsi="宋体" w:eastAsia="宋体" w:cs="宋体"/>
          <w:color w:val="auto"/>
          <w:highlight w:val="none"/>
        </w:rPr>
        <w:t>所有与本竞争性磋商文件有关的函电请按下列通讯地址联系：</w:t>
      </w:r>
    </w:p>
    <w:p w14:paraId="1A80D638">
      <w:pPr>
        <w:pStyle w:val="25"/>
        <w:pageBreakBefore w:val="0"/>
        <w:shd w:val="clear" w:color="auto"/>
        <w:bidi w:val="0"/>
        <w:spacing w:line="400" w:lineRule="exact"/>
        <w:ind w:left="0" w:firstLine="420"/>
        <w:rPr>
          <w:rFonts w:hint="eastAsia" w:ascii="宋体" w:hAnsi="宋体" w:eastAsia="宋体" w:cs="宋体"/>
          <w:color w:val="auto"/>
          <w:highlight w:val="none"/>
        </w:rPr>
      </w:pPr>
      <w:r>
        <w:rPr>
          <w:rFonts w:hint="eastAsia" w:ascii="宋体" w:hAnsi="宋体" w:eastAsia="宋体" w:cs="宋体"/>
          <w:color w:val="auto"/>
          <w:highlight w:val="none"/>
        </w:rPr>
        <w:t>广西国力招标有限公司</w:t>
      </w:r>
    </w:p>
    <w:p w14:paraId="198DB32A">
      <w:pPr>
        <w:pStyle w:val="25"/>
        <w:pageBreakBefore w:val="0"/>
        <w:shd w:val="clear" w:color="auto"/>
        <w:tabs>
          <w:tab w:val="left" w:pos="1990"/>
        </w:tabs>
        <w:bidi w:val="0"/>
        <w:spacing w:line="400" w:lineRule="exact"/>
        <w:ind w:left="0"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邮政编码：530000</w:t>
      </w:r>
    </w:p>
    <w:p w14:paraId="1A891BAC">
      <w:pPr>
        <w:pStyle w:val="25"/>
        <w:pageBreakBefore w:val="0"/>
        <w:shd w:val="clear" w:color="auto"/>
        <w:tabs>
          <w:tab w:val="left" w:pos="1990"/>
        </w:tabs>
        <w:bidi w:val="0"/>
        <w:spacing w:line="400" w:lineRule="exact"/>
        <w:ind w:left="0" w:firstLine="420"/>
        <w:rPr>
          <w:rFonts w:hint="eastAsia" w:ascii="宋体" w:hAnsi="宋体" w:eastAsia="宋体" w:cs="宋体"/>
          <w:color w:val="auto"/>
          <w:spacing w:val="-4"/>
          <w:highlight w:val="none"/>
        </w:rPr>
      </w:pPr>
      <w:r>
        <w:rPr>
          <w:rFonts w:hint="eastAsia" w:ascii="宋体" w:hAnsi="宋体" w:eastAsia="宋体" w:cs="宋体"/>
          <w:color w:val="auto"/>
          <w:highlight w:val="none"/>
        </w:rPr>
        <w:t>通讯地址：广西南宁市白沙大道53号松宇时代13楼</w:t>
      </w:r>
    </w:p>
    <w:p w14:paraId="5C05E738">
      <w:pPr>
        <w:pStyle w:val="25"/>
        <w:pageBreakBefore w:val="0"/>
        <w:shd w:val="clear" w:color="auto"/>
        <w:bidi w:val="0"/>
        <w:spacing w:line="400" w:lineRule="exact"/>
        <w:ind w:left="0" w:firstLine="420"/>
        <w:rPr>
          <w:rFonts w:hint="eastAsia" w:ascii="宋体" w:hAnsi="宋体" w:eastAsia="宋体" w:cs="宋体"/>
          <w:color w:val="auto"/>
          <w:highlight w:val="none"/>
        </w:rPr>
      </w:pPr>
      <w:r>
        <w:rPr>
          <w:rFonts w:hint="eastAsia" w:ascii="宋体" w:hAnsi="宋体" w:eastAsia="宋体" w:cs="宋体"/>
          <w:color w:val="auto"/>
          <w:highlight w:val="none"/>
        </w:rPr>
        <w:t>电    话：</w:t>
      </w:r>
      <w:r>
        <w:rPr>
          <w:rFonts w:hint="eastAsia" w:ascii="宋体" w:hAnsi="宋体" w:eastAsia="宋体" w:cs="宋体"/>
          <w:color w:val="auto"/>
          <w:lang w:eastAsia="zh-CN"/>
        </w:rPr>
        <w:t>0771-4915558</w:t>
      </w:r>
    </w:p>
    <w:p w14:paraId="15B0E46E">
      <w:pPr>
        <w:pStyle w:val="25"/>
        <w:pageBreakBefore w:val="0"/>
        <w:shd w:val="clear" w:color="auto"/>
        <w:tabs>
          <w:tab w:val="left" w:pos="1990"/>
        </w:tabs>
        <w:bidi w:val="0"/>
        <w:spacing w:line="400" w:lineRule="exact"/>
        <w:ind w:left="0" w:firstLine="420"/>
        <w:rPr>
          <w:rFonts w:hint="eastAsia" w:ascii="宋体" w:hAnsi="宋体" w:eastAsia="宋体" w:cs="宋体"/>
          <w:b/>
          <w:color w:val="auto"/>
          <w:sz w:val="32"/>
          <w:szCs w:val="32"/>
          <w:highlight w:val="none"/>
        </w:rPr>
      </w:pPr>
      <w:r>
        <w:rPr>
          <w:rFonts w:hint="eastAsia" w:ascii="宋体" w:hAnsi="宋体" w:eastAsia="宋体" w:cs="宋体"/>
          <w:color w:val="auto"/>
          <w:highlight w:val="none"/>
        </w:rPr>
        <w:t>传    真：</w:t>
      </w:r>
      <w:r>
        <w:rPr>
          <w:rFonts w:hint="eastAsia" w:ascii="宋体" w:hAnsi="宋体" w:eastAsia="宋体" w:cs="宋体"/>
          <w:color w:val="auto"/>
          <w:highlight w:val="none"/>
          <w:lang w:eastAsia="zh-CN"/>
        </w:rPr>
        <w:t>0771-4915558</w:t>
      </w:r>
      <w:r>
        <w:rPr>
          <w:rFonts w:hint="eastAsia" w:ascii="宋体" w:hAnsi="宋体" w:eastAsia="宋体" w:cs="宋体"/>
          <w:color w:val="auto"/>
          <w:highlight w:val="none"/>
        </w:rPr>
        <w:t>、4915100</w:t>
      </w:r>
    </w:p>
    <w:p w14:paraId="6CBD5D30">
      <w:pPr>
        <w:shd w:val="clear" w:color="auto"/>
        <w:spacing w:line="400" w:lineRule="exact"/>
        <w:jc w:val="center"/>
        <w:rPr>
          <w:rFonts w:hint="eastAsia" w:ascii="宋体" w:hAnsi="宋体"/>
          <w:b/>
          <w:color w:val="auto"/>
          <w:sz w:val="32"/>
          <w:szCs w:val="32"/>
          <w:highlight w:val="none"/>
        </w:rPr>
      </w:pPr>
    </w:p>
    <w:p w14:paraId="67C99388">
      <w:pPr>
        <w:shd w:val="clear" w:color="auto"/>
        <w:rPr>
          <w:rFonts w:hint="eastAsia" w:ascii="宋体" w:hAnsi="宋体"/>
          <w:color w:val="auto"/>
          <w:sz w:val="28"/>
          <w:szCs w:val="28"/>
          <w:highlight w:val="none"/>
        </w:rPr>
      </w:pPr>
      <w:r>
        <w:rPr>
          <w:rFonts w:ascii="宋体" w:hAnsi="宋体"/>
          <w:b/>
          <w:color w:val="auto"/>
          <w:sz w:val="32"/>
          <w:szCs w:val="32"/>
          <w:highlight w:val="none"/>
        </w:rPr>
        <w:br w:type="page" w:clear="all"/>
      </w:r>
      <w:r>
        <w:rPr>
          <w:rFonts w:hint="eastAsia" w:ascii="宋体" w:hAnsi="宋体"/>
          <w:color w:val="auto"/>
          <w:sz w:val="28"/>
          <w:szCs w:val="28"/>
          <w:highlight w:val="none"/>
        </w:rPr>
        <w:t>附件1：</w:t>
      </w:r>
    </w:p>
    <w:p w14:paraId="42C5D15F">
      <w:pPr>
        <w:widowControl/>
        <w:shd w:val="clear" w:color="auto"/>
        <w:spacing w:line="720" w:lineRule="auto"/>
        <w:jc w:val="center"/>
        <w:rPr>
          <w:rFonts w:hint="eastAsia" w:ascii="宋体" w:hAnsi="宋体" w:cs="宋体"/>
          <w:color w:val="auto"/>
          <w:sz w:val="32"/>
          <w:szCs w:val="32"/>
          <w:highlight w:val="none"/>
        </w:rPr>
      </w:pPr>
      <w:r>
        <w:rPr>
          <w:rFonts w:hint="eastAsia" w:ascii="宋体" w:hAnsi="宋体" w:cs="黑体"/>
          <w:color w:val="auto"/>
          <w:sz w:val="32"/>
          <w:szCs w:val="32"/>
          <w:highlight w:val="none"/>
        </w:rPr>
        <w:t>广西壮族自治区政府采购项目合同验收书</w:t>
      </w:r>
      <w:r>
        <w:rPr>
          <w:rFonts w:hint="eastAsia" w:ascii="宋体" w:hAnsi="宋体" w:cs="宋体"/>
          <w:color w:val="auto"/>
          <w:sz w:val="32"/>
          <w:szCs w:val="32"/>
          <w:highlight w:val="none"/>
        </w:rPr>
        <w:t>（格式）</w:t>
      </w:r>
    </w:p>
    <w:p w14:paraId="1BF9CF0D">
      <w:pPr>
        <w:widowControl/>
        <w:shd w:val="clear" w:color="auto"/>
        <w:spacing w:line="38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    根据政府采购项目（</w:t>
      </w:r>
      <w:r>
        <w:rPr>
          <w:rFonts w:hint="eastAsia" w:ascii="宋体" w:hAnsi="宋体" w:cs="宋体"/>
          <w:color w:val="auto"/>
          <w:szCs w:val="21"/>
          <w:highlight w:val="none"/>
          <w:u w:val="single"/>
        </w:rPr>
        <w:t xml:space="preserve">采购合同编号： </w:t>
      </w:r>
      <w:r>
        <w:rPr>
          <w:rFonts w:hint="eastAsia" w:ascii="宋体" w:hAnsi="宋体" w:cs="宋体"/>
          <w:color w:val="auto"/>
          <w:szCs w:val="21"/>
          <w:highlight w:val="none"/>
        </w:rPr>
        <w:t>）的约定，我单位对（</w:t>
      </w:r>
      <w:r>
        <w:rPr>
          <w:rFonts w:hint="eastAsia" w:ascii="宋体" w:hAnsi="宋体" w:cs="宋体"/>
          <w:color w:val="auto"/>
          <w:szCs w:val="21"/>
          <w:highlight w:val="none"/>
          <w:u w:val="single"/>
        </w:rPr>
        <w:t xml:space="preserve"> 项目名称 </w:t>
      </w:r>
      <w:r>
        <w:rPr>
          <w:rFonts w:hint="eastAsia" w:ascii="宋体" w:hAnsi="宋体" w:cs="宋体"/>
          <w:color w:val="auto"/>
          <w:szCs w:val="21"/>
          <w:highlight w:val="none"/>
        </w:rPr>
        <w:t>） 政府采购项目</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分标中标（或成交）供应商（</w:t>
      </w:r>
      <w:r>
        <w:rPr>
          <w:rFonts w:hint="eastAsia" w:ascii="宋体" w:hAnsi="宋体" w:cs="宋体"/>
          <w:color w:val="auto"/>
          <w:szCs w:val="21"/>
          <w:highlight w:val="none"/>
          <w:u w:val="single"/>
        </w:rPr>
        <w:t xml:space="preserve"> 公司名称 </w:t>
      </w:r>
      <w:r>
        <w:rPr>
          <w:rFonts w:hint="eastAsia" w:ascii="宋体" w:hAnsi="宋体" w:cs="宋体"/>
          <w:color w:val="auto"/>
          <w:szCs w:val="21"/>
          <w:highlight w:val="none"/>
        </w:rPr>
        <w:t>） 提供的货物（或工程、服务）进行了验收，验收情况如下：</w:t>
      </w:r>
    </w:p>
    <w:tbl>
      <w:tblPr>
        <w:tblStyle w:val="48"/>
        <w:tblW w:w="0" w:type="auto"/>
        <w:jc w:val="center"/>
        <w:tblLayout w:type="fixed"/>
        <w:tblCellMar>
          <w:top w:w="0" w:type="dxa"/>
          <w:left w:w="0" w:type="dxa"/>
          <w:bottom w:w="0" w:type="dxa"/>
          <w:right w:w="0" w:type="dxa"/>
        </w:tblCellMar>
      </w:tblPr>
      <w:tblGrid>
        <w:gridCol w:w="1497"/>
        <w:gridCol w:w="2159"/>
        <w:gridCol w:w="897"/>
        <w:gridCol w:w="114"/>
        <w:gridCol w:w="2251"/>
        <w:gridCol w:w="200"/>
        <w:gridCol w:w="770"/>
        <w:gridCol w:w="1606"/>
      </w:tblGrid>
      <w:tr w14:paraId="7C2E68A4">
        <w:tblPrEx>
          <w:tblCellMar>
            <w:top w:w="0" w:type="dxa"/>
            <w:left w:w="0" w:type="dxa"/>
            <w:bottom w:w="0" w:type="dxa"/>
            <w:right w:w="0" w:type="dxa"/>
          </w:tblCellMar>
        </w:tblPrEx>
        <w:trPr>
          <w:trHeight w:val="523" w:hRule="atLeast"/>
          <w:jc w:val="center"/>
        </w:trPr>
        <w:tc>
          <w:tcPr>
            <w:tcW w:w="3656" w:type="dxa"/>
            <w:gridSpan w:val="2"/>
            <w:tcBorders>
              <w:top w:val="single" w:color="auto" w:sz="8" w:space="0"/>
              <w:left w:val="single" w:color="auto" w:sz="8" w:space="0"/>
              <w:bottom w:val="single" w:color="auto" w:sz="8" w:space="0"/>
              <w:right w:val="single" w:color="auto" w:sz="8" w:space="0"/>
            </w:tcBorders>
            <w:noWrap w:val="0"/>
            <w:vAlign w:val="center"/>
          </w:tcPr>
          <w:p w14:paraId="5A953299">
            <w:pPr>
              <w:widowControl/>
              <w:shd w:val="clear" w:color="auto"/>
              <w:spacing w:before="100" w:beforeAutospacing="1" w:after="100" w:afterAutospacing="1" w:line="320" w:lineRule="atLeast"/>
              <w:ind w:firstLine="5"/>
              <w:jc w:val="center"/>
              <w:rPr>
                <w:rFonts w:ascii="宋体" w:hAnsi="宋体" w:cs="宋体"/>
                <w:color w:val="auto"/>
                <w:szCs w:val="21"/>
                <w:highlight w:val="none"/>
              </w:rPr>
            </w:pPr>
            <w:r>
              <w:rPr>
                <w:rFonts w:ascii="宋体" w:hAnsi="宋体" w:cs="宋体"/>
                <w:color w:val="auto"/>
                <w:szCs w:val="21"/>
                <w:highlight w:val="none"/>
              </w:rPr>
              <w:t>验收方式：</w:t>
            </w:r>
          </w:p>
        </w:tc>
        <w:tc>
          <w:tcPr>
            <w:tcW w:w="5838" w:type="dxa"/>
            <w:gridSpan w:val="6"/>
            <w:tcBorders>
              <w:top w:val="single" w:color="auto" w:sz="8" w:space="0"/>
              <w:left w:val="nil"/>
              <w:bottom w:val="single" w:color="auto" w:sz="8" w:space="0"/>
              <w:right w:val="single" w:color="auto" w:sz="8" w:space="0"/>
            </w:tcBorders>
            <w:noWrap w:val="0"/>
            <w:vAlign w:val="center"/>
          </w:tcPr>
          <w:p w14:paraId="7635562C">
            <w:pPr>
              <w:widowControl/>
              <w:shd w:val="clear" w:color="auto"/>
              <w:spacing w:before="100" w:beforeAutospacing="1" w:after="100" w:afterAutospacing="1" w:line="320" w:lineRule="atLeast"/>
              <w:ind w:firstLine="480"/>
              <w:jc w:val="center"/>
              <w:rPr>
                <w:rFonts w:ascii="宋体" w:hAnsi="宋体" w:cs="宋体"/>
                <w:color w:val="auto"/>
                <w:szCs w:val="21"/>
                <w:highlight w:val="none"/>
              </w:rPr>
            </w:pPr>
            <w:r>
              <w:rPr>
                <w:rFonts w:ascii="宋体" w:hAnsi="宋体" w:cs="宋体"/>
                <w:color w:val="auto"/>
                <w:szCs w:val="21"/>
                <w:highlight w:val="none"/>
              </w:rPr>
              <w:t>□自行验收 □委托验收</w:t>
            </w:r>
          </w:p>
        </w:tc>
      </w:tr>
      <w:tr w14:paraId="13191003">
        <w:tblPrEx>
          <w:tblCellMar>
            <w:top w:w="0" w:type="dxa"/>
            <w:left w:w="0" w:type="dxa"/>
            <w:bottom w:w="0" w:type="dxa"/>
            <w:right w:w="0" w:type="dxa"/>
          </w:tblCellMar>
        </w:tblPrEx>
        <w:trPr>
          <w:trHeight w:val="654" w:hRule="atLeast"/>
          <w:jc w:val="center"/>
        </w:trPr>
        <w:tc>
          <w:tcPr>
            <w:tcW w:w="1497" w:type="dxa"/>
            <w:tcBorders>
              <w:top w:val="nil"/>
              <w:left w:val="single" w:color="auto" w:sz="8" w:space="0"/>
              <w:bottom w:val="single" w:color="auto" w:sz="8" w:space="0"/>
              <w:right w:val="single" w:color="auto" w:sz="8" w:space="0"/>
            </w:tcBorders>
            <w:noWrap w:val="0"/>
            <w:vAlign w:val="center"/>
          </w:tcPr>
          <w:p w14:paraId="08C7DADF">
            <w:pPr>
              <w:widowControl/>
              <w:shd w:val="clear" w:color="auto"/>
              <w:spacing w:before="100" w:beforeAutospacing="1" w:after="100" w:afterAutospacing="1" w:line="320" w:lineRule="atLeast"/>
              <w:ind w:firstLine="2"/>
              <w:jc w:val="center"/>
              <w:rPr>
                <w:rFonts w:ascii="宋体" w:hAnsi="宋体" w:cs="宋体"/>
                <w:color w:val="auto"/>
                <w:szCs w:val="21"/>
                <w:highlight w:val="none"/>
              </w:rPr>
            </w:pPr>
            <w:r>
              <w:rPr>
                <w:rFonts w:ascii="宋体" w:hAnsi="宋体" w:cs="宋体"/>
                <w:color w:val="auto"/>
                <w:szCs w:val="21"/>
                <w:highlight w:val="none"/>
              </w:rPr>
              <w:t>序号</w:t>
            </w:r>
          </w:p>
        </w:tc>
        <w:tc>
          <w:tcPr>
            <w:tcW w:w="2159" w:type="dxa"/>
            <w:tcBorders>
              <w:top w:val="nil"/>
              <w:left w:val="nil"/>
              <w:bottom w:val="single" w:color="auto" w:sz="8" w:space="0"/>
              <w:right w:val="single" w:color="auto" w:sz="8" w:space="0"/>
            </w:tcBorders>
            <w:noWrap w:val="0"/>
            <w:vAlign w:val="center"/>
          </w:tcPr>
          <w:p w14:paraId="0C3EF6DF">
            <w:pPr>
              <w:widowControl/>
              <w:shd w:val="clear" w:color="auto"/>
              <w:spacing w:before="100" w:beforeAutospacing="1" w:after="100" w:afterAutospacing="1" w:line="320" w:lineRule="atLeast"/>
              <w:ind w:firstLine="2"/>
              <w:jc w:val="center"/>
              <w:rPr>
                <w:rFonts w:ascii="宋体" w:hAnsi="宋体" w:cs="宋体"/>
                <w:color w:val="auto"/>
                <w:szCs w:val="21"/>
                <w:highlight w:val="none"/>
              </w:rPr>
            </w:pPr>
            <w:r>
              <w:rPr>
                <w:rFonts w:ascii="宋体" w:hAnsi="宋体" w:cs="宋体"/>
                <w:color w:val="auto"/>
                <w:szCs w:val="21"/>
                <w:highlight w:val="none"/>
              </w:rPr>
              <w:t>名 称</w:t>
            </w:r>
          </w:p>
        </w:tc>
        <w:tc>
          <w:tcPr>
            <w:tcW w:w="3262" w:type="dxa"/>
            <w:gridSpan w:val="3"/>
            <w:tcBorders>
              <w:top w:val="nil"/>
              <w:left w:val="nil"/>
              <w:bottom w:val="single" w:color="auto" w:sz="8" w:space="0"/>
              <w:right w:val="single" w:color="auto" w:sz="8" w:space="0"/>
            </w:tcBorders>
            <w:noWrap w:val="0"/>
            <w:vAlign w:val="center"/>
          </w:tcPr>
          <w:p w14:paraId="46E58B2F">
            <w:pPr>
              <w:widowControl/>
              <w:shd w:val="clear" w:color="auto"/>
              <w:spacing w:before="100" w:beforeAutospacing="1" w:after="100" w:afterAutospacing="1" w:line="320" w:lineRule="atLeast"/>
              <w:ind w:firstLine="2"/>
              <w:jc w:val="center"/>
              <w:rPr>
                <w:rFonts w:ascii="宋体" w:hAnsi="宋体" w:cs="宋体"/>
                <w:color w:val="auto"/>
                <w:szCs w:val="21"/>
                <w:highlight w:val="none"/>
              </w:rPr>
            </w:pPr>
            <w:r>
              <w:rPr>
                <w:rFonts w:ascii="宋体" w:hAnsi="宋体" w:cs="宋体"/>
                <w:color w:val="auto"/>
                <w:szCs w:val="21"/>
                <w:highlight w:val="none"/>
              </w:rPr>
              <w:t>货物型号规格、标准及配置等（或服务内容、标准）</w:t>
            </w:r>
          </w:p>
        </w:tc>
        <w:tc>
          <w:tcPr>
            <w:tcW w:w="970" w:type="dxa"/>
            <w:gridSpan w:val="2"/>
            <w:tcBorders>
              <w:top w:val="nil"/>
              <w:left w:val="nil"/>
              <w:bottom w:val="single" w:color="auto" w:sz="8" w:space="0"/>
              <w:right w:val="single" w:color="auto" w:sz="8" w:space="0"/>
            </w:tcBorders>
            <w:noWrap w:val="0"/>
            <w:vAlign w:val="center"/>
          </w:tcPr>
          <w:p w14:paraId="4B02EB6E">
            <w:pPr>
              <w:widowControl/>
              <w:shd w:val="clear" w:color="auto"/>
              <w:spacing w:before="100" w:beforeAutospacing="1" w:after="100" w:afterAutospacing="1" w:line="320" w:lineRule="atLeast"/>
              <w:jc w:val="center"/>
              <w:rPr>
                <w:rFonts w:ascii="宋体" w:hAnsi="宋体" w:cs="宋体"/>
                <w:color w:val="auto"/>
                <w:szCs w:val="21"/>
                <w:highlight w:val="none"/>
              </w:rPr>
            </w:pPr>
            <w:r>
              <w:rPr>
                <w:rFonts w:ascii="宋体" w:hAnsi="宋体" w:cs="宋体"/>
                <w:color w:val="auto"/>
                <w:szCs w:val="21"/>
                <w:highlight w:val="none"/>
              </w:rPr>
              <w:t>数量</w:t>
            </w:r>
          </w:p>
        </w:tc>
        <w:tc>
          <w:tcPr>
            <w:tcW w:w="1606" w:type="dxa"/>
            <w:tcBorders>
              <w:top w:val="nil"/>
              <w:left w:val="nil"/>
              <w:bottom w:val="single" w:color="auto" w:sz="8" w:space="0"/>
              <w:right w:val="single" w:color="auto" w:sz="8" w:space="0"/>
            </w:tcBorders>
            <w:noWrap w:val="0"/>
            <w:vAlign w:val="center"/>
          </w:tcPr>
          <w:p w14:paraId="00B8FD09">
            <w:pPr>
              <w:widowControl/>
              <w:shd w:val="clear" w:color="auto"/>
              <w:spacing w:before="100" w:beforeAutospacing="1" w:after="100" w:afterAutospacing="1" w:line="320" w:lineRule="atLeast"/>
              <w:ind w:firstLine="2"/>
              <w:jc w:val="center"/>
              <w:rPr>
                <w:rFonts w:ascii="宋体" w:hAnsi="宋体" w:cs="宋体"/>
                <w:color w:val="auto"/>
                <w:szCs w:val="21"/>
                <w:highlight w:val="none"/>
              </w:rPr>
            </w:pPr>
            <w:r>
              <w:rPr>
                <w:rFonts w:ascii="宋体" w:hAnsi="宋体" w:cs="宋体"/>
                <w:color w:val="auto"/>
                <w:szCs w:val="21"/>
                <w:highlight w:val="none"/>
              </w:rPr>
              <w:t>金 额</w:t>
            </w:r>
          </w:p>
        </w:tc>
      </w:tr>
      <w:tr w14:paraId="2B8CC5D0">
        <w:tblPrEx>
          <w:tblCellMar>
            <w:top w:w="0" w:type="dxa"/>
            <w:left w:w="0" w:type="dxa"/>
            <w:bottom w:w="0" w:type="dxa"/>
            <w:right w:w="0" w:type="dxa"/>
          </w:tblCellMar>
        </w:tblPrEx>
        <w:trPr>
          <w:trHeight w:val="513" w:hRule="atLeast"/>
          <w:jc w:val="center"/>
        </w:trPr>
        <w:tc>
          <w:tcPr>
            <w:tcW w:w="1497" w:type="dxa"/>
            <w:tcBorders>
              <w:top w:val="nil"/>
              <w:left w:val="single" w:color="auto" w:sz="8" w:space="0"/>
              <w:bottom w:val="single" w:color="auto" w:sz="8" w:space="0"/>
              <w:right w:val="single" w:color="auto" w:sz="8" w:space="0"/>
            </w:tcBorders>
            <w:noWrap w:val="0"/>
            <w:vAlign w:val="center"/>
          </w:tcPr>
          <w:p w14:paraId="2E95E615">
            <w:pPr>
              <w:widowControl/>
              <w:shd w:val="clear" w:color="auto"/>
              <w:spacing w:before="100" w:beforeAutospacing="1" w:after="100" w:afterAutospacing="1" w:line="240" w:lineRule="atLeast"/>
              <w:jc w:val="center"/>
              <w:rPr>
                <w:rFonts w:ascii="宋体" w:hAnsi="宋体" w:cs="宋体"/>
                <w:color w:val="auto"/>
                <w:szCs w:val="21"/>
                <w:highlight w:val="none"/>
              </w:rPr>
            </w:pPr>
          </w:p>
        </w:tc>
        <w:tc>
          <w:tcPr>
            <w:tcW w:w="2159" w:type="dxa"/>
            <w:tcBorders>
              <w:top w:val="nil"/>
              <w:left w:val="nil"/>
              <w:bottom w:val="single" w:color="auto" w:sz="8" w:space="0"/>
              <w:right w:val="single" w:color="auto" w:sz="8" w:space="0"/>
            </w:tcBorders>
            <w:noWrap w:val="0"/>
            <w:vAlign w:val="center"/>
          </w:tcPr>
          <w:p w14:paraId="6AFCB6B4">
            <w:pPr>
              <w:widowControl/>
              <w:shd w:val="clear" w:color="auto"/>
              <w:spacing w:before="100" w:beforeAutospacing="1" w:after="100" w:afterAutospacing="1" w:line="240" w:lineRule="atLeast"/>
              <w:jc w:val="center"/>
              <w:rPr>
                <w:rFonts w:ascii="宋体" w:hAnsi="宋体" w:cs="宋体"/>
                <w:color w:val="auto"/>
                <w:szCs w:val="21"/>
                <w:highlight w:val="none"/>
              </w:rPr>
            </w:pPr>
          </w:p>
        </w:tc>
        <w:tc>
          <w:tcPr>
            <w:tcW w:w="3262" w:type="dxa"/>
            <w:gridSpan w:val="3"/>
            <w:tcBorders>
              <w:top w:val="nil"/>
              <w:left w:val="nil"/>
              <w:bottom w:val="single" w:color="auto" w:sz="8" w:space="0"/>
              <w:right w:val="single" w:color="auto" w:sz="8" w:space="0"/>
            </w:tcBorders>
            <w:noWrap w:val="0"/>
            <w:vAlign w:val="center"/>
          </w:tcPr>
          <w:p w14:paraId="7F7505FA">
            <w:pPr>
              <w:widowControl/>
              <w:shd w:val="clear" w:color="auto"/>
              <w:spacing w:before="100" w:beforeAutospacing="1" w:after="100" w:afterAutospacing="1" w:line="240" w:lineRule="atLeast"/>
              <w:jc w:val="center"/>
              <w:rPr>
                <w:rFonts w:ascii="宋体" w:hAnsi="宋体" w:cs="宋体"/>
                <w:color w:val="auto"/>
                <w:szCs w:val="21"/>
                <w:highlight w:val="none"/>
              </w:rPr>
            </w:pPr>
          </w:p>
        </w:tc>
        <w:tc>
          <w:tcPr>
            <w:tcW w:w="970" w:type="dxa"/>
            <w:gridSpan w:val="2"/>
            <w:tcBorders>
              <w:top w:val="nil"/>
              <w:left w:val="nil"/>
              <w:bottom w:val="single" w:color="auto" w:sz="8" w:space="0"/>
              <w:right w:val="single" w:color="auto" w:sz="8" w:space="0"/>
            </w:tcBorders>
            <w:noWrap w:val="0"/>
            <w:vAlign w:val="center"/>
          </w:tcPr>
          <w:p w14:paraId="4E590822">
            <w:pPr>
              <w:widowControl/>
              <w:shd w:val="clear" w:color="auto"/>
              <w:spacing w:before="100" w:beforeAutospacing="1" w:after="100" w:afterAutospacing="1" w:line="240" w:lineRule="atLeast"/>
              <w:jc w:val="center"/>
              <w:rPr>
                <w:rFonts w:ascii="宋体" w:hAnsi="宋体" w:cs="宋体"/>
                <w:color w:val="auto"/>
                <w:szCs w:val="21"/>
                <w:highlight w:val="none"/>
              </w:rPr>
            </w:pPr>
          </w:p>
        </w:tc>
        <w:tc>
          <w:tcPr>
            <w:tcW w:w="1606" w:type="dxa"/>
            <w:tcBorders>
              <w:top w:val="nil"/>
              <w:left w:val="nil"/>
              <w:bottom w:val="single" w:color="auto" w:sz="8" w:space="0"/>
              <w:right w:val="single" w:color="auto" w:sz="8" w:space="0"/>
            </w:tcBorders>
            <w:noWrap w:val="0"/>
            <w:vAlign w:val="center"/>
          </w:tcPr>
          <w:p w14:paraId="22BEA440">
            <w:pPr>
              <w:widowControl/>
              <w:shd w:val="clear" w:color="auto"/>
              <w:spacing w:before="100" w:beforeAutospacing="1" w:after="100" w:afterAutospacing="1" w:line="240" w:lineRule="atLeast"/>
              <w:jc w:val="center"/>
              <w:rPr>
                <w:rFonts w:ascii="宋体" w:hAnsi="宋体" w:cs="宋体"/>
                <w:color w:val="auto"/>
                <w:szCs w:val="21"/>
                <w:highlight w:val="none"/>
              </w:rPr>
            </w:pPr>
          </w:p>
        </w:tc>
      </w:tr>
      <w:tr w14:paraId="2CF229F8">
        <w:tblPrEx>
          <w:tblCellMar>
            <w:top w:w="0" w:type="dxa"/>
            <w:left w:w="0" w:type="dxa"/>
            <w:bottom w:w="0" w:type="dxa"/>
            <w:right w:w="0" w:type="dxa"/>
          </w:tblCellMar>
        </w:tblPrEx>
        <w:trPr>
          <w:trHeight w:val="513" w:hRule="atLeast"/>
          <w:jc w:val="center"/>
        </w:trPr>
        <w:tc>
          <w:tcPr>
            <w:tcW w:w="1497" w:type="dxa"/>
            <w:tcBorders>
              <w:top w:val="nil"/>
              <w:left w:val="single" w:color="auto" w:sz="8" w:space="0"/>
              <w:bottom w:val="single" w:color="auto" w:sz="8" w:space="0"/>
              <w:right w:val="single" w:color="auto" w:sz="8" w:space="0"/>
            </w:tcBorders>
            <w:noWrap w:val="0"/>
            <w:vAlign w:val="center"/>
          </w:tcPr>
          <w:p w14:paraId="60A66CB1">
            <w:pPr>
              <w:widowControl/>
              <w:shd w:val="clear" w:color="auto"/>
              <w:spacing w:before="100" w:beforeAutospacing="1" w:after="100" w:afterAutospacing="1" w:line="240" w:lineRule="atLeast"/>
              <w:jc w:val="center"/>
              <w:rPr>
                <w:rFonts w:ascii="宋体" w:hAnsi="宋体" w:cs="宋体"/>
                <w:color w:val="auto"/>
                <w:szCs w:val="21"/>
                <w:highlight w:val="none"/>
              </w:rPr>
            </w:pPr>
          </w:p>
        </w:tc>
        <w:tc>
          <w:tcPr>
            <w:tcW w:w="2159" w:type="dxa"/>
            <w:tcBorders>
              <w:top w:val="nil"/>
              <w:left w:val="nil"/>
              <w:bottom w:val="single" w:color="auto" w:sz="8" w:space="0"/>
              <w:right w:val="single" w:color="auto" w:sz="8" w:space="0"/>
            </w:tcBorders>
            <w:noWrap w:val="0"/>
            <w:vAlign w:val="center"/>
          </w:tcPr>
          <w:p w14:paraId="19B30E05">
            <w:pPr>
              <w:widowControl/>
              <w:shd w:val="clear" w:color="auto"/>
              <w:spacing w:before="100" w:beforeAutospacing="1" w:after="100" w:afterAutospacing="1" w:line="240" w:lineRule="atLeast"/>
              <w:jc w:val="center"/>
              <w:rPr>
                <w:rFonts w:ascii="宋体" w:hAnsi="宋体" w:cs="宋体"/>
                <w:color w:val="auto"/>
                <w:szCs w:val="21"/>
                <w:highlight w:val="none"/>
              </w:rPr>
            </w:pPr>
          </w:p>
        </w:tc>
        <w:tc>
          <w:tcPr>
            <w:tcW w:w="3262" w:type="dxa"/>
            <w:gridSpan w:val="3"/>
            <w:tcBorders>
              <w:top w:val="nil"/>
              <w:left w:val="nil"/>
              <w:bottom w:val="single" w:color="auto" w:sz="8" w:space="0"/>
              <w:right w:val="single" w:color="auto" w:sz="8" w:space="0"/>
            </w:tcBorders>
            <w:noWrap w:val="0"/>
            <w:vAlign w:val="center"/>
          </w:tcPr>
          <w:p w14:paraId="1B17E25E">
            <w:pPr>
              <w:widowControl/>
              <w:shd w:val="clear" w:color="auto"/>
              <w:spacing w:before="100" w:beforeAutospacing="1" w:after="100" w:afterAutospacing="1" w:line="240" w:lineRule="atLeast"/>
              <w:jc w:val="center"/>
              <w:rPr>
                <w:rFonts w:ascii="宋体" w:hAnsi="宋体" w:cs="宋体"/>
                <w:color w:val="auto"/>
                <w:szCs w:val="21"/>
                <w:highlight w:val="none"/>
              </w:rPr>
            </w:pPr>
          </w:p>
        </w:tc>
        <w:tc>
          <w:tcPr>
            <w:tcW w:w="970" w:type="dxa"/>
            <w:gridSpan w:val="2"/>
            <w:tcBorders>
              <w:top w:val="nil"/>
              <w:left w:val="nil"/>
              <w:bottom w:val="single" w:color="auto" w:sz="8" w:space="0"/>
              <w:right w:val="single" w:color="auto" w:sz="8" w:space="0"/>
            </w:tcBorders>
            <w:noWrap w:val="0"/>
            <w:vAlign w:val="center"/>
          </w:tcPr>
          <w:p w14:paraId="766A1A34">
            <w:pPr>
              <w:widowControl/>
              <w:shd w:val="clear" w:color="auto"/>
              <w:spacing w:before="100" w:beforeAutospacing="1" w:after="100" w:afterAutospacing="1" w:line="240" w:lineRule="atLeast"/>
              <w:jc w:val="center"/>
              <w:rPr>
                <w:rFonts w:ascii="宋体" w:hAnsi="宋体" w:cs="宋体"/>
                <w:color w:val="auto"/>
                <w:szCs w:val="21"/>
                <w:highlight w:val="none"/>
              </w:rPr>
            </w:pPr>
          </w:p>
        </w:tc>
        <w:tc>
          <w:tcPr>
            <w:tcW w:w="1606" w:type="dxa"/>
            <w:tcBorders>
              <w:top w:val="nil"/>
              <w:left w:val="nil"/>
              <w:bottom w:val="single" w:color="auto" w:sz="8" w:space="0"/>
              <w:right w:val="single" w:color="auto" w:sz="8" w:space="0"/>
            </w:tcBorders>
            <w:noWrap w:val="0"/>
            <w:vAlign w:val="center"/>
          </w:tcPr>
          <w:p w14:paraId="2F3AA1F8">
            <w:pPr>
              <w:widowControl/>
              <w:shd w:val="clear" w:color="auto"/>
              <w:spacing w:before="100" w:beforeAutospacing="1" w:after="100" w:afterAutospacing="1" w:line="240" w:lineRule="atLeast"/>
              <w:jc w:val="center"/>
              <w:rPr>
                <w:rFonts w:ascii="宋体" w:hAnsi="宋体" w:cs="宋体"/>
                <w:color w:val="auto"/>
                <w:szCs w:val="21"/>
                <w:highlight w:val="none"/>
              </w:rPr>
            </w:pPr>
          </w:p>
        </w:tc>
      </w:tr>
      <w:tr w14:paraId="4DB9341F">
        <w:tblPrEx>
          <w:tblCellMar>
            <w:top w:w="0" w:type="dxa"/>
            <w:left w:w="0" w:type="dxa"/>
            <w:bottom w:w="0" w:type="dxa"/>
            <w:right w:w="0" w:type="dxa"/>
          </w:tblCellMar>
        </w:tblPrEx>
        <w:trPr>
          <w:trHeight w:val="513" w:hRule="atLeast"/>
          <w:jc w:val="center"/>
        </w:trPr>
        <w:tc>
          <w:tcPr>
            <w:tcW w:w="1497" w:type="dxa"/>
            <w:tcBorders>
              <w:top w:val="nil"/>
              <w:left w:val="single" w:color="auto" w:sz="8" w:space="0"/>
              <w:bottom w:val="single" w:color="auto" w:sz="8" w:space="0"/>
              <w:right w:val="single" w:color="auto" w:sz="8" w:space="0"/>
            </w:tcBorders>
            <w:noWrap w:val="0"/>
            <w:vAlign w:val="center"/>
          </w:tcPr>
          <w:p w14:paraId="0C2F0FE2">
            <w:pPr>
              <w:widowControl/>
              <w:shd w:val="clear" w:color="auto"/>
              <w:spacing w:before="100" w:beforeAutospacing="1" w:after="100" w:afterAutospacing="1" w:line="240" w:lineRule="atLeast"/>
              <w:jc w:val="center"/>
              <w:rPr>
                <w:rFonts w:ascii="宋体" w:hAnsi="宋体" w:cs="宋体"/>
                <w:color w:val="auto"/>
                <w:szCs w:val="21"/>
                <w:highlight w:val="none"/>
              </w:rPr>
            </w:pPr>
          </w:p>
        </w:tc>
        <w:tc>
          <w:tcPr>
            <w:tcW w:w="2159" w:type="dxa"/>
            <w:tcBorders>
              <w:top w:val="nil"/>
              <w:left w:val="nil"/>
              <w:bottom w:val="single" w:color="auto" w:sz="8" w:space="0"/>
              <w:right w:val="single" w:color="auto" w:sz="8" w:space="0"/>
            </w:tcBorders>
            <w:noWrap w:val="0"/>
            <w:vAlign w:val="center"/>
          </w:tcPr>
          <w:p w14:paraId="3F66355D">
            <w:pPr>
              <w:widowControl/>
              <w:shd w:val="clear" w:color="auto"/>
              <w:spacing w:before="100" w:beforeAutospacing="1" w:after="100" w:afterAutospacing="1" w:line="240" w:lineRule="atLeast"/>
              <w:jc w:val="center"/>
              <w:rPr>
                <w:rFonts w:ascii="宋体" w:hAnsi="宋体" w:cs="宋体"/>
                <w:color w:val="auto"/>
                <w:szCs w:val="21"/>
                <w:highlight w:val="none"/>
              </w:rPr>
            </w:pPr>
          </w:p>
        </w:tc>
        <w:tc>
          <w:tcPr>
            <w:tcW w:w="3262" w:type="dxa"/>
            <w:gridSpan w:val="3"/>
            <w:tcBorders>
              <w:top w:val="nil"/>
              <w:left w:val="nil"/>
              <w:bottom w:val="single" w:color="auto" w:sz="8" w:space="0"/>
              <w:right w:val="single" w:color="auto" w:sz="8" w:space="0"/>
            </w:tcBorders>
            <w:noWrap w:val="0"/>
            <w:vAlign w:val="center"/>
          </w:tcPr>
          <w:p w14:paraId="2110F123">
            <w:pPr>
              <w:widowControl/>
              <w:shd w:val="clear" w:color="auto"/>
              <w:spacing w:before="100" w:beforeAutospacing="1" w:after="100" w:afterAutospacing="1" w:line="240" w:lineRule="atLeast"/>
              <w:jc w:val="center"/>
              <w:rPr>
                <w:rFonts w:ascii="宋体" w:hAnsi="宋体" w:cs="宋体"/>
                <w:color w:val="auto"/>
                <w:szCs w:val="21"/>
                <w:highlight w:val="none"/>
              </w:rPr>
            </w:pPr>
          </w:p>
        </w:tc>
        <w:tc>
          <w:tcPr>
            <w:tcW w:w="970" w:type="dxa"/>
            <w:gridSpan w:val="2"/>
            <w:tcBorders>
              <w:top w:val="nil"/>
              <w:left w:val="nil"/>
              <w:bottom w:val="single" w:color="auto" w:sz="8" w:space="0"/>
              <w:right w:val="single" w:color="auto" w:sz="8" w:space="0"/>
            </w:tcBorders>
            <w:noWrap w:val="0"/>
            <w:vAlign w:val="center"/>
          </w:tcPr>
          <w:p w14:paraId="628B7E0A">
            <w:pPr>
              <w:widowControl/>
              <w:shd w:val="clear" w:color="auto"/>
              <w:spacing w:before="100" w:beforeAutospacing="1" w:after="100" w:afterAutospacing="1" w:line="240" w:lineRule="atLeast"/>
              <w:jc w:val="center"/>
              <w:rPr>
                <w:rFonts w:ascii="宋体" w:hAnsi="宋体" w:cs="宋体"/>
                <w:color w:val="auto"/>
                <w:szCs w:val="21"/>
                <w:highlight w:val="none"/>
              </w:rPr>
            </w:pPr>
          </w:p>
        </w:tc>
        <w:tc>
          <w:tcPr>
            <w:tcW w:w="1606" w:type="dxa"/>
            <w:tcBorders>
              <w:top w:val="nil"/>
              <w:left w:val="nil"/>
              <w:bottom w:val="single" w:color="auto" w:sz="8" w:space="0"/>
              <w:right w:val="single" w:color="auto" w:sz="8" w:space="0"/>
            </w:tcBorders>
            <w:noWrap w:val="0"/>
            <w:vAlign w:val="center"/>
          </w:tcPr>
          <w:p w14:paraId="3623895D">
            <w:pPr>
              <w:widowControl/>
              <w:shd w:val="clear" w:color="auto"/>
              <w:spacing w:before="100" w:beforeAutospacing="1" w:after="100" w:afterAutospacing="1" w:line="240" w:lineRule="atLeast"/>
              <w:jc w:val="center"/>
              <w:rPr>
                <w:rFonts w:ascii="宋体" w:hAnsi="宋体" w:cs="宋体"/>
                <w:color w:val="auto"/>
                <w:szCs w:val="21"/>
                <w:highlight w:val="none"/>
              </w:rPr>
            </w:pPr>
          </w:p>
        </w:tc>
      </w:tr>
      <w:tr w14:paraId="4AAE1DB2">
        <w:tblPrEx>
          <w:tblCellMar>
            <w:top w:w="0" w:type="dxa"/>
            <w:left w:w="0" w:type="dxa"/>
            <w:bottom w:w="0" w:type="dxa"/>
            <w:right w:w="0" w:type="dxa"/>
          </w:tblCellMar>
        </w:tblPrEx>
        <w:trPr>
          <w:trHeight w:val="513" w:hRule="atLeast"/>
          <w:jc w:val="center"/>
        </w:trPr>
        <w:tc>
          <w:tcPr>
            <w:tcW w:w="6918" w:type="dxa"/>
            <w:gridSpan w:val="5"/>
            <w:tcBorders>
              <w:top w:val="nil"/>
              <w:left w:val="single" w:color="auto" w:sz="8" w:space="0"/>
              <w:bottom w:val="single" w:color="auto" w:sz="8" w:space="0"/>
              <w:right w:val="single" w:color="auto" w:sz="8" w:space="0"/>
            </w:tcBorders>
            <w:noWrap w:val="0"/>
            <w:vAlign w:val="center"/>
          </w:tcPr>
          <w:p w14:paraId="74DEAE12">
            <w:pPr>
              <w:widowControl/>
              <w:shd w:val="clear" w:color="auto"/>
              <w:spacing w:before="100" w:beforeAutospacing="1" w:after="100" w:afterAutospacing="1" w:line="320" w:lineRule="atLeast"/>
              <w:ind w:firstLine="5"/>
              <w:jc w:val="center"/>
              <w:rPr>
                <w:rFonts w:ascii="宋体" w:hAnsi="宋体" w:cs="宋体"/>
                <w:color w:val="auto"/>
                <w:szCs w:val="21"/>
                <w:highlight w:val="none"/>
              </w:rPr>
            </w:pPr>
            <w:r>
              <w:rPr>
                <w:rFonts w:ascii="宋体" w:hAnsi="宋体" w:cs="宋体"/>
                <w:color w:val="auto"/>
                <w:szCs w:val="21"/>
                <w:highlight w:val="none"/>
              </w:rPr>
              <w:t>合 计</w:t>
            </w:r>
          </w:p>
        </w:tc>
        <w:tc>
          <w:tcPr>
            <w:tcW w:w="970" w:type="dxa"/>
            <w:gridSpan w:val="2"/>
            <w:tcBorders>
              <w:top w:val="nil"/>
              <w:left w:val="nil"/>
              <w:bottom w:val="single" w:color="auto" w:sz="8" w:space="0"/>
              <w:right w:val="single" w:color="auto" w:sz="8" w:space="0"/>
            </w:tcBorders>
            <w:noWrap w:val="0"/>
            <w:vAlign w:val="center"/>
          </w:tcPr>
          <w:p w14:paraId="446B0142">
            <w:pPr>
              <w:widowControl/>
              <w:shd w:val="clear" w:color="auto"/>
              <w:spacing w:before="100" w:beforeAutospacing="1" w:after="100" w:afterAutospacing="1" w:line="240" w:lineRule="atLeast"/>
              <w:jc w:val="center"/>
              <w:rPr>
                <w:rFonts w:ascii="宋体" w:hAnsi="宋体" w:cs="宋体"/>
                <w:color w:val="auto"/>
                <w:szCs w:val="21"/>
                <w:highlight w:val="none"/>
              </w:rPr>
            </w:pPr>
          </w:p>
        </w:tc>
        <w:tc>
          <w:tcPr>
            <w:tcW w:w="1606" w:type="dxa"/>
            <w:tcBorders>
              <w:top w:val="nil"/>
              <w:left w:val="nil"/>
              <w:bottom w:val="single" w:color="auto" w:sz="8" w:space="0"/>
              <w:right w:val="single" w:color="auto" w:sz="8" w:space="0"/>
            </w:tcBorders>
            <w:noWrap w:val="0"/>
            <w:vAlign w:val="center"/>
          </w:tcPr>
          <w:p w14:paraId="305EE96E">
            <w:pPr>
              <w:widowControl/>
              <w:shd w:val="clear" w:color="auto"/>
              <w:spacing w:before="100" w:beforeAutospacing="1" w:after="100" w:afterAutospacing="1" w:line="240" w:lineRule="atLeast"/>
              <w:jc w:val="center"/>
              <w:rPr>
                <w:rFonts w:ascii="宋体" w:hAnsi="宋体" w:cs="宋体"/>
                <w:color w:val="auto"/>
                <w:szCs w:val="21"/>
                <w:highlight w:val="none"/>
              </w:rPr>
            </w:pPr>
          </w:p>
        </w:tc>
      </w:tr>
      <w:tr w14:paraId="10F979EF">
        <w:tblPrEx>
          <w:tblCellMar>
            <w:top w:w="0" w:type="dxa"/>
            <w:left w:w="0" w:type="dxa"/>
            <w:bottom w:w="0" w:type="dxa"/>
            <w:right w:w="0" w:type="dxa"/>
          </w:tblCellMar>
        </w:tblPrEx>
        <w:trPr>
          <w:trHeight w:val="674" w:hRule="atLeast"/>
          <w:jc w:val="center"/>
        </w:trPr>
        <w:tc>
          <w:tcPr>
            <w:tcW w:w="9494" w:type="dxa"/>
            <w:gridSpan w:val="8"/>
            <w:tcBorders>
              <w:top w:val="nil"/>
              <w:left w:val="single" w:color="auto" w:sz="8" w:space="0"/>
              <w:bottom w:val="single" w:color="auto" w:sz="8" w:space="0"/>
              <w:right w:val="single" w:color="auto" w:sz="8" w:space="0"/>
            </w:tcBorders>
            <w:noWrap w:val="0"/>
            <w:vAlign w:val="center"/>
          </w:tcPr>
          <w:p w14:paraId="57006C37">
            <w:pPr>
              <w:widowControl/>
              <w:shd w:val="clear" w:color="auto"/>
              <w:spacing w:before="100" w:beforeAutospacing="1" w:after="100" w:afterAutospacing="1" w:line="320" w:lineRule="atLeast"/>
              <w:ind w:firstLine="2"/>
              <w:jc w:val="left"/>
              <w:rPr>
                <w:rFonts w:ascii="宋体" w:hAnsi="宋体" w:cs="宋体"/>
                <w:color w:val="auto"/>
                <w:szCs w:val="21"/>
                <w:highlight w:val="none"/>
              </w:rPr>
            </w:pPr>
            <w:r>
              <w:rPr>
                <w:rFonts w:ascii="宋体" w:hAnsi="宋体" w:cs="宋体"/>
                <w:color w:val="auto"/>
                <w:szCs w:val="21"/>
                <w:highlight w:val="none"/>
              </w:rPr>
              <w:t>合计大写金额： 仟 佰 拾 万 仟 佰 拾 元</w:t>
            </w:r>
          </w:p>
        </w:tc>
      </w:tr>
      <w:tr w14:paraId="285D3242">
        <w:tblPrEx>
          <w:tblCellMar>
            <w:top w:w="0" w:type="dxa"/>
            <w:left w:w="0" w:type="dxa"/>
            <w:bottom w:w="0" w:type="dxa"/>
            <w:right w:w="0" w:type="dxa"/>
          </w:tblCellMar>
        </w:tblPrEx>
        <w:trPr>
          <w:trHeight w:val="674" w:hRule="atLeast"/>
          <w:jc w:val="center"/>
        </w:trPr>
        <w:tc>
          <w:tcPr>
            <w:tcW w:w="1497" w:type="dxa"/>
            <w:tcBorders>
              <w:top w:val="nil"/>
              <w:left w:val="single" w:color="auto" w:sz="8" w:space="0"/>
              <w:bottom w:val="single" w:color="auto" w:sz="8" w:space="0"/>
              <w:right w:val="single" w:color="auto" w:sz="8" w:space="0"/>
            </w:tcBorders>
            <w:noWrap w:val="0"/>
            <w:vAlign w:val="center"/>
          </w:tcPr>
          <w:p w14:paraId="0604A212">
            <w:pPr>
              <w:widowControl/>
              <w:shd w:val="clear" w:color="auto"/>
              <w:spacing w:before="100" w:beforeAutospacing="1" w:after="100" w:afterAutospacing="1" w:line="320" w:lineRule="atLeast"/>
              <w:ind w:firstLine="2"/>
              <w:jc w:val="center"/>
              <w:rPr>
                <w:rFonts w:ascii="宋体" w:hAnsi="宋体" w:cs="宋体"/>
                <w:color w:val="auto"/>
                <w:szCs w:val="21"/>
                <w:highlight w:val="none"/>
              </w:rPr>
            </w:pPr>
            <w:r>
              <w:rPr>
                <w:rFonts w:ascii="宋体" w:hAnsi="宋体" w:cs="宋体"/>
                <w:color w:val="auto"/>
                <w:szCs w:val="21"/>
                <w:highlight w:val="none"/>
              </w:rPr>
              <w:t>实际供货日期</w:t>
            </w:r>
          </w:p>
        </w:tc>
        <w:tc>
          <w:tcPr>
            <w:tcW w:w="3056" w:type="dxa"/>
            <w:gridSpan w:val="2"/>
            <w:tcBorders>
              <w:top w:val="nil"/>
              <w:left w:val="nil"/>
              <w:bottom w:val="single" w:color="auto" w:sz="8" w:space="0"/>
              <w:right w:val="single" w:color="auto" w:sz="8" w:space="0"/>
            </w:tcBorders>
            <w:noWrap w:val="0"/>
            <w:vAlign w:val="center"/>
          </w:tcPr>
          <w:p w14:paraId="08E46798">
            <w:pPr>
              <w:widowControl/>
              <w:shd w:val="clear" w:color="auto"/>
              <w:spacing w:before="100" w:beforeAutospacing="1" w:after="100" w:afterAutospacing="1" w:line="240" w:lineRule="atLeast"/>
              <w:jc w:val="center"/>
              <w:rPr>
                <w:rFonts w:ascii="宋体" w:hAnsi="宋体" w:cs="宋体"/>
                <w:color w:val="auto"/>
                <w:szCs w:val="21"/>
                <w:highlight w:val="none"/>
              </w:rPr>
            </w:pPr>
          </w:p>
        </w:tc>
        <w:tc>
          <w:tcPr>
            <w:tcW w:w="2565" w:type="dxa"/>
            <w:gridSpan w:val="3"/>
            <w:tcBorders>
              <w:top w:val="nil"/>
              <w:left w:val="nil"/>
              <w:bottom w:val="single" w:color="auto" w:sz="8" w:space="0"/>
              <w:right w:val="single" w:color="auto" w:sz="8" w:space="0"/>
            </w:tcBorders>
            <w:noWrap w:val="0"/>
            <w:vAlign w:val="center"/>
          </w:tcPr>
          <w:p w14:paraId="27C86D78">
            <w:pPr>
              <w:widowControl/>
              <w:shd w:val="clear" w:color="auto"/>
              <w:spacing w:before="100" w:beforeAutospacing="1" w:after="100" w:afterAutospacing="1" w:line="320" w:lineRule="atLeast"/>
              <w:ind w:firstLine="46"/>
              <w:jc w:val="center"/>
              <w:rPr>
                <w:rFonts w:ascii="宋体" w:hAnsi="宋体" w:cs="宋体"/>
                <w:color w:val="auto"/>
                <w:szCs w:val="21"/>
                <w:highlight w:val="none"/>
              </w:rPr>
            </w:pPr>
            <w:r>
              <w:rPr>
                <w:rFonts w:ascii="宋体" w:hAnsi="宋体" w:cs="宋体"/>
                <w:color w:val="auto"/>
                <w:szCs w:val="21"/>
                <w:highlight w:val="none"/>
              </w:rPr>
              <w:t>合同交货验收日期</w:t>
            </w:r>
          </w:p>
        </w:tc>
        <w:tc>
          <w:tcPr>
            <w:tcW w:w="2376" w:type="dxa"/>
            <w:gridSpan w:val="2"/>
            <w:tcBorders>
              <w:top w:val="nil"/>
              <w:left w:val="nil"/>
              <w:bottom w:val="single" w:color="auto" w:sz="8" w:space="0"/>
              <w:right w:val="single" w:color="auto" w:sz="8" w:space="0"/>
            </w:tcBorders>
            <w:noWrap w:val="0"/>
            <w:vAlign w:val="center"/>
          </w:tcPr>
          <w:p w14:paraId="567A9000">
            <w:pPr>
              <w:widowControl/>
              <w:shd w:val="clear" w:color="auto"/>
              <w:spacing w:before="100" w:beforeAutospacing="1" w:after="100" w:afterAutospacing="1" w:line="240" w:lineRule="atLeast"/>
              <w:jc w:val="center"/>
              <w:rPr>
                <w:rFonts w:ascii="宋体" w:hAnsi="宋体" w:cs="宋体"/>
                <w:color w:val="auto"/>
                <w:szCs w:val="21"/>
                <w:highlight w:val="none"/>
              </w:rPr>
            </w:pPr>
          </w:p>
        </w:tc>
      </w:tr>
      <w:tr w14:paraId="4289CF1A">
        <w:tblPrEx>
          <w:tblCellMar>
            <w:top w:w="0" w:type="dxa"/>
            <w:left w:w="0" w:type="dxa"/>
            <w:bottom w:w="0" w:type="dxa"/>
            <w:right w:w="0" w:type="dxa"/>
          </w:tblCellMar>
        </w:tblPrEx>
        <w:trPr>
          <w:trHeight w:val="729" w:hRule="atLeast"/>
          <w:jc w:val="center"/>
        </w:trPr>
        <w:tc>
          <w:tcPr>
            <w:tcW w:w="1497"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D1F327C">
            <w:pPr>
              <w:widowControl/>
              <w:shd w:val="clear" w:color="auto"/>
              <w:spacing w:before="100" w:beforeAutospacing="1" w:after="100" w:afterAutospacing="1" w:line="320" w:lineRule="atLeast"/>
              <w:jc w:val="left"/>
              <w:rPr>
                <w:rFonts w:ascii="宋体" w:hAnsi="宋体" w:cs="宋体"/>
                <w:color w:val="auto"/>
                <w:szCs w:val="21"/>
                <w:highlight w:val="none"/>
              </w:rPr>
            </w:pPr>
            <w:r>
              <w:rPr>
                <w:rFonts w:ascii="宋体" w:hAnsi="宋体" w:cs="宋体"/>
                <w:color w:val="auto"/>
                <w:szCs w:val="21"/>
                <w:highlight w:val="none"/>
              </w:rPr>
              <w:t>验收具体内容</w:t>
            </w:r>
          </w:p>
        </w:tc>
        <w:tc>
          <w:tcPr>
            <w:tcW w:w="7997" w:type="dxa"/>
            <w:gridSpan w:val="7"/>
            <w:tcBorders>
              <w:top w:val="nil"/>
              <w:left w:val="nil"/>
              <w:bottom w:val="single" w:color="auto" w:sz="8" w:space="0"/>
              <w:right w:val="single" w:color="auto" w:sz="8" w:space="0"/>
            </w:tcBorders>
            <w:noWrap w:val="0"/>
            <w:tcMar>
              <w:left w:w="108" w:type="dxa"/>
              <w:right w:w="108" w:type="dxa"/>
            </w:tcMar>
            <w:vAlign w:val="center"/>
          </w:tcPr>
          <w:p w14:paraId="1BDFB2D1">
            <w:pPr>
              <w:widowControl/>
              <w:shd w:val="clear" w:color="auto"/>
              <w:spacing w:before="100" w:beforeAutospacing="1" w:after="100" w:afterAutospacing="1" w:line="320" w:lineRule="atLeast"/>
              <w:jc w:val="left"/>
              <w:rPr>
                <w:rFonts w:ascii="宋体" w:hAnsi="宋体" w:cs="宋体"/>
                <w:color w:val="auto"/>
                <w:szCs w:val="21"/>
                <w:highlight w:val="none"/>
              </w:rPr>
            </w:pPr>
            <w:r>
              <w:rPr>
                <w:rFonts w:ascii="宋体" w:hAnsi="宋体" w:cs="宋体"/>
                <w:color w:val="auto"/>
                <w:szCs w:val="21"/>
                <w:highlight w:val="none"/>
              </w:rPr>
              <w:t>（应按采购合同、采购文件、投标响应文件及验收方案等进行验收；并核对中标或者成交供应商在安装调试等方面是否违反合同约定或服务规范要求、提供的质量保证证明材料是否齐全、应有的配件及附件是否达到合同约定等。可附件</w:t>
            </w:r>
            <w:r>
              <w:rPr>
                <w:rFonts w:hint="eastAsia" w:ascii="宋体" w:hAnsi="宋体" w:cs="宋体"/>
                <w:color w:val="auto"/>
                <w:szCs w:val="21"/>
                <w:highlight w:val="none"/>
                <w:lang w:eastAsia="zh-CN"/>
              </w:rPr>
              <w:t>）</w:t>
            </w:r>
          </w:p>
        </w:tc>
      </w:tr>
      <w:tr w14:paraId="441C4A04">
        <w:tblPrEx>
          <w:tblCellMar>
            <w:top w:w="0" w:type="dxa"/>
            <w:left w:w="0" w:type="dxa"/>
            <w:bottom w:w="0" w:type="dxa"/>
            <w:right w:w="0" w:type="dxa"/>
          </w:tblCellMar>
        </w:tblPrEx>
        <w:trPr>
          <w:trHeight w:val="1348" w:hRule="atLeast"/>
          <w:jc w:val="center"/>
        </w:trPr>
        <w:tc>
          <w:tcPr>
            <w:tcW w:w="1497"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7BD24CB2">
            <w:pPr>
              <w:widowControl/>
              <w:shd w:val="clear" w:color="auto"/>
              <w:spacing w:before="100" w:beforeAutospacing="1" w:after="100" w:afterAutospacing="1" w:line="320" w:lineRule="atLeast"/>
              <w:jc w:val="left"/>
              <w:rPr>
                <w:rFonts w:ascii="宋体" w:hAnsi="宋体" w:cs="宋体"/>
                <w:color w:val="auto"/>
                <w:szCs w:val="21"/>
                <w:highlight w:val="none"/>
              </w:rPr>
            </w:pPr>
            <w:r>
              <w:rPr>
                <w:rFonts w:ascii="宋体" w:hAnsi="宋体" w:cs="宋体"/>
                <w:color w:val="auto"/>
                <w:szCs w:val="21"/>
                <w:highlight w:val="none"/>
              </w:rPr>
              <w:t>验收小组意见</w:t>
            </w:r>
          </w:p>
        </w:tc>
        <w:tc>
          <w:tcPr>
            <w:tcW w:w="7997" w:type="dxa"/>
            <w:gridSpan w:val="7"/>
            <w:tcBorders>
              <w:top w:val="nil"/>
              <w:left w:val="nil"/>
              <w:bottom w:val="single" w:color="auto" w:sz="8" w:space="0"/>
              <w:right w:val="single" w:color="auto" w:sz="8" w:space="0"/>
            </w:tcBorders>
            <w:noWrap w:val="0"/>
            <w:vAlign w:val="center"/>
          </w:tcPr>
          <w:p w14:paraId="4F28112F">
            <w:pPr>
              <w:widowControl/>
              <w:shd w:val="clear" w:color="auto"/>
              <w:spacing w:before="100" w:beforeAutospacing="1" w:after="100" w:afterAutospacing="1" w:line="320" w:lineRule="atLeast"/>
              <w:jc w:val="left"/>
              <w:rPr>
                <w:rFonts w:ascii="宋体" w:hAnsi="宋体" w:cs="宋体"/>
                <w:color w:val="auto"/>
                <w:szCs w:val="21"/>
                <w:highlight w:val="none"/>
              </w:rPr>
            </w:pPr>
            <w:r>
              <w:rPr>
                <w:rFonts w:ascii="宋体" w:hAnsi="宋体" w:cs="宋体"/>
                <w:color w:val="auto"/>
                <w:szCs w:val="21"/>
                <w:highlight w:val="none"/>
              </w:rPr>
              <w:t>验收结论性意见：</w:t>
            </w:r>
          </w:p>
        </w:tc>
      </w:tr>
      <w:tr w14:paraId="2575A629">
        <w:tblPrEx>
          <w:tblCellMar>
            <w:top w:w="0" w:type="dxa"/>
            <w:left w:w="0" w:type="dxa"/>
            <w:bottom w:w="0" w:type="dxa"/>
            <w:right w:w="0" w:type="dxa"/>
          </w:tblCellMar>
        </w:tblPrEx>
        <w:trPr>
          <w:trHeight w:val="639" w:hRule="atLeast"/>
          <w:jc w:val="center"/>
        </w:trPr>
        <w:tc>
          <w:tcPr>
            <w:tcW w:w="1497" w:type="dxa"/>
            <w:vMerge w:val="continue"/>
            <w:tcBorders>
              <w:top w:val="nil"/>
              <w:left w:val="single" w:color="auto" w:sz="8" w:space="0"/>
              <w:bottom w:val="single" w:color="auto" w:sz="8" w:space="0"/>
              <w:right w:val="single" w:color="auto" w:sz="8" w:space="0"/>
            </w:tcBorders>
            <w:noWrap w:val="0"/>
            <w:vAlign w:val="center"/>
          </w:tcPr>
          <w:p w14:paraId="28188FDD">
            <w:pPr>
              <w:shd w:val="clear" w:color="auto"/>
              <w:rPr>
                <w:rFonts w:ascii="宋体" w:hAnsi="宋体"/>
                <w:color w:val="auto"/>
                <w:highlight w:val="none"/>
              </w:rPr>
            </w:pPr>
          </w:p>
        </w:tc>
        <w:tc>
          <w:tcPr>
            <w:tcW w:w="7997" w:type="dxa"/>
            <w:gridSpan w:val="7"/>
            <w:tcBorders>
              <w:top w:val="nil"/>
              <w:left w:val="nil"/>
              <w:bottom w:val="single" w:color="auto" w:sz="8" w:space="0"/>
              <w:right w:val="single" w:color="auto" w:sz="8" w:space="0"/>
            </w:tcBorders>
            <w:noWrap w:val="0"/>
            <w:vAlign w:val="center"/>
          </w:tcPr>
          <w:p w14:paraId="79F41740">
            <w:pPr>
              <w:widowControl/>
              <w:shd w:val="clear" w:color="auto"/>
              <w:spacing w:before="100" w:beforeAutospacing="1" w:after="100" w:afterAutospacing="1" w:line="320" w:lineRule="atLeast"/>
              <w:ind w:firstLine="96"/>
              <w:jc w:val="left"/>
              <w:rPr>
                <w:rFonts w:ascii="宋体" w:hAnsi="宋体" w:cs="宋体"/>
                <w:color w:val="auto"/>
                <w:szCs w:val="21"/>
                <w:highlight w:val="none"/>
              </w:rPr>
            </w:pPr>
            <w:r>
              <w:rPr>
                <w:rFonts w:ascii="宋体" w:hAnsi="宋体" w:cs="宋体"/>
                <w:color w:val="auto"/>
                <w:szCs w:val="21"/>
                <w:highlight w:val="none"/>
              </w:rPr>
              <w:t>有异议的意见和说明理由：</w:t>
            </w:r>
          </w:p>
          <w:p w14:paraId="4B8D5B53">
            <w:pPr>
              <w:widowControl/>
              <w:shd w:val="clear" w:color="auto"/>
              <w:spacing w:before="100" w:beforeAutospacing="1" w:after="100" w:afterAutospacing="1" w:line="320" w:lineRule="atLeast"/>
              <w:jc w:val="left"/>
              <w:rPr>
                <w:rFonts w:ascii="宋体" w:hAnsi="宋体" w:cs="宋体"/>
                <w:color w:val="auto"/>
                <w:szCs w:val="21"/>
                <w:highlight w:val="none"/>
              </w:rPr>
            </w:pPr>
            <w:r>
              <w:rPr>
                <w:rFonts w:ascii="宋体" w:hAnsi="宋体" w:cs="宋体"/>
                <w:color w:val="auto"/>
                <w:szCs w:val="21"/>
                <w:highlight w:val="none"/>
              </w:rPr>
              <w:t>签字：</w:t>
            </w:r>
          </w:p>
        </w:tc>
      </w:tr>
      <w:tr w14:paraId="50F0101F">
        <w:tblPrEx>
          <w:tblCellMar>
            <w:top w:w="0" w:type="dxa"/>
            <w:left w:w="0" w:type="dxa"/>
            <w:bottom w:w="0" w:type="dxa"/>
            <w:right w:w="0" w:type="dxa"/>
          </w:tblCellMar>
        </w:tblPrEx>
        <w:trPr>
          <w:trHeight w:val="534" w:hRule="atLeast"/>
          <w:jc w:val="center"/>
        </w:trPr>
        <w:tc>
          <w:tcPr>
            <w:tcW w:w="9494" w:type="dxa"/>
            <w:gridSpan w:val="8"/>
            <w:tcBorders>
              <w:top w:val="nil"/>
              <w:left w:val="single" w:color="auto" w:sz="8" w:space="0"/>
              <w:bottom w:val="single" w:color="auto" w:sz="8" w:space="0"/>
              <w:right w:val="single" w:color="auto" w:sz="8" w:space="0"/>
            </w:tcBorders>
            <w:noWrap w:val="0"/>
            <w:tcMar>
              <w:left w:w="108" w:type="dxa"/>
              <w:right w:w="108" w:type="dxa"/>
            </w:tcMar>
            <w:vAlign w:val="center"/>
          </w:tcPr>
          <w:p w14:paraId="488FA56D">
            <w:pPr>
              <w:widowControl/>
              <w:shd w:val="clear" w:color="auto"/>
              <w:spacing w:before="100" w:beforeAutospacing="1" w:after="100" w:afterAutospacing="1" w:line="320" w:lineRule="atLeast"/>
              <w:jc w:val="left"/>
              <w:rPr>
                <w:rFonts w:ascii="宋体" w:hAnsi="宋体" w:cs="宋体"/>
                <w:color w:val="auto"/>
                <w:szCs w:val="21"/>
                <w:highlight w:val="none"/>
              </w:rPr>
            </w:pPr>
            <w:r>
              <w:rPr>
                <w:rFonts w:ascii="宋体" w:hAnsi="宋体" w:cs="宋体"/>
                <w:color w:val="auto"/>
                <w:szCs w:val="21"/>
                <w:highlight w:val="none"/>
              </w:rPr>
              <w:t>验收小组成员签字：</w:t>
            </w:r>
          </w:p>
        </w:tc>
      </w:tr>
      <w:tr w14:paraId="54676EC2">
        <w:tblPrEx>
          <w:tblCellMar>
            <w:top w:w="0" w:type="dxa"/>
            <w:left w:w="0" w:type="dxa"/>
            <w:bottom w:w="0" w:type="dxa"/>
            <w:right w:w="0" w:type="dxa"/>
          </w:tblCellMar>
        </w:tblPrEx>
        <w:trPr>
          <w:trHeight w:val="774" w:hRule="atLeast"/>
          <w:jc w:val="center"/>
        </w:trPr>
        <w:tc>
          <w:tcPr>
            <w:tcW w:w="9494" w:type="dxa"/>
            <w:gridSpan w:val="8"/>
            <w:tcBorders>
              <w:top w:val="nil"/>
              <w:left w:val="single" w:color="auto" w:sz="8" w:space="0"/>
              <w:bottom w:val="single" w:color="auto" w:sz="8" w:space="0"/>
              <w:right w:val="single" w:color="auto" w:sz="8" w:space="0"/>
            </w:tcBorders>
            <w:noWrap w:val="0"/>
            <w:tcMar>
              <w:left w:w="108" w:type="dxa"/>
              <w:right w:w="108" w:type="dxa"/>
            </w:tcMar>
            <w:vAlign w:val="center"/>
          </w:tcPr>
          <w:p w14:paraId="28B40A6F">
            <w:pPr>
              <w:widowControl/>
              <w:shd w:val="clear" w:color="auto"/>
              <w:spacing w:before="100" w:beforeAutospacing="1" w:after="100" w:afterAutospacing="1" w:line="320" w:lineRule="atLeast"/>
              <w:jc w:val="left"/>
              <w:rPr>
                <w:rFonts w:ascii="宋体" w:hAnsi="宋体" w:cs="宋体"/>
                <w:color w:val="auto"/>
                <w:szCs w:val="21"/>
                <w:highlight w:val="none"/>
              </w:rPr>
            </w:pPr>
            <w:r>
              <w:rPr>
                <w:rFonts w:ascii="宋体" w:hAnsi="宋体" w:cs="宋体"/>
                <w:color w:val="auto"/>
                <w:szCs w:val="21"/>
                <w:highlight w:val="none"/>
              </w:rPr>
              <w:t>监督人员或其他相关人员签字：</w:t>
            </w:r>
          </w:p>
          <w:p w14:paraId="3C0D4A7D">
            <w:pPr>
              <w:widowControl/>
              <w:shd w:val="clear" w:color="auto"/>
              <w:spacing w:before="100" w:beforeAutospacing="1" w:after="100" w:afterAutospacing="1" w:line="320" w:lineRule="atLeast"/>
              <w:ind w:firstLine="74"/>
              <w:jc w:val="left"/>
              <w:rPr>
                <w:rFonts w:ascii="宋体" w:hAnsi="宋体" w:cs="宋体"/>
                <w:color w:val="auto"/>
                <w:szCs w:val="21"/>
                <w:highlight w:val="none"/>
              </w:rPr>
            </w:pPr>
            <w:r>
              <w:rPr>
                <w:rFonts w:ascii="宋体" w:hAnsi="宋体" w:cs="宋体"/>
                <w:color w:val="auto"/>
                <w:szCs w:val="21"/>
                <w:highlight w:val="none"/>
              </w:rPr>
              <w:t>或受邀机构的意见（盖章）：</w:t>
            </w:r>
          </w:p>
        </w:tc>
      </w:tr>
      <w:tr w14:paraId="59A25D00">
        <w:tblPrEx>
          <w:tblCellMar>
            <w:top w:w="0" w:type="dxa"/>
            <w:left w:w="0" w:type="dxa"/>
            <w:bottom w:w="0" w:type="dxa"/>
            <w:right w:w="0" w:type="dxa"/>
          </w:tblCellMar>
        </w:tblPrEx>
        <w:trPr>
          <w:trHeight w:val="797" w:hRule="atLeast"/>
          <w:jc w:val="center"/>
        </w:trPr>
        <w:tc>
          <w:tcPr>
            <w:tcW w:w="4667" w:type="dxa"/>
            <w:gridSpan w:val="4"/>
            <w:tcBorders>
              <w:top w:val="nil"/>
              <w:left w:val="single" w:color="auto" w:sz="8" w:space="0"/>
              <w:bottom w:val="single" w:color="auto" w:sz="8" w:space="0"/>
              <w:right w:val="nil"/>
            </w:tcBorders>
            <w:noWrap w:val="0"/>
            <w:tcMar>
              <w:left w:w="108" w:type="dxa"/>
              <w:right w:w="108" w:type="dxa"/>
            </w:tcMar>
            <w:vAlign w:val="center"/>
          </w:tcPr>
          <w:p w14:paraId="6898855B">
            <w:pPr>
              <w:widowControl/>
              <w:shd w:val="clear" w:color="auto"/>
              <w:spacing w:before="100" w:beforeAutospacing="1" w:after="100" w:afterAutospacing="1" w:line="320" w:lineRule="atLeast"/>
              <w:ind w:firstLine="74"/>
              <w:jc w:val="left"/>
              <w:rPr>
                <w:rFonts w:ascii="宋体" w:hAnsi="宋体" w:cs="宋体"/>
                <w:color w:val="auto"/>
                <w:szCs w:val="21"/>
                <w:highlight w:val="none"/>
              </w:rPr>
            </w:pPr>
            <w:r>
              <w:rPr>
                <w:rFonts w:ascii="宋体" w:hAnsi="宋体" w:cs="宋体"/>
                <w:color w:val="auto"/>
                <w:szCs w:val="21"/>
                <w:highlight w:val="none"/>
              </w:rPr>
              <w:t>中标或者成交供应商负责人签字或盖章：</w:t>
            </w:r>
          </w:p>
          <w:p w14:paraId="3E3C356E">
            <w:pPr>
              <w:widowControl/>
              <w:shd w:val="clear" w:color="auto"/>
              <w:spacing w:before="100" w:beforeAutospacing="1" w:after="100" w:afterAutospacing="1" w:line="320" w:lineRule="atLeast"/>
              <w:jc w:val="left"/>
              <w:rPr>
                <w:rFonts w:ascii="宋体" w:hAnsi="宋体" w:cs="宋体"/>
                <w:color w:val="auto"/>
                <w:szCs w:val="21"/>
                <w:highlight w:val="none"/>
              </w:rPr>
            </w:pPr>
            <w:r>
              <w:rPr>
                <w:rFonts w:ascii="宋体" w:hAnsi="宋体" w:cs="宋体"/>
                <w:color w:val="auto"/>
                <w:szCs w:val="21"/>
                <w:highlight w:val="none"/>
              </w:rPr>
              <w:t>联系电话： 年 月 日</w:t>
            </w:r>
          </w:p>
        </w:tc>
        <w:tc>
          <w:tcPr>
            <w:tcW w:w="4827" w:type="dxa"/>
            <w:gridSpan w:val="4"/>
            <w:tcBorders>
              <w:top w:val="nil"/>
              <w:left w:val="nil"/>
              <w:bottom w:val="single" w:color="auto" w:sz="8" w:space="0"/>
              <w:right w:val="single" w:color="auto" w:sz="8" w:space="0"/>
            </w:tcBorders>
            <w:noWrap w:val="0"/>
            <w:vAlign w:val="center"/>
          </w:tcPr>
          <w:p w14:paraId="0FC09887">
            <w:pPr>
              <w:widowControl/>
              <w:shd w:val="clear" w:color="auto"/>
              <w:spacing w:before="100" w:beforeAutospacing="1" w:after="100" w:afterAutospacing="1" w:line="320" w:lineRule="atLeast"/>
              <w:jc w:val="left"/>
              <w:rPr>
                <w:rFonts w:ascii="宋体" w:hAnsi="宋体" w:cs="宋体"/>
                <w:color w:val="auto"/>
                <w:szCs w:val="21"/>
                <w:highlight w:val="none"/>
              </w:rPr>
            </w:pPr>
            <w:r>
              <w:rPr>
                <w:rFonts w:ascii="宋体" w:hAnsi="宋体" w:cs="宋体"/>
                <w:color w:val="auto"/>
                <w:szCs w:val="21"/>
                <w:highlight w:val="none"/>
              </w:rPr>
              <w:t>采购人或受托机构的意见（盖章）：</w:t>
            </w:r>
          </w:p>
          <w:p w14:paraId="444F98B8">
            <w:pPr>
              <w:widowControl/>
              <w:shd w:val="clear" w:color="auto"/>
              <w:spacing w:before="100" w:beforeAutospacing="1" w:after="100" w:afterAutospacing="1" w:line="320" w:lineRule="atLeast"/>
              <w:jc w:val="left"/>
              <w:rPr>
                <w:rFonts w:ascii="宋体" w:hAnsi="宋体" w:cs="宋体"/>
                <w:color w:val="auto"/>
                <w:szCs w:val="21"/>
                <w:highlight w:val="none"/>
              </w:rPr>
            </w:pPr>
            <w:r>
              <w:rPr>
                <w:rFonts w:ascii="宋体" w:hAnsi="宋体" w:cs="宋体"/>
                <w:color w:val="auto"/>
                <w:szCs w:val="21"/>
                <w:highlight w:val="none"/>
              </w:rPr>
              <w:t>联系电话： 年 月 日</w:t>
            </w:r>
          </w:p>
        </w:tc>
      </w:tr>
    </w:tbl>
    <w:p w14:paraId="45D30E31">
      <w:pPr>
        <w:shd w:val="clear" w:color="auto"/>
        <w:jc w:val="left"/>
        <w:rPr>
          <w:rFonts w:ascii="宋体" w:hAnsi="宋体"/>
          <w:color w:val="auto"/>
          <w:highlight w:val="none"/>
        </w:rPr>
      </w:pPr>
    </w:p>
    <w:p w14:paraId="212E628B">
      <w:pPr>
        <w:shd w:val="clear" w:color="auto"/>
        <w:jc w:val="left"/>
        <w:rPr>
          <w:rFonts w:hint="eastAsia" w:ascii="宋体" w:hAnsi="宋体" w:cs="宋体"/>
          <w:color w:val="auto"/>
          <w:sz w:val="28"/>
          <w:szCs w:val="28"/>
          <w:highlight w:val="none"/>
        </w:rPr>
      </w:pPr>
      <w:r>
        <w:rPr>
          <w:rFonts w:ascii="宋体" w:hAnsi="宋体"/>
          <w:color w:val="auto"/>
          <w:highlight w:val="none"/>
        </w:rPr>
        <w:br w:type="page" w:clear="all"/>
      </w:r>
      <w:r>
        <w:rPr>
          <w:rFonts w:hint="eastAsia" w:ascii="宋体" w:hAnsi="宋体" w:cs="宋体"/>
          <w:color w:val="auto"/>
          <w:sz w:val="28"/>
          <w:szCs w:val="28"/>
          <w:highlight w:val="none"/>
        </w:rPr>
        <w:t>附件2：</w:t>
      </w:r>
    </w:p>
    <w:p w14:paraId="226A931E">
      <w:pPr>
        <w:shd w:val="clear" w:color="auto"/>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政府采购项目履约保证金退付意见书（格式）</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640"/>
      </w:tblGrid>
      <w:tr w14:paraId="6716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008" w:type="dxa"/>
            <w:vMerge w:val="restart"/>
            <w:noWrap w:val="0"/>
            <w:vAlign w:val="center"/>
          </w:tcPr>
          <w:p w14:paraId="656A2D83">
            <w:pPr>
              <w:shd w:val="clear" w:color="auto"/>
              <w:jc w:val="center"/>
              <w:rPr>
                <w:rFonts w:hint="eastAsia"/>
                <w:color w:val="auto"/>
                <w:szCs w:val="21"/>
                <w:highlight w:val="none"/>
              </w:rPr>
            </w:pPr>
            <w:r>
              <w:rPr>
                <w:rFonts w:hint="eastAsia"/>
                <w:color w:val="auto"/>
                <w:szCs w:val="21"/>
                <w:highlight w:val="none"/>
              </w:rPr>
              <w:t>供</w:t>
            </w:r>
          </w:p>
          <w:p w14:paraId="0740A37F">
            <w:pPr>
              <w:shd w:val="clear" w:color="auto"/>
              <w:jc w:val="center"/>
              <w:rPr>
                <w:rFonts w:hint="eastAsia"/>
                <w:color w:val="auto"/>
                <w:szCs w:val="21"/>
                <w:highlight w:val="none"/>
              </w:rPr>
            </w:pPr>
            <w:r>
              <w:rPr>
                <w:rFonts w:hint="eastAsia"/>
                <w:color w:val="auto"/>
                <w:szCs w:val="21"/>
                <w:highlight w:val="none"/>
              </w:rPr>
              <w:t>应</w:t>
            </w:r>
          </w:p>
          <w:p w14:paraId="3525669D">
            <w:pPr>
              <w:shd w:val="clear" w:color="auto"/>
              <w:jc w:val="center"/>
              <w:rPr>
                <w:rFonts w:hint="eastAsia"/>
                <w:color w:val="auto"/>
                <w:szCs w:val="21"/>
                <w:highlight w:val="none"/>
              </w:rPr>
            </w:pPr>
            <w:r>
              <w:rPr>
                <w:rFonts w:hint="eastAsia"/>
                <w:color w:val="auto"/>
                <w:szCs w:val="21"/>
                <w:highlight w:val="none"/>
              </w:rPr>
              <w:t>商</w:t>
            </w:r>
          </w:p>
          <w:p w14:paraId="70801EAF">
            <w:pPr>
              <w:shd w:val="clear" w:color="auto"/>
              <w:jc w:val="center"/>
              <w:rPr>
                <w:rFonts w:hint="eastAsia"/>
                <w:color w:val="auto"/>
                <w:szCs w:val="21"/>
                <w:highlight w:val="none"/>
              </w:rPr>
            </w:pPr>
            <w:r>
              <w:rPr>
                <w:rFonts w:hint="eastAsia"/>
                <w:color w:val="auto"/>
                <w:szCs w:val="21"/>
                <w:highlight w:val="none"/>
              </w:rPr>
              <w:t>申</w:t>
            </w:r>
          </w:p>
          <w:p w14:paraId="541A95CB">
            <w:pPr>
              <w:shd w:val="clear" w:color="auto"/>
              <w:jc w:val="center"/>
              <w:rPr>
                <w:rFonts w:hint="eastAsia"/>
                <w:color w:val="auto"/>
                <w:szCs w:val="21"/>
                <w:highlight w:val="none"/>
              </w:rPr>
            </w:pPr>
            <w:r>
              <w:rPr>
                <w:rFonts w:hint="eastAsia"/>
                <w:color w:val="auto"/>
                <w:szCs w:val="21"/>
                <w:highlight w:val="none"/>
              </w:rPr>
              <w:t>请</w:t>
            </w:r>
          </w:p>
        </w:tc>
        <w:tc>
          <w:tcPr>
            <w:tcW w:w="8640" w:type="dxa"/>
            <w:noWrap w:val="0"/>
            <w:vAlign w:val="center"/>
          </w:tcPr>
          <w:p w14:paraId="0F2C4BDA">
            <w:pPr>
              <w:shd w:val="clear" w:color="auto"/>
              <w:rPr>
                <w:rFonts w:hint="eastAsia"/>
                <w:color w:val="auto"/>
                <w:szCs w:val="21"/>
                <w:highlight w:val="none"/>
              </w:rPr>
            </w:pPr>
            <w:r>
              <w:rPr>
                <w:rFonts w:hint="eastAsia"/>
                <w:color w:val="auto"/>
                <w:szCs w:val="21"/>
                <w:highlight w:val="none"/>
              </w:rPr>
              <w:t>项目编号：</w:t>
            </w:r>
          </w:p>
        </w:tc>
      </w:tr>
      <w:tr w14:paraId="69064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008" w:type="dxa"/>
            <w:vMerge w:val="continue"/>
            <w:noWrap w:val="0"/>
            <w:vAlign w:val="center"/>
          </w:tcPr>
          <w:p w14:paraId="13FD19FA">
            <w:pPr>
              <w:shd w:val="clear" w:color="auto"/>
              <w:rPr>
                <w:color w:val="auto"/>
                <w:highlight w:val="none"/>
              </w:rPr>
            </w:pPr>
          </w:p>
        </w:tc>
        <w:tc>
          <w:tcPr>
            <w:tcW w:w="8640" w:type="dxa"/>
            <w:noWrap w:val="0"/>
            <w:vAlign w:val="center"/>
          </w:tcPr>
          <w:p w14:paraId="4BA70E23">
            <w:pPr>
              <w:shd w:val="clear" w:color="auto"/>
              <w:rPr>
                <w:rFonts w:hint="eastAsia"/>
                <w:color w:val="auto"/>
                <w:szCs w:val="21"/>
                <w:highlight w:val="none"/>
              </w:rPr>
            </w:pPr>
            <w:r>
              <w:rPr>
                <w:rFonts w:hint="eastAsia"/>
                <w:color w:val="auto"/>
                <w:szCs w:val="21"/>
                <w:highlight w:val="none"/>
              </w:rPr>
              <w:t>项目名称：</w:t>
            </w:r>
          </w:p>
        </w:tc>
      </w:tr>
      <w:tr w14:paraId="4657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noWrap w:val="0"/>
            <w:vAlign w:val="top"/>
          </w:tcPr>
          <w:p w14:paraId="5144DE4C">
            <w:pPr>
              <w:shd w:val="clear" w:color="auto"/>
              <w:rPr>
                <w:color w:val="auto"/>
                <w:highlight w:val="none"/>
              </w:rPr>
            </w:pPr>
          </w:p>
        </w:tc>
        <w:tc>
          <w:tcPr>
            <w:tcW w:w="8640" w:type="dxa"/>
            <w:noWrap w:val="0"/>
            <w:vAlign w:val="top"/>
          </w:tcPr>
          <w:p w14:paraId="75C4135A">
            <w:pPr>
              <w:shd w:val="clear" w:color="auto"/>
              <w:rPr>
                <w:rFonts w:hint="eastAsia"/>
                <w:color w:val="auto"/>
                <w:szCs w:val="21"/>
                <w:highlight w:val="none"/>
              </w:rPr>
            </w:pPr>
            <w:r>
              <w:rPr>
                <w:rFonts w:hint="eastAsia"/>
                <w:color w:val="auto"/>
                <w:szCs w:val="21"/>
                <w:highlight w:val="none"/>
              </w:rPr>
              <w:t xml:space="preserve">  </w:t>
            </w:r>
          </w:p>
          <w:p w14:paraId="717D61A2">
            <w:pPr>
              <w:shd w:val="clear" w:color="auto"/>
              <w:spacing w:line="400" w:lineRule="exact"/>
              <w:ind w:firstLine="420"/>
              <w:rPr>
                <w:rFonts w:hint="eastAsia"/>
                <w:color w:val="auto"/>
                <w:szCs w:val="21"/>
                <w:highlight w:val="none"/>
              </w:rPr>
            </w:pPr>
            <w:r>
              <w:rPr>
                <w:rFonts w:hint="eastAsia"/>
                <w:color w:val="auto"/>
                <w:szCs w:val="21"/>
                <w:highlight w:val="none"/>
              </w:rPr>
              <w:t>该项目已于</w:t>
            </w:r>
            <w:r>
              <w:rPr>
                <w:rFonts w:hint="eastAsia"/>
                <w:color w:val="auto"/>
                <w:szCs w:val="21"/>
                <w:highlight w:val="none"/>
                <w:u w:val="single"/>
              </w:rPr>
              <w:t xml:space="preserve">       </w:t>
            </w:r>
            <w:r>
              <w:rPr>
                <w:rFonts w:hint="eastAsia"/>
                <w:color w:val="auto"/>
                <w:szCs w:val="21"/>
                <w:highlight w:val="none"/>
              </w:rPr>
              <w:t>年</w:t>
            </w:r>
            <w:r>
              <w:rPr>
                <w:rFonts w:hint="eastAsia"/>
                <w:color w:val="auto"/>
                <w:szCs w:val="21"/>
                <w:highlight w:val="none"/>
                <w:u w:val="single"/>
              </w:rPr>
              <w:t xml:space="preserve">     </w:t>
            </w:r>
            <w:r>
              <w:rPr>
                <w:rFonts w:hint="eastAsia"/>
                <w:color w:val="auto"/>
                <w:szCs w:val="21"/>
                <w:highlight w:val="none"/>
              </w:rPr>
              <w:t>月</w:t>
            </w:r>
            <w:r>
              <w:rPr>
                <w:rFonts w:hint="eastAsia"/>
                <w:color w:val="auto"/>
                <w:szCs w:val="21"/>
                <w:highlight w:val="none"/>
                <w:u w:val="single"/>
              </w:rPr>
              <w:t xml:space="preserve">     </w:t>
            </w:r>
            <w:r>
              <w:rPr>
                <w:rFonts w:hint="eastAsia"/>
                <w:color w:val="auto"/>
                <w:szCs w:val="21"/>
                <w:highlight w:val="none"/>
              </w:rPr>
              <w:t>日验收并交付使用。根据合同规定，该项目的履约保证金期限于</w:t>
            </w:r>
            <w:r>
              <w:rPr>
                <w:rFonts w:hint="eastAsia"/>
                <w:color w:val="auto"/>
                <w:szCs w:val="21"/>
                <w:highlight w:val="none"/>
                <w:u w:val="single"/>
              </w:rPr>
              <w:t xml:space="preserve">         </w:t>
            </w:r>
            <w:r>
              <w:rPr>
                <w:rFonts w:hint="eastAsia"/>
                <w:color w:val="auto"/>
                <w:szCs w:val="21"/>
                <w:highlight w:val="none"/>
              </w:rPr>
              <w:t>年</w:t>
            </w:r>
            <w:r>
              <w:rPr>
                <w:rFonts w:hint="eastAsia"/>
                <w:color w:val="auto"/>
                <w:szCs w:val="21"/>
                <w:highlight w:val="none"/>
                <w:u w:val="single"/>
              </w:rPr>
              <w:t xml:space="preserve">      </w:t>
            </w:r>
            <w:r>
              <w:rPr>
                <w:rFonts w:hint="eastAsia"/>
                <w:color w:val="auto"/>
                <w:szCs w:val="21"/>
                <w:highlight w:val="none"/>
              </w:rPr>
              <w:t>月</w:t>
            </w:r>
            <w:r>
              <w:rPr>
                <w:rFonts w:hint="eastAsia"/>
                <w:color w:val="auto"/>
                <w:szCs w:val="21"/>
                <w:highlight w:val="none"/>
                <w:u w:val="single"/>
              </w:rPr>
              <w:t xml:space="preserve">       </w:t>
            </w:r>
            <w:r>
              <w:rPr>
                <w:rFonts w:hint="eastAsia"/>
                <w:color w:val="auto"/>
                <w:szCs w:val="21"/>
                <w:highlight w:val="none"/>
              </w:rPr>
              <w:t>日已满，请将履约保证金</w:t>
            </w:r>
          </w:p>
          <w:p w14:paraId="00A733FF">
            <w:pPr>
              <w:shd w:val="clear" w:color="auto"/>
              <w:spacing w:line="400" w:lineRule="exact"/>
              <w:rPr>
                <w:rFonts w:hint="eastAsia"/>
                <w:color w:val="auto"/>
                <w:szCs w:val="21"/>
                <w:highlight w:val="none"/>
              </w:rPr>
            </w:pPr>
            <w:r>
              <w:rPr>
                <w:rFonts w:hint="eastAsia"/>
                <w:color w:val="auto"/>
                <w:szCs w:val="21"/>
                <w:highlight w:val="none"/>
                <w:u w:val="single"/>
              </w:rPr>
              <w:t xml:space="preserve">                                        </w:t>
            </w:r>
            <w:r>
              <w:rPr>
                <w:rFonts w:hint="eastAsia"/>
                <w:color w:val="auto"/>
                <w:szCs w:val="21"/>
                <w:highlight w:val="none"/>
              </w:rPr>
              <w:t>（大写）¥</w:t>
            </w:r>
            <w:r>
              <w:rPr>
                <w:rFonts w:hint="eastAsia"/>
                <w:color w:val="auto"/>
                <w:szCs w:val="21"/>
                <w:highlight w:val="none"/>
                <w:u w:val="single"/>
              </w:rPr>
              <w:t xml:space="preserve">          </w:t>
            </w:r>
            <w:r>
              <w:rPr>
                <w:rFonts w:hint="eastAsia"/>
                <w:color w:val="auto"/>
                <w:szCs w:val="21"/>
                <w:highlight w:val="none"/>
              </w:rPr>
              <w:t>（小写）退付到达以下账户。</w:t>
            </w:r>
          </w:p>
          <w:p w14:paraId="75301A64">
            <w:pPr>
              <w:shd w:val="clear" w:color="auto"/>
              <w:spacing w:line="400" w:lineRule="exact"/>
              <w:ind w:firstLine="705"/>
              <w:rPr>
                <w:rFonts w:hint="eastAsia"/>
                <w:color w:val="auto"/>
                <w:szCs w:val="21"/>
                <w:highlight w:val="none"/>
              </w:rPr>
            </w:pPr>
            <w:r>
              <w:rPr>
                <w:rFonts w:hint="eastAsia"/>
                <w:color w:val="auto"/>
                <w:szCs w:val="21"/>
                <w:highlight w:val="none"/>
              </w:rPr>
              <w:t>单位名称：</w:t>
            </w:r>
          </w:p>
          <w:p w14:paraId="2D04146C">
            <w:pPr>
              <w:shd w:val="clear" w:color="auto"/>
              <w:spacing w:line="400" w:lineRule="exact"/>
              <w:ind w:firstLine="705"/>
              <w:rPr>
                <w:rFonts w:hint="eastAsia"/>
                <w:color w:val="auto"/>
                <w:szCs w:val="21"/>
                <w:highlight w:val="none"/>
              </w:rPr>
            </w:pPr>
            <w:r>
              <w:rPr>
                <w:rFonts w:hint="eastAsia"/>
                <w:color w:val="auto"/>
                <w:szCs w:val="21"/>
                <w:highlight w:val="none"/>
              </w:rPr>
              <w:t>开户银行：</w:t>
            </w:r>
          </w:p>
          <w:p w14:paraId="6CE8AD34">
            <w:pPr>
              <w:shd w:val="clear" w:color="auto"/>
              <w:spacing w:line="400" w:lineRule="exact"/>
              <w:ind w:firstLine="705"/>
              <w:rPr>
                <w:rFonts w:hint="eastAsia"/>
                <w:color w:val="auto"/>
                <w:szCs w:val="21"/>
                <w:highlight w:val="none"/>
              </w:rPr>
            </w:pPr>
            <w:r>
              <w:rPr>
                <w:rFonts w:hint="eastAsia"/>
                <w:color w:val="auto"/>
                <w:szCs w:val="21"/>
                <w:highlight w:val="none"/>
              </w:rPr>
              <w:t>账   号：</w:t>
            </w:r>
          </w:p>
          <w:p w14:paraId="1E345DD3">
            <w:pPr>
              <w:shd w:val="clear" w:color="auto"/>
              <w:spacing w:line="400" w:lineRule="exact"/>
              <w:rPr>
                <w:rFonts w:hint="eastAsia"/>
                <w:color w:val="auto"/>
                <w:szCs w:val="21"/>
                <w:highlight w:val="none"/>
              </w:rPr>
            </w:pPr>
            <w:r>
              <w:rPr>
                <w:rFonts w:hint="eastAsia"/>
                <w:color w:val="auto"/>
                <w:szCs w:val="21"/>
                <w:highlight w:val="none"/>
              </w:rPr>
              <w:t>联系人及电话：</w:t>
            </w:r>
          </w:p>
          <w:p w14:paraId="7E3E3ECA">
            <w:pPr>
              <w:shd w:val="clear" w:color="auto"/>
              <w:spacing w:line="400" w:lineRule="exact"/>
              <w:rPr>
                <w:rFonts w:hint="eastAsia"/>
                <w:color w:val="auto"/>
                <w:szCs w:val="21"/>
                <w:highlight w:val="none"/>
              </w:rPr>
            </w:pPr>
          </w:p>
          <w:p w14:paraId="7C9E9023">
            <w:pPr>
              <w:shd w:val="clear" w:color="auto"/>
              <w:spacing w:line="520" w:lineRule="exact"/>
              <w:jc w:val="center"/>
              <w:rPr>
                <w:rFonts w:hint="eastAsia"/>
                <w:color w:val="auto"/>
                <w:szCs w:val="21"/>
                <w:highlight w:val="none"/>
              </w:rPr>
            </w:pPr>
            <w:r>
              <w:rPr>
                <w:rFonts w:hint="eastAsia"/>
                <w:color w:val="auto"/>
                <w:szCs w:val="21"/>
                <w:highlight w:val="none"/>
              </w:rPr>
              <w:t xml:space="preserve">                                     供应商签章：</w:t>
            </w:r>
          </w:p>
          <w:p w14:paraId="49450D18">
            <w:pPr>
              <w:shd w:val="clear" w:color="auto"/>
              <w:spacing w:line="520" w:lineRule="exact"/>
              <w:jc w:val="center"/>
              <w:rPr>
                <w:rFonts w:hint="eastAsia"/>
                <w:color w:val="auto"/>
                <w:szCs w:val="21"/>
                <w:highlight w:val="none"/>
              </w:rPr>
            </w:pPr>
            <w:r>
              <w:rPr>
                <w:rFonts w:hint="eastAsia"/>
                <w:color w:val="auto"/>
                <w:szCs w:val="21"/>
                <w:highlight w:val="none"/>
              </w:rPr>
              <w:t xml:space="preserve">                           年    月     日</w:t>
            </w:r>
          </w:p>
        </w:tc>
      </w:tr>
      <w:tr w14:paraId="2B9B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noWrap w:val="0"/>
            <w:vAlign w:val="center"/>
          </w:tcPr>
          <w:p w14:paraId="28581C27">
            <w:pPr>
              <w:shd w:val="clear" w:color="auto"/>
              <w:jc w:val="center"/>
              <w:rPr>
                <w:rFonts w:hint="eastAsia"/>
                <w:color w:val="auto"/>
                <w:szCs w:val="21"/>
                <w:highlight w:val="none"/>
              </w:rPr>
            </w:pPr>
            <w:r>
              <w:rPr>
                <w:rFonts w:hint="eastAsia"/>
                <w:color w:val="auto"/>
                <w:szCs w:val="21"/>
                <w:highlight w:val="none"/>
              </w:rPr>
              <w:t>采</w:t>
            </w:r>
          </w:p>
          <w:p w14:paraId="7A3B56B9">
            <w:pPr>
              <w:shd w:val="clear" w:color="auto"/>
              <w:jc w:val="center"/>
              <w:rPr>
                <w:rFonts w:hint="eastAsia"/>
                <w:color w:val="auto"/>
                <w:szCs w:val="21"/>
                <w:highlight w:val="none"/>
              </w:rPr>
            </w:pPr>
            <w:r>
              <w:rPr>
                <w:rFonts w:hint="eastAsia"/>
                <w:color w:val="auto"/>
                <w:szCs w:val="21"/>
                <w:highlight w:val="none"/>
              </w:rPr>
              <w:t>购</w:t>
            </w:r>
          </w:p>
          <w:p w14:paraId="62D91955">
            <w:pPr>
              <w:shd w:val="clear" w:color="auto"/>
              <w:jc w:val="center"/>
              <w:rPr>
                <w:rFonts w:hint="eastAsia"/>
                <w:color w:val="auto"/>
                <w:szCs w:val="21"/>
                <w:highlight w:val="none"/>
              </w:rPr>
            </w:pPr>
            <w:r>
              <w:rPr>
                <w:rFonts w:hint="eastAsia"/>
                <w:color w:val="auto"/>
                <w:szCs w:val="21"/>
                <w:highlight w:val="none"/>
              </w:rPr>
              <w:t>单</w:t>
            </w:r>
          </w:p>
          <w:p w14:paraId="359ABD33">
            <w:pPr>
              <w:shd w:val="clear" w:color="auto"/>
              <w:jc w:val="center"/>
              <w:rPr>
                <w:rFonts w:hint="eastAsia"/>
                <w:color w:val="auto"/>
                <w:szCs w:val="21"/>
                <w:highlight w:val="none"/>
              </w:rPr>
            </w:pPr>
            <w:r>
              <w:rPr>
                <w:rFonts w:hint="eastAsia"/>
                <w:color w:val="auto"/>
                <w:szCs w:val="21"/>
                <w:highlight w:val="none"/>
              </w:rPr>
              <w:t>位</w:t>
            </w:r>
          </w:p>
          <w:p w14:paraId="60BB11CE">
            <w:pPr>
              <w:shd w:val="clear" w:color="auto"/>
              <w:jc w:val="center"/>
              <w:rPr>
                <w:rFonts w:hint="eastAsia"/>
                <w:color w:val="auto"/>
                <w:szCs w:val="21"/>
                <w:highlight w:val="none"/>
              </w:rPr>
            </w:pPr>
            <w:r>
              <w:rPr>
                <w:rFonts w:hint="eastAsia"/>
                <w:color w:val="auto"/>
                <w:szCs w:val="21"/>
                <w:highlight w:val="none"/>
              </w:rPr>
              <w:t>意</w:t>
            </w:r>
          </w:p>
          <w:p w14:paraId="7EE8BF0C">
            <w:pPr>
              <w:shd w:val="clear" w:color="auto"/>
              <w:jc w:val="center"/>
              <w:rPr>
                <w:rFonts w:hint="eastAsia"/>
                <w:color w:val="auto"/>
                <w:szCs w:val="21"/>
                <w:highlight w:val="none"/>
              </w:rPr>
            </w:pPr>
            <w:r>
              <w:rPr>
                <w:rFonts w:hint="eastAsia"/>
                <w:color w:val="auto"/>
                <w:szCs w:val="21"/>
                <w:highlight w:val="none"/>
              </w:rPr>
              <w:t>见</w:t>
            </w:r>
          </w:p>
        </w:tc>
        <w:tc>
          <w:tcPr>
            <w:tcW w:w="8640" w:type="dxa"/>
            <w:noWrap w:val="0"/>
            <w:vAlign w:val="top"/>
          </w:tcPr>
          <w:p w14:paraId="7472DF89">
            <w:pPr>
              <w:shd w:val="clear" w:color="auto"/>
              <w:rPr>
                <w:rFonts w:hint="eastAsia"/>
                <w:color w:val="auto"/>
                <w:szCs w:val="21"/>
                <w:highlight w:val="none"/>
              </w:rPr>
            </w:pPr>
          </w:p>
          <w:p w14:paraId="6494BA9A">
            <w:pPr>
              <w:shd w:val="clear" w:color="auto"/>
              <w:rPr>
                <w:rFonts w:hint="eastAsia"/>
                <w:color w:val="auto"/>
                <w:szCs w:val="21"/>
                <w:highlight w:val="none"/>
              </w:rPr>
            </w:pPr>
            <w:r>
              <w:rPr>
                <w:rFonts w:hint="eastAsia"/>
                <w:color w:val="auto"/>
                <w:szCs w:val="21"/>
                <w:highlight w:val="none"/>
              </w:rPr>
              <w:t>退付意见：是否同意退付履约保证金及退付金额：</w:t>
            </w:r>
          </w:p>
          <w:p w14:paraId="4167385F">
            <w:pPr>
              <w:shd w:val="clear" w:color="auto"/>
              <w:rPr>
                <w:rFonts w:hint="eastAsia"/>
                <w:color w:val="auto"/>
                <w:szCs w:val="21"/>
                <w:highlight w:val="none"/>
              </w:rPr>
            </w:pPr>
          </w:p>
          <w:p w14:paraId="3A26CCD8">
            <w:pPr>
              <w:shd w:val="clear" w:color="auto"/>
              <w:rPr>
                <w:rFonts w:hint="eastAsia"/>
                <w:color w:val="auto"/>
                <w:szCs w:val="21"/>
                <w:highlight w:val="none"/>
              </w:rPr>
            </w:pPr>
          </w:p>
          <w:p w14:paraId="3604C95C">
            <w:pPr>
              <w:shd w:val="clear" w:color="auto"/>
              <w:spacing w:line="520" w:lineRule="exact"/>
              <w:rPr>
                <w:rFonts w:hint="eastAsia"/>
                <w:color w:val="auto"/>
                <w:szCs w:val="21"/>
                <w:highlight w:val="none"/>
              </w:rPr>
            </w:pPr>
            <w:r>
              <w:rPr>
                <w:rFonts w:hint="eastAsia"/>
                <w:color w:val="auto"/>
                <w:szCs w:val="21"/>
                <w:highlight w:val="none"/>
              </w:rPr>
              <w:t>联系人及电话：                                 采购单位签章</w:t>
            </w:r>
          </w:p>
          <w:p w14:paraId="6E9A49BD">
            <w:pPr>
              <w:shd w:val="clear" w:color="auto"/>
              <w:spacing w:line="520" w:lineRule="exact"/>
              <w:jc w:val="center"/>
              <w:rPr>
                <w:rFonts w:hint="eastAsia"/>
                <w:color w:val="auto"/>
                <w:szCs w:val="21"/>
                <w:highlight w:val="none"/>
              </w:rPr>
            </w:pPr>
            <w:r>
              <w:rPr>
                <w:rFonts w:hint="eastAsia"/>
                <w:color w:val="auto"/>
                <w:szCs w:val="21"/>
                <w:highlight w:val="none"/>
              </w:rPr>
              <w:t xml:space="preserve">                                        年    月     日</w:t>
            </w:r>
          </w:p>
        </w:tc>
      </w:tr>
      <w:tr w14:paraId="66BC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noWrap w:val="0"/>
            <w:vAlign w:val="center"/>
          </w:tcPr>
          <w:p w14:paraId="72CCF815">
            <w:pPr>
              <w:shd w:val="clear" w:color="auto"/>
              <w:jc w:val="center"/>
              <w:rPr>
                <w:rFonts w:hint="eastAsia"/>
                <w:color w:val="auto"/>
                <w:szCs w:val="21"/>
                <w:highlight w:val="none"/>
              </w:rPr>
            </w:pPr>
            <w:r>
              <w:rPr>
                <w:rFonts w:hint="eastAsia"/>
                <w:color w:val="auto"/>
                <w:szCs w:val="21"/>
                <w:highlight w:val="none"/>
              </w:rPr>
              <w:t>财</w:t>
            </w:r>
          </w:p>
          <w:p w14:paraId="6AFF966D">
            <w:pPr>
              <w:shd w:val="clear" w:color="auto"/>
              <w:jc w:val="center"/>
              <w:rPr>
                <w:rFonts w:hint="eastAsia"/>
                <w:color w:val="auto"/>
                <w:szCs w:val="21"/>
                <w:highlight w:val="none"/>
              </w:rPr>
            </w:pPr>
            <w:r>
              <w:rPr>
                <w:rFonts w:hint="eastAsia"/>
                <w:color w:val="auto"/>
                <w:szCs w:val="21"/>
                <w:highlight w:val="none"/>
              </w:rPr>
              <w:t>务</w:t>
            </w:r>
          </w:p>
          <w:p w14:paraId="21309EDC">
            <w:pPr>
              <w:shd w:val="clear" w:color="auto"/>
              <w:jc w:val="center"/>
              <w:rPr>
                <w:rFonts w:hint="eastAsia"/>
                <w:color w:val="auto"/>
                <w:szCs w:val="21"/>
                <w:highlight w:val="none"/>
              </w:rPr>
            </w:pPr>
            <w:r>
              <w:rPr>
                <w:rFonts w:hint="eastAsia"/>
                <w:color w:val="auto"/>
                <w:szCs w:val="21"/>
                <w:highlight w:val="none"/>
              </w:rPr>
              <w:t>部</w:t>
            </w:r>
          </w:p>
          <w:p w14:paraId="15F88AB3">
            <w:pPr>
              <w:shd w:val="clear" w:color="auto"/>
              <w:jc w:val="center"/>
              <w:rPr>
                <w:rFonts w:hint="eastAsia"/>
                <w:color w:val="auto"/>
                <w:szCs w:val="21"/>
                <w:highlight w:val="none"/>
              </w:rPr>
            </w:pPr>
            <w:r>
              <w:rPr>
                <w:rFonts w:hint="eastAsia"/>
                <w:color w:val="auto"/>
                <w:szCs w:val="21"/>
                <w:highlight w:val="none"/>
              </w:rPr>
              <w:t>门</w:t>
            </w:r>
          </w:p>
          <w:p w14:paraId="76B1A59F">
            <w:pPr>
              <w:shd w:val="clear" w:color="auto"/>
              <w:jc w:val="center"/>
              <w:rPr>
                <w:rFonts w:hint="eastAsia"/>
                <w:color w:val="auto"/>
                <w:szCs w:val="21"/>
                <w:highlight w:val="none"/>
              </w:rPr>
            </w:pPr>
            <w:r>
              <w:rPr>
                <w:rFonts w:hint="eastAsia"/>
                <w:color w:val="auto"/>
                <w:szCs w:val="21"/>
                <w:highlight w:val="none"/>
              </w:rPr>
              <w:t>意</w:t>
            </w:r>
          </w:p>
          <w:p w14:paraId="7F0B6FCA">
            <w:pPr>
              <w:shd w:val="clear" w:color="auto"/>
              <w:jc w:val="center"/>
              <w:rPr>
                <w:rFonts w:hint="eastAsia"/>
                <w:color w:val="auto"/>
                <w:szCs w:val="21"/>
                <w:highlight w:val="none"/>
              </w:rPr>
            </w:pPr>
            <w:r>
              <w:rPr>
                <w:rFonts w:hint="eastAsia"/>
                <w:color w:val="auto"/>
                <w:szCs w:val="21"/>
                <w:highlight w:val="none"/>
              </w:rPr>
              <w:t>见</w:t>
            </w:r>
          </w:p>
        </w:tc>
        <w:tc>
          <w:tcPr>
            <w:tcW w:w="8640" w:type="dxa"/>
            <w:noWrap w:val="0"/>
            <w:vAlign w:val="top"/>
          </w:tcPr>
          <w:p w14:paraId="5A4A48B4">
            <w:pPr>
              <w:shd w:val="clear" w:color="auto"/>
              <w:spacing w:line="640" w:lineRule="exact"/>
              <w:rPr>
                <w:rFonts w:hint="eastAsia"/>
                <w:color w:val="auto"/>
                <w:szCs w:val="21"/>
                <w:highlight w:val="none"/>
              </w:rPr>
            </w:pPr>
            <w:r>
              <w:rPr>
                <w:rFonts w:hint="eastAsia"/>
                <w:color w:val="auto"/>
                <w:szCs w:val="21"/>
                <w:highlight w:val="none"/>
              </w:rPr>
              <w:t>此表于</w:t>
            </w:r>
            <w:r>
              <w:rPr>
                <w:rFonts w:hint="eastAsia"/>
                <w:color w:val="auto"/>
                <w:szCs w:val="21"/>
                <w:highlight w:val="none"/>
                <w:u w:val="single"/>
              </w:rPr>
              <w:t xml:space="preserve">     </w:t>
            </w:r>
            <w:r>
              <w:rPr>
                <w:rFonts w:hint="eastAsia"/>
                <w:color w:val="auto"/>
                <w:szCs w:val="21"/>
                <w:highlight w:val="none"/>
              </w:rPr>
              <w:t>年</w:t>
            </w:r>
            <w:r>
              <w:rPr>
                <w:rFonts w:hint="eastAsia"/>
                <w:color w:val="auto"/>
                <w:szCs w:val="21"/>
                <w:highlight w:val="none"/>
                <w:u w:val="single"/>
              </w:rPr>
              <w:t xml:space="preserve">    </w:t>
            </w:r>
            <w:r>
              <w:rPr>
                <w:rFonts w:hint="eastAsia"/>
                <w:color w:val="auto"/>
                <w:szCs w:val="21"/>
                <w:highlight w:val="none"/>
              </w:rPr>
              <w:t xml:space="preserve"> 月 </w:t>
            </w:r>
            <w:r>
              <w:rPr>
                <w:rFonts w:hint="eastAsia"/>
                <w:color w:val="auto"/>
                <w:szCs w:val="21"/>
                <w:highlight w:val="none"/>
                <w:u w:val="single"/>
              </w:rPr>
              <w:t xml:space="preserve">   </w:t>
            </w:r>
            <w:r>
              <w:rPr>
                <w:rFonts w:hint="eastAsia"/>
                <w:color w:val="auto"/>
                <w:szCs w:val="21"/>
                <w:highlight w:val="none"/>
              </w:rPr>
              <w:t xml:space="preserve"> 日收到。</w:t>
            </w:r>
          </w:p>
          <w:p w14:paraId="7B16EE75">
            <w:pPr>
              <w:shd w:val="clear" w:color="auto"/>
              <w:spacing w:line="640" w:lineRule="exact"/>
              <w:rPr>
                <w:rFonts w:hint="eastAsia"/>
                <w:color w:val="auto"/>
                <w:szCs w:val="21"/>
                <w:highlight w:val="none"/>
              </w:rPr>
            </w:pPr>
            <w:r>
              <w:rPr>
                <w:rFonts w:hint="eastAsia"/>
                <w:color w:val="auto"/>
                <w:szCs w:val="21"/>
                <w:highlight w:val="none"/>
              </w:rPr>
              <w:t>会计审核：</w:t>
            </w:r>
          </w:p>
          <w:p w14:paraId="1673073D">
            <w:pPr>
              <w:shd w:val="clear" w:color="auto"/>
              <w:spacing w:line="640" w:lineRule="exact"/>
              <w:rPr>
                <w:rFonts w:hint="eastAsia"/>
                <w:color w:val="auto"/>
                <w:szCs w:val="21"/>
                <w:highlight w:val="none"/>
              </w:rPr>
            </w:pPr>
            <w:r>
              <w:rPr>
                <w:rFonts w:hint="eastAsia"/>
                <w:color w:val="auto"/>
                <w:szCs w:val="21"/>
                <w:highlight w:val="none"/>
              </w:rPr>
              <w:t>财务负责人审核：</w:t>
            </w:r>
          </w:p>
          <w:p w14:paraId="520E769F">
            <w:pPr>
              <w:shd w:val="clear" w:color="auto"/>
              <w:spacing w:line="640" w:lineRule="exact"/>
              <w:rPr>
                <w:rFonts w:hint="eastAsia"/>
                <w:color w:val="auto"/>
                <w:szCs w:val="21"/>
                <w:highlight w:val="none"/>
              </w:rPr>
            </w:pPr>
            <w:r>
              <w:rPr>
                <w:rFonts w:hint="eastAsia"/>
                <w:color w:val="auto"/>
                <w:szCs w:val="21"/>
                <w:highlight w:val="none"/>
              </w:rPr>
              <w:t>单位负责人签字：</w:t>
            </w:r>
          </w:p>
          <w:p w14:paraId="70EDEC3F">
            <w:pPr>
              <w:shd w:val="clear" w:color="auto"/>
              <w:spacing w:line="640" w:lineRule="exact"/>
              <w:rPr>
                <w:rFonts w:hint="eastAsia"/>
                <w:color w:val="auto"/>
                <w:szCs w:val="21"/>
                <w:highlight w:val="none"/>
              </w:rPr>
            </w:pPr>
            <w:r>
              <w:rPr>
                <w:rFonts w:hint="eastAsia"/>
                <w:color w:val="auto"/>
                <w:szCs w:val="21"/>
                <w:highlight w:val="none"/>
              </w:rPr>
              <w:t>出纳办理转账日期：</w:t>
            </w:r>
          </w:p>
        </w:tc>
      </w:tr>
    </w:tbl>
    <w:p w14:paraId="26128EFA">
      <w:pPr>
        <w:shd w:val="clear" w:color="auto"/>
        <w:spacing w:line="380" w:lineRule="exact"/>
        <w:ind w:left="420" w:hanging="181"/>
        <w:rPr>
          <w:rFonts w:hint="eastAsia"/>
          <w:color w:val="auto"/>
          <w:highlight w:val="none"/>
        </w:rPr>
      </w:pPr>
      <w:r>
        <w:rPr>
          <w:rFonts w:hint="eastAsia" w:ascii="宋体"/>
          <w:b/>
          <w:bCs/>
          <w:color w:val="auto"/>
          <w:sz w:val="18"/>
          <w:highlight w:val="none"/>
        </w:rPr>
        <w:t>注：供应商凭经采购单位审批的退付意见书办理履约保证金退付事宜。</w:t>
      </w:r>
    </w:p>
    <w:p w14:paraId="6A2CFDD5">
      <w:pPr>
        <w:shd w:val="clear" w:color="auto"/>
        <w:spacing w:line="400" w:lineRule="exact"/>
        <w:jc w:val="center"/>
        <w:rPr>
          <w:rFonts w:hint="eastAsia" w:ascii="宋体" w:hAnsi="宋体"/>
          <w:b/>
          <w:color w:val="auto"/>
          <w:sz w:val="32"/>
          <w:szCs w:val="32"/>
          <w:highlight w:val="none"/>
        </w:rPr>
      </w:pPr>
    </w:p>
    <w:p w14:paraId="48FEDA22">
      <w:pPr>
        <w:shd w:val="clear" w:color="auto"/>
        <w:spacing w:line="400" w:lineRule="exact"/>
        <w:jc w:val="center"/>
        <w:rPr>
          <w:rFonts w:hint="eastAsia" w:ascii="宋体" w:hAnsi="宋体"/>
          <w:b/>
          <w:color w:val="auto"/>
          <w:sz w:val="32"/>
          <w:szCs w:val="32"/>
          <w:highlight w:val="none"/>
        </w:rPr>
      </w:pPr>
    </w:p>
    <w:p w14:paraId="4CD5A287">
      <w:pPr>
        <w:shd w:val="clear" w:color="auto"/>
        <w:spacing w:line="400" w:lineRule="exact"/>
        <w:jc w:val="center"/>
        <w:rPr>
          <w:rFonts w:hint="eastAsia" w:ascii="宋体" w:hAnsi="宋体"/>
          <w:b/>
          <w:color w:val="auto"/>
          <w:sz w:val="32"/>
          <w:szCs w:val="32"/>
          <w:highlight w:val="none"/>
        </w:rPr>
      </w:pPr>
    </w:p>
    <w:p w14:paraId="7001BEF7">
      <w:pPr>
        <w:shd w:val="clear" w:color="auto"/>
        <w:spacing w:line="400" w:lineRule="exact"/>
        <w:jc w:val="center"/>
        <w:rPr>
          <w:rFonts w:hint="eastAsia" w:ascii="宋体" w:hAnsi="宋体"/>
          <w:b/>
          <w:color w:val="auto"/>
          <w:sz w:val="32"/>
          <w:szCs w:val="32"/>
          <w:highlight w:val="none"/>
        </w:rPr>
      </w:pPr>
    </w:p>
    <w:p w14:paraId="05F412AF">
      <w:pPr>
        <w:shd w:val="clear" w:color="auto"/>
        <w:spacing w:line="400" w:lineRule="exact"/>
        <w:jc w:val="center"/>
        <w:rPr>
          <w:rFonts w:hint="eastAsia" w:ascii="宋体" w:hAnsi="宋体"/>
          <w:b/>
          <w:color w:val="auto"/>
          <w:sz w:val="32"/>
          <w:szCs w:val="32"/>
          <w:highlight w:val="none"/>
        </w:rPr>
      </w:pPr>
    </w:p>
    <w:p w14:paraId="6A7C26DD">
      <w:pPr>
        <w:shd w:val="clear" w:color="auto"/>
        <w:spacing w:line="400" w:lineRule="exact"/>
        <w:jc w:val="center"/>
        <w:rPr>
          <w:rFonts w:hint="eastAsia" w:ascii="宋体" w:hAnsi="宋体"/>
          <w:b/>
          <w:color w:val="auto"/>
          <w:sz w:val="32"/>
          <w:szCs w:val="32"/>
          <w:highlight w:val="none"/>
        </w:rPr>
      </w:pPr>
    </w:p>
    <w:p w14:paraId="47DF6B79">
      <w:pPr>
        <w:shd w:val="clear" w:color="auto"/>
        <w:spacing w:line="400" w:lineRule="exact"/>
        <w:jc w:val="center"/>
        <w:rPr>
          <w:rFonts w:hint="eastAsia" w:ascii="宋体" w:hAnsi="宋体"/>
          <w:b/>
          <w:color w:val="auto"/>
          <w:sz w:val="32"/>
          <w:szCs w:val="32"/>
          <w:highlight w:val="none"/>
        </w:rPr>
      </w:pPr>
    </w:p>
    <w:p w14:paraId="4378F47E">
      <w:pPr>
        <w:shd w:val="clear" w:color="auto"/>
        <w:spacing w:line="400" w:lineRule="exact"/>
        <w:jc w:val="center"/>
        <w:rPr>
          <w:rFonts w:hint="eastAsia" w:ascii="宋体" w:hAnsi="宋体"/>
          <w:b/>
          <w:color w:val="auto"/>
          <w:sz w:val="32"/>
          <w:szCs w:val="32"/>
          <w:highlight w:val="none"/>
        </w:rPr>
      </w:pPr>
    </w:p>
    <w:p w14:paraId="312F4A44">
      <w:pPr>
        <w:shd w:val="clear" w:color="auto"/>
        <w:spacing w:line="400" w:lineRule="exact"/>
        <w:jc w:val="center"/>
        <w:rPr>
          <w:rFonts w:hint="eastAsia" w:ascii="宋体" w:hAnsi="宋体"/>
          <w:b/>
          <w:color w:val="auto"/>
          <w:sz w:val="32"/>
          <w:szCs w:val="32"/>
          <w:highlight w:val="none"/>
        </w:rPr>
      </w:pPr>
    </w:p>
    <w:p w14:paraId="69B29CF3">
      <w:pPr>
        <w:shd w:val="clear" w:color="auto"/>
        <w:spacing w:line="400" w:lineRule="exact"/>
        <w:jc w:val="center"/>
        <w:rPr>
          <w:rFonts w:hint="eastAsia" w:ascii="宋体" w:hAnsi="宋体"/>
          <w:b/>
          <w:color w:val="auto"/>
          <w:sz w:val="32"/>
          <w:szCs w:val="32"/>
          <w:highlight w:val="none"/>
        </w:rPr>
      </w:pPr>
    </w:p>
    <w:p w14:paraId="762361D0">
      <w:pPr>
        <w:shd w:val="clear" w:color="auto"/>
        <w:spacing w:line="400" w:lineRule="exact"/>
        <w:jc w:val="center"/>
        <w:rPr>
          <w:rFonts w:hint="eastAsia" w:ascii="宋体" w:hAnsi="宋体"/>
          <w:b/>
          <w:color w:val="auto"/>
          <w:sz w:val="32"/>
          <w:szCs w:val="32"/>
          <w:highlight w:val="none"/>
        </w:rPr>
      </w:pPr>
    </w:p>
    <w:p w14:paraId="556A3773">
      <w:pPr>
        <w:shd w:val="clear" w:color="auto"/>
        <w:spacing w:line="400" w:lineRule="exact"/>
        <w:jc w:val="center"/>
        <w:rPr>
          <w:rFonts w:hint="eastAsia" w:ascii="宋体" w:hAnsi="宋体"/>
          <w:b/>
          <w:color w:val="auto"/>
          <w:sz w:val="32"/>
          <w:szCs w:val="32"/>
          <w:highlight w:val="none"/>
        </w:rPr>
      </w:pPr>
    </w:p>
    <w:p w14:paraId="5E1F9493">
      <w:pPr>
        <w:shd w:val="clear" w:color="auto"/>
        <w:spacing w:line="400" w:lineRule="exact"/>
        <w:rPr>
          <w:rFonts w:hint="eastAsia" w:ascii="宋体" w:hAnsi="宋体"/>
          <w:b/>
          <w:color w:val="auto"/>
          <w:sz w:val="32"/>
          <w:szCs w:val="32"/>
          <w:highlight w:val="none"/>
        </w:rPr>
      </w:pPr>
    </w:p>
    <w:p w14:paraId="6AD2178A">
      <w:pPr>
        <w:pStyle w:val="45"/>
        <w:shd w:val="clear" w:color="auto"/>
        <w:rPr>
          <w:rFonts w:hint="eastAsia"/>
          <w:color w:val="auto"/>
          <w:sz w:val="44"/>
          <w:szCs w:val="44"/>
          <w:highlight w:val="none"/>
        </w:rPr>
      </w:pPr>
      <w:bookmarkStart w:id="36" w:name="_Toc476258664"/>
      <w:bookmarkStart w:id="37" w:name="_Toc19130"/>
      <w:r>
        <w:rPr>
          <w:rFonts w:hint="eastAsia"/>
          <w:color w:val="auto"/>
          <w:sz w:val="44"/>
          <w:szCs w:val="44"/>
          <w:highlight w:val="none"/>
        </w:rPr>
        <w:t>第三章  采购需求</w:t>
      </w:r>
      <w:bookmarkEnd w:id="36"/>
      <w:bookmarkEnd w:id="37"/>
    </w:p>
    <w:p w14:paraId="07109024">
      <w:pPr>
        <w:shd w:val="clear" w:color="auto"/>
        <w:spacing w:line="720" w:lineRule="auto"/>
        <w:jc w:val="center"/>
        <w:rPr>
          <w:rFonts w:hint="eastAsia" w:ascii="宋体" w:hAnsi="宋体"/>
          <w:b/>
          <w:color w:val="auto"/>
          <w:sz w:val="32"/>
          <w:szCs w:val="32"/>
          <w:highlight w:val="none"/>
        </w:rPr>
      </w:pPr>
      <w:r>
        <w:rPr>
          <w:rFonts w:ascii="仿宋_GB2312" w:hAnsi="宋体" w:eastAsia="仿宋_GB2312"/>
          <w:b/>
          <w:color w:val="auto"/>
          <w:sz w:val="32"/>
          <w:szCs w:val="32"/>
          <w:highlight w:val="none"/>
        </w:rPr>
        <w:br w:type="page" w:clear="all"/>
      </w:r>
      <w:r>
        <w:rPr>
          <w:rFonts w:hint="eastAsia" w:ascii="宋体" w:hAnsi="宋体"/>
          <w:b/>
          <w:color w:val="auto"/>
          <w:sz w:val="32"/>
          <w:szCs w:val="32"/>
          <w:highlight w:val="none"/>
        </w:rPr>
        <w:t>采购项目技术规格、参数及要求</w:t>
      </w:r>
    </w:p>
    <w:p w14:paraId="7897AF45">
      <w:pPr>
        <w:shd w:val="clear" w:color="auto"/>
        <w:tabs>
          <w:tab w:val="left" w:pos="180"/>
          <w:tab w:val="left" w:pos="1620"/>
        </w:tabs>
        <w:spacing w:line="440" w:lineRule="exact"/>
        <w:ind w:firstLine="420"/>
        <w:rPr>
          <w:rFonts w:hint="eastAsia" w:ascii="宋体" w:hAnsi="宋体" w:eastAsia="宋体"/>
          <w:color w:val="auto"/>
          <w:szCs w:val="21"/>
          <w:highlight w:val="none"/>
          <w:u w:val="single"/>
          <w:lang w:eastAsia="zh-CN"/>
        </w:rPr>
      </w:pPr>
      <w:r>
        <w:rPr>
          <w:rFonts w:hint="eastAsia" w:ascii="宋体" w:hAnsi="宋体"/>
          <w:color w:val="auto"/>
          <w:szCs w:val="21"/>
          <w:highlight w:val="none"/>
        </w:rPr>
        <w:t>一、采购项目编号：</w:t>
      </w:r>
      <w:r>
        <w:rPr>
          <w:rFonts w:hint="eastAsia" w:ascii="宋体" w:hAnsi="宋体"/>
          <w:color w:val="auto"/>
          <w:szCs w:val="21"/>
          <w:highlight w:val="none"/>
          <w:lang w:eastAsia="zh-CN"/>
        </w:rPr>
        <w:t>GXZC2026-C2-003142-GLZB</w:t>
      </w:r>
    </w:p>
    <w:p w14:paraId="177D4B5C">
      <w:pPr>
        <w:shd w:val="clear" w:color="auto"/>
        <w:tabs>
          <w:tab w:val="left" w:pos="180"/>
          <w:tab w:val="left" w:pos="1620"/>
        </w:tabs>
        <w:spacing w:line="440" w:lineRule="exact"/>
        <w:ind w:firstLine="420"/>
        <w:rPr>
          <w:rFonts w:hint="eastAsia" w:ascii="宋体" w:hAnsi="宋体"/>
          <w:color w:val="auto"/>
          <w:szCs w:val="21"/>
          <w:highlight w:val="none"/>
          <w:u w:val="single"/>
        </w:rPr>
      </w:pPr>
      <w:r>
        <w:rPr>
          <w:rFonts w:hint="eastAsia" w:ascii="宋体" w:hAnsi="宋体"/>
          <w:color w:val="auto"/>
          <w:szCs w:val="21"/>
          <w:highlight w:val="none"/>
        </w:rPr>
        <w:t>二、采购项目类别：</w:t>
      </w:r>
      <w:r>
        <w:rPr>
          <w:rFonts w:hint="eastAsia" w:ascii="宋体" w:hAnsi="宋体"/>
          <w:color w:val="auto"/>
          <w:szCs w:val="21"/>
          <w:highlight w:val="none"/>
          <w:u w:val="single"/>
        </w:rPr>
        <w:t xml:space="preserve">  工程类  </w:t>
      </w:r>
    </w:p>
    <w:p w14:paraId="5EA29184">
      <w:pPr>
        <w:shd w:val="clear" w:color="auto"/>
        <w:tabs>
          <w:tab w:val="left" w:pos="180"/>
          <w:tab w:val="left" w:pos="1620"/>
        </w:tabs>
        <w:spacing w:line="440" w:lineRule="exact"/>
        <w:ind w:firstLine="420"/>
        <w:rPr>
          <w:rFonts w:hint="eastAsia" w:ascii="宋体" w:hAnsi="宋体"/>
          <w:color w:val="auto"/>
          <w:szCs w:val="21"/>
          <w:highlight w:val="none"/>
        </w:rPr>
      </w:pPr>
      <w:r>
        <w:rPr>
          <w:rFonts w:hint="eastAsia" w:ascii="宋体" w:hAnsi="宋体"/>
          <w:color w:val="auto"/>
          <w:szCs w:val="21"/>
          <w:highlight w:val="none"/>
        </w:rPr>
        <w:t>三、采购需求一览表</w:t>
      </w:r>
    </w:p>
    <w:p w14:paraId="63ADF422">
      <w:pPr>
        <w:shd w:val="clear" w:color="auto"/>
        <w:spacing w:line="440" w:lineRule="exact"/>
        <w:ind w:firstLine="437"/>
        <w:rPr>
          <w:rFonts w:hint="eastAsia" w:ascii="宋体" w:hAnsi="宋体"/>
          <w:color w:val="auto"/>
          <w:szCs w:val="21"/>
          <w:highlight w:val="none"/>
        </w:rPr>
      </w:pPr>
      <w:r>
        <w:rPr>
          <w:rFonts w:hint="eastAsia" w:ascii="宋体" w:hAnsi="宋体"/>
          <w:color w:val="auto"/>
          <w:szCs w:val="21"/>
          <w:highlight w:val="none"/>
        </w:rPr>
        <w:t>说明：</w:t>
      </w:r>
    </w:p>
    <w:p w14:paraId="289E3A5C">
      <w:pPr>
        <w:shd w:val="clear" w:color="auto"/>
        <w:spacing w:line="440" w:lineRule="exact"/>
        <w:ind w:firstLine="437"/>
        <w:rPr>
          <w:rFonts w:hint="eastAsia" w:ascii="宋体" w:hAnsi="宋体"/>
          <w:color w:val="auto"/>
          <w:szCs w:val="21"/>
          <w:highlight w:val="none"/>
          <w:lang w:eastAsia="zh"/>
        </w:rPr>
      </w:pPr>
      <w:r>
        <w:rPr>
          <w:rFonts w:hint="eastAsia" w:ascii="宋体" w:hAnsi="宋体"/>
          <w:color w:val="auto"/>
          <w:szCs w:val="21"/>
          <w:highlight w:val="none"/>
        </w:rPr>
        <w:t>1</w:t>
      </w:r>
      <w:r>
        <w:rPr>
          <w:rFonts w:hint="eastAsia" w:ascii="宋体" w:hAnsi="宋体"/>
          <w:color w:val="auto"/>
          <w:szCs w:val="21"/>
          <w:highlight w:val="none"/>
          <w:lang w:val="en-US" w:eastAsia="zh-CN"/>
        </w:rPr>
        <w:t>.</w:t>
      </w:r>
      <w:r>
        <w:rPr>
          <w:rFonts w:hint="eastAsia" w:ascii="宋体" w:hAnsi="宋体"/>
          <w:color w:val="auto"/>
          <w:szCs w:val="21"/>
          <w:highlight w:val="none"/>
        </w:rPr>
        <w:t>本项目需求表中带有“▲”的技术参数或要求为实质性要求，必须满足，竞标响应不得低于该技术指标或要求。</w:t>
      </w:r>
      <w:r>
        <w:rPr>
          <w:rFonts w:hint="eastAsia" w:ascii="宋体" w:hAnsi="宋体"/>
          <w:color w:val="auto"/>
          <w:szCs w:val="21"/>
          <w:highlight w:val="none"/>
          <w:lang w:val="en-US" w:eastAsia="zh-CN"/>
        </w:rPr>
        <w:t>未标记</w:t>
      </w:r>
      <w:r>
        <w:rPr>
          <w:rFonts w:hint="eastAsia" w:ascii="宋体" w:hAnsi="宋体"/>
          <w:color w:val="auto"/>
          <w:szCs w:val="21"/>
          <w:highlight w:val="none"/>
        </w:rPr>
        <w:t>“▲”的技术参数或要求允许负偏离数量</w:t>
      </w:r>
      <w:r>
        <w:rPr>
          <w:rFonts w:hint="eastAsia" w:ascii="宋体" w:hAnsi="宋体"/>
          <w:color w:val="auto"/>
          <w:szCs w:val="21"/>
          <w:highlight w:val="none"/>
          <w:lang w:val="en-US" w:eastAsia="zh-CN"/>
        </w:rPr>
        <w:t>为</w:t>
      </w:r>
      <w:r>
        <w:rPr>
          <w:rFonts w:hint="eastAsia" w:ascii="宋体" w:hAnsi="宋体"/>
          <w:color w:val="auto"/>
          <w:szCs w:val="21"/>
          <w:highlight w:val="none"/>
          <w:u w:val="single"/>
          <w:lang w:val="en-US" w:eastAsia="zh-CN"/>
        </w:rPr>
        <w:t xml:space="preserve"> 2</w:t>
      </w:r>
      <w:r>
        <w:rPr>
          <w:rFonts w:hint="eastAsia" w:ascii="宋体" w:hAnsi="宋体"/>
          <w:color w:val="auto"/>
          <w:szCs w:val="21"/>
          <w:highlight w:val="none"/>
          <w:lang w:eastAsia="zh"/>
        </w:rPr>
        <w:t>项</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含</w:t>
      </w:r>
      <w:r>
        <w:rPr>
          <w:rFonts w:hint="eastAsia" w:ascii="宋体" w:hAnsi="宋体"/>
          <w:color w:val="auto"/>
          <w:szCs w:val="21"/>
          <w:highlight w:val="none"/>
          <w:lang w:eastAsia="zh-CN"/>
        </w:rPr>
        <w:t>）。</w:t>
      </w:r>
    </w:p>
    <w:p w14:paraId="56920570">
      <w:pPr>
        <w:shd w:val="clear" w:color="auto"/>
        <w:spacing w:line="440" w:lineRule="exact"/>
        <w:ind w:firstLine="437"/>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w:t>
      </w:r>
      <w:r>
        <w:rPr>
          <w:rFonts w:hint="eastAsia" w:ascii="宋体" w:hAnsi="宋体"/>
          <w:color w:val="auto"/>
          <w:szCs w:val="21"/>
          <w:highlight w:val="none"/>
        </w:rPr>
        <w:t>供应商所竞标货物或服务如国家有强制性要求的按国家规定执行，若执行标准有修改或更新按最新版本执行。</w:t>
      </w:r>
    </w:p>
    <w:p w14:paraId="02B6B822">
      <w:pPr>
        <w:shd w:val="clear" w:color="auto"/>
        <w:spacing w:line="440" w:lineRule="exact"/>
        <w:ind w:firstLine="437"/>
        <w:rPr>
          <w:rFonts w:hint="eastAsia" w:ascii="宋体" w:hAnsi="宋体" w:cs="Arial"/>
          <w:b/>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lang w:val="en-US" w:eastAsia="zh-CN"/>
        </w:rPr>
        <w:t>.</w:t>
      </w:r>
      <w:r>
        <w:rPr>
          <w:rFonts w:hint="eastAsia" w:ascii="宋体" w:hAnsi="宋体"/>
          <w:color w:val="auto"/>
          <w:szCs w:val="21"/>
          <w:highlight w:val="none"/>
        </w:rPr>
        <w:t>采购标的对应的中小企业划分标准所属行业：根据《关于印发中小企业划型标准规定的通知》（工信部联企业〔2011〕300号），本次采购标的属于</w:t>
      </w:r>
      <w:r>
        <w:rPr>
          <w:rFonts w:hint="eastAsia" w:ascii="宋体" w:hAnsi="宋体"/>
          <w:b/>
          <w:bCs/>
          <w:color w:val="auto"/>
          <w:szCs w:val="21"/>
          <w:highlight w:val="none"/>
          <w:u w:val="single"/>
        </w:rPr>
        <w:t xml:space="preserve"> 建筑业 </w:t>
      </w:r>
      <w:r>
        <w:rPr>
          <w:rFonts w:hint="eastAsia" w:ascii="宋体" w:hAnsi="宋体"/>
          <w:b/>
          <w:bCs/>
          <w:color w:val="auto"/>
          <w:szCs w:val="21"/>
          <w:highlight w:val="none"/>
        </w:rPr>
        <w:t>。</w:t>
      </w:r>
    </w:p>
    <w:p w14:paraId="2F728AAB">
      <w:pPr>
        <w:shd w:val="clear" w:color="auto"/>
        <w:spacing w:line="400" w:lineRule="exact"/>
        <w:ind w:firstLine="316"/>
        <w:jc w:val="left"/>
        <w:rPr>
          <w:rFonts w:hint="eastAsia" w:ascii="宋体" w:hAnsi="宋体" w:eastAsia="宋体" w:cs="宋体"/>
          <w:b/>
          <w:color w:val="auto"/>
          <w:szCs w:val="21"/>
          <w:highlight w:val="none"/>
          <w:lang w:val="en-US" w:eastAsia="zh-CN"/>
        </w:rPr>
      </w:pPr>
    </w:p>
    <w:p w14:paraId="61477352">
      <w:pPr>
        <w:pStyle w:val="16"/>
        <w:rPr>
          <w:rFonts w:hint="eastAsia" w:ascii="宋体" w:hAnsi="宋体" w:eastAsia="宋体" w:cs="宋体"/>
          <w:b/>
          <w:color w:val="auto"/>
          <w:szCs w:val="21"/>
          <w:highlight w:val="none"/>
          <w:lang w:eastAsia="zh-CN"/>
        </w:rPr>
      </w:pPr>
      <w:r>
        <w:rPr>
          <w:rFonts w:hint="eastAsia" w:ascii="宋体" w:hAnsi="宋体" w:eastAsia="宋体" w:cs="宋体"/>
          <w:b/>
          <w:color w:val="auto"/>
          <w:szCs w:val="21"/>
          <w:lang w:val="en-US" w:eastAsia="zh-CN"/>
        </w:rPr>
        <w:t>本项目</w:t>
      </w:r>
      <w:r>
        <w:rPr>
          <w:rFonts w:hint="eastAsia" w:ascii="宋体" w:hAnsi="宋体" w:eastAsia="宋体" w:cs="宋体"/>
          <w:b/>
          <w:color w:val="auto"/>
          <w:szCs w:val="21"/>
        </w:rPr>
        <w:t>采购预算：</w:t>
      </w:r>
      <w:r>
        <w:rPr>
          <w:rFonts w:hint="eastAsia" w:ascii="宋体" w:hAnsi="宋体" w:eastAsia="宋体" w:cs="宋体"/>
          <w:b/>
          <w:bCs w:val="0"/>
          <w:color w:val="auto"/>
          <w:szCs w:val="21"/>
        </w:rPr>
        <w:t>人民币</w:t>
      </w:r>
      <w:r>
        <w:rPr>
          <w:color w:val="auto"/>
        </w:rPr>
        <w:t>323</w:t>
      </w:r>
      <w:r>
        <w:rPr>
          <w:rFonts w:hint="eastAsia"/>
          <w:color w:val="auto"/>
          <w:lang w:val="en-US" w:eastAsia="zh-CN"/>
        </w:rPr>
        <w:t>.</w:t>
      </w:r>
      <w:r>
        <w:rPr>
          <w:color w:val="auto"/>
        </w:rPr>
        <w:t>447985</w:t>
      </w:r>
      <w:r>
        <w:rPr>
          <w:rFonts w:hint="eastAsia" w:ascii="宋体" w:hAnsi="宋体" w:cs="宋体"/>
          <w:b/>
          <w:bCs w:val="0"/>
          <w:color w:val="auto"/>
          <w:lang w:val="en-US" w:eastAsia="zh-CN"/>
        </w:rPr>
        <w:t>万</w:t>
      </w:r>
      <w:r>
        <w:rPr>
          <w:rFonts w:hint="eastAsia" w:ascii="宋体" w:hAnsi="宋体" w:eastAsia="宋体" w:cs="宋体"/>
          <w:b/>
          <w:bCs w:val="0"/>
          <w:color w:val="auto"/>
        </w:rPr>
        <w:t>元</w:t>
      </w:r>
      <w:r>
        <w:rPr>
          <w:rFonts w:hint="eastAsia" w:ascii="宋体" w:hAnsi="宋体" w:eastAsia="宋体" w:cs="宋体"/>
          <w:b/>
          <w:color w:val="auto"/>
          <w:lang w:eastAsia="zh-CN"/>
        </w:rPr>
        <w:t>（</w:t>
      </w:r>
      <w:r>
        <w:rPr>
          <w:rFonts w:hint="eastAsia" w:ascii="宋体" w:hAnsi="宋体" w:eastAsia="宋体" w:cs="宋体"/>
          <w:b/>
          <w:color w:val="auto"/>
          <w:lang w:val="en-US" w:eastAsia="zh-CN"/>
        </w:rPr>
        <w:t>最高限价：</w:t>
      </w:r>
      <w:r>
        <w:rPr>
          <w:color w:val="auto"/>
        </w:rPr>
        <w:t>323</w:t>
      </w:r>
      <w:r>
        <w:rPr>
          <w:rFonts w:hint="eastAsia"/>
          <w:color w:val="auto"/>
          <w:lang w:val="en-US" w:eastAsia="zh-CN"/>
        </w:rPr>
        <w:t>.</w:t>
      </w:r>
      <w:r>
        <w:rPr>
          <w:color w:val="auto"/>
        </w:rPr>
        <w:t>447985</w:t>
      </w:r>
      <w:r>
        <w:rPr>
          <w:rFonts w:hint="eastAsia" w:ascii="宋体" w:hAnsi="宋体" w:cs="宋体"/>
          <w:b/>
          <w:bCs w:val="0"/>
          <w:color w:val="auto"/>
          <w:lang w:val="en-US" w:eastAsia="zh-CN"/>
        </w:rPr>
        <w:t>万</w:t>
      </w:r>
      <w:r>
        <w:rPr>
          <w:rFonts w:hint="eastAsia" w:ascii="宋体" w:hAnsi="宋体" w:eastAsia="宋体" w:cs="宋体"/>
          <w:b/>
          <w:bCs w:val="0"/>
          <w:color w:val="auto"/>
        </w:rPr>
        <w:t>元</w:t>
      </w:r>
      <w:r>
        <w:rPr>
          <w:rFonts w:hint="eastAsia" w:ascii="宋体" w:hAnsi="宋体" w:eastAsia="宋体" w:cs="宋体"/>
          <w:b/>
          <w:color w:val="auto"/>
          <w:lang w:eastAsia="zh-CN"/>
        </w:rPr>
        <w:t>）</w:t>
      </w:r>
    </w:p>
    <w:tbl>
      <w:tblPr>
        <w:tblStyle w:val="48"/>
        <w:tblW w:w="9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866"/>
        <w:gridCol w:w="789"/>
        <w:gridCol w:w="708"/>
        <w:gridCol w:w="709"/>
        <w:gridCol w:w="6206"/>
      </w:tblGrid>
      <w:tr w14:paraId="71BF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4" w:type="dxa"/>
            <w:tcBorders>
              <w:top w:val="single" w:color="auto" w:sz="4" w:space="0"/>
              <w:left w:val="single" w:color="auto" w:sz="4" w:space="0"/>
              <w:bottom w:val="single" w:color="auto" w:sz="4" w:space="0"/>
              <w:right w:val="single" w:color="auto" w:sz="4" w:space="0"/>
            </w:tcBorders>
            <w:noWrap w:val="0"/>
            <w:vAlign w:val="center"/>
          </w:tcPr>
          <w:p w14:paraId="22F46DB1">
            <w:pPr>
              <w:keepNext w:val="0"/>
              <w:keepLines w:val="0"/>
              <w:pageBreakBefore w:val="0"/>
              <w:shd w:val="clear" w:color="auto"/>
              <w:bidi w:val="0"/>
              <w:spacing w:line="400" w:lineRule="exact"/>
              <w:jc w:val="center"/>
              <w:rPr>
                <w:rFonts w:ascii="宋体" w:hAnsi="宋体"/>
                <w:b/>
                <w:color w:val="auto"/>
                <w:szCs w:val="21"/>
                <w:highlight w:val="none"/>
              </w:rPr>
            </w:pPr>
            <w:r>
              <w:rPr>
                <w:rFonts w:hint="eastAsia" w:ascii="宋体" w:hAnsi="宋体"/>
                <w:b/>
                <w:color w:val="auto"/>
                <w:szCs w:val="21"/>
                <w:highlight w:val="none"/>
              </w:rPr>
              <w:t>项号</w:t>
            </w:r>
          </w:p>
        </w:tc>
        <w:tc>
          <w:tcPr>
            <w:tcW w:w="1655" w:type="dxa"/>
            <w:gridSpan w:val="2"/>
            <w:tcBorders>
              <w:top w:val="single" w:color="auto" w:sz="4" w:space="0"/>
              <w:left w:val="single" w:color="auto" w:sz="4" w:space="0"/>
              <w:bottom w:val="single" w:color="auto" w:sz="4" w:space="0"/>
              <w:right w:val="single" w:color="auto" w:sz="4" w:space="0"/>
            </w:tcBorders>
            <w:noWrap w:val="0"/>
            <w:vAlign w:val="center"/>
          </w:tcPr>
          <w:p w14:paraId="18D5DD18">
            <w:pPr>
              <w:keepNext w:val="0"/>
              <w:keepLines w:val="0"/>
              <w:pageBreakBefore w:val="0"/>
              <w:shd w:val="clear" w:color="auto"/>
              <w:bidi w:val="0"/>
              <w:spacing w:line="400" w:lineRule="exact"/>
              <w:jc w:val="center"/>
              <w:rPr>
                <w:rFonts w:ascii="宋体" w:hAnsi="宋体"/>
                <w:b/>
                <w:color w:val="auto"/>
                <w:szCs w:val="21"/>
                <w:highlight w:val="none"/>
              </w:rPr>
            </w:pPr>
            <w:r>
              <w:rPr>
                <w:rFonts w:hint="eastAsia" w:ascii="宋体" w:hAnsi="宋体"/>
                <w:b/>
                <w:color w:val="auto"/>
                <w:szCs w:val="21"/>
                <w:highlight w:val="none"/>
              </w:rPr>
              <w:t>项目名称</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391DCFAC">
            <w:pPr>
              <w:keepNext w:val="0"/>
              <w:keepLines w:val="0"/>
              <w:pageBreakBefore w:val="0"/>
              <w:shd w:val="clear" w:color="auto"/>
              <w:bidi w:val="0"/>
              <w:spacing w:line="400" w:lineRule="exact"/>
              <w:jc w:val="center"/>
              <w:rPr>
                <w:rFonts w:ascii="宋体" w:hAnsi="宋体"/>
                <w:b/>
                <w:color w:val="auto"/>
                <w:szCs w:val="21"/>
                <w:highlight w:val="none"/>
              </w:rPr>
            </w:pPr>
            <w:r>
              <w:rPr>
                <w:rFonts w:ascii="宋体" w:hAnsi="宋体"/>
                <w:b/>
                <w:color w:val="auto"/>
                <w:szCs w:val="21"/>
                <w:highlight w:val="none"/>
              </w:rPr>
              <w:t>数量</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608D434">
            <w:pPr>
              <w:keepNext w:val="0"/>
              <w:keepLines w:val="0"/>
              <w:pageBreakBefore w:val="0"/>
              <w:shd w:val="clear" w:color="auto"/>
              <w:bidi w:val="0"/>
              <w:spacing w:line="400" w:lineRule="exact"/>
              <w:jc w:val="center"/>
              <w:rPr>
                <w:rFonts w:ascii="宋体" w:hAnsi="宋体"/>
                <w:b/>
                <w:color w:val="auto"/>
                <w:szCs w:val="21"/>
                <w:highlight w:val="none"/>
              </w:rPr>
            </w:pPr>
            <w:r>
              <w:rPr>
                <w:rFonts w:ascii="宋体" w:hAnsi="宋体"/>
                <w:b/>
                <w:color w:val="auto"/>
                <w:szCs w:val="21"/>
                <w:highlight w:val="none"/>
              </w:rPr>
              <w:t>单位</w:t>
            </w:r>
          </w:p>
        </w:tc>
        <w:tc>
          <w:tcPr>
            <w:tcW w:w="6206" w:type="dxa"/>
            <w:tcBorders>
              <w:top w:val="single" w:color="auto" w:sz="4" w:space="0"/>
              <w:left w:val="single" w:color="auto" w:sz="4" w:space="0"/>
              <w:bottom w:val="single" w:color="auto" w:sz="4" w:space="0"/>
              <w:right w:val="single" w:color="auto" w:sz="4" w:space="0"/>
            </w:tcBorders>
            <w:noWrap w:val="0"/>
            <w:vAlign w:val="center"/>
          </w:tcPr>
          <w:p w14:paraId="78316A17">
            <w:pPr>
              <w:keepNext w:val="0"/>
              <w:keepLines w:val="0"/>
              <w:pageBreakBefore w:val="0"/>
              <w:shd w:val="clear" w:color="auto"/>
              <w:bidi w:val="0"/>
              <w:spacing w:line="400" w:lineRule="exact"/>
              <w:jc w:val="center"/>
              <w:rPr>
                <w:rFonts w:ascii="宋体" w:hAnsi="宋体"/>
                <w:b/>
                <w:color w:val="auto"/>
                <w:szCs w:val="21"/>
                <w:highlight w:val="none"/>
              </w:rPr>
            </w:pPr>
            <w:r>
              <w:rPr>
                <w:rFonts w:hint="eastAsia" w:ascii="宋体" w:hAnsi="宋体"/>
                <w:b/>
                <w:color w:val="auto"/>
                <w:szCs w:val="21"/>
                <w:highlight w:val="none"/>
              </w:rPr>
              <w:t>内容和要求</w:t>
            </w:r>
          </w:p>
        </w:tc>
      </w:tr>
      <w:tr w14:paraId="4F53F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4" w:type="dxa"/>
            <w:tcBorders>
              <w:top w:val="single" w:color="auto" w:sz="4" w:space="0"/>
              <w:left w:val="single" w:color="auto" w:sz="4" w:space="0"/>
              <w:bottom w:val="single" w:color="auto" w:sz="4" w:space="0"/>
              <w:right w:val="single" w:color="auto" w:sz="4" w:space="0"/>
            </w:tcBorders>
            <w:noWrap w:val="0"/>
            <w:vAlign w:val="center"/>
          </w:tcPr>
          <w:p w14:paraId="7A48007D">
            <w:pPr>
              <w:keepNext w:val="0"/>
              <w:keepLines w:val="0"/>
              <w:pageBreakBefore w:val="0"/>
              <w:shd w:val="clear" w:color="auto"/>
              <w:bidi w:val="0"/>
              <w:spacing w:line="400" w:lineRule="exact"/>
              <w:jc w:val="center"/>
              <w:rPr>
                <w:rFonts w:hint="eastAsia" w:ascii="宋体" w:hAnsi="宋体"/>
                <w:bCs/>
                <w:color w:val="auto"/>
                <w:szCs w:val="21"/>
                <w:highlight w:val="none"/>
              </w:rPr>
            </w:pPr>
            <w:r>
              <w:rPr>
                <w:rFonts w:hint="eastAsia" w:ascii="宋体" w:hAnsi="宋体"/>
                <w:bCs/>
                <w:color w:val="auto"/>
                <w:szCs w:val="21"/>
                <w:highlight w:val="none"/>
              </w:rPr>
              <w:t>1</w:t>
            </w:r>
          </w:p>
        </w:tc>
        <w:tc>
          <w:tcPr>
            <w:tcW w:w="1655" w:type="dxa"/>
            <w:gridSpan w:val="2"/>
            <w:tcBorders>
              <w:top w:val="single" w:color="auto" w:sz="4" w:space="0"/>
              <w:left w:val="single" w:color="auto" w:sz="4" w:space="0"/>
              <w:bottom w:val="single" w:color="auto" w:sz="4" w:space="0"/>
              <w:right w:val="single" w:color="auto" w:sz="4" w:space="0"/>
            </w:tcBorders>
            <w:noWrap w:val="0"/>
            <w:vAlign w:val="center"/>
          </w:tcPr>
          <w:p w14:paraId="0DA7B8EC">
            <w:pPr>
              <w:keepNext w:val="0"/>
              <w:keepLines w:val="0"/>
              <w:pageBreakBefore w:val="0"/>
              <w:shd w:val="clear" w:color="auto"/>
              <w:bidi w:val="0"/>
              <w:spacing w:line="40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101青年创新港施工项目</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7C634E93">
            <w:pPr>
              <w:keepNext w:val="0"/>
              <w:keepLines w:val="0"/>
              <w:pageBreakBefore w:val="0"/>
              <w:shd w:val="clear" w:color="auto"/>
              <w:bidi w:val="0"/>
              <w:spacing w:line="400" w:lineRule="exact"/>
              <w:jc w:val="center"/>
              <w:rPr>
                <w:rFonts w:ascii="宋体" w:hAnsi="宋体"/>
                <w:color w:val="auto"/>
                <w:szCs w:val="21"/>
                <w:highlight w:val="none"/>
              </w:rPr>
            </w:pPr>
            <w:r>
              <w:rPr>
                <w:rFonts w:hint="eastAsia" w:ascii="宋体" w:hAnsi="宋体"/>
                <w:color w:val="auto"/>
                <w:szCs w:val="21"/>
                <w:highlight w:val="none"/>
              </w:rPr>
              <w:t>1</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328E4D01">
            <w:pPr>
              <w:keepNext w:val="0"/>
              <w:keepLines w:val="0"/>
              <w:pageBreakBefore w:val="0"/>
              <w:shd w:val="clear" w:color="auto"/>
              <w:bidi w:val="0"/>
              <w:spacing w:line="400" w:lineRule="exact"/>
              <w:jc w:val="center"/>
              <w:rPr>
                <w:rFonts w:ascii="宋体" w:hAnsi="宋体"/>
                <w:color w:val="auto"/>
                <w:szCs w:val="21"/>
                <w:highlight w:val="none"/>
              </w:rPr>
            </w:pPr>
            <w:r>
              <w:rPr>
                <w:rFonts w:hint="eastAsia" w:ascii="宋体" w:hAnsi="宋体"/>
                <w:color w:val="auto"/>
                <w:szCs w:val="21"/>
                <w:highlight w:val="none"/>
              </w:rPr>
              <w:t>项</w:t>
            </w:r>
          </w:p>
        </w:tc>
        <w:tc>
          <w:tcPr>
            <w:tcW w:w="6206" w:type="dxa"/>
            <w:tcBorders>
              <w:top w:val="single" w:color="auto" w:sz="4" w:space="0"/>
              <w:left w:val="single" w:color="auto" w:sz="4" w:space="0"/>
              <w:bottom w:val="single" w:color="auto" w:sz="4" w:space="0"/>
              <w:right w:val="single" w:color="auto" w:sz="4" w:space="0"/>
            </w:tcBorders>
            <w:noWrap w:val="0"/>
            <w:vAlign w:val="center"/>
          </w:tcPr>
          <w:p w14:paraId="2E604DCA">
            <w:pPr>
              <w:keepNext w:val="0"/>
              <w:keepLines w:val="0"/>
              <w:pageBreakBefore w:val="0"/>
              <w:widowControl w:val="0"/>
              <w:shd w:val="clear" w:color="auto"/>
              <w:bidi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一、项目概况</w:t>
            </w:r>
          </w:p>
          <w:p w14:paraId="618353FB">
            <w:pPr>
              <w:keepNext w:val="0"/>
              <w:keepLines w:val="0"/>
              <w:pageBreakBefore w:val="0"/>
              <w:widowControl w:val="0"/>
              <w:shd w:val="clear" w:color="auto"/>
              <w:bidi w:val="0"/>
              <w:spacing w:line="400" w:lineRule="exact"/>
              <w:ind w:firstLine="42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建设规模：本项目室内装修面积 3372.81㎡、外立面改造 1515㎡、室外景观改造 5976.46㎡</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 xml:space="preserve"> </w:t>
            </w:r>
          </w:p>
          <w:p w14:paraId="630EA72E">
            <w:pPr>
              <w:keepNext w:val="0"/>
              <w:keepLines w:val="0"/>
              <w:pageBreakBefore w:val="0"/>
              <w:widowControl w:val="0"/>
              <w:shd w:val="clear" w:color="auto"/>
              <w:bidi w:val="0"/>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rPr>
              <w:t>招标范围</w:t>
            </w:r>
            <w:r>
              <w:rPr>
                <w:rFonts w:hint="eastAsia" w:ascii="宋体" w:hAnsi="宋体" w:cs="宋体"/>
                <w:color w:val="auto"/>
                <w:szCs w:val="21"/>
                <w:highlight w:val="none"/>
              </w:rPr>
              <w:t>：</w:t>
            </w:r>
            <w:r>
              <w:rPr>
                <w:rFonts w:hint="eastAsia" w:ascii="宋体" w:hAnsi="宋体" w:eastAsia="宋体" w:cs="宋体"/>
                <w:color w:val="auto"/>
                <w:sz w:val="21"/>
                <w:szCs w:val="21"/>
                <w:highlight w:val="none"/>
              </w:rPr>
              <w:t>原工商楼、五菱汽车楼沿街停车场沥青地面改造：原地面白色停车划线清除；原工商楼、五菱汽车楼沿街停车场沥青地面改造：局部安装塑木休闲座椅，舞台加宽砌筑；原工商楼、五菱汽车楼沿街停车场沥青地面改造：重新按效果图地面划线（蓝色、白色）；原工商楼、五菱汽车楼后面场地室外休闲广场景观改造：地面铺装广场砖，花池砌筑，乔木灌木种植，塑木休闲座椅安装；原工商楼室内装修改造：1楼11个学院单元室内装修、2楼</w:t>
            </w:r>
            <w:r>
              <w:rPr>
                <w:rFonts w:hint="eastAsia" w:ascii="宋体" w:hAnsi="宋体" w:eastAsia="宋体" w:cs="宋体"/>
                <w:color w:val="auto"/>
                <w:sz w:val="21"/>
                <w:szCs w:val="21"/>
                <w:highlight w:val="none"/>
                <w:lang w:eastAsia="zh-CN"/>
              </w:rPr>
              <w:t>入驻</w:t>
            </w:r>
            <w:r>
              <w:rPr>
                <w:rFonts w:hint="eastAsia" w:ascii="宋体" w:hAnsi="宋体" w:eastAsia="宋体" w:cs="宋体"/>
                <w:color w:val="auto"/>
                <w:sz w:val="21"/>
                <w:szCs w:val="21"/>
                <w:highlight w:val="none"/>
              </w:rPr>
              <w:t>企业办公室隔断改造装修、强电布置；原</w:t>
            </w:r>
            <w:r>
              <w:rPr>
                <w:rFonts w:hint="eastAsia" w:ascii="宋体" w:hAnsi="宋体" w:eastAsia="宋体" w:cs="宋体"/>
                <w:color w:val="auto"/>
                <w:sz w:val="21"/>
                <w:szCs w:val="21"/>
                <w:highlight w:val="none"/>
                <w:lang w:eastAsia="zh-CN"/>
              </w:rPr>
              <w:t>五菱</w:t>
            </w:r>
            <w:r>
              <w:rPr>
                <w:rFonts w:hint="eastAsia" w:ascii="宋体" w:hAnsi="宋体" w:eastAsia="宋体" w:cs="宋体"/>
                <w:color w:val="auto"/>
                <w:sz w:val="21"/>
                <w:szCs w:val="21"/>
                <w:highlight w:val="none"/>
              </w:rPr>
              <w:t>汽车楼室内装修改造：1楼办事大厅及展厅室内装修，包括：隔断、造型、地面铺装 强弱电系统、灯光照明、开关插座；原汽车学院办公楼室内装修改造：1楼茶艺室、自习室等场地的装修包括：隔断、造型、地面铺装、强弱电系统、灯光照明、开关插座；原临街3栋楼（向北面）建筑立面改造：墙面铝板造型及夜景灯具安装；原汽车学院办公楼、五菱楼（向东面）立面改造：外墙腻子及乳胶漆、局部外墙砖拆除；原汽车学院办公楼（向东面）立面改造：墙面冲孔铝板造型及夜景灯具安装</w:t>
            </w:r>
            <w:r>
              <w:rPr>
                <w:rFonts w:hint="eastAsia" w:ascii="宋体" w:hAnsi="宋体" w:cs="宋体"/>
                <w:color w:val="auto"/>
                <w:szCs w:val="21"/>
                <w:highlight w:val="none"/>
              </w:rPr>
              <w:t>。具体详见施工图纸、工程量清单。</w:t>
            </w:r>
          </w:p>
          <w:p w14:paraId="3FA15A4A">
            <w:pPr>
              <w:keepNext w:val="0"/>
              <w:keepLines w:val="0"/>
              <w:pageBreakBefore w:val="0"/>
              <w:widowControl w:val="0"/>
              <w:shd w:val="clear" w:color="auto"/>
              <w:bidi w:val="0"/>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lang w:val="en-US" w:eastAsia="zh-CN"/>
              </w:rPr>
              <w:t>3.建筑工程材料：具备质量合格证明文件，且该文件应为中文，性能检测报告应符合国家技术标准或设计要求；施工质量达到合格标准，满足国家和行业相关法规要求</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满足使用要求。</w:t>
            </w:r>
          </w:p>
          <w:p w14:paraId="302BC4DE">
            <w:pPr>
              <w:keepNext w:val="0"/>
              <w:keepLines w:val="0"/>
              <w:pageBreakBefore w:val="0"/>
              <w:widowControl w:val="0"/>
              <w:shd w:val="clear" w:color="auto"/>
              <w:bidi w:val="0"/>
              <w:spacing w:line="40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二、质量要求：合格。</w:t>
            </w:r>
          </w:p>
          <w:p w14:paraId="081C7E3A">
            <w:pPr>
              <w:keepNext w:val="0"/>
              <w:keepLines w:val="0"/>
              <w:pageBreakBefore w:val="0"/>
              <w:widowControl w:val="0"/>
              <w:shd w:val="clear" w:color="auto"/>
              <w:bidi w:val="0"/>
              <w:spacing w:line="40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三、规范标准：施工全过程严格执行国家现行《建筑装饰装修工程质量验收标准》《建筑电气工程施工质量验收规范》《园林绿化工程施工及验收规范》等相关规范标准。</w:t>
            </w:r>
          </w:p>
          <w:p w14:paraId="0CD6F8A7">
            <w:pPr>
              <w:keepNext w:val="0"/>
              <w:keepLines w:val="0"/>
              <w:pageBreakBefore w:val="0"/>
              <w:widowControl w:val="0"/>
              <w:shd w:val="clear" w:color="auto"/>
              <w:bidi w:val="0"/>
              <w:spacing w:line="40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四、最低人员要求</w:t>
            </w:r>
          </w:p>
          <w:p w14:paraId="3505FE7A">
            <w:pPr>
              <w:keepNext w:val="0"/>
              <w:keepLines w:val="0"/>
              <w:pageBreakBefore w:val="0"/>
              <w:widowControl w:val="0"/>
              <w:shd w:val="clear" w:color="auto"/>
              <w:bidi w:val="0"/>
              <w:spacing w:line="400" w:lineRule="exact"/>
              <w:ind w:firstLine="420"/>
              <w:rPr>
                <w:color w:val="auto"/>
                <w:highlight w:val="none"/>
              </w:rPr>
            </w:pPr>
            <w:r>
              <w:rPr>
                <w:rFonts w:hint="eastAsia" w:ascii="宋体" w:hAnsi="宋体" w:cs="宋体"/>
                <w:color w:val="auto"/>
                <w:szCs w:val="21"/>
                <w:highlight w:val="none"/>
              </w:rPr>
              <w:t>项目经理须具备建筑工程二级及以上注册建造师执业资格，并持有建设行政主管部门核发有效的安全生产考核合格证书（B证）；配备专职安全员1名，持有建设行政主管部门核发有效的安全生产考核合格证书（C证）；配置施工员、质量员各1名，上述现场管理人员须具备住建领域对应岗位培训合格证明，所有岗位人员均为本单位在职人员，</w:t>
            </w:r>
            <w:r>
              <w:rPr>
                <w:rFonts w:hint="eastAsia" w:ascii="宋体" w:hAnsi="宋体" w:cs="宋体"/>
                <w:color w:val="auto"/>
                <w:szCs w:val="21"/>
                <w:highlight w:val="none"/>
                <w:lang w:val="en-US" w:eastAsia="zh-CN"/>
              </w:rPr>
              <w:t>提供</w:t>
            </w:r>
            <w:r>
              <w:rPr>
                <w:rFonts w:hint="eastAsia" w:hAnsi="宋体" w:cs="宋体"/>
                <w:bCs/>
                <w:color w:val="auto"/>
                <w:highlight w:val="none"/>
                <w:lang w:eastAsia="zh-CN"/>
              </w:rPr>
              <w:t>竞标截止日期近半年内任意一个月</w:t>
            </w:r>
            <w:r>
              <w:rPr>
                <w:rFonts w:hint="eastAsia" w:ascii="宋体" w:hAnsi="宋体" w:cs="宋体"/>
                <w:color w:val="auto"/>
                <w:szCs w:val="21"/>
                <w:highlight w:val="none"/>
              </w:rPr>
              <w:t>社保缴纳证明。</w:t>
            </w:r>
          </w:p>
        </w:tc>
      </w:tr>
      <w:tr w14:paraId="2871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9862" w:type="dxa"/>
            <w:gridSpan w:val="6"/>
            <w:tcBorders>
              <w:top w:val="single" w:color="auto" w:sz="4" w:space="0"/>
              <w:left w:val="single" w:color="auto" w:sz="4" w:space="0"/>
              <w:bottom w:val="single" w:color="auto" w:sz="4" w:space="0"/>
              <w:right w:val="single" w:color="auto" w:sz="4" w:space="0"/>
            </w:tcBorders>
            <w:noWrap w:val="0"/>
            <w:vAlign w:val="center"/>
          </w:tcPr>
          <w:p w14:paraId="50E1B4E4">
            <w:pPr>
              <w:keepNext w:val="0"/>
              <w:keepLines w:val="0"/>
              <w:pageBreakBefore w:val="0"/>
              <w:shd w:val="clear" w:color="auto"/>
              <w:bidi w:val="0"/>
              <w:spacing w:line="400" w:lineRule="exact"/>
              <w:rPr>
                <w:rFonts w:hint="eastAsia" w:ascii="宋体" w:hAnsi="宋体"/>
                <w:color w:val="auto"/>
                <w:szCs w:val="21"/>
                <w:highlight w:val="none"/>
              </w:rPr>
            </w:pPr>
            <w:r>
              <w:rPr>
                <w:rFonts w:hint="eastAsia" w:ascii="宋体" w:hAnsi="宋体"/>
                <w:b/>
                <w:color w:val="auto"/>
                <w:szCs w:val="21"/>
                <w:highlight w:val="none"/>
              </w:rPr>
              <w:t>商务要求表</w:t>
            </w:r>
          </w:p>
        </w:tc>
      </w:tr>
      <w:tr w14:paraId="5ACD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50" w:type="dxa"/>
            <w:gridSpan w:val="2"/>
            <w:tcBorders>
              <w:top w:val="single" w:color="auto" w:sz="4" w:space="0"/>
              <w:left w:val="single" w:color="auto" w:sz="4" w:space="0"/>
              <w:bottom w:val="single" w:color="auto" w:sz="4" w:space="0"/>
              <w:right w:val="single" w:color="auto" w:sz="4" w:space="0"/>
            </w:tcBorders>
            <w:noWrap w:val="0"/>
            <w:vAlign w:val="center"/>
          </w:tcPr>
          <w:p w14:paraId="57268239">
            <w:pPr>
              <w:keepNext w:val="0"/>
              <w:keepLines w:val="0"/>
              <w:pageBreakBefore w:val="0"/>
              <w:shd w:val="clear" w:color="auto"/>
              <w:tabs>
                <w:tab w:val="left" w:pos="180"/>
                <w:tab w:val="left" w:pos="1620"/>
              </w:tabs>
              <w:bidi w:val="0"/>
              <w:spacing w:line="400" w:lineRule="exact"/>
              <w:jc w:val="center"/>
              <w:rPr>
                <w:rFonts w:hint="eastAsia" w:ascii="宋体" w:hAnsi="宋体"/>
                <w:color w:val="auto"/>
                <w:szCs w:val="21"/>
                <w:highlight w:val="none"/>
                <w:lang w:val="en-US"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施工工期</w:t>
            </w:r>
          </w:p>
        </w:tc>
        <w:tc>
          <w:tcPr>
            <w:tcW w:w="8412" w:type="dxa"/>
            <w:gridSpan w:val="4"/>
            <w:tcBorders>
              <w:top w:val="single" w:color="auto" w:sz="4" w:space="0"/>
              <w:left w:val="single" w:color="auto" w:sz="4" w:space="0"/>
              <w:bottom w:val="single" w:color="auto" w:sz="4" w:space="0"/>
              <w:right w:val="single" w:color="auto" w:sz="4" w:space="0"/>
            </w:tcBorders>
            <w:noWrap w:val="0"/>
            <w:vAlign w:val="center"/>
          </w:tcPr>
          <w:p w14:paraId="3AC5C32D">
            <w:pPr>
              <w:keepNext w:val="0"/>
              <w:keepLines w:val="0"/>
              <w:pageBreakBefore w:val="0"/>
              <w:shd w:val="clear" w:color="auto"/>
              <w:tabs>
                <w:tab w:val="left" w:pos="180"/>
                <w:tab w:val="left" w:pos="1620"/>
              </w:tabs>
              <w:bidi w:val="0"/>
              <w:spacing w:line="400" w:lineRule="exact"/>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全部施工、安装、清理整改工作须于2026年11月30日前竣工并通过验收；施工单位须根据校方暑假施工窗口期编制专项进度计划，合理排布工序，避开校内教学时段施工。</w:t>
            </w:r>
          </w:p>
        </w:tc>
      </w:tr>
      <w:tr w14:paraId="7914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50" w:type="dxa"/>
            <w:gridSpan w:val="2"/>
            <w:tcBorders>
              <w:top w:val="single" w:color="auto" w:sz="4" w:space="0"/>
              <w:left w:val="single" w:color="auto" w:sz="4" w:space="0"/>
              <w:bottom w:val="single" w:color="auto" w:sz="4" w:space="0"/>
              <w:right w:val="single" w:color="auto" w:sz="4" w:space="0"/>
            </w:tcBorders>
            <w:noWrap w:val="0"/>
            <w:vAlign w:val="center"/>
          </w:tcPr>
          <w:p w14:paraId="01455D48">
            <w:pPr>
              <w:keepNext w:val="0"/>
              <w:keepLines w:val="0"/>
              <w:pageBreakBefore w:val="0"/>
              <w:shd w:val="clear" w:color="auto"/>
              <w:tabs>
                <w:tab w:val="left" w:pos="180"/>
                <w:tab w:val="left" w:pos="1620"/>
              </w:tabs>
              <w:bidi w:val="0"/>
              <w:spacing w:line="40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施工地点</w:t>
            </w:r>
          </w:p>
        </w:tc>
        <w:tc>
          <w:tcPr>
            <w:tcW w:w="8412" w:type="dxa"/>
            <w:gridSpan w:val="4"/>
            <w:tcBorders>
              <w:top w:val="single" w:color="auto" w:sz="4" w:space="0"/>
              <w:left w:val="single" w:color="auto" w:sz="4" w:space="0"/>
              <w:bottom w:val="single" w:color="auto" w:sz="4" w:space="0"/>
              <w:right w:val="single" w:color="auto" w:sz="4" w:space="0"/>
            </w:tcBorders>
            <w:noWrap w:val="0"/>
            <w:vAlign w:val="center"/>
          </w:tcPr>
          <w:p w14:paraId="26E87D1B">
            <w:pPr>
              <w:keepNext w:val="0"/>
              <w:keepLines w:val="0"/>
              <w:pageBreakBefore w:val="0"/>
              <w:shd w:val="clear" w:color="auto"/>
              <w:tabs>
                <w:tab w:val="left" w:pos="180"/>
                <w:tab w:val="left" w:pos="1620"/>
              </w:tabs>
              <w:bidi w:val="0"/>
              <w:spacing w:line="400" w:lineRule="exact"/>
              <w:jc w:val="left"/>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广西机电职业技术学院内。</w:t>
            </w:r>
          </w:p>
        </w:tc>
      </w:tr>
      <w:tr w14:paraId="2C01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50" w:type="dxa"/>
            <w:gridSpan w:val="2"/>
            <w:tcBorders>
              <w:top w:val="single" w:color="auto" w:sz="4" w:space="0"/>
              <w:left w:val="single" w:color="auto" w:sz="4" w:space="0"/>
              <w:bottom w:val="single" w:color="auto" w:sz="4" w:space="0"/>
              <w:right w:val="single" w:color="auto" w:sz="4" w:space="0"/>
            </w:tcBorders>
            <w:noWrap w:val="0"/>
            <w:vAlign w:val="center"/>
          </w:tcPr>
          <w:p w14:paraId="7A270A13">
            <w:pPr>
              <w:keepNext w:val="0"/>
              <w:keepLines w:val="0"/>
              <w:pageBreakBefore w:val="0"/>
              <w:widowControl w:val="0"/>
              <w:shd w:val="clear" w:color="auto"/>
              <w:tabs>
                <w:tab w:val="left" w:pos="180"/>
                <w:tab w:val="left" w:pos="1620"/>
              </w:tabs>
              <w:bidi w:val="0"/>
              <w:spacing w:line="400" w:lineRule="exact"/>
              <w:jc w:val="center"/>
              <w:rPr>
                <w:rFonts w:hint="eastAsia" w:ascii="宋体" w:hAnsi="宋体"/>
                <w:color w:val="auto"/>
                <w:szCs w:val="21"/>
                <w:highlight w:val="none"/>
                <w:lang w:val="en-US"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质保期及售后服务要求</w:t>
            </w:r>
          </w:p>
        </w:tc>
        <w:tc>
          <w:tcPr>
            <w:tcW w:w="8412" w:type="dxa"/>
            <w:gridSpan w:val="4"/>
            <w:tcBorders>
              <w:top w:val="single" w:color="auto" w:sz="4" w:space="0"/>
              <w:left w:val="single" w:color="auto" w:sz="4" w:space="0"/>
              <w:bottom w:val="single" w:color="auto" w:sz="4" w:space="0"/>
              <w:right w:val="single" w:color="auto" w:sz="4" w:space="0"/>
            </w:tcBorders>
            <w:noWrap w:val="0"/>
            <w:vAlign w:val="center"/>
          </w:tcPr>
          <w:p w14:paraId="6811BAD3">
            <w:pPr>
              <w:keepNext w:val="0"/>
              <w:keepLines w:val="0"/>
              <w:pageBreakBefore w:val="0"/>
              <w:widowControl w:val="0"/>
              <w:shd w:val="clear" w:color="auto"/>
              <w:tabs>
                <w:tab w:val="left" w:pos="180"/>
                <w:tab w:val="left" w:pos="1620"/>
              </w:tabs>
              <w:bidi w:val="0"/>
              <w:spacing w:line="400" w:lineRule="exact"/>
              <w:jc w:val="left"/>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w:t>
            </w:r>
            <w:r>
              <w:rPr>
                <w:rFonts w:hint="eastAsia" w:ascii="宋体" w:hAnsi="宋体"/>
                <w:color w:val="auto"/>
                <w:szCs w:val="21"/>
                <w:highlight w:val="none"/>
                <w:lang w:val="en-US" w:eastAsia="zh-CN"/>
              </w:rPr>
              <w:t>质保期</w:t>
            </w:r>
            <w:r>
              <w:rPr>
                <w:rFonts w:hint="eastAsia" w:ascii="宋体" w:hAnsi="宋体" w:eastAsia="宋体" w:cs="宋体"/>
                <w:color w:val="auto"/>
                <w:sz w:val="21"/>
                <w:szCs w:val="21"/>
                <w:highlight w:val="none"/>
                <w:u w:val="none"/>
                <w:lang w:val="en-US" w:eastAsia="zh-CN"/>
              </w:rPr>
              <w:t>：质保整体装修、外立面质保2年，室外景观绿植养护1年。</w:t>
            </w:r>
          </w:p>
          <w:p w14:paraId="4C354FD1">
            <w:pPr>
              <w:keepNext w:val="0"/>
              <w:keepLines w:val="0"/>
              <w:pageBreakBefore w:val="0"/>
              <w:widowControl w:val="0"/>
              <w:bidi w:val="0"/>
              <w:spacing w:line="400" w:lineRule="exact"/>
              <w:jc w:val="both"/>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2.工程质量保修要求：</w:t>
            </w:r>
          </w:p>
          <w:p w14:paraId="0107A5CA">
            <w:pPr>
              <w:keepNext w:val="0"/>
              <w:keepLines w:val="0"/>
              <w:pageBreakBefore w:val="0"/>
              <w:widowControl w:val="0"/>
              <w:bidi w:val="0"/>
              <w:spacing w:line="400" w:lineRule="exact"/>
              <w:jc w:val="both"/>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2.1属于保修范围、内容的项目，成交人应当在接到保修通知之日起48小时内派人保修，否则视为成交人未按约定期限进行保修。</w:t>
            </w:r>
          </w:p>
          <w:p w14:paraId="370BFE95">
            <w:pPr>
              <w:keepNext w:val="0"/>
              <w:keepLines w:val="0"/>
              <w:pageBreakBefore w:val="0"/>
              <w:widowControl w:val="0"/>
              <w:bidi w:val="0"/>
              <w:spacing w:line="400" w:lineRule="exact"/>
              <w:jc w:val="both"/>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2.2发生紧急事故需抢修的，成交人在接到事故通知后，应当立即到达事故现场抢修；成交人在接到报修通知2小时内未到达事故现场进行抢修的，视为成交人未按约定期限进行保修。</w:t>
            </w:r>
          </w:p>
          <w:p w14:paraId="3C04ED31">
            <w:pPr>
              <w:keepNext w:val="0"/>
              <w:keepLines w:val="0"/>
              <w:pageBreakBefore w:val="0"/>
              <w:widowControl w:val="0"/>
              <w:bidi w:val="0"/>
              <w:spacing w:line="400" w:lineRule="exact"/>
              <w:jc w:val="both"/>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2.3成交人在赶赴现场进行保修后，48小时内仍未完成保修的；视为成交人未按约定期限进行保修。</w:t>
            </w:r>
          </w:p>
          <w:p w14:paraId="0382F8F1">
            <w:pPr>
              <w:keepNext w:val="0"/>
              <w:keepLines w:val="0"/>
              <w:pageBreakBefore w:val="0"/>
              <w:widowControl w:val="0"/>
              <w:bidi w:val="0"/>
              <w:spacing w:line="400" w:lineRule="exact"/>
              <w:jc w:val="both"/>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2.4完成保修后，同一维修点在后续使用过程中仍存在工程质量问题的，视为成交人未按约定期限进行保修。</w:t>
            </w:r>
          </w:p>
          <w:p w14:paraId="6D70FD3E">
            <w:pPr>
              <w:keepNext w:val="0"/>
              <w:keepLines w:val="0"/>
              <w:pageBreakBefore w:val="0"/>
              <w:widowControl w:val="0"/>
              <w:bidi w:val="0"/>
              <w:spacing w:line="400" w:lineRule="exact"/>
              <w:jc w:val="both"/>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2.5成交人在开始进行保修服务或保修服务完成后未提供保修服务佐证材料的（包含但不限于影像资料、相关纸质材料等），视为成交人未按约定期限进行保修。</w:t>
            </w:r>
          </w:p>
          <w:p w14:paraId="5B43FAC9">
            <w:pPr>
              <w:keepNext w:val="0"/>
              <w:keepLines w:val="0"/>
              <w:pageBreakBefore w:val="0"/>
              <w:widowControl w:val="0"/>
              <w:bidi w:val="0"/>
              <w:spacing w:line="400" w:lineRule="exact"/>
              <w:jc w:val="both"/>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2.6成交人未按约定期限进行保修的，发包人可以委托他人修理，修理费用从</w:t>
            </w:r>
            <w:r>
              <w:rPr>
                <w:rFonts w:hint="eastAsia" w:ascii="宋体" w:hAnsi="宋体" w:eastAsia="宋体" w:cs="宋体"/>
                <w:color w:val="auto"/>
                <w:sz w:val="21"/>
                <w:szCs w:val="21"/>
                <w:u w:val="none"/>
                <w:lang w:val="en-US" w:eastAsia="zh-CN"/>
              </w:rPr>
              <w:t>质量保证金</w:t>
            </w:r>
            <w:r>
              <w:rPr>
                <w:rFonts w:hint="eastAsia" w:ascii="宋体" w:hAnsi="宋体" w:eastAsia="宋体" w:cs="宋体"/>
                <w:color w:val="auto"/>
                <w:sz w:val="21"/>
                <w:szCs w:val="21"/>
                <w:highlight w:val="none"/>
                <w:u w:val="none"/>
                <w:lang w:val="en-US" w:eastAsia="zh-CN"/>
              </w:rPr>
              <w:t>内扣除。</w:t>
            </w:r>
          </w:p>
          <w:p w14:paraId="62E2F7D3">
            <w:pPr>
              <w:keepNext w:val="0"/>
              <w:keepLines w:val="0"/>
              <w:pageBreakBefore w:val="0"/>
              <w:widowControl w:val="0"/>
              <w:bidi w:val="0"/>
              <w:spacing w:line="400" w:lineRule="exact"/>
              <w:jc w:val="both"/>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2.7通知方式：</w:t>
            </w:r>
            <w:r>
              <w:rPr>
                <w:rFonts w:hint="eastAsia" w:ascii="宋体" w:hAnsi="宋体" w:eastAsia="宋体" w:cs="宋体"/>
                <w:color w:val="auto"/>
                <w:sz w:val="21"/>
                <w:szCs w:val="21"/>
                <w:u w:val="none"/>
                <w:lang w:val="en-US" w:eastAsia="zh-CN"/>
              </w:rPr>
              <w:t>以函件、电话、短信、QQ或微信方式通知合同约定的项目经理或成交人指定的管理人员均视为发包人已完成事故通知事宜。</w:t>
            </w:r>
          </w:p>
          <w:p w14:paraId="19545E06">
            <w:pPr>
              <w:keepNext w:val="0"/>
              <w:keepLines w:val="0"/>
              <w:pageBreakBefore w:val="0"/>
              <w:widowControl w:val="0"/>
              <w:bidi w:val="0"/>
              <w:spacing w:line="400" w:lineRule="exact"/>
              <w:jc w:val="both"/>
              <w:rPr>
                <w:rFonts w:hint="eastAsia" w:ascii="宋体" w:hAnsi="宋体" w:cs="Times New Roman"/>
                <w:color w:val="auto"/>
                <w:szCs w:val="21"/>
                <w:highlight w:val="none"/>
                <w:u w:val="none"/>
                <w:lang w:val="en-US" w:eastAsia="zh-CN"/>
              </w:rPr>
            </w:pPr>
            <w:r>
              <w:rPr>
                <w:rFonts w:hint="eastAsia" w:ascii="宋体" w:hAnsi="宋体" w:eastAsia="宋体" w:cs="宋体"/>
                <w:color w:val="auto"/>
                <w:sz w:val="21"/>
                <w:szCs w:val="21"/>
                <w:highlight w:val="none"/>
                <w:u w:val="none"/>
                <w:lang w:val="en-US" w:eastAsia="zh-CN"/>
              </w:rPr>
              <w:t>2.8对于涉及结构安全的质量问题，应当按照《建设工程质量管理条例》的规定，立即向当地建设行政主管部门和有关部门报告，采取安全防范措施，并由原设计人或者具有相应资质等级的设计人提出保修方案，成交人实施保修。</w:t>
            </w:r>
          </w:p>
        </w:tc>
      </w:tr>
      <w:tr w14:paraId="5355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50" w:type="dxa"/>
            <w:gridSpan w:val="2"/>
            <w:tcBorders>
              <w:top w:val="single" w:color="auto" w:sz="4" w:space="0"/>
              <w:left w:val="single" w:color="auto" w:sz="4" w:space="0"/>
              <w:bottom w:val="single" w:color="auto" w:sz="4" w:space="0"/>
              <w:right w:val="single" w:color="auto" w:sz="4" w:space="0"/>
            </w:tcBorders>
            <w:noWrap w:val="0"/>
            <w:vAlign w:val="center"/>
          </w:tcPr>
          <w:p w14:paraId="7874EBAD">
            <w:pPr>
              <w:keepNext w:val="0"/>
              <w:keepLines w:val="0"/>
              <w:pageBreakBefore w:val="0"/>
              <w:shd w:val="clear" w:color="auto"/>
              <w:tabs>
                <w:tab w:val="left" w:pos="180"/>
                <w:tab w:val="left" w:pos="1620"/>
              </w:tabs>
              <w:bidi w:val="0"/>
              <w:spacing w:line="400" w:lineRule="exact"/>
              <w:jc w:val="center"/>
              <w:rPr>
                <w:rFonts w:hint="eastAsia" w:ascii="宋体" w:hAnsi="宋体"/>
                <w:color w:val="auto"/>
                <w:szCs w:val="21"/>
                <w:highlight w:val="none"/>
                <w:lang w:val="en-US"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履约保证金</w:t>
            </w:r>
          </w:p>
        </w:tc>
        <w:tc>
          <w:tcPr>
            <w:tcW w:w="8412" w:type="dxa"/>
            <w:gridSpan w:val="4"/>
            <w:tcBorders>
              <w:top w:val="single" w:color="auto" w:sz="4" w:space="0"/>
              <w:left w:val="single" w:color="auto" w:sz="4" w:space="0"/>
              <w:bottom w:val="single" w:color="auto" w:sz="4" w:space="0"/>
              <w:right w:val="single" w:color="auto" w:sz="4" w:space="0"/>
            </w:tcBorders>
            <w:noWrap w:val="0"/>
            <w:vAlign w:val="center"/>
          </w:tcPr>
          <w:p w14:paraId="5C372FBE">
            <w:pPr>
              <w:keepNext w:val="0"/>
              <w:keepLines w:val="0"/>
              <w:pageBreakBefore w:val="0"/>
              <w:shd w:val="clear" w:color="auto"/>
              <w:tabs>
                <w:tab w:val="left" w:pos="180"/>
                <w:tab w:val="left" w:pos="1620"/>
              </w:tabs>
              <w:bidi w:val="0"/>
              <w:spacing w:line="400" w:lineRule="exact"/>
              <w:jc w:val="left"/>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1.按成交金额的2%交纳。</w:t>
            </w:r>
          </w:p>
          <w:p w14:paraId="250A9C97">
            <w:pPr>
              <w:keepNext w:val="0"/>
              <w:keepLines w:val="0"/>
              <w:pageBreakBefore w:val="0"/>
              <w:shd w:val="clear" w:color="auto"/>
              <w:tabs>
                <w:tab w:val="left" w:pos="180"/>
                <w:tab w:val="left" w:pos="1620"/>
              </w:tabs>
              <w:bidi w:val="0"/>
              <w:spacing w:line="400" w:lineRule="exact"/>
              <w:jc w:val="left"/>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2.履约保证金递交方式：以电汇、转账、汇票、金融机构或担保机构出具的保函等非现金形式提交。</w:t>
            </w:r>
            <w:r>
              <w:rPr>
                <w:rFonts w:hint="eastAsia" w:ascii="宋体" w:hAnsi="宋体" w:cs="Times New Roman"/>
                <w:color w:val="auto"/>
                <w:szCs w:val="21"/>
                <w:u w:val="none"/>
                <w:lang w:val="en-US" w:eastAsia="zh-CN"/>
              </w:rPr>
              <w:t>由成交供应商在成交通知书发出后10个工作日内按规定的金额直接缴入广西机电职业技术学院账户</w:t>
            </w:r>
            <w:r>
              <w:rPr>
                <w:rFonts w:hint="eastAsia" w:ascii="宋体" w:hAnsi="宋体" w:cs="Times New Roman"/>
                <w:color w:val="auto"/>
                <w:szCs w:val="21"/>
                <w:highlight w:val="none"/>
                <w:u w:val="none"/>
                <w:lang w:val="en-US" w:eastAsia="zh-CN"/>
              </w:rPr>
              <w:t>，账户名称:广西机电职业技术学院；开户行：建设银行南宁大学路支行；银行账号：45001604851050503961。</w:t>
            </w:r>
          </w:p>
          <w:p w14:paraId="3EFD27BD">
            <w:pPr>
              <w:keepNext w:val="0"/>
              <w:keepLines w:val="0"/>
              <w:pageBreakBefore w:val="0"/>
              <w:shd w:val="clear" w:color="auto"/>
              <w:tabs>
                <w:tab w:val="left" w:pos="180"/>
                <w:tab w:val="left" w:pos="1620"/>
              </w:tabs>
              <w:bidi w:val="0"/>
              <w:spacing w:line="400" w:lineRule="exact"/>
              <w:jc w:val="left"/>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3.成交供应商须在签订合同之前按照本条规定的履约保证金金额、递交方式直接转入采购人账户，否则不予签订合同。项目竣工验收合格后退付（无息）。由成交供应商向履约保证金收取单位提供《采购项目合同验收书》、《采购项目履约保证金退付意见书》，保证金收取单位在收到合格材料后，根据成交供应商相关违约处罚扣款后的实际数额在5个工作日内办理退还手续（不计利息）。若采购内容质保期各不相同的，也可按金额比例分次退付。</w:t>
            </w:r>
          </w:p>
          <w:p w14:paraId="28A7F19E">
            <w:pPr>
              <w:keepNext w:val="0"/>
              <w:keepLines w:val="0"/>
              <w:pageBreakBefore w:val="0"/>
              <w:shd w:val="clear" w:color="auto"/>
              <w:tabs>
                <w:tab w:val="left" w:pos="180"/>
                <w:tab w:val="left" w:pos="1620"/>
              </w:tabs>
              <w:bidi w:val="0"/>
              <w:spacing w:line="400" w:lineRule="exact"/>
              <w:jc w:val="left"/>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4.在履约保证金退还日期前，若成交供应商的开户名称、开户银行、账号有变动的，请以书面形式通知广西机电职业技术学院，否则由此产生的后果由成交供应商自负。</w:t>
            </w:r>
          </w:p>
        </w:tc>
      </w:tr>
      <w:tr w14:paraId="69013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50" w:type="dxa"/>
            <w:gridSpan w:val="2"/>
            <w:tcBorders>
              <w:top w:val="single" w:color="auto" w:sz="4" w:space="0"/>
              <w:left w:val="single" w:color="auto" w:sz="4" w:space="0"/>
              <w:bottom w:val="single" w:color="auto" w:sz="4" w:space="0"/>
              <w:right w:val="single" w:color="auto" w:sz="4" w:space="0"/>
            </w:tcBorders>
            <w:noWrap w:val="0"/>
            <w:vAlign w:val="center"/>
          </w:tcPr>
          <w:p w14:paraId="06AEF437">
            <w:pPr>
              <w:keepNext w:val="0"/>
              <w:keepLines w:val="0"/>
              <w:pageBreakBefore w:val="0"/>
              <w:shd w:val="clear" w:color="auto"/>
              <w:tabs>
                <w:tab w:val="left" w:pos="180"/>
                <w:tab w:val="left" w:pos="1620"/>
              </w:tabs>
              <w:bidi w:val="0"/>
              <w:spacing w:line="400" w:lineRule="exact"/>
              <w:jc w:val="center"/>
              <w:rPr>
                <w:rFonts w:hint="eastAsia" w:ascii="宋体" w:hAnsi="宋体"/>
                <w:color w:val="auto"/>
                <w:szCs w:val="21"/>
                <w:highlight w:val="none"/>
                <w:lang w:val="en-US"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工程进度款支付</w:t>
            </w:r>
          </w:p>
        </w:tc>
        <w:tc>
          <w:tcPr>
            <w:tcW w:w="8412" w:type="dxa"/>
            <w:gridSpan w:val="4"/>
            <w:tcBorders>
              <w:top w:val="single" w:color="auto" w:sz="4" w:space="0"/>
              <w:left w:val="single" w:color="auto" w:sz="4" w:space="0"/>
              <w:bottom w:val="single" w:color="auto" w:sz="4" w:space="0"/>
              <w:right w:val="single" w:color="auto" w:sz="4" w:space="0"/>
            </w:tcBorders>
            <w:noWrap w:val="0"/>
            <w:vAlign w:val="center"/>
          </w:tcPr>
          <w:p w14:paraId="0AB728BC">
            <w:pPr>
              <w:keepNext w:val="0"/>
              <w:keepLines w:val="0"/>
              <w:pageBreakBefore w:val="0"/>
              <w:shd w:val="clear" w:color="auto"/>
              <w:tabs>
                <w:tab w:val="left" w:pos="180"/>
                <w:tab w:val="left" w:pos="1620"/>
              </w:tabs>
              <w:bidi w:val="0"/>
              <w:spacing w:line="400" w:lineRule="exact"/>
              <w:ind w:firstLine="210"/>
              <w:jc w:val="left"/>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（1）合同生效，且监理人和采购人确定施工主要人员和主要材料、设备进场后10个工作日内支付合同价30%作为预付款。</w:t>
            </w:r>
          </w:p>
          <w:p w14:paraId="6FF45074">
            <w:pPr>
              <w:keepNext w:val="0"/>
              <w:keepLines w:val="0"/>
              <w:pageBreakBefore w:val="0"/>
              <w:shd w:val="clear" w:color="auto"/>
              <w:tabs>
                <w:tab w:val="left" w:pos="180"/>
                <w:tab w:val="left" w:pos="1620"/>
              </w:tabs>
              <w:bidi w:val="0"/>
              <w:spacing w:line="400" w:lineRule="exact"/>
              <w:ind w:firstLine="210"/>
              <w:jc w:val="left"/>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（2）项目竣工验收通过后10个工作日内，支付至合同内已完成工程量价款的80%；完成审计结算后10个工作日内，</w:t>
            </w:r>
            <w:r>
              <w:rPr>
                <w:rFonts w:hint="eastAsia" w:ascii="宋体" w:hAnsi="宋体" w:cs="Times New Roman"/>
                <w:color w:val="auto"/>
                <w:szCs w:val="21"/>
                <w:u w:val="none"/>
                <w:lang w:val="en-US" w:eastAsia="zh-CN"/>
              </w:rPr>
              <w:t>成交供应商需先将审定金额的3%作为质量保证金转至采购人账户后，采购人支付至项目审定结算价的100%</w:t>
            </w:r>
            <w:r>
              <w:rPr>
                <w:rFonts w:hint="eastAsia" w:ascii="宋体" w:hAnsi="宋体" w:cs="Times New Roman"/>
                <w:color w:val="auto"/>
                <w:szCs w:val="21"/>
                <w:highlight w:val="none"/>
                <w:u w:val="none"/>
                <w:lang w:val="en-US" w:eastAsia="zh-CN"/>
              </w:rPr>
              <w:t>，以上各付款阶段付款前，成交供应商必须出具等额有效的增值税专用发票，采购人未收到合格有效的发票的，有权不予支付相应款项直至成交供应商提供合格发票，并不承担延迟付款责任。项目竣工后由甲方负责送审，工程送审价超出审定价的5%的，审计费和因此产生的一切税费由施工单位承担。</w:t>
            </w:r>
          </w:p>
        </w:tc>
      </w:tr>
      <w:tr w14:paraId="28F9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450" w:type="dxa"/>
            <w:gridSpan w:val="2"/>
            <w:tcBorders>
              <w:top w:val="single" w:color="auto" w:sz="4" w:space="0"/>
              <w:left w:val="single" w:color="auto" w:sz="4" w:space="0"/>
              <w:bottom w:val="single" w:color="auto" w:sz="4" w:space="0"/>
              <w:right w:val="single" w:color="auto" w:sz="4" w:space="0"/>
            </w:tcBorders>
            <w:noWrap w:val="0"/>
            <w:vAlign w:val="center"/>
          </w:tcPr>
          <w:p w14:paraId="205D34E7">
            <w:pPr>
              <w:keepNext w:val="0"/>
              <w:keepLines w:val="0"/>
              <w:pageBreakBefore w:val="0"/>
              <w:shd w:val="clear" w:color="auto"/>
              <w:tabs>
                <w:tab w:val="left" w:pos="180"/>
                <w:tab w:val="left" w:pos="1620"/>
              </w:tabs>
              <w:bidi w:val="0"/>
              <w:spacing w:line="400" w:lineRule="exact"/>
              <w:jc w:val="center"/>
              <w:rPr>
                <w:rFonts w:hint="eastAsia" w:ascii="宋体" w:hAnsi="宋体"/>
                <w:color w:val="auto"/>
                <w:szCs w:val="21"/>
                <w:highlight w:val="none"/>
              </w:rPr>
            </w:pPr>
            <w:r>
              <w:rPr>
                <w:rFonts w:hint="eastAsia" w:ascii="宋体" w:hAnsi="宋体"/>
                <w:color w:val="auto"/>
                <w:szCs w:val="21"/>
                <w:highlight w:val="none"/>
              </w:rPr>
              <w:t>▲验收要求</w:t>
            </w:r>
          </w:p>
        </w:tc>
        <w:tc>
          <w:tcPr>
            <w:tcW w:w="8412" w:type="dxa"/>
            <w:gridSpan w:val="4"/>
            <w:tcBorders>
              <w:top w:val="single" w:color="auto" w:sz="4" w:space="0"/>
              <w:left w:val="single" w:color="auto" w:sz="4" w:space="0"/>
              <w:bottom w:val="single" w:color="auto" w:sz="4" w:space="0"/>
              <w:right w:val="single" w:color="auto" w:sz="4" w:space="0"/>
            </w:tcBorders>
            <w:noWrap w:val="0"/>
            <w:vAlign w:val="center"/>
          </w:tcPr>
          <w:p w14:paraId="7C91556C">
            <w:pPr>
              <w:keepNext w:val="0"/>
              <w:keepLines w:val="0"/>
              <w:widowControl/>
              <w:suppressLineNumbers w:val="0"/>
              <w:jc w:val="left"/>
              <w:rPr>
                <w:rFonts w:hint="default" w:ascii="宋体" w:hAnsi="宋体" w:eastAsia="宋体" w:cs="Times New Roman"/>
                <w:color w:val="auto"/>
                <w:szCs w:val="21"/>
                <w:highlight w:val="none"/>
                <w:lang w:val="en-US" w:eastAsia="zh-CN"/>
              </w:rPr>
            </w:pPr>
            <w:r>
              <w:rPr>
                <w:rFonts w:hint="eastAsia" w:ascii="宋体" w:hAnsi="宋体"/>
                <w:color w:val="auto"/>
                <w:szCs w:val="21"/>
                <w:highlight w:val="none"/>
              </w:rPr>
              <w:t>按相关行政主管部门要求的程序组织</w:t>
            </w:r>
            <w:r>
              <w:rPr>
                <w:rFonts w:hint="eastAsia" w:ascii="宋体" w:hAnsi="宋体" w:cs="Times New Roman"/>
                <w:color w:val="auto"/>
                <w:szCs w:val="21"/>
                <w:highlight w:val="none"/>
              </w:rPr>
              <w:t>；</w:t>
            </w:r>
            <w:r>
              <w:rPr>
                <w:rFonts w:hint="eastAsia" w:ascii="宋体" w:hAnsi="宋体" w:cs="Times New Roman"/>
                <w:color w:val="auto"/>
                <w:szCs w:val="21"/>
                <w:highlight w:val="none"/>
                <w:lang w:val="en-US" w:eastAsia="zh-CN"/>
              </w:rPr>
              <w:t>本项目所有分项、分部、单位工程施工质量</w:t>
            </w:r>
            <w:r>
              <w:rPr>
                <w:rFonts w:hint="eastAsia" w:ascii="宋体" w:hAnsi="宋体" w:cs="Times New Roman"/>
                <w:color w:val="auto"/>
                <w:szCs w:val="21"/>
                <w:highlight w:val="none"/>
              </w:rPr>
              <w:t>必须达到国家、自治区相关的施工验收规范合格标准。</w:t>
            </w:r>
          </w:p>
        </w:tc>
      </w:tr>
      <w:tr w14:paraId="263B2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450" w:type="dxa"/>
            <w:gridSpan w:val="2"/>
            <w:tcBorders>
              <w:top w:val="single" w:color="auto" w:sz="4" w:space="0"/>
              <w:left w:val="single" w:color="auto" w:sz="4" w:space="0"/>
              <w:bottom w:val="single" w:color="auto" w:sz="4" w:space="0"/>
              <w:right w:val="single" w:color="auto" w:sz="4" w:space="0"/>
            </w:tcBorders>
            <w:noWrap w:val="0"/>
            <w:vAlign w:val="center"/>
          </w:tcPr>
          <w:p w14:paraId="3F47560F">
            <w:pPr>
              <w:keepNext w:val="0"/>
              <w:keepLines w:val="0"/>
              <w:pageBreakBefore w:val="0"/>
              <w:shd w:val="clear" w:color="auto"/>
              <w:tabs>
                <w:tab w:val="left" w:pos="180"/>
                <w:tab w:val="left" w:pos="1620"/>
              </w:tabs>
              <w:bidi w:val="0"/>
              <w:spacing w:line="400" w:lineRule="exact"/>
              <w:jc w:val="center"/>
              <w:rPr>
                <w:rFonts w:ascii="宋体" w:hAnsi="宋体"/>
                <w:color w:val="auto"/>
                <w:szCs w:val="21"/>
                <w:highlight w:val="none"/>
              </w:rPr>
            </w:pPr>
            <w:r>
              <w:rPr>
                <w:rFonts w:hint="eastAsia" w:ascii="宋体" w:hAnsi="宋体"/>
                <w:color w:val="auto"/>
                <w:szCs w:val="21"/>
                <w:highlight w:val="none"/>
              </w:rPr>
              <w:t>▲报价要求</w:t>
            </w:r>
          </w:p>
        </w:tc>
        <w:tc>
          <w:tcPr>
            <w:tcW w:w="8412" w:type="dxa"/>
            <w:gridSpan w:val="4"/>
            <w:tcBorders>
              <w:top w:val="single" w:color="auto" w:sz="4" w:space="0"/>
              <w:left w:val="single" w:color="auto" w:sz="4" w:space="0"/>
              <w:bottom w:val="single" w:color="auto" w:sz="4" w:space="0"/>
              <w:right w:val="single" w:color="auto" w:sz="4" w:space="0"/>
            </w:tcBorders>
            <w:noWrap w:val="0"/>
            <w:vAlign w:val="center"/>
          </w:tcPr>
          <w:p w14:paraId="605B4717">
            <w:pPr>
              <w:keepNext w:val="0"/>
              <w:keepLines w:val="0"/>
              <w:pageBreakBefore w:val="0"/>
              <w:shd w:val="clear" w:color="auto"/>
              <w:bidi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采用工程量清单报价，</w:t>
            </w:r>
            <w:r>
              <w:rPr>
                <w:rFonts w:hint="eastAsia" w:ascii="宋体" w:hAnsi="宋体" w:cs="宋体"/>
                <w:color w:val="auto"/>
                <w:szCs w:val="21"/>
              </w:rPr>
              <w:t>投标报价不得高于招标控制价</w:t>
            </w:r>
            <w:r>
              <w:rPr>
                <w:rFonts w:hint="eastAsia" w:ascii="宋体" w:hAnsi="宋体" w:cs="宋体"/>
                <w:color w:val="auto"/>
                <w:szCs w:val="21"/>
                <w:highlight w:val="none"/>
              </w:rPr>
              <w:t>，否则竞标无效。</w:t>
            </w:r>
          </w:p>
          <w:p w14:paraId="255C62E6">
            <w:pPr>
              <w:keepNext w:val="0"/>
              <w:keepLines w:val="0"/>
              <w:pageBreakBefore w:val="0"/>
              <w:shd w:val="clear" w:color="auto"/>
              <w:bidi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报价必须</w:t>
            </w:r>
            <w:r>
              <w:rPr>
                <w:rFonts w:hint="eastAsia" w:ascii="宋体" w:hAnsi="宋体" w:cs="宋体"/>
                <w:color w:val="auto"/>
                <w:spacing w:val="2"/>
                <w:szCs w:val="21"/>
                <w:highlight w:val="none"/>
              </w:rPr>
              <w:t>包含</w:t>
            </w:r>
            <w:r>
              <w:rPr>
                <w:rFonts w:hint="eastAsia" w:ascii="宋体" w:hAnsi="宋体" w:cs="宋体"/>
                <w:color w:val="auto"/>
                <w:szCs w:val="21"/>
                <w:highlight w:val="none"/>
              </w:rPr>
              <w:t>以下部分，包括：</w:t>
            </w:r>
          </w:p>
          <w:p w14:paraId="04CEE749">
            <w:pPr>
              <w:keepNext w:val="0"/>
              <w:keepLines w:val="0"/>
              <w:widowControl/>
              <w:suppressLineNumbers w:val="0"/>
              <w:jc w:val="left"/>
              <w:rPr>
                <w:rFonts w:hint="eastAsia" w:ascii="宋体" w:hAnsi="宋体" w:cs="宋体"/>
                <w:color w:val="auto"/>
                <w:szCs w:val="21"/>
                <w:highlight w:val="none"/>
              </w:rPr>
            </w:pPr>
            <w:r>
              <w:rPr>
                <w:rFonts w:hint="eastAsia" w:ascii="宋体" w:hAnsi="宋体" w:cs="宋体"/>
                <w:color w:val="auto"/>
                <w:szCs w:val="21"/>
                <w:highlight w:val="none"/>
              </w:rPr>
              <w:t>（1）满足本项目全部采购需求，包括但不限于完成本项目所需的各项成本</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包含人工、材料、机械、运输、安装、调试、垃圾清运、文明施工、安全防护、验收、税费、质保、售后、</w:t>
            </w:r>
            <w:r>
              <w:rPr>
                <w:rFonts w:hint="eastAsia" w:ascii="宋体" w:hAnsi="宋体" w:cs="宋体"/>
                <w:color w:val="auto"/>
                <w:szCs w:val="21"/>
                <w:highlight w:val="none"/>
              </w:rPr>
              <w:t>利润</w:t>
            </w:r>
            <w:r>
              <w:rPr>
                <w:rFonts w:hint="eastAsia" w:ascii="宋体" w:hAnsi="宋体" w:cs="宋体"/>
                <w:color w:val="auto"/>
                <w:szCs w:val="21"/>
                <w:highlight w:val="none"/>
                <w:lang w:val="en-US" w:eastAsia="zh-CN"/>
              </w:rPr>
              <w:t>等全部费用</w:t>
            </w:r>
            <w:r>
              <w:rPr>
                <w:rFonts w:hint="eastAsia" w:ascii="宋体" w:hAnsi="宋体" w:cs="宋体"/>
                <w:color w:val="auto"/>
                <w:szCs w:val="21"/>
                <w:highlight w:val="none"/>
              </w:rPr>
              <w:t>。</w:t>
            </w:r>
          </w:p>
          <w:p w14:paraId="7F9E846C">
            <w:pPr>
              <w:keepNext w:val="0"/>
              <w:keepLines w:val="0"/>
              <w:pageBreakBefore w:val="0"/>
              <w:shd w:val="clear" w:color="auto"/>
              <w:bidi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（2）必要的保险费和各项税金（成交供应商须为该工程购买工程一切险）。</w:t>
            </w:r>
          </w:p>
          <w:p w14:paraId="423F2861">
            <w:pPr>
              <w:keepNext w:val="0"/>
              <w:keepLines w:val="0"/>
              <w:pageBreakBefore w:val="0"/>
              <w:widowControl/>
              <w:shd w:val="clear" w:color="auto"/>
              <w:bidi w:val="0"/>
              <w:spacing w:line="400" w:lineRule="exact"/>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本项目采用固定综合单价合同，供应商工程量清单中项目的工程量无论增减，均按原单价结算。本工程最终结算价以</w:t>
            </w:r>
            <w:r>
              <w:rPr>
                <w:rFonts w:hint="eastAsia" w:ascii="宋体" w:hAnsi="宋体" w:cs="宋体"/>
                <w:color w:val="auto"/>
                <w:szCs w:val="21"/>
                <w:highlight w:val="none"/>
                <w:lang w:val="en-US" w:eastAsia="zh-CN"/>
              </w:rPr>
              <w:t>采购人</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采购人</w:t>
            </w:r>
            <w:r>
              <w:rPr>
                <w:rFonts w:hint="eastAsia" w:ascii="宋体" w:hAnsi="宋体" w:cs="宋体"/>
                <w:color w:val="auto"/>
                <w:szCs w:val="21"/>
                <w:highlight w:val="none"/>
              </w:rPr>
              <w:t>选定的第三方工程咨询单位</w:t>
            </w:r>
            <w:r>
              <w:rPr>
                <w:rFonts w:hint="eastAsia" w:ascii="宋体" w:hAnsi="宋体" w:cs="宋体"/>
                <w:color w:val="auto"/>
                <w:szCs w:val="21"/>
                <w:highlight w:val="none"/>
                <w:lang w:val="en-US" w:eastAsia="zh-CN"/>
              </w:rPr>
              <w:t>或</w:t>
            </w:r>
            <w:r>
              <w:rPr>
                <w:rFonts w:hint="eastAsia" w:ascii="宋体" w:hAnsi="宋体" w:cs="宋体"/>
                <w:color w:val="auto"/>
                <w:szCs w:val="21"/>
                <w:highlight w:val="none"/>
              </w:rPr>
              <w:t>自治区财政厅财政投资评审中心审定金额为准。</w:t>
            </w:r>
          </w:p>
        </w:tc>
      </w:tr>
      <w:tr w14:paraId="6F50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450" w:type="dxa"/>
            <w:gridSpan w:val="2"/>
            <w:tcBorders>
              <w:top w:val="single" w:color="auto" w:sz="4" w:space="0"/>
              <w:left w:val="single" w:color="auto" w:sz="4" w:space="0"/>
              <w:bottom w:val="single" w:color="auto" w:sz="4" w:space="0"/>
              <w:right w:val="single" w:color="auto" w:sz="4" w:space="0"/>
            </w:tcBorders>
            <w:noWrap w:val="0"/>
            <w:vAlign w:val="center"/>
          </w:tcPr>
          <w:p w14:paraId="3FA9CD16">
            <w:pPr>
              <w:keepNext w:val="0"/>
              <w:keepLines w:val="0"/>
              <w:pageBreakBefore w:val="0"/>
              <w:shd w:val="clear" w:color="auto"/>
              <w:bidi w:val="0"/>
              <w:spacing w:line="400" w:lineRule="exact"/>
              <w:jc w:val="center"/>
              <w:rPr>
                <w:rFonts w:hint="eastAsia" w:ascii="宋体" w:hAnsi="宋体"/>
                <w:color w:val="auto"/>
                <w:szCs w:val="21"/>
                <w:highlight w:val="none"/>
              </w:rPr>
            </w:pPr>
            <w:r>
              <w:rPr>
                <w:rFonts w:hint="eastAsia" w:ascii="宋体" w:hAnsi="宋体"/>
                <w:color w:val="auto"/>
                <w:szCs w:val="21"/>
                <w:highlight w:val="none"/>
              </w:rPr>
              <w:t>其他要求</w:t>
            </w:r>
          </w:p>
        </w:tc>
        <w:tc>
          <w:tcPr>
            <w:tcW w:w="8412" w:type="dxa"/>
            <w:gridSpan w:val="4"/>
            <w:tcBorders>
              <w:top w:val="single" w:color="auto" w:sz="4" w:space="0"/>
              <w:left w:val="single" w:color="auto" w:sz="4" w:space="0"/>
              <w:bottom w:val="single" w:color="auto" w:sz="4" w:space="0"/>
              <w:right w:val="single" w:color="auto" w:sz="4" w:space="0"/>
            </w:tcBorders>
            <w:noWrap w:val="0"/>
            <w:vAlign w:val="center"/>
          </w:tcPr>
          <w:p w14:paraId="5667A5A8">
            <w:pPr>
              <w:keepNext w:val="0"/>
              <w:keepLines w:val="0"/>
              <w:pageBreakBefore w:val="0"/>
              <w:numPr>
                <w:ilvl w:val="0"/>
                <w:numId w:val="0"/>
              </w:numPr>
              <w:shd w:val="clear" w:color="auto"/>
              <w:tabs>
                <w:tab w:val="left" w:pos="180"/>
                <w:tab w:val="left" w:pos="1620"/>
              </w:tabs>
              <w:bidi w:val="0"/>
              <w:spacing w:line="400" w:lineRule="exact"/>
              <w:jc w:val="left"/>
              <w:rPr>
                <w:rFonts w:hint="eastAsia" w:ascii="宋体" w:hAnsi="宋体"/>
                <w:color w:val="auto"/>
                <w:szCs w:val="21"/>
                <w:highlight w:val="none"/>
              </w:rPr>
            </w:pPr>
            <w:r>
              <w:rPr>
                <w:rFonts w:hint="eastAsia" w:ascii="宋体" w:hAnsi="宋体" w:eastAsia="宋体" w:cs="Times New Roman"/>
                <w:color w:val="auto"/>
                <w:sz w:val="21"/>
                <w:szCs w:val="21"/>
                <w:lang w:val="en-US" w:eastAsia="zh-CN" w:bidi="ar-SA"/>
              </w:rPr>
              <w:t>1.</w:t>
            </w:r>
            <w:r>
              <w:rPr>
                <w:rFonts w:hint="eastAsia" w:ascii="宋体" w:hAnsi="宋体"/>
                <w:color w:val="auto"/>
                <w:szCs w:val="21"/>
                <w:highlight w:val="none"/>
              </w:rPr>
              <w:t>自行组织现场踏勘及调研工作，完成相关基础资料收集。</w:t>
            </w:r>
          </w:p>
          <w:p w14:paraId="17E75ED7">
            <w:pPr>
              <w:keepNext w:val="0"/>
              <w:keepLines w:val="0"/>
              <w:pageBreakBefore w:val="0"/>
              <w:numPr>
                <w:ilvl w:val="0"/>
                <w:numId w:val="0"/>
              </w:numPr>
              <w:shd w:val="clear" w:color="auto"/>
              <w:tabs>
                <w:tab w:val="left" w:pos="180"/>
                <w:tab w:val="left" w:pos="1620"/>
              </w:tabs>
              <w:bidi w:val="0"/>
              <w:spacing w:line="400" w:lineRule="exact"/>
              <w:jc w:val="left"/>
              <w:rPr>
                <w:rFonts w:hint="eastAsia" w:ascii="宋体" w:hAnsi="宋体"/>
                <w:color w:val="auto"/>
                <w:szCs w:val="21"/>
                <w:highlight w:val="none"/>
              </w:rPr>
            </w:pPr>
            <w:r>
              <w:rPr>
                <w:rFonts w:hint="eastAsia" w:ascii="宋体" w:hAnsi="宋体" w:eastAsia="宋体" w:cs="Times New Roman"/>
                <w:color w:val="auto"/>
                <w:sz w:val="21"/>
                <w:szCs w:val="21"/>
                <w:lang w:val="en-US" w:eastAsia="zh-CN" w:bidi="ar-SA"/>
              </w:rPr>
              <w:t>2.</w:t>
            </w:r>
            <w:r>
              <w:rPr>
                <w:rFonts w:hint="eastAsia" w:ascii="宋体" w:hAnsi="宋体"/>
                <w:color w:val="auto"/>
                <w:szCs w:val="21"/>
                <w:highlight w:val="none"/>
              </w:rPr>
              <w:t>由成交供应商配合办理审查手续，所涉及费用由成交供应商承担。</w:t>
            </w:r>
          </w:p>
          <w:p w14:paraId="12C47C2B">
            <w:pPr>
              <w:keepNext w:val="0"/>
              <w:keepLines w:val="0"/>
              <w:pageBreakBefore w:val="0"/>
              <w:numPr>
                <w:ilvl w:val="0"/>
                <w:numId w:val="0"/>
              </w:numPr>
              <w:shd w:val="clear" w:color="auto"/>
              <w:tabs>
                <w:tab w:val="left" w:pos="180"/>
                <w:tab w:val="left" w:pos="1620"/>
              </w:tabs>
              <w:bidi w:val="0"/>
              <w:spacing w:line="400" w:lineRule="exact"/>
              <w:jc w:val="left"/>
              <w:rPr>
                <w:rFonts w:hint="eastAsia" w:ascii="宋体" w:hAnsi="宋体"/>
                <w:color w:val="auto"/>
                <w:szCs w:val="21"/>
                <w:highlight w:val="none"/>
              </w:rPr>
            </w:pPr>
            <w:r>
              <w:rPr>
                <w:rFonts w:hint="eastAsia" w:ascii="宋体" w:hAnsi="宋体"/>
                <w:color w:val="auto"/>
                <w:szCs w:val="21"/>
                <w:highlight w:val="none"/>
              </w:rPr>
              <w:t>3.服务周期内，因国家及地方有关政策、行业规范及标准变化引起的修改，修改补充所产生的费用由成交供应商承担。</w:t>
            </w:r>
          </w:p>
        </w:tc>
      </w:tr>
      <w:tr w14:paraId="6ABF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862" w:type="dxa"/>
            <w:gridSpan w:val="6"/>
            <w:tcBorders>
              <w:top w:val="single" w:color="auto" w:sz="4" w:space="0"/>
              <w:left w:val="single" w:color="auto" w:sz="4" w:space="0"/>
              <w:bottom w:val="single" w:color="auto" w:sz="4" w:space="0"/>
              <w:right w:val="single" w:color="auto" w:sz="4" w:space="0"/>
            </w:tcBorders>
            <w:noWrap w:val="0"/>
            <w:vAlign w:val="center"/>
          </w:tcPr>
          <w:p w14:paraId="57AF7068">
            <w:pPr>
              <w:keepNext w:val="0"/>
              <w:keepLines w:val="0"/>
              <w:pageBreakBefore w:val="0"/>
              <w:shd w:val="clear" w:color="auto"/>
              <w:tabs>
                <w:tab w:val="left" w:pos="180"/>
                <w:tab w:val="left" w:pos="1620"/>
              </w:tabs>
              <w:bidi w:val="0"/>
              <w:spacing w:line="400" w:lineRule="exact"/>
              <w:jc w:val="left"/>
              <w:rPr>
                <w:rFonts w:hint="eastAsia" w:ascii="宋体" w:hAnsi="宋体"/>
                <w:color w:val="auto"/>
                <w:highlight w:val="none"/>
              </w:rPr>
            </w:pPr>
            <w:r>
              <w:rPr>
                <w:rFonts w:hint="eastAsia" w:ascii="宋体" w:hAnsi="宋体"/>
                <w:b/>
                <w:bCs/>
                <w:color w:val="auto"/>
                <w:highlight w:val="none"/>
              </w:rPr>
              <w:t>磋商小组根据与供应商磋商情况可能实质性变动的内容：</w:t>
            </w:r>
          </w:p>
          <w:p w14:paraId="4D54F95B">
            <w:pPr>
              <w:keepNext w:val="0"/>
              <w:keepLines w:val="0"/>
              <w:pageBreakBefore w:val="0"/>
              <w:shd w:val="clear" w:color="auto"/>
              <w:tabs>
                <w:tab w:val="left" w:pos="180"/>
                <w:tab w:val="left" w:pos="1620"/>
              </w:tabs>
              <w:bidi w:val="0"/>
              <w:spacing w:line="400" w:lineRule="exact"/>
              <w:jc w:val="left"/>
              <w:rPr>
                <w:rFonts w:hint="eastAsia"/>
                <w:color w:val="auto"/>
                <w:highlight w:val="none"/>
              </w:rPr>
            </w:pPr>
            <w:r>
              <w:rPr>
                <w:rFonts w:hint="eastAsia" w:ascii="宋体" w:hAnsi="宋体"/>
                <w:color w:val="auto"/>
                <w:szCs w:val="21"/>
                <w:highlight w:val="none"/>
              </w:rPr>
              <w:t>未标注“▲”的内容。</w:t>
            </w:r>
          </w:p>
        </w:tc>
      </w:tr>
    </w:tbl>
    <w:p w14:paraId="3A2876CF">
      <w:pPr>
        <w:shd w:val="clear" w:color="auto"/>
        <w:rPr>
          <w:rFonts w:ascii="宋体" w:hAnsi="宋体"/>
          <w:b/>
          <w:color w:val="auto"/>
          <w:sz w:val="32"/>
          <w:szCs w:val="32"/>
          <w:highlight w:val="none"/>
        </w:rPr>
      </w:pPr>
      <w:r>
        <w:rPr>
          <w:rFonts w:ascii="宋体" w:hAnsi="宋体"/>
          <w:b/>
          <w:color w:val="auto"/>
          <w:sz w:val="32"/>
          <w:szCs w:val="32"/>
          <w:highlight w:val="none"/>
        </w:rPr>
        <w:br w:type="page" w:clear="all"/>
      </w:r>
    </w:p>
    <w:p w14:paraId="1F5B73C8">
      <w:pPr>
        <w:shd w:val="clear" w:color="auto"/>
        <w:spacing w:line="400" w:lineRule="exact"/>
        <w:jc w:val="center"/>
        <w:rPr>
          <w:rFonts w:hint="eastAsia" w:ascii="宋体" w:hAnsi="宋体"/>
          <w:b/>
          <w:color w:val="auto"/>
          <w:sz w:val="32"/>
          <w:szCs w:val="32"/>
          <w:highlight w:val="none"/>
        </w:rPr>
      </w:pPr>
    </w:p>
    <w:p w14:paraId="45DE000E">
      <w:pPr>
        <w:shd w:val="clear" w:color="auto"/>
        <w:spacing w:line="400" w:lineRule="exact"/>
        <w:jc w:val="center"/>
        <w:rPr>
          <w:rFonts w:hint="eastAsia" w:ascii="宋体" w:hAnsi="宋体"/>
          <w:b/>
          <w:color w:val="auto"/>
          <w:sz w:val="32"/>
          <w:szCs w:val="32"/>
          <w:highlight w:val="none"/>
        </w:rPr>
      </w:pPr>
    </w:p>
    <w:p w14:paraId="00C59D42">
      <w:pPr>
        <w:shd w:val="clear" w:color="auto"/>
        <w:spacing w:line="400" w:lineRule="exact"/>
        <w:jc w:val="center"/>
        <w:rPr>
          <w:rFonts w:hint="eastAsia" w:ascii="宋体" w:hAnsi="宋体"/>
          <w:b/>
          <w:color w:val="auto"/>
          <w:sz w:val="32"/>
          <w:szCs w:val="32"/>
          <w:highlight w:val="none"/>
        </w:rPr>
      </w:pPr>
    </w:p>
    <w:p w14:paraId="51444A5A">
      <w:pPr>
        <w:shd w:val="clear" w:color="auto"/>
        <w:spacing w:line="400" w:lineRule="exact"/>
        <w:jc w:val="center"/>
        <w:rPr>
          <w:rFonts w:hint="eastAsia" w:ascii="宋体" w:hAnsi="宋体"/>
          <w:b/>
          <w:color w:val="auto"/>
          <w:sz w:val="32"/>
          <w:szCs w:val="32"/>
          <w:highlight w:val="none"/>
        </w:rPr>
      </w:pPr>
    </w:p>
    <w:p w14:paraId="6BDE87E5">
      <w:pPr>
        <w:shd w:val="clear" w:color="auto"/>
        <w:spacing w:line="400" w:lineRule="exact"/>
        <w:jc w:val="center"/>
        <w:rPr>
          <w:rFonts w:hint="eastAsia" w:ascii="宋体" w:hAnsi="宋体"/>
          <w:b/>
          <w:color w:val="auto"/>
          <w:sz w:val="32"/>
          <w:szCs w:val="32"/>
          <w:highlight w:val="none"/>
        </w:rPr>
      </w:pPr>
    </w:p>
    <w:p w14:paraId="6308B613">
      <w:pPr>
        <w:shd w:val="clear" w:color="auto"/>
        <w:spacing w:line="400" w:lineRule="exact"/>
        <w:jc w:val="center"/>
        <w:rPr>
          <w:rFonts w:hint="eastAsia" w:ascii="宋体" w:hAnsi="宋体"/>
          <w:b/>
          <w:color w:val="auto"/>
          <w:sz w:val="32"/>
          <w:szCs w:val="32"/>
          <w:highlight w:val="none"/>
        </w:rPr>
      </w:pPr>
    </w:p>
    <w:p w14:paraId="7C741564">
      <w:pPr>
        <w:shd w:val="clear" w:color="auto"/>
        <w:spacing w:line="400" w:lineRule="exact"/>
        <w:jc w:val="center"/>
        <w:rPr>
          <w:rFonts w:hint="eastAsia" w:ascii="宋体" w:hAnsi="宋体"/>
          <w:b/>
          <w:color w:val="auto"/>
          <w:sz w:val="32"/>
          <w:szCs w:val="32"/>
          <w:highlight w:val="none"/>
        </w:rPr>
      </w:pPr>
    </w:p>
    <w:p w14:paraId="69D9BC63">
      <w:pPr>
        <w:shd w:val="clear" w:color="auto"/>
        <w:spacing w:line="400" w:lineRule="exact"/>
        <w:jc w:val="center"/>
        <w:rPr>
          <w:rFonts w:hint="eastAsia" w:ascii="宋体" w:hAnsi="宋体"/>
          <w:b/>
          <w:color w:val="auto"/>
          <w:sz w:val="32"/>
          <w:szCs w:val="32"/>
          <w:highlight w:val="none"/>
        </w:rPr>
      </w:pPr>
    </w:p>
    <w:p w14:paraId="128BAD2B">
      <w:pPr>
        <w:shd w:val="clear" w:color="auto"/>
        <w:spacing w:line="400" w:lineRule="exact"/>
        <w:jc w:val="center"/>
        <w:rPr>
          <w:rFonts w:hint="eastAsia" w:ascii="宋体" w:hAnsi="宋体"/>
          <w:b/>
          <w:color w:val="auto"/>
          <w:sz w:val="32"/>
          <w:szCs w:val="32"/>
          <w:highlight w:val="none"/>
        </w:rPr>
      </w:pPr>
    </w:p>
    <w:p w14:paraId="489B9007">
      <w:pPr>
        <w:shd w:val="clear" w:color="auto"/>
        <w:spacing w:line="400" w:lineRule="exact"/>
        <w:jc w:val="center"/>
        <w:rPr>
          <w:rFonts w:hint="eastAsia" w:ascii="宋体" w:hAnsi="宋体"/>
          <w:b/>
          <w:color w:val="auto"/>
          <w:sz w:val="32"/>
          <w:szCs w:val="32"/>
          <w:highlight w:val="none"/>
        </w:rPr>
      </w:pPr>
    </w:p>
    <w:p w14:paraId="4DAB5919">
      <w:pPr>
        <w:shd w:val="clear" w:color="auto"/>
        <w:spacing w:line="400" w:lineRule="exact"/>
        <w:jc w:val="center"/>
        <w:rPr>
          <w:rFonts w:hint="eastAsia" w:ascii="宋体" w:hAnsi="宋体"/>
          <w:b/>
          <w:color w:val="auto"/>
          <w:sz w:val="32"/>
          <w:szCs w:val="32"/>
          <w:highlight w:val="none"/>
        </w:rPr>
      </w:pPr>
    </w:p>
    <w:p w14:paraId="5D1FD1CB">
      <w:pPr>
        <w:shd w:val="clear" w:color="auto"/>
        <w:spacing w:line="400" w:lineRule="exact"/>
        <w:jc w:val="center"/>
        <w:rPr>
          <w:rFonts w:hint="eastAsia" w:ascii="宋体" w:hAnsi="宋体"/>
          <w:b/>
          <w:color w:val="auto"/>
          <w:sz w:val="32"/>
          <w:szCs w:val="32"/>
          <w:highlight w:val="none"/>
        </w:rPr>
      </w:pPr>
    </w:p>
    <w:p w14:paraId="43425C77">
      <w:pPr>
        <w:shd w:val="clear" w:color="auto"/>
        <w:spacing w:line="400" w:lineRule="exact"/>
        <w:jc w:val="center"/>
        <w:rPr>
          <w:rFonts w:hint="eastAsia" w:ascii="宋体" w:hAnsi="宋体"/>
          <w:b/>
          <w:color w:val="auto"/>
          <w:sz w:val="32"/>
          <w:szCs w:val="32"/>
          <w:highlight w:val="none"/>
        </w:rPr>
      </w:pPr>
    </w:p>
    <w:p w14:paraId="6670BA20">
      <w:pPr>
        <w:pStyle w:val="45"/>
        <w:shd w:val="clear" w:color="auto"/>
        <w:rPr>
          <w:rFonts w:hint="eastAsia"/>
          <w:color w:val="auto"/>
          <w:sz w:val="44"/>
          <w:szCs w:val="44"/>
          <w:highlight w:val="none"/>
        </w:rPr>
      </w:pPr>
      <w:bookmarkStart w:id="38" w:name="_Toc2995"/>
      <w:bookmarkStart w:id="39" w:name="_Toc476258665"/>
      <w:r>
        <w:rPr>
          <w:rFonts w:hint="eastAsia"/>
          <w:color w:val="auto"/>
          <w:sz w:val="44"/>
          <w:szCs w:val="44"/>
          <w:highlight w:val="none"/>
        </w:rPr>
        <w:t>第四章  竞争性磋商响应文件格式</w:t>
      </w:r>
      <w:bookmarkEnd w:id="38"/>
      <w:bookmarkEnd w:id="39"/>
    </w:p>
    <w:p w14:paraId="1FC6DF5E">
      <w:pPr>
        <w:shd w:val="clear" w:color="auto"/>
        <w:spacing w:line="500" w:lineRule="exact"/>
        <w:jc w:val="center"/>
        <w:rPr>
          <w:rFonts w:hint="eastAsia" w:ascii="仿宋_GB2312" w:hAnsi="宋体" w:eastAsia="仿宋_GB2312"/>
          <w:b/>
          <w:color w:val="auto"/>
          <w:sz w:val="32"/>
          <w:szCs w:val="32"/>
          <w:highlight w:val="none"/>
        </w:rPr>
      </w:pPr>
    </w:p>
    <w:p w14:paraId="0FAF81FF">
      <w:pPr>
        <w:pStyle w:val="4"/>
        <w:shd w:val="clear" w:color="auto"/>
        <w:spacing w:before="260" w:after="260" w:line="416" w:lineRule="auto"/>
        <w:jc w:val="center"/>
        <w:rPr>
          <w:rFonts w:hint="eastAsia" w:ascii="宋体" w:hAnsi="宋体" w:eastAsia="宋体" w:cs="宋体"/>
          <w:bCs w:val="0"/>
          <w:color w:val="auto"/>
          <w:sz w:val="32"/>
          <w:highlight w:val="none"/>
        </w:rPr>
      </w:pPr>
      <w:r>
        <w:rPr>
          <w:rFonts w:ascii="仿宋_GB2312" w:hAnsi="宋体" w:eastAsia="仿宋_GB2312"/>
          <w:b w:val="0"/>
          <w:color w:val="auto"/>
          <w:sz w:val="32"/>
          <w:highlight w:val="none"/>
        </w:rPr>
        <w:br w:type="page" w:clear="all"/>
      </w:r>
      <w:r>
        <w:rPr>
          <w:rFonts w:hint="eastAsia" w:ascii="宋体" w:hAnsi="宋体" w:eastAsia="宋体" w:cs="宋体"/>
          <w:bCs w:val="0"/>
          <w:color w:val="auto"/>
          <w:sz w:val="32"/>
          <w:highlight w:val="none"/>
        </w:rPr>
        <w:t>竞争性磋商响应文件封面格式</w:t>
      </w:r>
    </w:p>
    <w:p w14:paraId="2B8C4588">
      <w:pPr>
        <w:shd w:val="clear" w:color="auto"/>
        <w:rPr>
          <w:rFonts w:hint="eastAsia"/>
          <w:color w:val="auto"/>
          <w:highlight w:val="none"/>
        </w:rPr>
      </w:pPr>
    </w:p>
    <w:p w14:paraId="3B50C752">
      <w:pPr>
        <w:shd w:val="clear" w:color="auto"/>
        <w:spacing w:before="158"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sz w:val="24"/>
          <w:szCs w:val="32"/>
          <w:highlight w:val="none"/>
        </w:rPr>
        <w:t>全流程电子文件</w:t>
      </w:r>
    </w:p>
    <w:p w14:paraId="624766B5">
      <w:pPr>
        <w:shd w:val="clear" w:color="auto"/>
        <w:spacing w:before="158" w:after="50"/>
        <w:rPr>
          <w:rFonts w:hint="eastAsia" w:ascii="宋体" w:hAnsi="宋体"/>
          <w:color w:val="auto"/>
          <w:sz w:val="24"/>
          <w:szCs w:val="20"/>
          <w:highlight w:val="none"/>
        </w:rPr>
      </w:pPr>
    </w:p>
    <w:p w14:paraId="56D68487">
      <w:pPr>
        <w:shd w:val="clear" w:color="auto"/>
        <w:spacing w:before="158" w:after="50"/>
        <w:rPr>
          <w:rFonts w:hint="eastAsia" w:ascii="宋体" w:hAnsi="宋体"/>
          <w:color w:val="auto"/>
          <w:sz w:val="24"/>
          <w:szCs w:val="20"/>
          <w:highlight w:val="none"/>
        </w:rPr>
      </w:pPr>
    </w:p>
    <w:p w14:paraId="13F39A67">
      <w:pPr>
        <w:shd w:val="clear" w:color="auto"/>
        <w:spacing w:before="158"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资格证明文件\商务技术文件\报价文件</w:t>
      </w:r>
    </w:p>
    <w:p w14:paraId="1E672BE6">
      <w:pPr>
        <w:shd w:val="clear" w:color="auto"/>
        <w:spacing w:before="158" w:after="50"/>
        <w:rPr>
          <w:rFonts w:hint="eastAsia" w:ascii="宋体" w:hAnsi="宋体"/>
          <w:bCs/>
          <w:color w:val="auto"/>
          <w:sz w:val="24"/>
          <w:szCs w:val="20"/>
          <w:highlight w:val="none"/>
        </w:rPr>
      </w:pPr>
    </w:p>
    <w:p w14:paraId="0EFF7410">
      <w:pPr>
        <w:shd w:val="clear" w:color="auto"/>
        <w:spacing w:before="158" w:after="50"/>
        <w:rPr>
          <w:rFonts w:hint="eastAsia" w:ascii="宋体" w:hAnsi="宋体"/>
          <w:bCs/>
          <w:color w:val="auto"/>
          <w:sz w:val="24"/>
          <w:szCs w:val="20"/>
          <w:highlight w:val="none"/>
        </w:rPr>
      </w:pPr>
    </w:p>
    <w:p w14:paraId="226E69EA">
      <w:pPr>
        <w:shd w:val="clear" w:color="auto"/>
        <w:spacing w:before="158" w:after="50"/>
        <w:rPr>
          <w:rFonts w:hint="eastAsia" w:ascii="宋体" w:hAnsi="宋体"/>
          <w:bCs/>
          <w:color w:val="auto"/>
          <w:sz w:val="24"/>
          <w:szCs w:val="20"/>
          <w:highlight w:val="none"/>
        </w:rPr>
      </w:pPr>
    </w:p>
    <w:p w14:paraId="311824EA">
      <w:pPr>
        <w:shd w:val="clear" w:color="auto"/>
        <w:spacing w:before="158" w:after="50"/>
        <w:rPr>
          <w:rFonts w:hint="eastAsia" w:ascii="宋体" w:hAnsi="宋体"/>
          <w:bCs/>
          <w:color w:val="auto"/>
          <w:sz w:val="24"/>
          <w:szCs w:val="20"/>
          <w:highlight w:val="none"/>
        </w:rPr>
      </w:pPr>
    </w:p>
    <w:p w14:paraId="275DA4F0">
      <w:pPr>
        <w:shd w:val="clear" w:color="auto"/>
        <w:spacing w:before="158" w:after="50"/>
        <w:rPr>
          <w:rFonts w:hint="eastAsia" w:ascii="宋体" w:hAnsi="宋体"/>
          <w:bCs/>
          <w:color w:val="auto"/>
          <w:sz w:val="24"/>
          <w:szCs w:val="20"/>
          <w:highlight w:val="none"/>
        </w:rPr>
      </w:pPr>
    </w:p>
    <w:p w14:paraId="28E65BF1">
      <w:pPr>
        <w:shd w:val="clear" w:color="auto"/>
        <w:spacing w:before="158"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64D12966">
      <w:pPr>
        <w:shd w:val="clear" w:color="auto"/>
        <w:spacing w:before="158" w:after="50"/>
        <w:ind w:firstLine="720"/>
        <w:rPr>
          <w:rFonts w:hint="eastAsia" w:ascii="宋体" w:hAnsi="宋体" w:cs="仿宋_GB2312"/>
          <w:bCs/>
          <w:color w:val="auto"/>
          <w:sz w:val="32"/>
          <w:szCs w:val="32"/>
          <w:highlight w:val="none"/>
        </w:rPr>
      </w:pPr>
    </w:p>
    <w:p w14:paraId="60A8E793">
      <w:pPr>
        <w:shd w:val="clear" w:color="auto"/>
        <w:spacing w:before="158" w:after="50"/>
        <w:ind w:firstLine="72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7F72879E">
      <w:pPr>
        <w:shd w:val="clear" w:color="auto"/>
        <w:spacing w:before="158" w:after="50"/>
        <w:ind w:firstLine="72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4EF3EFAF">
      <w:pPr>
        <w:shd w:val="clear" w:color="auto"/>
        <w:spacing w:before="158" w:after="50"/>
        <w:ind w:firstLine="72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3E90D632">
      <w:pPr>
        <w:shd w:val="clear" w:color="auto"/>
        <w:spacing w:before="158" w:after="50"/>
        <w:ind w:firstLine="720"/>
        <w:rPr>
          <w:rFonts w:hint="eastAsia" w:ascii="宋体" w:hAnsi="宋体" w:cs="仿宋_GB2312"/>
          <w:bCs/>
          <w:color w:val="auto"/>
          <w:sz w:val="32"/>
          <w:szCs w:val="32"/>
          <w:highlight w:val="none"/>
        </w:rPr>
      </w:pPr>
    </w:p>
    <w:p w14:paraId="6FA87C27">
      <w:pPr>
        <w:shd w:val="clear" w:color="auto"/>
        <w:spacing w:before="50" w:after="50"/>
        <w:ind w:firstLine="72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57A69EC5">
      <w:pPr>
        <w:shd w:val="clear" w:color="auto"/>
        <w:spacing w:before="50" w:after="50"/>
        <w:ind w:firstLine="720"/>
        <w:rPr>
          <w:rFonts w:hint="eastAsia" w:ascii="宋体" w:hAnsi="宋体" w:cs="仿宋_GB2312"/>
          <w:bCs/>
          <w:color w:val="auto"/>
          <w:sz w:val="32"/>
          <w:szCs w:val="32"/>
          <w:highlight w:val="none"/>
        </w:rPr>
      </w:pPr>
    </w:p>
    <w:p w14:paraId="51130539">
      <w:pPr>
        <w:shd w:val="clear" w:color="auto"/>
        <w:spacing w:before="50" w:after="50"/>
        <w:ind w:firstLine="720"/>
        <w:rPr>
          <w:rFonts w:hint="eastAsia" w:ascii="宋体" w:hAnsi="宋体" w:cs="仿宋_GB2312"/>
          <w:bCs/>
          <w:color w:val="auto"/>
          <w:sz w:val="32"/>
          <w:szCs w:val="32"/>
          <w:highlight w:val="none"/>
        </w:rPr>
      </w:pPr>
    </w:p>
    <w:p w14:paraId="63951DF8">
      <w:pPr>
        <w:shd w:val="clear" w:color="auto"/>
        <w:spacing w:before="50" w:after="50"/>
        <w:ind w:firstLine="720"/>
        <w:rPr>
          <w:rFonts w:hint="eastAsia" w:ascii="宋体" w:hAnsi="宋体" w:cs="仿宋_GB2312"/>
          <w:bCs/>
          <w:color w:val="auto"/>
          <w:sz w:val="32"/>
          <w:szCs w:val="32"/>
          <w:highlight w:val="none"/>
        </w:rPr>
      </w:pPr>
    </w:p>
    <w:p w14:paraId="48F7A517">
      <w:pPr>
        <w:shd w:val="clear" w:color="auto"/>
        <w:spacing w:before="50" w:after="50"/>
        <w:ind w:firstLine="1280"/>
        <w:rPr>
          <w:rFonts w:hint="eastAsia" w:ascii="宋体" w:hAnsi="宋体" w:cs="仿宋_GB2312"/>
          <w:bCs/>
          <w:color w:val="auto"/>
          <w:sz w:val="32"/>
          <w:szCs w:val="32"/>
          <w:highlight w:val="none"/>
        </w:rPr>
      </w:pPr>
    </w:p>
    <w:p w14:paraId="606BCED8">
      <w:pPr>
        <w:shd w:val="clear" w:color="auto"/>
        <w:spacing w:before="158"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0CD90EA6">
      <w:pPr>
        <w:shd w:val="clear" w:color="auto"/>
        <w:spacing w:line="360" w:lineRule="auto"/>
        <w:ind w:firstLine="6120"/>
        <w:rPr>
          <w:rFonts w:hint="eastAsia" w:ascii="宋体" w:hAnsi="宋体" w:cs="宋体"/>
          <w:color w:val="auto"/>
          <w:sz w:val="24"/>
          <w:highlight w:val="none"/>
          <w:lang w:val="zh-CN"/>
        </w:rPr>
      </w:pPr>
      <w:r>
        <w:rPr>
          <w:rFonts w:ascii="宋体" w:hAnsi="宋体"/>
          <w:color w:val="auto"/>
          <w:sz w:val="24"/>
          <w:highlight w:val="none"/>
        </w:rPr>
        <w:br w:type="page" w:clear="all"/>
      </w:r>
    </w:p>
    <w:p w14:paraId="2FB9A81B">
      <w:pPr>
        <w:shd w:val="clear" w:color="auto"/>
        <w:spacing w:before="158" w:after="158" w:line="52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法定代表人证明书（格式）</w:t>
      </w:r>
    </w:p>
    <w:p w14:paraId="0C9C8BE0">
      <w:pPr>
        <w:shd w:val="clear" w:color="auto"/>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p>
    <w:p w14:paraId="18739DF2">
      <w:pPr>
        <w:shd w:val="clear" w:color="auto"/>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地    址：</w:t>
      </w:r>
      <w:r>
        <w:rPr>
          <w:rFonts w:hint="eastAsia" w:ascii="宋体" w:hAnsi="宋体" w:cs="仿宋_GB2312"/>
          <w:color w:val="auto"/>
          <w:sz w:val="24"/>
          <w:highlight w:val="none"/>
          <w:u w:val="single"/>
        </w:rPr>
        <w:t xml:space="preserve">                                           </w:t>
      </w:r>
    </w:p>
    <w:p w14:paraId="7119300E">
      <w:pPr>
        <w:shd w:val="clear" w:color="auto"/>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姓    名：</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性     别：</w:t>
      </w:r>
      <w:r>
        <w:rPr>
          <w:rFonts w:hint="eastAsia" w:ascii="宋体" w:hAnsi="宋体" w:cs="仿宋_GB2312"/>
          <w:color w:val="auto"/>
          <w:sz w:val="24"/>
          <w:highlight w:val="none"/>
          <w:u w:val="single"/>
        </w:rPr>
        <w:t xml:space="preserve">                </w:t>
      </w:r>
    </w:p>
    <w:p w14:paraId="089588E9">
      <w:pPr>
        <w:shd w:val="clear" w:color="auto"/>
        <w:spacing w:line="360" w:lineRule="auto"/>
        <w:ind w:firstLine="480"/>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年    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职     务：</w:t>
      </w:r>
      <w:r>
        <w:rPr>
          <w:rFonts w:hint="eastAsia" w:ascii="宋体" w:hAnsi="宋体" w:cs="仿宋_GB2312"/>
          <w:color w:val="auto"/>
          <w:sz w:val="24"/>
          <w:highlight w:val="none"/>
          <w:u w:val="single"/>
        </w:rPr>
        <w:t xml:space="preserve">                </w:t>
      </w:r>
    </w:p>
    <w:p w14:paraId="3EAB478D">
      <w:pPr>
        <w:shd w:val="clear" w:color="auto"/>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身份证号码：</w:t>
      </w:r>
      <w:r>
        <w:rPr>
          <w:rFonts w:hint="eastAsia" w:ascii="宋体" w:hAnsi="宋体" w:cs="仿宋_GB2312"/>
          <w:color w:val="auto"/>
          <w:sz w:val="24"/>
          <w:highlight w:val="none"/>
          <w:u w:val="single"/>
        </w:rPr>
        <w:t xml:space="preserve">                                         </w:t>
      </w:r>
    </w:p>
    <w:p w14:paraId="583728F0">
      <w:pPr>
        <w:shd w:val="clear" w:color="auto"/>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（供应商名称）   </w:t>
      </w:r>
      <w:r>
        <w:rPr>
          <w:rFonts w:hint="eastAsia" w:ascii="宋体" w:hAnsi="宋体" w:cs="仿宋_GB2312"/>
          <w:color w:val="auto"/>
          <w:sz w:val="24"/>
          <w:highlight w:val="none"/>
        </w:rPr>
        <w:t>的法定代表人。</w:t>
      </w:r>
    </w:p>
    <w:p w14:paraId="55218CC2">
      <w:pPr>
        <w:shd w:val="clear" w:color="auto"/>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特此证明。</w:t>
      </w:r>
    </w:p>
    <w:p w14:paraId="08B8EAED">
      <w:pPr>
        <w:shd w:val="clear" w:color="auto"/>
        <w:spacing w:line="360" w:lineRule="auto"/>
        <w:ind w:left="540"/>
        <w:contextualSpacing/>
        <w:rPr>
          <w:rFonts w:hint="eastAsia" w:ascii="宋体" w:hAnsi="宋体" w:cs="仿宋_GB2312"/>
          <w:color w:val="auto"/>
          <w:sz w:val="24"/>
          <w:highlight w:val="none"/>
        </w:rPr>
      </w:pPr>
    </w:p>
    <w:p w14:paraId="340697BC">
      <w:pPr>
        <w:shd w:val="clear" w:color="auto"/>
        <w:spacing w:line="360" w:lineRule="auto"/>
        <w:ind w:left="540"/>
        <w:contextualSpacing/>
        <w:rPr>
          <w:rFonts w:hint="eastAsia" w:ascii="宋体" w:hAnsi="宋体" w:cs="仿宋_GB2312"/>
          <w:color w:val="auto"/>
          <w:sz w:val="24"/>
          <w:highlight w:val="none"/>
        </w:rPr>
      </w:pPr>
    </w:p>
    <w:p w14:paraId="72693974">
      <w:pPr>
        <w:shd w:val="clear" w:color="auto"/>
        <w:spacing w:line="360" w:lineRule="auto"/>
        <w:ind w:left="540"/>
        <w:contextualSpacing/>
        <w:rPr>
          <w:rFonts w:hint="eastAsia" w:ascii="宋体" w:hAnsi="宋体" w:cs="仿宋_GB2312"/>
          <w:color w:val="auto"/>
          <w:sz w:val="24"/>
          <w:highlight w:val="none"/>
        </w:rPr>
      </w:pPr>
    </w:p>
    <w:p w14:paraId="0CC94FFB">
      <w:pPr>
        <w:shd w:val="clear" w:color="auto"/>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附：法定代表人有效身份证正反面复印件</w:t>
      </w:r>
    </w:p>
    <w:p w14:paraId="3DDC1445">
      <w:pPr>
        <w:shd w:val="clear" w:color="auto"/>
        <w:spacing w:line="360" w:lineRule="auto"/>
        <w:ind w:left="540"/>
        <w:contextualSpacing/>
        <w:rPr>
          <w:rFonts w:hint="eastAsia" w:ascii="宋体" w:hAnsi="宋体" w:cs="仿宋_GB2312"/>
          <w:color w:val="auto"/>
          <w:sz w:val="24"/>
          <w:highlight w:val="none"/>
        </w:rPr>
      </w:pPr>
    </w:p>
    <w:p w14:paraId="6549BE80">
      <w:pPr>
        <w:shd w:val="clear" w:color="auto"/>
        <w:spacing w:line="360" w:lineRule="auto"/>
        <w:ind w:left="4335" w:hanging="240"/>
        <w:rPr>
          <w:rFonts w:hint="eastAsia" w:ascii="宋体" w:hAnsi="宋体" w:cs="宋体"/>
          <w:color w:val="auto"/>
          <w:sz w:val="24"/>
          <w:highlight w:val="none"/>
        </w:rPr>
      </w:pPr>
      <w:r>
        <w:rPr>
          <w:rFonts w:hint="eastAsia" w:ascii="宋体" w:hAnsi="宋体" w:cs="宋体"/>
          <w:color w:val="auto"/>
          <w:sz w:val="24"/>
          <w:highlight w:val="none"/>
        </w:rPr>
        <w:t>供应商名称（电子签章）：</w:t>
      </w:r>
    </w:p>
    <w:p w14:paraId="0E464664">
      <w:pPr>
        <w:shd w:val="clear" w:color="auto"/>
        <w:spacing w:line="360" w:lineRule="auto"/>
        <w:contextualSpacing/>
        <w:jc w:val="center"/>
        <w:rPr>
          <w:rFonts w:hint="eastAsia" w:ascii="宋体" w:hAnsi="宋体" w:cs="宋体"/>
          <w:b/>
          <w:color w:val="auto"/>
          <w:sz w:val="24"/>
          <w:highlight w:val="none"/>
        </w:rPr>
      </w:pPr>
      <w:r>
        <w:rPr>
          <w:rFonts w:hint="eastAsia" w:ascii="宋体" w:hAnsi="宋体" w:cs="宋体"/>
          <w:color w:val="auto"/>
          <w:sz w:val="24"/>
          <w:highlight w:val="none"/>
          <w:lang w:val="zh-CN"/>
        </w:rPr>
        <w:t xml:space="preserve">                                                   日期：  年  月   日</w:t>
      </w:r>
    </w:p>
    <w:p w14:paraId="3ED67041">
      <w:pPr>
        <w:shd w:val="clear" w:color="auto"/>
        <w:spacing w:line="360" w:lineRule="auto"/>
        <w:contextualSpacing/>
        <w:jc w:val="left"/>
        <w:rPr>
          <w:rFonts w:hint="eastAsia" w:ascii="宋体" w:hAnsi="宋体" w:cs="仿宋_GB2312"/>
          <w:color w:val="auto"/>
          <w:sz w:val="24"/>
          <w:highlight w:val="none"/>
        </w:rPr>
      </w:pPr>
    </w:p>
    <w:p w14:paraId="5A3519F3">
      <w:pPr>
        <w:shd w:val="clear" w:color="auto"/>
        <w:spacing w:line="360" w:lineRule="auto"/>
        <w:contextualSpacing/>
        <w:jc w:val="left"/>
        <w:rPr>
          <w:rFonts w:ascii="宋体" w:hAnsi="宋体" w:cs="仿宋_GB2312"/>
          <w:color w:val="auto"/>
          <w:sz w:val="24"/>
          <w:highlight w:val="none"/>
        </w:rPr>
      </w:pPr>
      <w:r>
        <w:rPr>
          <w:rFonts w:hint="eastAsia" w:ascii="宋体" w:hAnsi="宋体" w:cs="仿宋_GB2312"/>
          <w:color w:val="auto"/>
          <w:sz w:val="24"/>
          <w:highlight w:val="none"/>
        </w:rPr>
        <w:t>注：1</w:t>
      </w:r>
      <w:r>
        <w:rPr>
          <w:rFonts w:ascii="宋体" w:hAnsi="宋体" w:cs="仿宋_GB2312"/>
          <w:color w:val="auto"/>
          <w:sz w:val="24"/>
          <w:highlight w:val="none"/>
        </w:rPr>
        <w:t>.</w:t>
      </w:r>
      <w:r>
        <w:rPr>
          <w:rFonts w:hint="eastAsia" w:ascii="宋体" w:hAnsi="宋体" w:cs="仿宋_GB2312"/>
          <w:color w:val="auto"/>
          <w:sz w:val="24"/>
          <w:highlight w:val="none"/>
        </w:rPr>
        <w:t>自然人竞标的无需提供，联合体竞标的只需牵头人出具。</w:t>
      </w:r>
    </w:p>
    <w:p w14:paraId="64E177B9">
      <w:pPr>
        <w:shd w:val="clear" w:color="auto"/>
        <w:spacing w:line="360" w:lineRule="auto"/>
        <w:ind w:firstLine="48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2</w:t>
      </w:r>
      <w:r>
        <w:rPr>
          <w:rFonts w:ascii="宋体" w:hAnsi="宋体" w:cs="仿宋_GB2312"/>
          <w:color w:val="auto"/>
          <w:sz w:val="24"/>
          <w:highlight w:val="none"/>
        </w:rPr>
        <w:t>.</w:t>
      </w:r>
      <w:r>
        <w:rPr>
          <w:rFonts w:hint="eastAsia" w:ascii="宋体" w:hAnsi="宋体" w:cs="仿宋_GB2312"/>
          <w:color w:val="auto"/>
          <w:sz w:val="24"/>
          <w:highlight w:val="none"/>
        </w:rPr>
        <w:t>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5876D7DA">
      <w:pPr>
        <w:pStyle w:val="18"/>
        <w:shd w:val="clear" w:color="auto"/>
        <w:rPr>
          <w:rFonts w:hint="eastAsia"/>
          <w:color w:val="auto"/>
          <w:highlight w:val="none"/>
        </w:rPr>
      </w:pPr>
    </w:p>
    <w:p w14:paraId="18C692E7">
      <w:pPr>
        <w:pStyle w:val="18"/>
        <w:shd w:val="clear" w:color="auto"/>
        <w:rPr>
          <w:rFonts w:hint="eastAsia"/>
          <w:color w:val="auto"/>
          <w:highlight w:val="none"/>
        </w:rPr>
      </w:pPr>
      <w:r>
        <w:rPr>
          <w:rFonts w:hint="eastAsia"/>
          <w:color w:val="auto"/>
          <w:highlight w:val="none"/>
        </w:rPr>
        <w:t>附：</w:t>
      </w:r>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14:paraId="3CE5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0" w:hRule="atLeast"/>
        </w:trPr>
        <w:tc>
          <w:tcPr>
            <w:tcW w:w="5000" w:type="pct"/>
            <w:noWrap w:val="0"/>
            <w:vAlign w:val="top"/>
          </w:tcPr>
          <w:p w14:paraId="72F86F22">
            <w:pPr>
              <w:shd w:val="clear" w:color="auto"/>
              <w:spacing w:line="360" w:lineRule="auto"/>
              <w:rPr>
                <w:rFonts w:ascii="宋体" w:hAnsi="Times New Roman"/>
                <w:b/>
                <w:color w:val="auto"/>
                <w:sz w:val="24"/>
                <w:highlight w:val="none"/>
              </w:rPr>
            </w:pPr>
          </w:p>
          <w:p w14:paraId="30C2C43D">
            <w:pPr>
              <w:shd w:val="clear" w:color="auto"/>
              <w:spacing w:line="360" w:lineRule="auto"/>
              <w:rPr>
                <w:rFonts w:ascii="宋体" w:hAnsi="Times New Roman"/>
                <w:b/>
                <w:color w:val="auto"/>
                <w:sz w:val="24"/>
                <w:highlight w:val="none"/>
              </w:rPr>
            </w:pPr>
            <w:r>
              <w:rPr>
                <w:rFonts w:hint="eastAsia" w:ascii="宋体" w:hAnsi="Times New Roman"/>
                <w:b/>
                <w:color w:val="auto"/>
                <w:sz w:val="24"/>
                <w:highlight w:val="none"/>
              </w:rPr>
              <w:t>法定代</w:t>
            </w:r>
            <w:r>
              <w:rPr>
                <w:rFonts w:hint="eastAsia" w:ascii="宋体" w:hAnsi="Times New Roman"/>
                <w:b/>
                <w:color w:val="auto"/>
                <w:sz w:val="24"/>
                <w:highlight w:val="none"/>
                <w:lang w:eastAsia="zh-CN"/>
              </w:rPr>
              <w:t>表人</w:t>
            </w:r>
            <w:r>
              <w:rPr>
                <w:rFonts w:hint="eastAsia" w:ascii="宋体" w:hAnsi="Times New Roman"/>
                <w:b/>
                <w:color w:val="auto"/>
                <w:sz w:val="24"/>
                <w:highlight w:val="none"/>
              </w:rPr>
              <w:t>身份证复印件</w:t>
            </w:r>
            <w:r>
              <w:rPr>
                <w:rFonts w:hint="eastAsia" w:ascii="宋体" w:hAnsi="Times New Roman"/>
                <w:b/>
                <w:color w:val="auto"/>
                <w:sz w:val="24"/>
                <w:highlight w:val="none"/>
                <w:lang w:eastAsia="zh-CN"/>
              </w:rPr>
              <w:t>粘贴</w:t>
            </w:r>
            <w:r>
              <w:rPr>
                <w:rFonts w:hint="eastAsia" w:ascii="宋体" w:hAnsi="Times New Roman"/>
                <w:b/>
                <w:color w:val="auto"/>
                <w:sz w:val="24"/>
                <w:highlight w:val="none"/>
              </w:rPr>
              <w:t>处（正、反面）</w:t>
            </w:r>
          </w:p>
        </w:tc>
      </w:tr>
    </w:tbl>
    <w:p w14:paraId="553DA17B">
      <w:pPr>
        <w:shd w:val="clear" w:color="auto"/>
        <w:spacing w:line="360" w:lineRule="auto"/>
        <w:contextualSpacing/>
        <w:jc w:val="center"/>
        <w:rPr>
          <w:rFonts w:hint="eastAsia" w:ascii="宋体" w:hAnsi="宋体" w:cs="宋体"/>
          <w:b/>
          <w:bCs/>
          <w:color w:val="auto"/>
          <w:sz w:val="32"/>
          <w:szCs w:val="32"/>
          <w:highlight w:val="none"/>
        </w:rPr>
      </w:pPr>
      <w:r>
        <w:rPr>
          <w:rFonts w:hint="eastAsia" w:ascii="微软雅黑" w:hAnsi="微软雅黑" w:eastAsia="微软雅黑" w:cs="微软雅黑"/>
          <w:color w:val="auto"/>
          <w:sz w:val="44"/>
          <w:szCs w:val="44"/>
          <w:highlight w:val="none"/>
        </w:rPr>
        <w:br w:type="page" w:clear="all"/>
      </w:r>
      <w:r>
        <w:rPr>
          <w:rFonts w:hint="eastAsia" w:ascii="宋体" w:hAnsi="宋体" w:cs="宋体"/>
          <w:b/>
          <w:bCs/>
          <w:color w:val="auto"/>
          <w:sz w:val="32"/>
          <w:szCs w:val="32"/>
          <w:highlight w:val="none"/>
        </w:rPr>
        <w:t>授权委托书</w:t>
      </w:r>
    </w:p>
    <w:p w14:paraId="1B078431">
      <w:pPr>
        <w:shd w:val="clear" w:color="auto"/>
        <w:spacing w:line="520" w:lineRule="exact"/>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（如有委托时）</w:t>
      </w:r>
    </w:p>
    <w:p w14:paraId="1F21B32D">
      <w:pPr>
        <w:shd w:val="clear" w:color="auto"/>
        <w:spacing w:line="520" w:lineRule="exact"/>
        <w:rPr>
          <w:rFonts w:hint="eastAsia" w:ascii="仿宋_GB2312" w:hAnsi="仿宋_GB2312" w:eastAsia="仿宋_GB2312" w:cs="仿宋_GB2312"/>
          <w:color w:val="auto"/>
          <w:sz w:val="32"/>
          <w:szCs w:val="32"/>
          <w:highlight w:val="none"/>
        </w:rPr>
      </w:pPr>
    </w:p>
    <w:p w14:paraId="3B808C32">
      <w:pPr>
        <w:shd w:val="clear" w:color="auto"/>
        <w:spacing w:line="360" w:lineRule="auto"/>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5A61EC61">
      <w:pPr>
        <w:shd w:val="clear" w:color="auto"/>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（供应商名称）  </w:t>
      </w:r>
      <w:r>
        <w:rPr>
          <w:rFonts w:hint="eastAsia" w:ascii="宋体" w:hAnsi="宋体" w:cs="宋体"/>
          <w:color w:val="auto"/>
          <w:sz w:val="24"/>
          <w:highlight w:val="none"/>
        </w:rPr>
        <w:t>的（</w:t>
      </w:r>
      <w:r>
        <w:rPr>
          <w:rFonts w:hint="eastAsia" w:ascii="宋体" w:hAnsi="宋体" w:cs="宋体"/>
          <w:color w:val="auto"/>
          <w:sz w:val="24"/>
          <w:highlight w:val="none"/>
          <w:u w:val="single"/>
        </w:rPr>
        <w:t>□法定代表人/□负责人/□自然人本人</w:t>
      </w:r>
      <w:r>
        <w:rPr>
          <w:rFonts w:hint="eastAsia" w:ascii="宋体" w:hAnsi="宋体" w:cs="宋体"/>
          <w:color w:val="auto"/>
          <w:sz w:val="24"/>
          <w:highlight w:val="none"/>
        </w:rPr>
        <w:t>），现授权</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以我方的名义参加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项目的竞标活动，并代表我方全权办理针对上述项目的所有采购程序和环节的具体事务和签署相关文件。</w:t>
      </w:r>
    </w:p>
    <w:p w14:paraId="5A8098B5">
      <w:pPr>
        <w:shd w:val="clear" w:color="auto"/>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我方对委托代理人的签字事项负全部责任。</w:t>
      </w:r>
    </w:p>
    <w:p w14:paraId="1BAE1036">
      <w:pPr>
        <w:shd w:val="clear" w:color="auto"/>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72EB58A0">
      <w:pPr>
        <w:shd w:val="clear" w:color="auto"/>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委托代理人无转委托权，特此委托。</w:t>
      </w:r>
    </w:p>
    <w:p w14:paraId="41EA5262">
      <w:pPr>
        <w:shd w:val="clear" w:color="auto"/>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附：法定代表人身份证明书及委托代理人有效身份证正反面复印件</w:t>
      </w:r>
    </w:p>
    <w:p w14:paraId="3C8B907F">
      <w:pPr>
        <w:shd w:val="clear" w:color="auto"/>
        <w:spacing w:line="360" w:lineRule="auto"/>
        <w:rPr>
          <w:rFonts w:hint="eastAsia" w:ascii="宋体" w:hAnsi="宋体" w:cs="宋体"/>
          <w:color w:val="auto"/>
          <w:sz w:val="24"/>
          <w:highlight w:val="none"/>
        </w:rPr>
      </w:pPr>
    </w:p>
    <w:p w14:paraId="7F7E2A84">
      <w:pPr>
        <w:shd w:val="clear" w:color="auto"/>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委托代理人（签字）：         法定代表人（签字或盖章）：                    </w:t>
      </w:r>
    </w:p>
    <w:p w14:paraId="74993D61">
      <w:pPr>
        <w:shd w:val="clear" w:color="auto"/>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委托代理人身份证号码：                              </w:t>
      </w:r>
    </w:p>
    <w:p w14:paraId="2D6781C1">
      <w:pPr>
        <w:shd w:val="clear" w:color="auto"/>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0F15171A">
      <w:pPr>
        <w:shd w:val="clear" w:color="auto"/>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供应商名称（电子签章）：</w:t>
      </w:r>
    </w:p>
    <w:p w14:paraId="5612D727">
      <w:pPr>
        <w:shd w:val="clear" w:color="auto"/>
        <w:spacing w:line="360" w:lineRule="auto"/>
        <w:contextualSpacing/>
        <w:jc w:val="center"/>
        <w:rPr>
          <w:rFonts w:hint="eastAsia" w:ascii="宋体" w:hAnsi="宋体" w:cs="宋体"/>
          <w:b/>
          <w:color w:val="auto"/>
          <w:sz w:val="24"/>
          <w:highlight w:val="none"/>
        </w:rPr>
      </w:pPr>
      <w:r>
        <w:rPr>
          <w:rFonts w:hint="eastAsia" w:ascii="宋体" w:hAnsi="宋体" w:cs="宋体"/>
          <w:color w:val="auto"/>
          <w:sz w:val="24"/>
          <w:highlight w:val="none"/>
          <w:lang w:val="zh-CN"/>
        </w:rPr>
        <w:t xml:space="preserve">                                                   日期：  年  月   日</w:t>
      </w:r>
    </w:p>
    <w:p w14:paraId="4E39F03A">
      <w:pPr>
        <w:shd w:val="clear" w:color="auto"/>
        <w:spacing w:line="360" w:lineRule="auto"/>
        <w:rPr>
          <w:rFonts w:hint="eastAsia" w:ascii="宋体" w:hAnsi="宋体" w:cs="仿宋_GB2312"/>
          <w:color w:val="auto"/>
          <w:sz w:val="24"/>
          <w:highlight w:val="none"/>
        </w:rPr>
      </w:pPr>
    </w:p>
    <w:p w14:paraId="1B300920">
      <w:pPr>
        <w:shd w:val="clear" w:color="auto"/>
        <w:spacing w:line="360" w:lineRule="auto"/>
        <w:rPr>
          <w:rFonts w:ascii="宋体" w:hAnsi="宋体" w:cs="仿宋_GB2312"/>
          <w:color w:val="auto"/>
          <w:sz w:val="24"/>
          <w:highlight w:val="none"/>
        </w:rPr>
      </w:pPr>
      <w:r>
        <w:rPr>
          <w:rFonts w:hint="eastAsia" w:ascii="宋体" w:hAnsi="宋体" w:cs="仿宋_GB2312"/>
          <w:color w:val="auto"/>
          <w:sz w:val="24"/>
          <w:highlight w:val="none"/>
        </w:rPr>
        <w:t>注：1. 法定代表人必须在授权委托书上亲笔签字或盖章，委托代理人必须在授权委托书上亲笔签字，</w:t>
      </w:r>
      <w:r>
        <w:rPr>
          <w:rFonts w:hint="eastAsia" w:ascii="宋体" w:hAnsi="宋体" w:cs="仿宋_GB2312"/>
          <w:b/>
          <w:color w:val="auto"/>
          <w:sz w:val="24"/>
          <w:highlight w:val="none"/>
        </w:rPr>
        <w:t>否则其响应文件按无效响应处理。</w:t>
      </w:r>
    </w:p>
    <w:p w14:paraId="2E1AE0B3">
      <w:pPr>
        <w:shd w:val="clear" w:color="auto"/>
        <w:spacing w:line="360" w:lineRule="auto"/>
        <w:ind w:firstLine="480"/>
        <w:jc w:val="left"/>
        <w:rPr>
          <w:rFonts w:ascii="宋体" w:hAnsi="宋体" w:cs="仿宋_GB2312"/>
          <w:color w:val="auto"/>
          <w:sz w:val="24"/>
          <w:highlight w:val="none"/>
        </w:rPr>
      </w:pPr>
      <w:r>
        <w:rPr>
          <w:rFonts w:ascii="宋体" w:hAnsi="宋体" w:cs="仿宋_GB2312"/>
          <w:color w:val="auto"/>
          <w:sz w:val="24"/>
          <w:highlight w:val="none"/>
        </w:rPr>
        <w:t>2.</w:t>
      </w:r>
      <w:r>
        <w:rPr>
          <w:rFonts w:hint="eastAsia" w:ascii="宋体" w:hAnsi="宋体" w:cs="仿宋_GB2312"/>
          <w:color w:val="auto"/>
          <w:sz w:val="24"/>
          <w:highlight w:val="none"/>
        </w:rPr>
        <w:t>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3778E15">
      <w:pPr>
        <w:shd w:val="clear" w:color="auto"/>
        <w:spacing w:line="360" w:lineRule="auto"/>
        <w:ind w:firstLine="480"/>
        <w:jc w:val="left"/>
        <w:rPr>
          <w:rFonts w:hint="eastAsia" w:ascii="仿宋_GB2312" w:hAnsi="仿宋_GB2312" w:eastAsia="仿宋_GB2312" w:cs="仿宋_GB2312"/>
          <w:color w:val="auto"/>
          <w:szCs w:val="21"/>
          <w:highlight w:val="none"/>
        </w:rPr>
      </w:pPr>
      <w:r>
        <w:rPr>
          <w:rFonts w:hint="eastAsia" w:ascii="宋体" w:hAnsi="宋体" w:cs="仿宋_GB2312"/>
          <w:color w:val="auto"/>
          <w:sz w:val="24"/>
          <w:highlight w:val="none"/>
        </w:rPr>
        <w:t>3</w:t>
      </w:r>
      <w:r>
        <w:rPr>
          <w:rFonts w:ascii="宋体" w:hAnsi="宋体" w:cs="仿宋_GB2312"/>
          <w:color w:val="auto"/>
          <w:sz w:val="24"/>
          <w:highlight w:val="none"/>
        </w:rPr>
        <w:t>.</w:t>
      </w:r>
      <w:r>
        <w:rPr>
          <w:rFonts w:hint="eastAsia" w:ascii="宋体" w:hAnsi="宋体" w:cs="仿宋_GB2312"/>
          <w:color w:val="auto"/>
          <w:sz w:val="24"/>
          <w:highlight w:val="none"/>
        </w:rPr>
        <w:t xml:space="preserve"> 法人、其他组织竞标时“我方”是指“我单位”，自然人竞标时“我方”是指“本人”。</w:t>
      </w:r>
    </w:p>
    <w:p w14:paraId="77132032">
      <w:pPr>
        <w:shd w:val="clear" w:color="auto"/>
        <w:spacing w:line="520" w:lineRule="exact"/>
        <w:jc w:val="left"/>
        <w:rPr>
          <w:rFonts w:ascii="仿宋" w:hAnsi="仿宋" w:eastAsia="仿宋" w:cs="仿宋_GB2312"/>
          <w:b/>
          <w:color w:val="auto"/>
          <w:sz w:val="30"/>
          <w:szCs w:val="30"/>
          <w:highlight w:val="none"/>
        </w:rPr>
      </w:pPr>
      <w:r>
        <w:rPr>
          <w:rFonts w:ascii="仿宋_GB2312" w:hAnsi="仿宋_GB2312" w:eastAsia="仿宋_GB2312" w:cs="仿宋_GB2312"/>
          <w:color w:val="auto"/>
          <w:szCs w:val="21"/>
          <w:highlight w:val="none"/>
        </w:rPr>
        <w:br w:type="page" w:clear="all"/>
      </w:r>
    </w:p>
    <w:p w14:paraId="7ED0AF4A">
      <w:pPr>
        <w:shd w:val="clear" w:color="auto"/>
        <w:spacing w:line="50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商务条款偏离表（格式）</w:t>
      </w:r>
    </w:p>
    <w:p w14:paraId="667BEA0A">
      <w:pPr>
        <w:shd w:val="clear" w:color="auto"/>
        <w:spacing w:line="520" w:lineRule="exact"/>
        <w:rPr>
          <w:rFonts w:hint="eastAsia" w:ascii="仿宋_GB2312" w:hAnsi="仿宋_GB2312" w:eastAsia="仿宋_GB2312" w:cs="仿宋_GB2312"/>
          <w:color w:val="auto"/>
          <w:sz w:val="32"/>
          <w:szCs w:val="32"/>
          <w:highlight w:val="none"/>
        </w:rPr>
      </w:pPr>
    </w:p>
    <w:p w14:paraId="0E75580D">
      <w:pPr>
        <w:shd w:val="clear" w:color="auto"/>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采购项目编号：</w:t>
      </w:r>
      <w:r>
        <w:rPr>
          <w:rFonts w:hint="eastAsia" w:ascii="宋体" w:hAnsi="宋体" w:cs="宋体"/>
          <w:color w:val="auto"/>
          <w:sz w:val="24"/>
          <w:highlight w:val="none"/>
          <w:u w:val="single"/>
        </w:rPr>
        <w:t xml:space="preserve">              </w:t>
      </w:r>
    </w:p>
    <w:p w14:paraId="256E6864">
      <w:pPr>
        <w:shd w:val="clear" w:color="auto"/>
        <w:spacing w:line="360" w:lineRule="auto"/>
        <w:rPr>
          <w:rFonts w:ascii="宋体" w:hAnsi="宋体" w:cs="宋体"/>
          <w:color w:val="auto"/>
          <w:sz w:val="24"/>
          <w:highlight w:val="none"/>
        </w:rPr>
      </w:pPr>
      <w:r>
        <w:rPr>
          <w:rFonts w:hint="eastAsia" w:ascii="宋体" w:hAnsi="宋体" w:cs="宋体"/>
          <w:color w:val="auto"/>
          <w:sz w:val="24"/>
          <w:highlight w:val="none"/>
        </w:rPr>
        <w:t>采购项目名称：</w:t>
      </w:r>
      <w:r>
        <w:rPr>
          <w:rFonts w:hint="eastAsia" w:ascii="宋体" w:hAnsi="宋体" w:cs="宋体"/>
          <w:color w:val="auto"/>
          <w:sz w:val="24"/>
          <w:highlight w:val="none"/>
          <w:u w:val="single"/>
        </w:rPr>
        <w:t xml:space="preserve">              </w:t>
      </w:r>
    </w:p>
    <w:p w14:paraId="499FD552">
      <w:pPr>
        <w:shd w:val="clear" w:color="auto"/>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分标号（此处有分标时填写具体分标号，无分标时填写“无”）：</w:t>
      </w:r>
      <w:r>
        <w:rPr>
          <w:rFonts w:hint="eastAsia" w:ascii="宋体" w:hAnsi="宋体" w:cs="宋体"/>
          <w:color w:val="auto"/>
          <w:sz w:val="24"/>
          <w:highlight w:val="none"/>
          <w:u w:val="single"/>
        </w:rPr>
        <w:t xml:space="preserve">                       </w:t>
      </w:r>
    </w:p>
    <w:tbl>
      <w:tblPr>
        <w:tblStyle w:val="48"/>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536DE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4A94A9D8">
            <w:pPr>
              <w:shd w:val="clear" w:color="auto"/>
              <w:spacing w:line="340" w:lineRule="exact"/>
              <w:jc w:val="center"/>
              <w:rPr>
                <w:rFonts w:hint="eastAsia" w:ascii="宋体" w:hAnsi="宋体" w:cs="宋体"/>
                <w:color w:val="auto"/>
                <w:sz w:val="24"/>
                <w:highlight w:val="none"/>
              </w:rPr>
            </w:pPr>
            <w:r>
              <w:rPr>
                <w:rFonts w:hint="eastAsia" w:ascii="宋体" w:hAnsi="宋体" w:cs="宋体"/>
                <w:color w:val="auto"/>
                <w:sz w:val="24"/>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68C359A4">
            <w:pPr>
              <w:shd w:val="clear" w:color="auto"/>
              <w:spacing w:line="340" w:lineRule="exact"/>
              <w:jc w:val="center"/>
              <w:rPr>
                <w:rFonts w:hint="eastAsia" w:ascii="宋体" w:hAnsi="宋体" w:cs="宋体"/>
                <w:color w:val="auto"/>
                <w:sz w:val="24"/>
                <w:highlight w:val="none"/>
              </w:rPr>
            </w:pPr>
            <w:r>
              <w:rPr>
                <w:rFonts w:hint="eastAsia" w:ascii="宋体" w:hAnsi="宋体" w:cs="宋体"/>
                <w:color w:val="auto"/>
                <w:sz w:val="24"/>
                <w:highlight w:val="none"/>
              </w:rPr>
              <w:t>竞争性磋商采购文件的商务需求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3BEBBE8D">
            <w:pPr>
              <w:shd w:val="clear" w:color="auto"/>
              <w:spacing w:line="340" w:lineRule="exact"/>
              <w:jc w:val="center"/>
              <w:rPr>
                <w:rFonts w:hint="eastAsia" w:ascii="宋体" w:hAnsi="宋体" w:cs="宋体"/>
                <w:color w:val="auto"/>
                <w:sz w:val="24"/>
                <w:highlight w:val="none"/>
              </w:rPr>
            </w:pPr>
            <w:r>
              <w:rPr>
                <w:rFonts w:hint="eastAsia" w:ascii="宋体" w:hAnsi="宋体" w:cs="宋体"/>
                <w:color w:val="auto"/>
                <w:sz w:val="24"/>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085C252F">
            <w:pPr>
              <w:shd w:val="clear" w:color="auto"/>
              <w:spacing w:line="340" w:lineRule="exact"/>
              <w:jc w:val="center"/>
              <w:rPr>
                <w:rFonts w:hint="eastAsia" w:ascii="宋体" w:hAnsi="宋体" w:cs="宋体"/>
                <w:color w:val="auto"/>
                <w:sz w:val="24"/>
                <w:highlight w:val="none"/>
              </w:rPr>
            </w:pPr>
            <w:r>
              <w:rPr>
                <w:rFonts w:hint="eastAsia" w:ascii="宋体" w:hAnsi="宋体" w:cs="宋体"/>
                <w:color w:val="auto"/>
                <w:sz w:val="24"/>
                <w:highlight w:val="none"/>
              </w:rPr>
              <w:t>偏离说明</w:t>
            </w:r>
          </w:p>
        </w:tc>
      </w:tr>
      <w:tr w14:paraId="2017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799C64C3">
            <w:pPr>
              <w:shd w:val="clear" w:color="auto"/>
              <w:spacing w:line="340" w:lineRule="exact"/>
              <w:jc w:val="center"/>
              <w:rPr>
                <w:rFonts w:hint="eastAsia" w:ascii="宋体" w:hAnsi="宋体" w:cs="宋体"/>
                <w:color w:val="auto"/>
                <w:sz w:val="24"/>
                <w:highlight w:val="none"/>
              </w:rPr>
            </w:pPr>
            <w:r>
              <w:rPr>
                <w:rFonts w:hint="eastAsia" w:ascii="宋体" w:hAnsi="宋体" w:cs="宋体"/>
                <w:color w:val="auto"/>
                <w:sz w:val="24"/>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7744D013">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1  ……</w:t>
            </w:r>
          </w:p>
          <w:p w14:paraId="1CC7EFED">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2  ……</w:t>
            </w:r>
          </w:p>
          <w:p w14:paraId="4691E543">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3  ……</w:t>
            </w:r>
          </w:p>
          <w:p w14:paraId="0C04620E">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6677B3A4">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1  ……</w:t>
            </w:r>
          </w:p>
          <w:p w14:paraId="59C8BB73">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2  ……</w:t>
            </w:r>
          </w:p>
          <w:p w14:paraId="777D5994">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3  ……</w:t>
            </w:r>
          </w:p>
          <w:p w14:paraId="62FCE1A5">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4590339D">
            <w:pPr>
              <w:shd w:val="clear" w:color="auto"/>
              <w:spacing w:line="300" w:lineRule="exact"/>
              <w:rPr>
                <w:rFonts w:hint="eastAsia" w:ascii="宋体" w:hAnsi="宋体" w:cs="宋体"/>
                <w:color w:val="auto"/>
                <w:sz w:val="24"/>
                <w:highlight w:val="none"/>
              </w:rPr>
            </w:pPr>
          </w:p>
        </w:tc>
      </w:tr>
      <w:tr w14:paraId="6455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60A4830E">
            <w:pPr>
              <w:shd w:val="clear" w:color="auto"/>
              <w:spacing w:line="340" w:lineRule="exact"/>
              <w:jc w:val="center"/>
              <w:rPr>
                <w:rFonts w:hint="eastAsia" w:ascii="宋体" w:hAnsi="宋体" w:cs="宋体"/>
                <w:color w:val="auto"/>
                <w:sz w:val="24"/>
                <w:highlight w:val="none"/>
              </w:rPr>
            </w:pPr>
            <w:r>
              <w:rPr>
                <w:rFonts w:hint="eastAsia" w:ascii="宋体" w:hAnsi="宋体" w:cs="宋体"/>
                <w:color w:val="auto"/>
                <w:sz w:val="24"/>
                <w:highlight w:val="none"/>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02F64FEE">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1  ……</w:t>
            </w:r>
          </w:p>
          <w:p w14:paraId="2329FF2E">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2  ……</w:t>
            </w:r>
          </w:p>
          <w:p w14:paraId="016287FD">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3  ……</w:t>
            </w:r>
          </w:p>
          <w:p w14:paraId="04FF8E2B">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020BC128">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1  ……</w:t>
            </w:r>
          </w:p>
          <w:p w14:paraId="2D0CCDDB">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2  ……</w:t>
            </w:r>
          </w:p>
          <w:p w14:paraId="5A9817E6">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3  ……</w:t>
            </w:r>
          </w:p>
          <w:p w14:paraId="376AACAB">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52D71FD2">
            <w:pPr>
              <w:shd w:val="clear" w:color="auto"/>
              <w:spacing w:line="300" w:lineRule="exact"/>
              <w:rPr>
                <w:rFonts w:hint="eastAsia" w:ascii="宋体" w:hAnsi="宋体" w:cs="宋体"/>
                <w:color w:val="auto"/>
                <w:sz w:val="24"/>
                <w:highlight w:val="none"/>
              </w:rPr>
            </w:pPr>
          </w:p>
        </w:tc>
      </w:tr>
      <w:tr w14:paraId="3F160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5263DFBA">
            <w:pPr>
              <w:shd w:val="clear" w:color="auto"/>
              <w:spacing w:line="340" w:lineRule="exact"/>
              <w:jc w:val="center"/>
              <w:rPr>
                <w:rFonts w:hint="eastAsia" w:ascii="宋体" w:hAnsi="宋体" w:cs="宋体"/>
                <w:color w:val="auto"/>
                <w:sz w:val="24"/>
                <w:highlight w:val="none"/>
              </w:rPr>
            </w:pPr>
            <w:r>
              <w:rPr>
                <w:rFonts w:hint="eastAsia" w:ascii="宋体" w:hAnsi="宋体" w:cs="宋体"/>
                <w:color w:val="auto"/>
                <w:sz w:val="24"/>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71E1864">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1  ……</w:t>
            </w:r>
          </w:p>
          <w:p w14:paraId="19C7A926">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2  ……</w:t>
            </w:r>
          </w:p>
          <w:p w14:paraId="0914CB74">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3  ……</w:t>
            </w:r>
          </w:p>
          <w:p w14:paraId="61D7811C">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77DB95DA">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1  ……</w:t>
            </w:r>
          </w:p>
          <w:p w14:paraId="3E753F46">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2  ……</w:t>
            </w:r>
          </w:p>
          <w:p w14:paraId="6F37F489">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3  ……</w:t>
            </w:r>
          </w:p>
          <w:p w14:paraId="0811F79A">
            <w:pPr>
              <w:shd w:val="clear" w:color="auto"/>
              <w:spacing w:line="340" w:lineRule="exact"/>
              <w:rPr>
                <w:rFonts w:hint="eastAsia" w:ascii="宋体" w:hAnsi="宋体" w:cs="宋体"/>
                <w:color w:val="auto"/>
                <w:sz w:val="24"/>
                <w:highlight w:val="none"/>
              </w:rPr>
            </w:pPr>
            <w:r>
              <w:rPr>
                <w:rFonts w:hint="eastAsia" w:ascii="宋体" w:hAnsi="宋体" w:cs="宋体"/>
                <w:color w:val="auto"/>
                <w:sz w:val="24"/>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0C81280F">
            <w:pPr>
              <w:shd w:val="clear" w:color="auto"/>
              <w:spacing w:line="300" w:lineRule="exact"/>
              <w:rPr>
                <w:rFonts w:hint="eastAsia" w:ascii="宋体" w:hAnsi="宋体" w:cs="宋体"/>
                <w:color w:val="auto"/>
                <w:sz w:val="24"/>
                <w:highlight w:val="none"/>
              </w:rPr>
            </w:pPr>
          </w:p>
        </w:tc>
      </w:tr>
    </w:tbl>
    <w:p w14:paraId="780C4299">
      <w:pPr>
        <w:shd w:val="clear" w:color="auto"/>
        <w:spacing w:line="400" w:lineRule="exact"/>
        <w:rPr>
          <w:rFonts w:hint="eastAsia" w:ascii="宋体" w:hAnsi="宋体" w:cs="宋体"/>
          <w:color w:val="auto"/>
          <w:sz w:val="24"/>
          <w:highlight w:val="none"/>
        </w:rPr>
      </w:pPr>
      <w:r>
        <w:rPr>
          <w:rFonts w:hint="eastAsia" w:ascii="宋体" w:hAnsi="宋体" w:cs="宋体"/>
          <w:color w:val="auto"/>
          <w:sz w:val="24"/>
          <w:highlight w:val="none"/>
        </w:rPr>
        <w:t>注：</w:t>
      </w:r>
    </w:p>
    <w:p w14:paraId="22DC1595">
      <w:pPr>
        <w:shd w:val="clear" w:color="auto"/>
        <w:spacing w:line="400" w:lineRule="exact"/>
        <w:rPr>
          <w:rFonts w:hint="eastAsia" w:ascii="宋体" w:hAnsi="宋体" w:cs="宋体"/>
          <w:color w:val="auto"/>
          <w:sz w:val="24"/>
          <w:highlight w:val="none"/>
        </w:rPr>
      </w:pPr>
      <w:r>
        <w:rPr>
          <w:rFonts w:hint="eastAsia" w:ascii="宋体" w:hAnsi="宋体" w:cs="宋体"/>
          <w:color w:val="auto"/>
          <w:sz w:val="24"/>
          <w:highlight w:val="none"/>
        </w:rPr>
        <w:t>1.说明：应对照磋商文件“第</w:t>
      </w:r>
      <w:r>
        <w:rPr>
          <w:rFonts w:hint="eastAsia" w:ascii="宋体" w:hAnsi="宋体" w:cs="宋体"/>
          <w:color w:val="auto"/>
          <w:sz w:val="24"/>
          <w:highlight w:val="none"/>
          <w:lang w:val="en-US" w:eastAsia="zh-CN"/>
        </w:rPr>
        <w:t>三</w:t>
      </w:r>
      <w:r>
        <w:rPr>
          <w:rFonts w:hint="eastAsia" w:ascii="宋体" w:hAnsi="宋体" w:cs="宋体"/>
          <w:color w:val="auto"/>
          <w:sz w:val="24"/>
          <w:highlight w:val="none"/>
        </w:rPr>
        <w:t>章 采购需求”中的商务条款逐条作出明确响应，并作出偏离说明。</w:t>
      </w:r>
    </w:p>
    <w:p w14:paraId="5076C631">
      <w:pPr>
        <w:shd w:val="clear" w:color="auto"/>
        <w:spacing w:line="400" w:lineRule="exact"/>
        <w:rPr>
          <w:rFonts w:hint="eastAsia" w:ascii="宋体" w:hAnsi="宋体" w:cs="宋体"/>
          <w:color w:val="auto"/>
          <w:sz w:val="24"/>
          <w:highlight w:val="none"/>
        </w:rPr>
      </w:pPr>
      <w:r>
        <w:rPr>
          <w:rFonts w:hint="eastAsia" w:ascii="宋体" w:hAnsi="宋体" w:cs="宋体"/>
          <w:color w:val="auto"/>
          <w:sz w:val="24"/>
          <w:highlight w:val="none"/>
        </w:rPr>
        <w:t>2.供应商应根据自身的承诺，对照磋商文件要求，在“偏离说明”中注明“正偏离</w:t>
      </w:r>
      <w:r>
        <w:rPr>
          <w:rFonts w:hint="eastAsia" w:ascii="宋体" w:hAnsi="宋体" w:cs="宋体"/>
          <w:color w:val="auto"/>
          <w:sz w:val="24"/>
          <w:highlight w:val="none"/>
          <w:lang w:eastAsia="zh-CN"/>
        </w:rPr>
        <w:t>”“</w:t>
      </w:r>
      <w:r>
        <w:rPr>
          <w:rFonts w:hint="eastAsia" w:ascii="宋体" w:hAnsi="宋体" w:cs="宋体"/>
          <w:color w:val="auto"/>
          <w:sz w:val="24"/>
          <w:highlight w:val="none"/>
        </w:rPr>
        <w:t>负偏离”或者“无偏离”。既不属于“正偏离”也不属于“负偏离”即为“无偏离”。 当响应文件的商务内容低于竞争性磋商采购文件要求时，</w:t>
      </w:r>
      <w:r>
        <w:rPr>
          <w:rFonts w:hint="eastAsia" w:ascii="宋体" w:hAnsi="宋体" w:cs="宋体"/>
          <w:color w:val="auto"/>
          <w:sz w:val="24"/>
        </w:rPr>
        <w:t>竞标人</w:t>
      </w:r>
      <w:r>
        <w:rPr>
          <w:rFonts w:hint="eastAsia" w:ascii="宋体" w:hAnsi="宋体" w:cs="宋体"/>
          <w:color w:val="auto"/>
          <w:sz w:val="24"/>
          <w:highlight w:val="none"/>
        </w:rPr>
        <w:t>应当如实写明“负偏离”，否则视为虚假应标。</w:t>
      </w:r>
    </w:p>
    <w:p w14:paraId="49245989">
      <w:pPr>
        <w:shd w:val="clear" w:color="auto"/>
        <w:spacing w:line="400" w:lineRule="exact"/>
        <w:rPr>
          <w:rFonts w:hint="eastAsia" w:ascii="宋体" w:hAnsi="宋体" w:cs="宋体"/>
          <w:color w:val="auto"/>
          <w:sz w:val="24"/>
          <w:highlight w:val="none"/>
        </w:rPr>
      </w:pPr>
      <w:r>
        <w:rPr>
          <w:rFonts w:hint="eastAsia" w:ascii="宋体" w:hAnsi="宋体" w:cs="宋体"/>
          <w:color w:val="auto"/>
          <w:sz w:val="24"/>
          <w:highlight w:val="none"/>
        </w:rPr>
        <w:t>3.表格内容均需按要求填写，不得留空，否则按竞标无效处理。</w:t>
      </w:r>
    </w:p>
    <w:p w14:paraId="406ABD72">
      <w:pPr>
        <w:shd w:val="clear" w:color="auto"/>
        <w:spacing w:line="360" w:lineRule="auto"/>
        <w:ind w:firstLine="3840"/>
        <w:rPr>
          <w:rFonts w:ascii="仿宋_GB2312" w:hAnsi="仿宋" w:eastAsia="仿宋_GB2312" w:cs="仿宋_GB2312"/>
          <w:color w:val="auto"/>
          <w:sz w:val="24"/>
          <w:highlight w:val="none"/>
        </w:rPr>
      </w:pPr>
    </w:p>
    <w:p w14:paraId="49EB02B2">
      <w:pPr>
        <w:shd w:val="clear" w:color="auto"/>
        <w:spacing w:line="360" w:lineRule="auto"/>
        <w:ind w:firstLine="3840"/>
        <w:rPr>
          <w:rFonts w:hint="eastAsia" w:ascii="宋体" w:hAnsi="宋体" w:cs="宋体"/>
          <w:color w:val="auto"/>
          <w:sz w:val="24"/>
          <w:highlight w:val="none"/>
        </w:rPr>
      </w:pPr>
      <w:r>
        <w:rPr>
          <w:rFonts w:hint="eastAsia" w:ascii="宋体" w:hAnsi="宋体" w:cs="宋体"/>
          <w:color w:val="auto"/>
          <w:sz w:val="24"/>
          <w:highlight w:val="none"/>
        </w:rPr>
        <w:t>供应商名称（电子签章）：</w:t>
      </w:r>
    </w:p>
    <w:p w14:paraId="16BF5C0A">
      <w:pPr>
        <w:shd w:val="clear" w:color="auto"/>
        <w:spacing w:line="360" w:lineRule="auto"/>
        <w:jc w:val="center"/>
        <w:rPr>
          <w:rFonts w:hint="eastAsia" w:ascii="宋体" w:hAnsi="宋体" w:cs="宋体"/>
          <w:b/>
          <w:color w:val="auto"/>
          <w:sz w:val="24"/>
          <w:highlight w:val="none"/>
        </w:rPr>
      </w:pPr>
      <w:r>
        <w:rPr>
          <w:rFonts w:hint="eastAsia" w:ascii="宋体" w:hAnsi="宋体" w:cs="宋体"/>
          <w:color w:val="auto"/>
          <w:sz w:val="24"/>
          <w:highlight w:val="none"/>
          <w:lang w:val="zh-CN"/>
        </w:rPr>
        <w:t xml:space="preserve">                                                   日期：  年  月   日</w:t>
      </w:r>
    </w:p>
    <w:p w14:paraId="7DA32AE2">
      <w:pPr>
        <w:shd w:val="clear" w:color="auto"/>
        <w:jc w:val="center"/>
        <w:rPr>
          <w:rFonts w:hint="eastAsia" w:ascii="宋体" w:hAnsi="宋体" w:cs="宋体"/>
          <w:b/>
          <w:bCs/>
          <w:color w:val="auto"/>
          <w:sz w:val="32"/>
          <w:highlight w:val="none"/>
        </w:rPr>
      </w:pPr>
      <w:r>
        <w:rPr>
          <w:rFonts w:ascii="仿宋_GB2312" w:hAnsi="仿宋_GB2312" w:eastAsia="仿宋_GB2312" w:cs="仿宋_GB2312"/>
          <w:color w:val="auto"/>
          <w:sz w:val="32"/>
          <w:szCs w:val="32"/>
          <w:highlight w:val="none"/>
        </w:rPr>
        <w:br w:type="page" w:clear="all"/>
      </w:r>
      <w:r>
        <w:rPr>
          <w:rFonts w:hint="eastAsia" w:ascii="宋体" w:hAnsi="宋体" w:cs="宋体"/>
          <w:b/>
          <w:bCs/>
          <w:color w:val="auto"/>
          <w:sz w:val="32"/>
          <w:highlight w:val="none"/>
        </w:rPr>
        <w:t>近</w:t>
      </w:r>
      <w:r>
        <w:rPr>
          <w:rFonts w:hint="eastAsia" w:ascii="宋体" w:hAnsi="宋体" w:cs="宋体"/>
          <w:b/>
          <w:bCs/>
          <w:color w:val="auto"/>
          <w:sz w:val="32"/>
          <w:highlight w:val="none"/>
          <w:lang w:val="en-US" w:eastAsia="zh-CN"/>
        </w:rPr>
        <w:t>五</w:t>
      </w:r>
      <w:r>
        <w:rPr>
          <w:rFonts w:hint="eastAsia" w:ascii="宋体" w:hAnsi="宋体" w:cs="宋体"/>
          <w:b/>
          <w:bCs/>
          <w:color w:val="auto"/>
          <w:sz w:val="32"/>
          <w:highlight w:val="none"/>
        </w:rPr>
        <w:t>年来施工企业承建的项目竣工工程情况表（格式）</w:t>
      </w:r>
    </w:p>
    <w:p w14:paraId="4452718B">
      <w:pPr>
        <w:shd w:val="clear" w:color="auto"/>
        <w:jc w:val="center"/>
        <w:rPr>
          <w:rFonts w:hint="eastAsia" w:ascii="宋体" w:hAnsi="宋体" w:cs="宋体"/>
          <w:b/>
          <w:bCs/>
          <w:color w:val="auto"/>
          <w:sz w:val="24"/>
          <w:szCs w:val="21"/>
          <w:highlight w:val="none"/>
        </w:rPr>
      </w:pPr>
      <w:r>
        <w:rPr>
          <w:rFonts w:hint="eastAsia" w:ascii="宋体" w:hAnsi="宋体" w:cs="宋体"/>
          <w:b/>
          <w:bCs/>
          <w:color w:val="auto"/>
          <w:sz w:val="24"/>
          <w:szCs w:val="21"/>
          <w:highlight w:val="none"/>
          <w:lang w:eastAsia="zh-CN"/>
        </w:rPr>
        <w:t>（</w:t>
      </w:r>
      <w:r>
        <w:rPr>
          <w:rFonts w:hint="eastAsia" w:ascii="宋体" w:hAnsi="宋体" w:cs="宋体"/>
          <w:b/>
          <w:bCs/>
          <w:color w:val="auto"/>
          <w:sz w:val="24"/>
          <w:szCs w:val="21"/>
          <w:highlight w:val="none"/>
        </w:rPr>
        <w:t>如有附验收单或证书复印件，字迹模糊不清的复印件无效</w:t>
      </w:r>
      <w:r>
        <w:rPr>
          <w:rFonts w:hint="eastAsia" w:ascii="宋体" w:hAnsi="宋体" w:cs="宋体"/>
          <w:b/>
          <w:bCs/>
          <w:color w:val="auto"/>
          <w:sz w:val="24"/>
          <w:szCs w:val="21"/>
          <w:highlight w:val="none"/>
          <w:lang w:eastAsia="zh-CN"/>
        </w:rPr>
        <w:t>）</w:t>
      </w:r>
    </w:p>
    <w:p w14:paraId="7B1D8C24">
      <w:pPr>
        <w:shd w:val="clear" w:color="auto"/>
        <w:jc w:val="center"/>
        <w:rPr>
          <w:rFonts w:ascii="Times New Roman" w:hAnsi="Courier New"/>
          <w:color w:val="auto"/>
          <w:highlight w:val="none"/>
        </w:rPr>
      </w:pPr>
    </w:p>
    <w:tbl>
      <w:tblPr>
        <w:tblStyle w:val="48"/>
        <w:tblW w:w="0" w:type="auto"/>
        <w:jc w:val="center"/>
        <w:tblLayout w:type="fixed"/>
        <w:tblCellMar>
          <w:top w:w="0" w:type="dxa"/>
          <w:left w:w="0" w:type="dxa"/>
          <w:bottom w:w="0" w:type="dxa"/>
          <w:right w:w="0" w:type="dxa"/>
        </w:tblCellMar>
      </w:tblPr>
      <w:tblGrid>
        <w:gridCol w:w="1788"/>
        <w:gridCol w:w="1260"/>
        <w:gridCol w:w="1173"/>
        <w:gridCol w:w="1137"/>
        <w:gridCol w:w="1575"/>
        <w:gridCol w:w="1509"/>
        <w:gridCol w:w="1221"/>
      </w:tblGrid>
      <w:tr w14:paraId="749CD665">
        <w:trPr>
          <w:trHeight w:val="623"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784E89F">
            <w:pPr>
              <w:shd w:val="clear" w:color="auto"/>
              <w:jc w:val="center"/>
              <w:rPr>
                <w:rFonts w:ascii="Times New Roman" w:hAnsi="Courier New"/>
                <w:color w:val="auto"/>
                <w:highlight w:val="none"/>
              </w:rPr>
            </w:pPr>
            <w:r>
              <w:rPr>
                <w:rFonts w:hint="eastAsia" w:ascii="Times New Roman" w:hAnsi="Courier New"/>
                <w:color w:val="auto"/>
                <w:highlight w:val="none"/>
              </w:rPr>
              <w:t>建设单位</w:t>
            </w: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5215B21">
            <w:pPr>
              <w:shd w:val="clear" w:color="auto"/>
              <w:jc w:val="center"/>
              <w:rPr>
                <w:rFonts w:ascii="Times New Roman" w:hAnsi="Courier New"/>
                <w:color w:val="auto"/>
                <w:highlight w:val="none"/>
              </w:rPr>
            </w:pPr>
            <w:r>
              <w:rPr>
                <w:rFonts w:hint="eastAsia" w:ascii="Times New Roman" w:hAnsi="Courier New"/>
                <w:color w:val="auto"/>
                <w:highlight w:val="none"/>
              </w:rPr>
              <w:t>项目名称</w:t>
            </w: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D450E59">
            <w:pPr>
              <w:shd w:val="clear" w:color="auto"/>
              <w:jc w:val="center"/>
              <w:rPr>
                <w:rFonts w:ascii="Times New Roman" w:hAnsi="Courier New"/>
                <w:color w:val="auto"/>
                <w:highlight w:val="none"/>
              </w:rPr>
            </w:pPr>
            <w:r>
              <w:rPr>
                <w:rFonts w:hint="eastAsia" w:ascii="Times New Roman" w:hAnsi="Courier New"/>
                <w:color w:val="auto"/>
                <w:highlight w:val="none"/>
              </w:rPr>
              <w:t>结构类型及跨度</w:t>
            </w: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D2DB10D">
            <w:pPr>
              <w:shd w:val="clear" w:color="auto"/>
              <w:jc w:val="center"/>
              <w:rPr>
                <w:rFonts w:ascii="Times New Roman" w:hAnsi="Courier New"/>
                <w:color w:val="auto"/>
                <w:highlight w:val="none"/>
              </w:rPr>
            </w:pPr>
            <w:r>
              <w:rPr>
                <w:rFonts w:hint="eastAsia" w:ascii="Times New Roman" w:hAnsi="Courier New"/>
                <w:color w:val="auto"/>
                <w:highlight w:val="none"/>
              </w:rPr>
              <w:t>建筑面积</w:t>
            </w: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3B4901A">
            <w:pPr>
              <w:shd w:val="clear" w:color="auto"/>
              <w:jc w:val="center"/>
              <w:rPr>
                <w:rFonts w:ascii="Times New Roman" w:hAnsi="Courier New"/>
                <w:color w:val="auto"/>
                <w:highlight w:val="none"/>
              </w:rPr>
            </w:pPr>
            <w:r>
              <w:rPr>
                <w:rFonts w:hint="eastAsia" w:ascii="Times New Roman" w:hAnsi="Courier New"/>
                <w:color w:val="auto"/>
                <w:highlight w:val="none"/>
              </w:rPr>
              <w:t>开、竣工日期</w:t>
            </w: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80F8E3">
            <w:pPr>
              <w:shd w:val="clear" w:color="auto"/>
              <w:jc w:val="center"/>
              <w:rPr>
                <w:rFonts w:ascii="Times New Roman" w:hAnsi="Courier New"/>
                <w:color w:val="auto"/>
                <w:highlight w:val="none"/>
              </w:rPr>
            </w:pPr>
            <w:r>
              <w:rPr>
                <w:rFonts w:hint="eastAsia" w:ascii="Times New Roman" w:hAnsi="Courier New"/>
                <w:color w:val="auto"/>
                <w:highlight w:val="none"/>
              </w:rPr>
              <w:t>合同价款</w:t>
            </w: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2CBBD24">
            <w:pPr>
              <w:shd w:val="clear" w:color="auto"/>
              <w:jc w:val="center"/>
              <w:rPr>
                <w:rFonts w:ascii="Times New Roman" w:hAnsi="Courier New"/>
                <w:color w:val="auto"/>
                <w:highlight w:val="none"/>
              </w:rPr>
            </w:pPr>
            <w:r>
              <w:rPr>
                <w:rFonts w:hint="eastAsia" w:ascii="Times New Roman" w:hAnsi="Courier New"/>
                <w:color w:val="auto"/>
                <w:highlight w:val="none"/>
              </w:rPr>
              <w:t>质量等级</w:t>
            </w:r>
          </w:p>
        </w:tc>
      </w:tr>
      <w:tr w14:paraId="7F662AEC">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3230AF0">
            <w:pPr>
              <w:shd w:val="clear" w:color="auto"/>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5DA2B3B">
            <w:pPr>
              <w:shd w:val="clear" w:color="auto"/>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F5A5A4A">
            <w:pPr>
              <w:shd w:val="clear" w:color="auto"/>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30DB2D9">
            <w:pPr>
              <w:shd w:val="clear" w:color="auto"/>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7420F78">
            <w:pPr>
              <w:shd w:val="clear" w:color="auto"/>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A6E20E6">
            <w:pPr>
              <w:shd w:val="clear" w:color="auto"/>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D07AC57">
            <w:pPr>
              <w:shd w:val="clear" w:color="auto"/>
              <w:jc w:val="center"/>
              <w:rPr>
                <w:rFonts w:ascii="Times New Roman" w:hAnsi="Courier New"/>
                <w:color w:val="auto"/>
                <w:highlight w:val="none"/>
              </w:rPr>
            </w:pPr>
          </w:p>
        </w:tc>
      </w:tr>
      <w:tr w14:paraId="6C2F5F7D">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061D115">
            <w:pPr>
              <w:shd w:val="clear" w:color="auto"/>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F6E0336">
            <w:pPr>
              <w:shd w:val="clear" w:color="auto"/>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8E443FC">
            <w:pPr>
              <w:shd w:val="clear" w:color="auto"/>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EE84A03">
            <w:pPr>
              <w:shd w:val="clear" w:color="auto"/>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6EE3C2D">
            <w:pPr>
              <w:shd w:val="clear" w:color="auto"/>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201135C">
            <w:pPr>
              <w:shd w:val="clear" w:color="auto"/>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843C332">
            <w:pPr>
              <w:shd w:val="clear" w:color="auto"/>
              <w:jc w:val="center"/>
              <w:rPr>
                <w:rFonts w:ascii="Times New Roman" w:hAnsi="Courier New"/>
                <w:color w:val="auto"/>
                <w:highlight w:val="none"/>
              </w:rPr>
            </w:pPr>
          </w:p>
        </w:tc>
      </w:tr>
      <w:tr w14:paraId="1EA4EAD6">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573415D">
            <w:pPr>
              <w:shd w:val="clear" w:color="auto"/>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5D920CA">
            <w:pPr>
              <w:shd w:val="clear" w:color="auto"/>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8A0A48C">
            <w:pPr>
              <w:shd w:val="clear" w:color="auto"/>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A659342">
            <w:pPr>
              <w:shd w:val="clear" w:color="auto"/>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365E5DF">
            <w:pPr>
              <w:shd w:val="clear" w:color="auto"/>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12A587D">
            <w:pPr>
              <w:shd w:val="clear" w:color="auto"/>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5EC6C13">
            <w:pPr>
              <w:shd w:val="clear" w:color="auto"/>
              <w:jc w:val="center"/>
              <w:rPr>
                <w:rFonts w:ascii="Times New Roman" w:hAnsi="Courier New"/>
                <w:color w:val="auto"/>
                <w:highlight w:val="none"/>
              </w:rPr>
            </w:pPr>
          </w:p>
        </w:tc>
      </w:tr>
      <w:tr w14:paraId="58777ED7">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D24E80B">
            <w:pPr>
              <w:shd w:val="clear" w:color="auto"/>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46C8C57">
            <w:pPr>
              <w:shd w:val="clear" w:color="auto"/>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BEA2539">
            <w:pPr>
              <w:shd w:val="clear" w:color="auto"/>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A3694E9">
            <w:pPr>
              <w:shd w:val="clear" w:color="auto"/>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D69F150">
            <w:pPr>
              <w:shd w:val="clear" w:color="auto"/>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AC4B162">
            <w:pPr>
              <w:shd w:val="clear" w:color="auto"/>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7569289">
            <w:pPr>
              <w:shd w:val="clear" w:color="auto"/>
              <w:jc w:val="center"/>
              <w:rPr>
                <w:rFonts w:ascii="Times New Roman" w:hAnsi="Courier New"/>
                <w:color w:val="auto"/>
                <w:highlight w:val="none"/>
              </w:rPr>
            </w:pPr>
          </w:p>
        </w:tc>
      </w:tr>
      <w:tr w14:paraId="54DE96E4">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AB84512">
            <w:pPr>
              <w:shd w:val="clear" w:color="auto"/>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E8B6FEC">
            <w:pPr>
              <w:shd w:val="clear" w:color="auto"/>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577D8BF">
            <w:pPr>
              <w:shd w:val="clear" w:color="auto"/>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CE2833D">
            <w:pPr>
              <w:shd w:val="clear" w:color="auto"/>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F5F0DB2">
            <w:pPr>
              <w:shd w:val="clear" w:color="auto"/>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1474B58">
            <w:pPr>
              <w:shd w:val="clear" w:color="auto"/>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9EC23CB">
            <w:pPr>
              <w:shd w:val="clear" w:color="auto"/>
              <w:jc w:val="center"/>
              <w:rPr>
                <w:rFonts w:ascii="Times New Roman" w:hAnsi="Courier New"/>
                <w:color w:val="auto"/>
                <w:highlight w:val="none"/>
              </w:rPr>
            </w:pPr>
          </w:p>
        </w:tc>
      </w:tr>
      <w:tr w14:paraId="65D89EFD">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E4B2D41">
            <w:pPr>
              <w:shd w:val="clear" w:color="auto"/>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5B15880">
            <w:pPr>
              <w:shd w:val="clear" w:color="auto"/>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99C0EBB">
            <w:pPr>
              <w:shd w:val="clear" w:color="auto"/>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6B91A61">
            <w:pPr>
              <w:shd w:val="clear" w:color="auto"/>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1570CC2">
            <w:pPr>
              <w:shd w:val="clear" w:color="auto"/>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C9D0B5E">
            <w:pPr>
              <w:shd w:val="clear" w:color="auto"/>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14D42C2">
            <w:pPr>
              <w:shd w:val="clear" w:color="auto"/>
              <w:jc w:val="center"/>
              <w:rPr>
                <w:rFonts w:ascii="Times New Roman" w:hAnsi="Courier New"/>
                <w:color w:val="auto"/>
                <w:highlight w:val="none"/>
              </w:rPr>
            </w:pPr>
          </w:p>
        </w:tc>
      </w:tr>
      <w:tr w14:paraId="28ACF564">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F22C6BD">
            <w:pPr>
              <w:shd w:val="clear" w:color="auto"/>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D0FA8FA">
            <w:pPr>
              <w:shd w:val="clear" w:color="auto"/>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15EB703">
            <w:pPr>
              <w:shd w:val="clear" w:color="auto"/>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FA9922C">
            <w:pPr>
              <w:shd w:val="clear" w:color="auto"/>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83F10D7">
            <w:pPr>
              <w:shd w:val="clear" w:color="auto"/>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CD1F13F">
            <w:pPr>
              <w:shd w:val="clear" w:color="auto"/>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7B28574">
            <w:pPr>
              <w:shd w:val="clear" w:color="auto"/>
              <w:jc w:val="center"/>
              <w:rPr>
                <w:rFonts w:ascii="Times New Roman" w:hAnsi="Courier New"/>
                <w:color w:val="auto"/>
                <w:highlight w:val="none"/>
              </w:rPr>
            </w:pPr>
          </w:p>
        </w:tc>
      </w:tr>
      <w:tr w14:paraId="6C73682D">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72C54E9">
            <w:pPr>
              <w:shd w:val="clear" w:color="auto"/>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237D51D">
            <w:pPr>
              <w:shd w:val="clear" w:color="auto"/>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D3D3160">
            <w:pPr>
              <w:shd w:val="clear" w:color="auto"/>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BCBF597">
            <w:pPr>
              <w:shd w:val="clear" w:color="auto"/>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81F28DE">
            <w:pPr>
              <w:shd w:val="clear" w:color="auto"/>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EF888B4">
            <w:pPr>
              <w:shd w:val="clear" w:color="auto"/>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1F1B95C">
            <w:pPr>
              <w:shd w:val="clear" w:color="auto"/>
              <w:jc w:val="center"/>
              <w:rPr>
                <w:rFonts w:ascii="Times New Roman" w:hAnsi="Courier New"/>
                <w:color w:val="auto"/>
                <w:highlight w:val="none"/>
              </w:rPr>
            </w:pPr>
          </w:p>
        </w:tc>
      </w:tr>
      <w:tr w14:paraId="7ECAF42A">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F558D85">
            <w:pPr>
              <w:shd w:val="clear" w:color="auto"/>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9EBEDEE">
            <w:pPr>
              <w:shd w:val="clear" w:color="auto"/>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B8EBA21">
            <w:pPr>
              <w:shd w:val="clear" w:color="auto"/>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1497972">
            <w:pPr>
              <w:shd w:val="clear" w:color="auto"/>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34970C7">
            <w:pPr>
              <w:shd w:val="clear" w:color="auto"/>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6658F1D">
            <w:pPr>
              <w:shd w:val="clear" w:color="auto"/>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96D6E59">
            <w:pPr>
              <w:shd w:val="clear" w:color="auto"/>
              <w:jc w:val="center"/>
              <w:rPr>
                <w:rFonts w:ascii="Times New Roman" w:hAnsi="Courier New"/>
                <w:color w:val="auto"/>
                <w:highlight w:val="none"/>
              </w:rPr>
            </w:pPr>
          </w:p>
        </w:tc>
      </w:tr>
      <w:tr w14:paraId="788A0D4C">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2E1602C">
            <w:pPr>
              <w:shd w:val="clear" w:color="auto"/>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EAEAFEE">
            <w:pPr>
              <w:shd w:val="clear" w:color="auto"/>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EEC3E3D">
            <w:pPr>
              <w:shd w:val="clear" w:color="auto"/>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5449E0A">
            <w:pPr>
              <w:shd w:val="clear" w:color="auto"/>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F8B0764">
            <w:pPr>
              <w:shd w:val="clear" w:color="auto"/>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E0D5DC7">
            <w:pPr>
              <w:shd w:val="clear" w:color="auto"/>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1A95D14">
            <w:pPr>
              <w:shd w:val="clear" w:color="auto"/>
              <w:jc w:val="center"/>
              <w:rPr>
                <w:rFonts w:ascii="Times New Roman" w:hAnsi="Courier New"/>
                <w:color w:val="auto"/>
                <w:highlight w:val="none"/>
              </w:rPr>
            </w:pPr>
          </w:p>
        </w:tc>
      </w:tr>
      <w:tr w14:paraId="6244DE6C">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47D5160">
            <w:pPr>
              <w:shd w:val="clear" w:color="auto"/>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39DDEAE">
            <w:pPr>
              <w:shd w:val="clear" w:color="auto"/>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73B67DC">
            <w:pPr>
              <w:shd w:val="clear" w:color="auto"/>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1ECC06E">
            <w:pPr>
              <w:shd w:val="clear" w:color="auto"/>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9D43B27">
            <w:pPr>
              <w:shd w:val="clear" w:color="auto"/>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E16D78B">
            <w:pPr>
              <w:shd w:val="clear" w:color="auto"/>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062769A">
            <w:pPr>
              <w:shd w:val="clear" w:color="auto"/>
              <w:jc w:val="center"/>
              <w:rPr>
                <w:rFonts w:ascii="Times New Roman" w:hAnsi="Courier New"/>
                <w:color w:val="auto"/>
                <w:highlight w:val="none"/>
              </w:rPr>
            </w:pPr>
          </w:p>
        </w:tc>
      </w:tr>
      <w:tr w14:paraId="3466D2CF">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1B6C977">
            <w:pPr>
              <w:shd w:val="clear" w:color="auto"/>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62F7B2F">
            <w:pPr>
              <w:shd w:val="clear" w:color="auto"/>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D38AB89">
            <w:pPr>
              <w:shd w:val="clear" w:color="auto"/>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9DF69E9">
            <w:pPr>
              <w:shd w:val="clear" w:color="auto"/>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97F70C6">
            <w:pPr>
              <w:shd w:val="clear" w:color="auto"/>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59C0688">
            <w:pPr>
              <w:shd w:val="clear" w:color="auto"/>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5DC2CC4">
            <w:pPr>
              <w:shd w:val="clear" w:color="auto"/>
              <w:jc w:val="center"/>
              <w:rPr>
                <w:rFonts w:ascii="Times New Roman" w:hAnsi="Courier New"/>
                <w:color w:val="auto"/>
                <w:highlight w:val="none"/>
              </w:rPr>
            </w:pPr>
          </w:p>
        </w:tc>
      </w:tr>
      <w:tr w14:paraId="5F36AAC3">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17C5ED4">
            <w:pPr>
              <w:shd w:val="clear" w:color="auto"/>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C4B30DC">
            <w:pPr>
              <w:shd w:val="clear" w:color="auto"/>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D00E7E0">
            <w:pPr>
              <w:shd w:val="clear" w:color="auto"/>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F346C35">
            <w:pPr>
              <w:shd w:val="clear" w:color="auto"/>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2F014AD">
            <w:pPr>
              <w:shd w:val="clear" w:color="auto"/>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DFC6FE5">
            <w:pPr>
              <w:shd w:val="clear" w:color="auto"/>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2EAA20E">
            <w:pPr>
              <w:shd w:val="clear" w:color="auto"/>
              <w:jc w:val="center"/>
              <w:rPr>
                <w:rFonts w:ascii="Times New Roman" w:hAnsi="Courier New"/>
                <w:color w:val="auto"/>
                <w:highlight w:val="none"/>
              </w:rPr>
            </w:pPr>
          </w:p>
        </w:tc>
      </w:tr>
      <w:tr w14:paraId="46104390">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22E7C2E">
            <w:pPr>
              <w:shd w:val="clear" w:color="auto"/>
              <w:jc w:val="center"/>
              <w:rPr>
                <w:rFonts w:ascii="Times New Roman" w:hAnsi="Courier New"/>
                <w:color w:val="auto"/>
                <w:sz w:val="32"/>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9F8BFF1">
            <w:pPr>
              <w:shd w:val="clear" w:color="auto"/>
              <w:jc w:val="center"/>
              <w:rPr>
                <w:rFonts w:ascii="Times New Roman" w:hAnsi="Courier New"/>
                <w:color w:val="auto"/>
                <w:sz w:val="32"/>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2DFB320">
            <w:pPr>
              <w:shd w:val="clear" w:color="auto"/>
              <w:jc w:val="center"/>
              <w:rPr>
                <w:rFonts w:ascii="Times New Roman" w:hAnsi="Courier New"/>
                <w:color w:val="auto"/>
                <w:sz w:val="32"/>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6D65A88">
            <w:pPr>
              <w:shd w:val="clear" w:color="auto"/>
              <w:jc w:val="center"/>
              <w:rPr>
                <w:rFonts w:ascii="Times New Roman" w:hAnsi="Courier New"/>
                <w:color w:val="auto"/>
                <w:sz w:val="32"/>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3A77A99">
            <w:pPr>
              <w:shd w:val="clear" w:color="auto"/>
              <w:jc w:val="center"/>
              <w:rPr>
                <w:rFonts w:ascii="Times New Roman" w:hAnsi="Courier New"/>
                <w:color w:val="auto"/>
                <w:sz w:val="32"/>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734C652">
            <w:pPr>
              <w:shd w:val="clear" w:color="auto"/>
              <w:jc w:val="center"/>
              <w:rPr>
                <w:rFonts w:ascii="Times New Roman" w:hAnsi="Courier New"/>
                <w:color w:val="auto"/>
                <w:sz w:val="32"/>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0F1C6F8">
            <w:pPr>
              <w:shd w:val="clear" w:color="auto"/>
              <w:jc w:val="center"/>
              <w:rPr>
                <w:rFonts w:ascii="Times New Roman" w:hAnsi="Courier New"/>
                <w:color w:val="auto"/>
                <w:sz w:val="32"/>
                <w:highlight w:val="none"/>
              </w:rPr>
            </w:pPr>
          </w:p>
        </w:tc>
      </w:tr>
    </w:tbl>
    <w:p w14:paraId="14A97CD5">
      <w:pPr>
        <w:shd w:val="clear" w:color="auto"/>
        <w:jc w:val="center"/>
        <w:rPr>
          <w:rFonts w:ascii="Times New Roman" w:hAnsi="Courier New"/>
          <w:color w:val="auto"/>
          <w:sz w:val="32"/>
          <w:szCs w:val="20"/>
          <w:highlight w:val="none"/>
        </w:rPr>
      </w:pPr>
    </w:p>
    <w:p w14:paraId="5CFF4195">
      <w:pPr>
        <w:shd w:val="clear" w:color="auto"/>
        <w:rPr>
          <w:rFonts w:ascii="Times New Roman" w:hAnsi="Courier New"/>
          <w:color w:val="auto"/>
          <w:highlight w:val="none"/>
        </w:rPr>
      </w:pPr>
    </w:p>
    <w:p w14:paraId="20BD81F3">
      <w:pPr>
        <w:shd w:val="clear" w:color="auto"/>
        <w:spacing w:line="360" w:lineRule="auto"/>
        <w:ind w:left="4305" w:hanging="210"/>
        <w:rPr>
          <w:rFonts w:hint="eastAsia" w:ascii="宋体" w:hAnsi="宋体" w:cs="宋体"/>
          <w:color w:val="auto"/>
          <w:sz w:val="24"/>
          <w:highlight w:val="none"/>
        </w:rPr>
      </w:pPr>
      <w:r>
        <w:rPr>
          <w:rFonts w:hint="eastAsia" w:ascii="宋体" w:hAnsi="宋体" w:cs="宋体"/>
          <w:color w:val="auto"/>
          <w:highlight w:val="none"/>
        </w:rPr>
        <w:t xml:space="preserve">    </w:t>
      </w:r>
      <w:r>
        <w:rPr>
          <w:rFonts w:hint="eastAsia" w:ascii="宋体" w:hAnsi="宋体" w:cs="宋体"/>
          <w:color w:val="auto"/>
          <w:sz w:val="24"/>
          <w:highlight w:val="none"/>
        </w:rPr>
        <w:t>供应商名称（电子签章）：</w:t>
      </w:r>
    </w:p>
    <w:p w14:paraId="593418F9">
      <w:pPr>
        <w:shd w:val="clear" w:color="auto"/>
        <w:spacing w:line="360" w:lineRule="auto"/>
        <w:ind w:firstLine="6480"/>
        <w:rPr>
          <w:rFonts w:hint="eastAsia" w:ascii="宋体" w:hAnsi="宋体" w:cs="宋体"/>
          <w:color w:val="auto"/>
          <w:sz w:val="24"/>
          <w:highlight w:val="none"/>
          <w:lang w:val="zh-CN"/>
        </w:rPr>
      </w:pPr>
      <w:r>
        <w:rPr>
          <w:rFonts w:hint="eastAsia" w:ascii="宋体" w:hAnsi="宋体" w:cs="宋体"/>
          <w:color w:val="auto"/>
          <w:sz w:val="24"/>
          <w:highlight w:val="none"/>
          <w:lang w:val="zh-CN"/>
        </w:rPr>
        <w:t>日期：  年  月   日</w:t>
      </w:r>
    </w:p>
    <w:p w14:paraId="16052B64">
      <w:pPr>
        <w:shd w:val="clear" w:color="auto"/>
        <w:rPr>
          <w:rFonts w:ascii="Times New Roman" w:hAnsi="Courier New"/>
          <w:color w:val="auto"/>
          <w:highlight w:val="none"/>
        </w:rPr>
      </w:pPr>
    </w:p>
    <w:p w14:paraId="0FFDA9DD">
      <w:pPr>
        <w:shd w:val="clear" w:color="auto"/>
        <w:rPr>
          <w:rFonts w:ascii="Times New Roman" w:hAnsi="Courier New"/>
          <w:color w:val="auto"/>
          <w:highlight w:val="none"/>
        </w:rPr>
      </w:pPr>
    </w:p>
    <w:p w14:paraId="4400B9DF">
      <w:pPr>
        <w:shd w:val="clear" w:color="auto"/>
        <w:rPr>
          <w:rFonts w:ascii="Times New Roman" w:hAnsi="Courier New"/>
          <w:color w:val="auto"/>
          <w:highlight w:val="none"/>
        </w:rPr>
      </w:pPr>
    </w:p>
    <w:p w14:paraId="4DD5E9C9">
      <w:pPr>
        <w:shd w:val="clear" w:color="auto"/>
        <w:rPr>
          <w:rFonts w:ascii="Times New Roman" w:hAnsi="Courier New"/>
          <w:color w:val="auto"/>
          <w:highlight w:val="none"/>
        </w:rPr>
      </w:pPr>
    </w:p>
    <w:p w14:paraId="16FD49FA">
      <w:pPr>
        <w:shd w:val="clear" w:color="auto"/>
        <w:rPr>
          <w:rFonts w:ascii="Times New Roman" w:hAnsi="Courier New"/>
          <w:color w:val="auto"/>
          <w:highlight w:val="none"/>
        </w:rPr>
      </w:pPr>
    </w:p>
    <w:p w14:paraId="2D3395A6">
      <w:pPr>
        <w:shd w:val="clear" w:color="auto"/>
        <w:rPr>
          <w:rFonts w:ascii="Times New Roman" w:hAnsi="Courier New"/>
          <w:color w:val="auto"/>
          <w:highlight w:val="none"/>
        </w:rPr>
      </w:pPr>
    </w:p>
    <w:p w14:paraId="7B76A185">
      <w:pPr>
        <w:shd w:val="clear" w:color="auto"/>
        <w:rPr>
          <w:rFonts w:ascii="Times New Roman" w:hAnsi="Courier New"/>
          <w:color w:val="auto"/>
          <w:highlight w:val="none"/>
        </w:rPr>
      </w:pPr>
    </w:p>
    <w:p w14:paraId="07C8C25C">
      <w:pPr>
        <w:shd w:val="clear" w:color="auto"/>
        <w:rPr>
          <w:rFonts w:ascii="Times New Roman" w:hAnsi="Courier New"/>
          <w:color w:val="auto"/>
          <w:highlight w:val="none"/>
        </w:rPr>
      </w:pPr>
    </w:p>
    <w:p w14:paraId="68F93523">
      <w:pPr>
        <w:shd w:val="clear" w:color="auto"/>
        <w:rPr>
          <w:rFonts w:ascii="Times New Roman" w:hAnsi="Courier New"/>
          <w:color w:val="auto"/>
          <w:highlight w:val="none"/>
        </w:rPr>
      </w:pPr>
    </w:p>
    <w:p w14:paraId="079C58CE">
      <w:pPr>
        <w:shd w:val="clear" w:color="auto"/>
        <w:rPr>
          <w:rFonts w:ascii="Times New Roman" w:hAnsi="Courier New"/>
          <w:color w:val="auto"/>
          <w:highlight w:val="none"/>
        </w:rPr>
      </w:pPr>
    </w:p>
    <w:p w14:paraId="51DB13C9">
      <w:pPr>
        <w:shd w:val="clear" w:color="auto"/>
        <w:jc w:val="center"/>
        <w:rPr>
          <w:rFonts w:hint="eastAsia" w:ascii="Times New Roman" w:hAnsi="Courier New"/>
          <w:b/>
          <w:bCs/>
          <w:color w:val="auto"/>
          <w:sz w:val="32"/>
          <w:highlight w:val="none"/>
        </w:rPr>
      </w:pPr>
      <w:r>
        <w:rPr>
          <w:rFonts w:hint="eastAsia" w:ascii="Times New Roman" w:hAnsi="Courier New"/>
          <w:b/>
          <w:bCs/>
          <w:color w:val="auto"/>
          <w:sz w:val="32"/>
          <w:highlight w:val="none"/>
        </w:rPr>
        <w:br w:type="page" w:clear="all"/>
      </w:r>
      <w:r>
        <w:rPr>
          <w:rFonts w:hint="eastAsia" w:ascii="Times New Roman" w:hAnsi="Courier New"/>
          <w:b/>
          <w:bCs/>
          <w:color w:val="auto"/>
          <w:sz w:val="32"/>
          <w:highlight w:val="none"/>
        </w:rPr>
        <w:t>项目经理（或建造师）简历表（格式）</w:t>
      </w:r>
    </w:p>
    <w:p w14:paraId="29BE475A">
      <w:pPr>
        <w:shd w:val="clear" w:color="auto"/>
        <w:jc w:val="center"/>
        <w:rPr>
          <w:rFonts w:ascii="Times New Roman" w:hAnsi="Courier New"/>
          <w:color w:val="auto"/>
          <w:highlight w:val="none"/>
        </w:rPr>
      </w:pPr>
    </w:p>
    <w:tbl>
      <w:tblPr>
        <w:tblStyle w:val="48"/>
        <w:tblW w:w="4998" w:type="pct"/>
        <w:jc w:val="center"/>
        <w:tblLayout w:type="autofit"/>
        <w:tblCellMar>
          <w:top w:w="0" w:type="dxa"/>
          <w:left w:w="0" w:type="dxa"/>
          <w:bottom w:w="0" w:type="dxa"/>
          <w:right w:w="0" w:type="dxa"/>
        </w:tblCellMar>
      </w:tblPr>
      <w:tblGrid>
        <w:gridCol w:w="1247"/>
        <w:gridCol w:w="2159"/>
        <w:gridCol w:w="1246"/>
        <w:gridCol w:w="1686"/>
        <w:gridCol w:w="1142"/>
        <w:gridCol w:w="1803"/>
      </w:tblGrid>
      <w:tr w14:paraId="42274C9A">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AF452A4">
            <w:pPr>
              <w:shd w:val="clear" w:color="auto"/>
              <w:jc w:val="center"/>
              <w:rPr>
                <w:rFonts w:ascii="Times New Roman" w:hAnsi="Courier New"/>
                <w:color w:val="auto"/>
                <w:highlight w:val="none"/>
              </w:rPr>
            </w:pPr>
            <w:r>
              <w:rPr>
                <w:rFonts w:hint="eastAsia" w:ascii="Times New Roman" w:hAnsi="Courier New"/>
                <w:color w:val="auto"/>
                <w:highlight w:val="none"/>
              </w:rPr>
              <w:t>姓名</w:t>
            </w: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0180B43">
            <w:pPr>
              <w:shd w:val="clear" w:color="auto"/>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0155BCA">
            <w:pPr>
              <w:shd w:val="clear" w:color="auto"/>
              <w:jc w:val="center"/>
              <w:rPr>
                <w:rFonts w:ascii="Times New Roman" w:hAnsi="Courier New"/>
                <w:color w:val="auto"/>
                <w:highlight w:val="none"/>
              </w:rPr>
            </w:pPr>
            <w:r>
              <w:rPr>
                <w:rFonts w:hint="eastAsia" w:ascii="Times New Roman" w:hAnsi="Courier New"/>
                <w:color w:val="auto"/>
                <w:highlight w:val="none"/>
              </w:rPr>
              <w:t>性别</w:t>
            </w:r>
          </w:p>
        </w:tc>
        <w:tc>
          <w:tcPr>
            <w:tcW w:w="90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531DBF2">
            <w:pPr>
              <w:shd w:val="clear" w:color="auto"/>
              <w:jc w:val="center"/>
              <w:rPr>
                <w:rFonts w:ascii="Times New Roman" w:hAnsi="Courier New"/>
                <w:color w:val="auto"/>
                <w:highlight w:val="none"/>
              </w:rPr>
            </w:pPr>
          </w:p>
        </w:tc>
        <w:tc>
          <w:tcPr>
            <w:tcW w:w="6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E1401E4">
            <w:pPr>
              <w:shd w:val="clear" w:color="auto"/>
              <w:jc w:val="center"/>
              <w:rPr>
                <w:rFonts w:ascii="Times New Roman" w:hAnsi="Courier New"/>
                <w:color w:val="auto"/>
                <w:highlight w:val="none"/>
              </w:rPr>
            </w:pPr>
            <w:r>
              <w:rPr>
                <w:rFonts w:hint="eastAsia" w:ascii="Times New Roman" w:hAnsi="Courier New"/>
                <w:color w:val="auto"/>
                <w:highlight w:val="none"/>
              </w:rPr>
              <w:t>年龄</w:t>
            </w: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D13041C">
            <w:pPr>
              <w:shd w:val="clear" w:color="auto"/>
              <w:jc w:val="center"/>
              <w:rPr>
                <w:rFonts w:ascii="Times New Roman" w:hAnsi="Courier New"/>
                <w:color w:val="auto"/>
                <w:highlight w:val="none"/>
              </w:rPr>
            </w:pPr>
          </w:p>
        </w:tc>
      </w:tr>
      <w:tr w14:paraId="16E8AF72">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ED365D7">
            <w:pPr>
              <w:shd w:val="clear" w:color="auto"/>
              <w:jc w:val="center"/>
              <w:rPr>
                <w:rFonts w:ascii="Times New Roman" w:hAnsi="Courier New"/>
                <w:color w:val="auto"/>
                <w:highlight w:val="none"/>
              </w:rPr>
            </w:pPr>
            <w:r>
              <w:rPr>
                <w:rFonts w:hint="eastAsia" w:ascii="Times New Roman" w:hAnsi="Courier New"/>
                <w:color w:val="auto"/>
                <w:highlight w:val="none"/>
              </w:rPr>
              <w:t>职务</w:t>
            </w: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C0AFA55">
            <w:pPr>
              <w:shd w:val="clear" w:color="auto"/>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5549DAB">
            <w:pPr>
              <w:shd w:val="clear" w:color="auto"/>
              <w:jc w:val="center"/>
              <w:rPr>
                <w:rFonts w:ascii="Times New Roman" w:hAnsi="Courier New"/>
                <w:color w:val="auto"/>
                <w:highlight w:val="none"/>
              </w:rPr>
            </w:pPr>
            <w:r>
              <w:rPr>
                <w:rFonts w:hint="eastAsia" w:ascii="Times New Roman" w:hAnsi="Courier New"/>
                <w:color w:val="auto"/>
                <w:highlight w:val="none"/>
              </w:rPr>
              <w:t>职称</w:t>
            </w:r>
          </w:p>
        </w:tc>
        <w:tc>
          <w:tcPr>
            <w:tcW w:w="90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111BD74">
            <w:pPr>
              <w:shd w:val="clear" w:color="auto"/>
              <w:jc w:val="center"/>
              <w:rPr>
                <w:rFonts w:ascii="Times New Roman" w:hAnsi="Courier New"/>
                <w:color w:val="auto"/>
                <w:highlight w:val="none"/>
              </w:rPr>
            </w:pPr>
          </w:p>
        </w:tc>
        <w:tc>
          <w:tcPr>
            <w:tcW w:w="6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3915A86">
            <w:pPr>
              <w:shd w:val="clear" w:color="auto"/>
              <w:jc w:val="center"/>
              <w:rPr>
                <w:rFonts w:ascii="Times New Roman" w:hAnsi="Courier New"/>
                <w:color w:val="auto"/>
                <w:highlight w:val="none"/>
              </w:rPr>
            </w:pPr>
            <w:r>
              <w:rPr>
                <w:rFonts w:hint="eastAsia" w:ascii="Times New Roman" w:hAnsi="Courier New"/>
                <w:color w:val="auto"/>
                <w:highlight w:val="none"/>
              </w:rPr>
              <w:t>学历</w:t>
            </w: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B52B293">
            <w:pPr>
              <w:shd w:val="clear" w:color="auto"/>
              <w:jc w:val="center"/>
              <w:rPr>
                <w:rFonts w:ascii="Times New Roman" w:hAnsi="Courier New"/>
                <w:color w:val="auto"/>
                <w:highlight w:val="none"/>
              </w:rPr>
            </w:pPr>
          </w:p>
        </w:tc>
      </w:tr>
      <w:tr w14:paraId="01905EF9">
        <w:tblPrEx>
          <w:tblCellMar>
            <w:top w:w="0" w:type="dxa"/>
            <w:left w:w="0" w:type="dxa"/>
            <w:bottom w:w="0" w:type="dxa"/>
            <w:right w:w="0" w:type="dxa"/>
          </w:tblCellMar>
        </w:tblPrEx>
        <w:trPr>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02D8201">
            <w:pPr>
              <w:shd w:val="clear" w:color="auto"/>
              <w:jc w:val="center"/>
              <w:rPr>
                <w:rFonts w:ascii="Times New Roman" w:hAnsi="Courier New"/>
                <w:color w:val="auto"/>
                <w:highlight w:val="none"/>
              </w:rPr>
            </w:pPr>
            <w:r>
              <w:rPr>
                <w:rFonts w:hint="eastAsia" w:ascii="Times New Roman" w:hAnsi="Courier New"/>
                <w:color w:val="auto"/>
                <w:highlight w:val="none"/>
              </w:rPr>
              <w:t>参加工作时间</w:t>
            </w: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765065C">
            <w:pPr>
              <w:shd w:val="clear" w:color="auto"/>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FDEDC83">
            <w:pPr>
              <w:shd w:val="clear" w:color="auto"/>
              <w:jc w:val="center"/>
              <w:rPr>
                <w:rFonts w:ascii="Times New Roman" w:hAnsi="Courier New"/>
                <w:color w:val="auto"/>
                <w:highlight w:val="none"/>
              </w:rPr>
            </w:pPr>
            <w:r>
              <w:rPr>
                <w:rFonts w:hint="eastAsia" w:ascii="Times New Roman" w:hAnsi="Courier New"/>
                <w:color w:val="auto"/>
                <w:highlight w:val="none"/>
              </w:rPr>
              <w:t>从事项目经理（或建造师）年限</w:t>
            </w:r>
          </w:p>
        </w:tc>
        <w:tc>
          <w:tcPr>
            <w:tcW w:w="90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EE5BBCD">
            <w:pPr>
              <w:shd w:val="clear" w:color="auto"/>
              <w:jc w:val="center"/>
              <w:rPr>
                <w:rFonts w:ascii="Times New Roman" w:hAnsi="Courier New"/>
                <w:color w:val="auto"/>
                <w:highlight w:val="none"/>
              </w:rPr>
            </w:pPr>
          </w:p>
        </w:tc>
        <w:tc>
          <w:tcPr>
            <w:tcW w:w="6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CACA727">
            <w:pPr>
              <w:shd w:val="clear" w:color="auto"/>
              <w:jc w:val="center"/>
              <w:rPr>
                <w:rFonts w:ascii="Times New Roman" w:hAnsi="Courier New"/>
                <w:color w:val="auto"/>
                <w:highlight w:val="none"/>
              </w:rPr>
            </w:pPr>
            <w:r>
              <w:rPr>
                <w:rFonts w:hint="eastAsia" w:ascii="Times New Roman" w:hAnsi="Courier New"/>
                <w:color w:val="auto"/>
                <w:highlight w:val="none"/>
              </w:rPr>
              <w:t>资质等级</w:t>
            </w: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49040CF">
            <w:pPr>
              <w:shd w:val="clear" w:color="auto"/>
              <w:jc w:val="center"/>
              <w:rPr>
                <w:rFonts w:ascii="Times New Roman" w:hAnsi="Courier New"/>
                <w:color w:val="auto"/>
                <w:highlight w:val="none"/>
              </w:rPr>
            </w:pPr>
          </w:p>
        </w:tc>
      </w:tr>
      <w:tr w14:paraId="08D08A68">
        <w:tblPrEx>
          <w:tblCellMar>
            <w:top w:w="0" w:type="dxa"/>
            <w:left w:w="0" w:type="dxa"/>
            <w:bottom w:w="0" w:type="dxa"/>
            <w:right w:w="0" w:type="dxa"/>
          </w:tblCellMar>
        </w:tblPrEx>
        <w:trPr>
          <w:trHeight w:val="500" w:hRule="exact"/>
          <w:jc w:val="center"/>
        </w:trPr>
        <w:tc>
          <w:tcPr>
            <w:tcW w:w="2506" w:type="pct"/>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C941D9F">
            <w:pPr>
              <w:shd w:val="clear" w:color="auto"/>
              <w:jc w:val="center"/>
              <w:rPr>
                <w:rFonts w:ascii="Times New Roman" w:hAnsi="Courier New"/>
                <w:color w:val="auto"/>
                <w:highlight w:val="none"/>
              </w:rPr>
            </w:pPr>
            <w:r>
              <w:rPr>
                <w:rFonts w:hint="eastAsia" w:ascii="Times New Roman" w:hAnsi="Courier New"/>
                <w:color w:val="auto"/>
                <w:highlight w:val="none"/>
              </w:rPr>
              <w:t>拟在本工程中担任的工作和职务</w:t>
            </w:r>
          </w:p>
        </w:tc>
        <w:tc>
          <w:tcPr>
            <w:tcW w:w="2493" w:type="pct"/>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B481BCE">
            <w:pPr>
              <w:shd w:val="clear" w:color="auto"/>
              <w:jc w:val="center"/>
              <w:rPr>
                <w:rFonts w:ascii="Times New Roman" w:hAnsi="Courier New"/>
                <w:color w:val="auto"/>
                <w:highlight w:val="none"/>
              </w:rPr>
            </w:pPr>
          </w:p>
        </w:tc>
      </w:tr>
      <w:tr w14:paraId="71ABBD6A">
        <w:tblPrEx>
          <w:tblCellMar>
            <w:top w:w="0" w:type="dxa"/>
            <w:left w:w="0" w:type="dxa"/>
            <w:bottom w:w="0" w:type="dxa"/>
            <w:right w:w="0" w:type="dxa"/>
          </w:tblCellMar>
        </w:tblPrEx>
        <w:trPr>
          <w:trHeight w:val="50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C107D41">
            <w:pPr>
              <w:shd w:val="clear" w:color="auto"/>
              <w:jc w:val="center"/>
              <w:rPr>
                <w:rFonts w:ascii="Times New Roman" w:hAnsi="Courier New"/>
                <w:color w:val="auto"/>
                <w:highlight w:val="none"/>
              </w:rPr>
            </w:pPr>
            <w:r>
              <w:rPr>
                <w:rFonts w:hint="eastAsia" w:ascii="Times New Roman" w:hAnsi="Courier New"/>
                <w:color w:val="auto"/>
                <w:highlight w:val="none"/>
              </w:rPr>
              <w:t>已</w:t>
            </w:r>
            <w:r>
              <w:rPr>
                <w:rFonts w:ascii="Times New Roman" w:hAnsi="Courier New"/>
                <w:color w:val="auto"/>
                <w:highlight w:val="none"/>
              </w:rPr>
              <w:t xml:space="preserve"> </w:t>
            </w:r>
            <w:r>
              <w:rPr>
                <w:rFonts w:hint="eastAsia" w:ascii="Times New Roman" w:hAnsi="Courier New"/>
                <w:color w:val="auto"/>
                <w:highlight w:val="none"/>
              </w:rPr>
              <w:t>完</w:t>
            </w:r>
            <w:r>
              <w:rPr>
                <w:rFonts w:ascii="Times New Roman" w:hAnsi="Courier New"/>
                <w:color w:val="auto"/>
                <w:highlight w:val="none"/>
              </w:rPr>
              <w:t xml:space="preserve"> </w:t>
            </w:r>
            <w:r>
              <w:rPr>
                <w:rFonts w:hint="eastAsia" w:ascii="Times New Roman" w:hAnsi="Courier New"/>
                <w:color w:val="auto"/>
                <w:highlight w:val="none"/>
              </w:rPr>
              <w:t>工</w:t>
            </w:r>
            <w:r>
              <w:rPr>
                <w:rFonts w:ascii="Times New Roman" w:hAnsi="Courier New"/>
                <w:color w:val="auto"/>
                <w:highlight w:val="none"/>
              </w:rPr>
              <w:t xml:space="preserve"> </w:t>
            </w:r>
            <w:r>
              <w:rPr>
                <w:rFonts w:hint="eastAsia" w:ascii="Times New Roman" w:hAnsi="Courier New"/>
                <w:color w:val="auto"/>
                <w:highlight w:val="none"/>
              </w:rPr>
              <w:t>程</w:t>
            </w:r>
            <w:r>
              <w:rPr>
                <w:rFonts w:ascii="Times New Roman" w:hAnsi="Courier New"/>
                <w:color w:val="auto"/>
                <w:highlight w:val="none"/>
              </w:rPr>
              <w:t xml:space="preserve"> </w:t>
            </w:r>
            <w:r>
              <w:rPr>
                <w:rFonts w:hint="eastAsia" w:ascii="Times New Roman" w:hAnsi="Courier New"/>
                <w:color w:val="auto"/>
                <w:highlight w:val="none"/>
              </w:rPr>
              <w:t>项</w:t>
            </w:r>
            <w:r>
              <w:rPr>
                <w:rFonts w:ascii="Times New Roman" w:hAnsi="Courier New"/>
                <w:color w:val="auto"/>
                <w:highlight w:val="none"/>
              </w:rPr>
              <w:t xml:space="preserve"> </w:t>
            </w:r>
            <w:r>
              <w:rPr>
                <w:rFonts w:hint="eastAsia" w:ascii="Times New Roman" w:hAnsi="Courier New"/>
                <w:color w:val="auto"/>
                <w:highlight w:val="none"/>
              </w:rPr>
              <w:t>目</w:t>
            </w:r>
            <w:r>
              <w:rPr>
                <w:rFonts w:ascii="Times New Roman" w:hAnsi="Courier New"/>
                <w:color w:val="auto"/>
                <w:highlight w:val="none"/>
              </w:rPr>
              <w:t xml:space="preserve"> </w:t>
            </w:r>
            <w:r>
              <w:rPr>
                <w:rFonts w:hint="eastAsia" w:ascii="Times New Roman" w:hAnsi="Courier New"/>
                <w:color w:val="auto"/>
                <w:highlight w:val="none"/>
              </w:rPr>
              <w:t>情</w:t>
            </w:r>
            <w:r>
              <w:rPr>
                <w:rFonts w:ascii="Times New Roman" w:hAnsi="Courier New"/>
                <w:color w:val="auto"/>
                <w:highlight w:val="none"/>
              </w:rPr>
              <w:t xml:space="preserve"> </w:t>
            </w:r>
            <w:r>
              <w:rPr>
                <w:rFonts w:hint="eastAsia" w:ascii="Times New Roman" w:hAnsi="Courier New"/>
                <w:color w:val="auto"/>
                <w:highlight w:val="none"/>
              </w:rPr>
              <w:t>况</w:t>
            </w:r>
          </w:p>
        </w:tc>
      </w:tr>
      <w:tr w14:paraId="06A569A5">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EF250FB">
            <w:pPr>
              <w:shd w:val="clear" w:color="auto"/>
              <w:jc w:val="center"/>
              <w:rPr>
                <w:rFonts w:ascii="Times New Roman" w:hAnsi="Courier New"/>
                <w:color w:val="auto"/>
                <w:highlight w:val="none"/>
              </w:rPr>
            </w:pPr>
            <w:r>
              <w:rPr>
                <w:rFonts w:hint="eastAsia" w:ascii="Times New Roman" w:hAnsi="Courier New"/>
                <w:color w:val="auto"/>
                <w:highlight w:val="none"/>
              </w:rPr>
              <w:t>建设单位</w:t>
            </w: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BA39DFE">
            <w:pPr>
              <w:shd w:val="clear" w:color="auto"/>
              <w:jc w:val="center"/>
              <w:rPr>
                <w:rFonts w:ascii="Times New Roman" w:hAnsi="Courier New"/>
                <w:color w:val="auto"/>
                <w:highlight w:val="none"/>
              </w:rPr>
            </w:pPr>
            <w:r>
              <w:rPr>
                <w:rFonts w:hint="eastAsia" w:ascii="Times New Roman" w:hAnsi="Courier New"/>
                <w:color w:val="auto"/>
                <w:highlight w:val="none"/>
              </w:rPr>
              <w:t>项目名称</w:t>
            </w: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469EEEF">
            <w:pPr>
              <w:shd w:val="clear" w:color="auto"/>
              <w:jc w:val="center"/>
              <w:rPr>
                <w:rFonts w:ascii="Times New Roman" w:hAnsi="Courier New"/>
                <w:color w:val="auto"/>
                <w:highlight w:val="none"/>
              </w:rPr>
            </w:pPr>
            <w:r>
              <w:rPr>
                <w:rFonts w:hint="eastAsia" w:ascii="Times New Roman" w:hAnsi="Courier New"/>
                <w:color w:val="auto"/>
                <w:highlight w:val="none"/>
              </w:rPr>
              <w:t>建筑规模</w:t>
            </w: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8A81E17">
            <w:pPr>
              <w:shd w:val="clear" w:color="auto"/>
              <w:jc w:val="center"/>
              <w:rPr>
                <w:rFonts w:ascii="Times New Roman" w:hAnsi="Courier New"/>
                <w:color w:val="auto"/>
                <w:highlight w:val="none"/>
              </w:rPr>
            </w:pPr>
            <w:r>
              <w:rPr>
                <w:rFonts w:hint="eastAsia" w:ascii="Times New Roman" w:hAnsi="Courier New"/>
                <w:color w:val="auto"/>
                <w:highlight w:val="none"/>
              </w:rPr>
              <w:t>开竣工日期</w:t>
            </w: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5DC1779">
            <w:pPr>
              <w:shd w:val="clear" w:color="auto"/>
              <w:jc w:val="center"/>
              <w:rPr>
                <w:rFonts w:ascii="Times New Roman" w:hAnsi="Courier New"/>
                <w:color w:val="auto"/>
                <w:highlight w:val="none"/>
              </w:rPr>
            </w:pPr>
            <w:r>
              <w:rPr>
                <w:rFonts w:hint="eastAsia" w:ascii="Times New Roman" w:hAnsi="Courier New"/>
                <w:color w:val="auto"/>
                <w:highlight w:val="none"/>
              </w:rPr>
              <w:t>质量等级</w:t>
            </w:r>
          </w:p>
        </w:tc>
      </w:tr>
      <w:tr w14:paraId="5BBF65D3">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3F1D358">
            <w:pPr>
              <w:shd w:val="clear" w:color="auto"/>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C048694">
            <w:pPr>
              <w:shd w:val="clear" w:color="auto"/>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3A490D9">
            <w:pPr>
              <w:shd w:val="clear" w:color="auto"/>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5934C9B">
            <w:pPr>
              <w:shd w:val="clear" w:color="auto"/>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9CDEE14">
            <w:pPr>
              <w:shd w:val="clear" w:color="auto"/>
              <w:jc w:val="center"/>
              <w:rPr>
                <w:rFonts w:ascii="Times New Roman" w:hAnsi="Courier New"/>
                <w:color w:val="auto"/>
                <w:highlight w:val="none"/>
              </w:rPr>
            </w:pPr>
          </w:p>
        </w:tc>
      </w:tr>
      <w:tr w14:paraId="14D21586">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E48FB45">
            <w:pPr>
              <w:shd w:val="clear" w:color="auto"/>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4421096">
            <w:pPr>
              <w:shd w:val="clear" w:color="auto"/>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6A04096">
            <w:pPr>
              <w:shd w:val="clear" w:color="auto"/>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A26F2DD">
            <w:pPr>
              <w:shd w:val="clear" w:color="auto"/>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BB5BFF6">
            <w:pPr>
              <w:shd w:val="clear" w:color="auto"/>
              <w:jc w:val="center"/>
              <w:rPr>
                <w:rFonts w:ascii="Times New Roman" w:hAnsi="Courier New"/>
                <w:color w:val="auto"/>
                <w:highlight w:val="none"/>
              </w:rPr>
            </w:pPr>
          </w:p>
        </w:tc>
      </w:tr>
      <w:tr w14:paraId="40548FC1">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D215FBA">
            <w:pPr>
              <w:shd w:val="clear" w:color="auto"/>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518D03E">
            <w:pPr>
              <w:shd w:val="clear" w:color="auto"/>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2A7A168">
            <w:pPr>
              <w:shd w:val="clear" w:color="auto"/>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4A6D464">
            <w:pPr>
              <w:shd w:val="clear" w:color="auto"/>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F39B83A">
            <w:pPr>
              <w:shd w:val="clear" w:color="auto"/>
              <w:jc w:val="center"/>
              <w:rPr>
                <w:rFonts w:ascii="Times New Roman" w:hAnsi="Courier New"/>
                <w:color w:val="auto"/>
                <w:highlight w:val="none"/>
              </w:rPr>
            </w:pPr>
          </w:p>
        </w:tc>
      </w:tr>
      <w:tr w14:paraId="0AE27F2B">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18C17C1">
            <w:pPr>
              <w:shd w:val="clear" w:color="auto"/>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5EADB07">
            <w:pPr>
              <w:shd w:val="clear" w:color="auto"/>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7B1CBF3">
            <w:pPr>
              <w:shd w:val="clear" w:color="auto"/>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1DA7141">
            <w:pPr>
              <w:shd w:val="clear" w:color="auto"/>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C61B318">
            <w:pPr>
              <w:shd w:val="clear" w:color="auto"/>
              <w:jc w:val="center"/>
              <w:rPr>
                <w:rFonts w:ascii="Times New Roman" w:hAnsi="Courier New"/>
                <w:color w:val="auto"/>
                <w:highlight w:val="none"/>
              </w:rPr>
            </w:pPr>
          </w:p>
        </w:tc>
      </w:tr>
      <w:tr w14:paraId="0478B0DB">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FB11473">
            <w:pPr>
              <w:shd w:val="clear" w:color="auto"/>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59A66E3">
            <w:pPr>
              <w:shd w:val="clear" w:color="auto"/>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87CE264">
            <w:pPr>
              <w:shd w:val="clear" w:color="auto"/>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D6CB8C7">
            <w:pPr>
              <w:shd w:val="clear" w:color="auto"/>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D6FD8D0">
            <w:pPr>
              <w:shd w:val="clear" w:color="auto"/>
              <w:jc w:val="center"/>
              <w:rPr>
                <w:rFonts w:ascii="Times New Roman" w:hAnsi="Courier New"/>
                <w:color w:val="auto"/>
                <w:highlight w:val="none"/>
              </w:rPr>
            </w:pPr>
          </w:p>
        </w:tc>
      </w:tr>
      <w:tr w14:paraId="1F3ABD03">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2EBBA61">
            <w:pPr>
              <w:shd w:val="clear" w:color="auto"/>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219237C">
            <w:pPr>
              <w:shd w:val="clear" w:color="auto"/>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14A4F3C">
            <w:pPr>
              <w:shd w:val="clear" w:color="auto"/>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335862F">
            <w:pPr>
              <w:shd w:val="clear" w:color="auto"/>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D1FF136">
            <w:pPr>
              <w:shd w:val="clear" w:color="auto"/>
              <w:jc w:val="center"/>
              <w:rPr>
                <w:rFonts w:ascii="Times New Roman" w:hAnsi="Courier New"/>
                <w:color w:val="auto"/>
                <w:highlight w:val="none"/>
              </w:rPr>
            </w:pPr>
          </w:p>
        </w:tc>
      </w:tr>
      <w:tr w14:paraId="73027A4E">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C5C173B">
            <w:pPr>
              <w:shd w:val="clear" w:color="auto"/>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61CF15C">
            <w:pPr>
              <w:shd w:val="clear" w:color="auto"/>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BB75233">
            <w:pPr>
              <w:shd w:val="clear" w:color="auto"/>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330CFE6">
            <w:pPr>
              <w:shd w:val="clear" w:color="auto"/>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3D3C9D9">
            <w:pPr>
              <w:shd w:val="clear" w:color="auto"/>
              <w:jc w:val="center"/>
              <w:rPr>
                <w:rFonts w:ascii="Times New Roman" w:hAnsi="Courier New"/>
                <w:color w:val="auto"/>
                <w:highlight w:val="none"/>
              </w:rPr>
            </w:pPr>
          </w:p>
        </w:tc>
      </w:tr>
      <w:tr w14:paraId="215E8F8B">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0859A4B">
            <w:pPr>
              <w:shd w:val="clear" w:color="auto"/>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93E3215">
            <w:pPr>
              <w:shd w:val="clear" w:color="auto"/>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DF16E23">
            <w:pPr>
              <w:shd w:val="clear" w:color="auto"/>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5AE1E1C">
            <w:pPr>
              <w:shd w:val="clear" w:color="auto"/>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6590EA0">
            <w:pPr>
              <w:shd w:val="clear" w:color="auto"/>
              <w:jc w:val="center"/>
              <w:rPr>
                <w:rFonts w:ascii="Times New Roman" w:hAnsi="Courier New"/>
                <w:color w:val="auto"/>
                <w:highlight w:val="none"/>
              </w:rPr>
            </w:pPr>
          </w:p>
        </w:tc>
      </w:tr>
      <w:tr w14:paraId="39CAE6EA">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9279DB1">
            <w:pPr>
              <w:shd w:val="clear" w:color="auto"/>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C46E166">
            <w:pPr>
              <w:shd w:val="clear" w:color="auto"/>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492EB6">
            <w:pPr>
              <w:shd w:val="clear" w:color="auto"/>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F8D6444">
            <w:pPr>
              <w:shd w:val="clear" w:color="auto"/>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4DBAF35">
            <w:pPr>
              <w:shd w:val="clear" w:color="auto"/>
              <w:jc w:val="center"/>
              <w:rPr>
                <w:rFonts w:ascii="Times New Roman" w:hAnsi="Courier New"/>
                <w:color w:val="auto"/>
                <w:highlight w:val="none"/>
              </w:rPr>
            </w:pPr>
          </w:p>
        </w:tc>
      </w:tr>
      <w:tr w14:paraId="63071011">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D4F0AE">
            <w:pPr>
              <w:shd w:val="clear" w:color="auto"/>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721F154">
            <w:pPr>
              <w:shd w:val="clear" w:color="auto"/>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29070D5">
            <w:pPr>
              <w:shd w:val="clear" w:color="auto"/>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8C7C829">
            <w:pPr>
              <w:shd w:val="clear" w:color="auto"/>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0C5D54">
            <w:pPr>
              <w:shd w:val="clear" w:color="auto"/>
              <w:jc w:val="center"/>
              <w:rPr>
                <w:rFonts w:ascii="Times New Roman" w:hAnsi="Courier New"/>
                <w:color w:val="auto"/>
                <w:highlight w:val="none"/>
              </w:rPr>
            </w:pPr>
          </w:p>
        </w:tc>
      </w:tr>
      <w:tr w14:paraId="724990D9">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08098B7">
            <w:pPr>
              <w:shd w:val="clear" w:color="auto"/>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0AB252B">
            <w:pPr>
              <w:shd w:val="clear" w:color="auto"/>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535CCED">
            <w:pPr>
              <w:shd w:val="clear" w:color="auto"/>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38D85F6">
            <w:pPr>
              <w:shd w:val="clear" w:color="auto"/>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94745C1">
            <w:pPr>
              <w:shd w:val="clear" w:color="auto"/>
              <w:jc w:val="center"/>
              <w:rPr>
                <w:rFonts w:ascii="Times New Roman" w:hAnsi="Courier New"/>
                <w:color w:val="auto"/>
                <w:highlight w:val="none"/>
              </w:rPr>
            </w:pPr>
          </w:p>
        </w:tc>
      </w:tr>
      <w:tr w14:paraId="490CE521">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1F7C947">
            <w:pPr>
              <w:shd w:val="clear" w:color="auto"/>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0581A6D">
            <w:pPr>
              <w:shd w:val="clear" w:color="auto"/>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1F104B5">
            <w:pPr>
              <w:shd w:val="clear" w:color="auto"/>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0BD6240">
            <w:pPr>
              <w:shd w:val="clear" w:color="auto"/>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245631F">
            <w:pPr>
              <w:shd w:val="clear" w:color="auto"/>
              <w:jc w:val="center"/>
              <w:rPr>
                <w:rFonts w:ascii="Times New Roman" w:hAnsi="Courier New"/>
                <w:color w:val="auto"/>
                <w:highlight w:val="none"/>
              </w:rPr>
            </w:pPr>
          </w:p>
        </w:tc>
      </w:tr>
    </w:tbl>
    <w:p w14:paraId="692443B7">
      <w:pPr>
        <w:shd w:val="clear" w:color="auto"/>
        <w:rPr>
          <w:rFonts w:ascii="Times New Roman" w:hAnsi="Courier New"/>
          <w:color w:val="auto"/>
          <w:szCs w:val="20"/>
          <w:highlight w:val="none"/>
        </w:rPr>
      </w:pPr>
    </w:p>
    <w:p w14:paraId="3790556E">
      <w:pPr>
        <w:shd w:val="clear" w:color="auto"/>
        <w:rPr>
          <w:rFonts w:hint="eastAsia" w:ascii="Times New Roman" w:hAnsi="Courier New" w:eastAsia="宋体"/>
          <w:b/>
          <w:color w:val="auto"/>
          <w:highlight w:val="none"/>
          <w:lang w:eastAsia="zh-CN"/>
        </w:rPr>
      </w:pPr>
      <w:r>
        <w:rPr>
          <w:rFonts w:ascii="Times New Roman" w:hAnsi="Courier New"/>
          <w:color w:val="auto"/>
          <w:highlight w:val="none"/>
        </w:rPr>
        <w:t xml:space="preserve"> </w:t>
      </w:r>
      <w:r>
        <w:rPr>
          <w:rFonts w:ascii="Times New Roman" w:hAnsi="Courier New"/>
          <w:b/>
          <w:color w:val="auto"/>
          <w:highlight w:val="none"/>
        </w:rPr>
        <w:t xml:space="preserve"> </w:t>
      </w:r>
      <w:r>
        <w:rPr>
          <w:rFonts w:hint="eastAsia" w:ascii="Times New Roman" w:hAnsi="Courier New"/>
          <w:b/>
          <w:color w:val="auto"/>
          <w:highlight w:val="none"/>
        </w:rPr>
        <w:t>附：项目经理（或建造师）或注册建造师资质等级证书扫描件。</w:t>
      </w:r>
      <w:r>
        <w:rPr>
          <w:rFonts w:hint="eastAsia" w:ascii="Times New Roman" w:hAnsi="Courier New"/>
          <w:b/>
          <w:color w:val="auto"/>
          <w:highlight w:val="none"/>
          <w:lang w:val="en-US" w:eastAsia="zh-CN"/>
        </w:rPr>
        <w:t>同时提供</w:t>
      </w:r>
      <w:r>
        <w:rPr>
          <w:rFonts w:hint="eastAsia" w:ascii="Times New Roman" w:hAnsi="Courier New"/>
          <w:b/>
          <w:color w:val="auto"/>
          <w:highlight w:val="none"/>
        </w:rPr>
        <w:t>安全生产考核合格证（B证）复印件及无在建建设工程项目承诺书</w:t>
      </w:r>
      <w:r>
        <w:rPr>
          <w:rFonts w:hint="eastAsia" w:ascii="Times New Roman" w:hAnsi="Courier New"/>
          <w:b/>
          <w:color w:val="auto"/>
          <w:highlight w:val="none"/>
          <w:lang w:eastAsia="zh-CN"/>
        </w:rPr>
        <w:t>（</w:t>
      </w:r>
      <w:r>
        <w:rPr>
          <w:rFonts w:hint="eastAsia" w:ascii="Times New Roman" w:hAnsi="Courier New"/>
          <w:b/>
          <w:color w:val="auto"/>
          <w:highlight w:val="none"/>
          <w:lang w:val="en-US" w:eastAsia="zh-CN"/>
        </w:rPr>
        <w:t>格式自拟</w:t>
      </w:r>
      <w:r>
        <w:rPr>
          <w:rFonts w:hint="eastAsia" w:ascii="Times New Roman" w:hAnsi="Courier New"/>
          <w:b/>
          <w:color w:val="auto"/>
          <w:highlight w:val="none"/>
          <w:lang w:eastAsia="zh-CN"/>
        </w:rPr>
        <w:t>）。</w:t>
      </w:r>
      <w:bookmarkStart w:id="1332" w:name="_GoBack"/>
      <w:bookmarkEnd w:id="1332"/>
    </w:p>
    <w:p w14:paraId="221B85EC">
      <w:pPr>
        <w:shd w:val="clear" w:color="auto"/>
        <w:rPr>
          <w:rFonts w:ascii="Times New Roman" w:hAnsi="Courier New"/>
          <w:b/>
          <w:color w:val="auto"/>
          <w:highlight w:val="none"/>
        </w:rPr>
      </w:pPr>
    </w:p>
    <w:p w14:paraId="314B5DA5">
      <w:pPr>
        <w:shd w:val="clear" w:color="auto"/>
        <w:rPr>
          <w:rFonts w:ascii="Times New Roman" w:hAnsi="Courier New"/>
          <w:b/>
          <w:color w:val="auto"/>
          <w:highlight w:val="none"/>
        </w:rPr>
      </w:pPr>
    </w:p>
    <w:p w14:paraId="0DFFEB0E">
      <w:pPr>
        <w:shd w:val="clear" w:color="auto"/>
        <w:rPr>
          <w:rFonts w:ascii="Times New Roman" w:hAnsi="Courier New"/>
          <w:b/>
          <w:color w:val="auto"/>
          <w:highlight w:val="none"/>
        </w:rPr>
      </w:pPr>
    </w:p>
    <w:p w14:paraId="32104955">
      <w:pPr>
        <w:shd w:val="clear" w:color="auto"/>
        <w:spacing w:line="360" w:lineRule="auto"/>
        <w:ind w:left="4335" w:hanging="240"/>
        <w:rPr>
          <w:rFonts w:hint="eastAsia" w:ascii="宋体" w:hAnsi="宋体" w:cs="宋体"/>
          <w:color w:val="auto"/>
          <w:sz w:val="24"/>
          <w:highlight w:val="none"/>
        </w:rPr>
      </w:pPr>
      <w:r>
        <w:rPr>
          <w:rFonts w:hint="eastAsia" w:ascii="宋体" w:hAnsi="宋体" w:cs="宋体"/>
          <w:color w:val="auto"/>
          <w:sz w:val="24"/>
          <w:highlight w:val="none"/>
        </w:rPr>
        <w:t>供应商名称（电子签章）：</w:t>
      </w:r>
    </w:p>
    <w:p w14:paraId="1A9BA107">
      <w:pPr>
        <w:shd w:val="clear" w:color="auto"/>
        <w:spacing w:line="360" w:lineRule="auto"/>
        <w:ind w:firstLine="6480"/>
        <w:rPr>
          <w:rFonts w:hint="eastAsia" w:ascii="宋体" w:hAnsi="宋体" w:cs="宋体"/>
          <w:color w:val="auto"/>
          <w:sz w:val="24"/>
          <w:highlight w:val="none"/>
          <w:lang w:val="zh-CN"/>
        </w:rPr>
      </w:pPr>
      <w:r>
        <w:rPr>
          <w:rFonts w:hint="eastAsia" w:ascii="宋体" w:hAnsi="宋体" w:cs="宋体"/>
          <w:color w:val="auto"/>
          <w:sz w:val="24"/>
          <w:highlight w:val="none"/>
          <w:lang w:val="zh-CN"/>
        </w:rPr>
        <w:t>日期：  年  月   日</w:t>
      </w:r>
    </w:p>
    <w:p w14:paraId="7562A27D">
      <w:pPr>
        <w:shd w:val="clear" w:color="auto"/>
        <w:rPr>
          <w:rFonts w:ascii="Times New Roman" w:hAnsi="Courier New"/>
          <w:b/>
          <w:color w:val="auto"/>
          <w:highlight w:val="none"/>
        </w:rPr>
      </w:pPr>
    </w:p>
    <w:p w14:paraId="56C72CBF">
      <w:pPr>
        <w:shd w:val="clear" w:color="auto"/>
        <w:rPr>
          <w:rFonts w:ascii="Times New Roman" w:hAnsi="Courier New"/>
          <w:b/>
          <w:color w:val="auto"/>
          <w:highlight w:val="none"/>
        </w:rPr>
      </w:pPr>
    </w:p>
    <w:p w14:paraId="4472ABAE">
      <w:pPr>
        <w:shd w:val="clear" w:color="auto"/>
        <w:rPr>
          <w:rFonts w:ascii="Times New Roman" w:hAnsi="Courier New"/>
          <w:b/>
          <w:color w:val="auto"/>
          <w:highlight w:val="none"/>
        </w:rPr>
      </w:pPr>
    </w:p>
    <w:p w14:paraId="6AEEBE47">
      <w:pPr>
        <w:rPr>
          <w:rFonts w:hint="eastAsia" w:ascii="Times New Roman" w:hAnsi="Courier New"/>
          <w:b/>
          <w:bCs/>
          <w:color w:val="auto"/>
          <w:sz w:val="32"/>
          <w:highlight w:val="none"/>
        </w:rPr>
      </w:pPr>
      <w:r>
        <w:rPr>
          <w:rFonts w:hint="eastAsia" w:ascii="Times New Roman" w:hAnsi="Courier New"/>
          <w:b/>
          <w:bCs/>
          <w:color w:val="auto"/>
          <w:sz w:val="32"/>
          <w:highlight w:val="none"/>
        </w:rPr>
        <w:br w:type="page"/>
      </w:r>
    </w:p>
    <w:p w14:paraId="7C566A76">
      <w:pPr>
        <w:shd w:val="clear" w:color="auto"/>
        <w:jc w:val="center"/>
        <w:rPr>
          <w:rFonts w:hint="eastAsia" w:ascii="Times New Roman" w:hAnsi="Courier New"/>
          <w:b/>
          <w:bCs/>
          <w:color w:val="auto"/>
          <w:sz w:val="32"/>
          <w:highlight w:val="none"/>
        </w:rPr>
      </w:pPr>
      <w:r>
        <w:rPr>
          <w:rFonts w:hint="eastAsia" w:ascii="Times New Roman" w:hAnsi="Courier New"/>
          <w:b/>
          <w:bCs/>
          <w:color w:val="auto"/>
          <w:sz w:val="32"/>
          <w:highlight w:val="none"/>
        </w:rPr>
        <w:t>主要施工管理人员表（格式）</w:t>
      </w:r>
    </w:p>
    <w:p w14:paraId="2C71FB58">
      <w:pPr>
        <w:shd w:val="clear" w:color="auto"/>
        <w:jc w:val="center"/>
        <w:rPr>
          <w:rFonts w:ascii="Times New Roman" w:hAnsi="Courier New"/>
          <w:color w:val="auto"/>
          <w:highlight w:val="none"/>
        </w:rPr>
      </w:pPr>
    </w:p>
    <w:tbl>
      <w:tblPr>
        <w:tblStyle w:val="48"/>
        <w:tblW w:w="9663" w:type="dxa"/>
        <w:jc w:val="center"/>
        <w:tblLayout w:type="fixed"/>
        <w:tblCellMar>
          <w:top w:w="0" w:type="dxa"/>
          <w:left w:w="0" w:type="dxa"/>
          <w:bottom w:w="0" w:type="dxa"/>
          <w:right w:w="0" w:type="dxa"/>
        </w:tblCellMar>
      </w:tblPr>
      <w:tblGrid>
        <w:gridCol w:w="1745"/>
        <w:gridCol w:w="1155"/>
        <w:gridCol w:w="1155"/>
        <w:gridCol w:w="1155"/>
        <w:gridCol w:w="4453"/>
      </w:tblGrid>
      <w:tr w14:paraId="6FA29C62">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E8D82F6">
            <w:pPr>
              <w:shd w:val="clear" w:color="auto"/>
              <w:jc w:val="center"/>
              <w:rPr>
                <w:rFonts w:ascii="Times New Roman" w:hAnsi="Courier New"/>
                <w:color w:val="auto"/>
                <w:highlight w:val="none"/>
              </w:rPr>
            </w:pPr>
            <w:r>
              <w:rPr>
                <w:rFonts w:hint="eastAsia" w:ascii="Times New Roman" w:hAnsi="Courier New"/>
                <w:color w:val="auto"/>
                <w:highlight w:val="none"/>
              </w:rPr>
              <w:t>职务</w:t>
            </w: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E06043A">
            <w:pPr>
              <w:shd w:val="clear" w:color="auto"/>
              <w:jc w:val="center"/>
              <w:rPr>
                <w:rFonts w:ascii="Times New Roman" w:hAnsi="Courier New"/>
                <w:color w:val="auto"/>
                <w:highlight w:val="none"/>
              </w:rPr>
            </w:pPr>
            <w:r>
              <w:rPr>
                <w:rFonts w:hint="eastAsia" w:ascii="Times New Roman" w:hAnsi="Courier New"/>
                <w:color w:val="auto"/>
                <w:highlight w:val="none"/>
              </w:rPr>
              <w:t>姓名</w:t>
            </w: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4F92F90">
            <w:pPr>
              <w:shd w:val="clear" w:color="auto"/>
              <w:jc w:val="center"/>
              <w:rPr>
                <w:rFonts w:ascii="Times New Roman" w:hAnsi="Courier New"/>
                <w:color w:val="auto"/>
                <w:highlight w:val="none"/>
              </w:rPr>
            </w:pPr>
            <w:r>
              <w:rPr>
                <w:rFonts w:hint="eastAsia" w:ascii="Times New Roman" w:hAnsi="Courier New"/>
                <w:color w:val="auto"/>
                <w:highlight w:val="none"/>
              </w:rPr>
              <w:t>职务</w:t>
            </w: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B965580">
            <w:pPr>
              <w:shd w:val="clear" w:color="auto"/>
              <w:jc w:val="center"/>
              <w:rPr>
                <w:rFonts w:ascii="Times New Roman" w:hAnsi="Courier New"/>
                <w:color w:val="auto"/>
                <w:highlight w:val="none"/>
              </w:rPr>
            </w:pPr>
            <w:r>
              <w:rPr>
                <w:rFonts w:hint="eastAsia" w:ascii="Times New Roman" w:hAnsi="Courier New"/>
                <w:color w:val="auto"/>
                <w:highlight w:val="none"/>
              </w:rPr>
              <w:t>职称</w:t>
            </w: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E31D37D">
            <w:pPr>
              <w:shd w:val="clear" w:color="auto"/>
              <w:jc w:val="center"/>
              <w:rPr>
                <w:rFonts w:ascii="Times New Roman" w:hAnsi="Courier New"/>
                <w:color w:val="auto"/>
                <w:highlight w:val="none"/>
              </w:rPr>
            </w:pPr>
            <w:r>
              <w:rPr>
                <w:rFonts w:hint="eastAsia" w:ascii="Times New Roman" w:hAnsi="Courier New"/>
                <w:color w:val="auto"/>
                <w:highlight w:val="none"/>
              </w:rPr>
              <w:t>现任职务及资格经历</w:t>
            </w:r>
          </w:p>
        </w:tc>
      </w:tr>
      <w:tr w14:paraId="552DF07C">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7E0F8E6">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F32D3A2">
            <w:pPr>
              <w:shd w:val="clear" w:color="auto"/>
              <w:jc w:val="cente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81A4D1B">
            <w:pPr>
              <w:shd w:val="clear" w:color="auto"/>
              <w:jc w:val="cente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11A80A0">
            <w:pPr>
              <w:shd w:val="clear" w:color="auto"/>
              <w:jc w:val="cente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3FB0AF9">
            <w:pPr>
              <w:shd w:val="clear" w:color="auto"/>
              <w:jc w:val="center"/>
              <w:rPr>
                <w:rFonts w:ascii="Times New Roman" w:hAnsi="Courier New"/>
                <w:color w:val="auto"/>
                <w:highlight w:val="none"/>
              </w:rPr>
            </w:pPr>
          </w:p>
        </w:tc>
      </w:tr>
      <w:tr w14:paraId="4DC0918F">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0EF44FB">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4E23762">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5AEC76B">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13CF597">
            <w:pPr>
              <w:shd w:val="clear" w:color="auto"/>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9336CF7">
            <w:pPr>
              <w:shd w:val="clear" w:color="auto"/>
              <w:rPr>
                <w:rFonts w:ascii="Times New Roman" w:hAnsi="Courier New"/>
                <w:color w:val="auto"/>
                <w:highlight w:val="none"/>
              </w:rPr>
            </w:pPr>
          </w:p>
        </w:tc>
      </w:tr>
      <w:tr w14:paraId="6BC6B125">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8079355">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FF65C92">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BBCA48E">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CCA991A">
            <w:pPr>
              <w:shd w:val="clear" w:color="auto"/>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22C5A8D">
            <w:pPr>
              <w:shd w:val="clear" w:color="auto"/>
              <w:rPr>
                <w:rFonts w:ascii="Times New Roman" w:hAnsi="Courier New"/>
                <w:color w:val="auto"/>
                <w:highlight w:val="none"/>
              </w:rPr>
            </w:pPr>
          </w:p>
        </w:tc>
      </w:tr>
      <w:tr w14:paraId="440B1980">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E418253">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69FE9E5">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19EC253">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85CB8D3">
            <w:pPr>
              <w:shd w:val="clear" w:color="auto"/>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743A392">
            <w:pPr>
              <w:shd w:val="clear" w:color="auto"/>
              <w:rPr>
                <w:rFonts w:ascii="Times New Roman" w:hAnsi="Courier New"/>
                <w:color w:val="auto"/>
                <w:highlight w:val="none"/>
              </w:rPr>
            </w:pPr>
          </w:p>
        </w:tc>
      </w:tr>
      <w:tr w14:paraId="1FAB5A7A">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29DFF34">
            <w:pPr>
              <w:shd w:val="clear" w:color="auto"/>
              <w:ind w:firstLine="377"/>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C61C14E">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E9CFD91">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D880E2C">
            <w:pPr>
              <w:shd w:val="clear" w:color="auto"/>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82FFB82">
            <w:pPr>
              <w:shd w:val="clear" w:color="auto"/>
              <w:rPr>
                <w:rFonts w:ascii="Times New Roman" w:hAnsi="Courier New"/>
                <w:color w:val="auto"/>
                <w:highlight w:val="none"/>
              </w:rPr>
            </w:pPr>
          </w:p>
        </w:tc>
      </w:tr>
      <w:tr w14:paraId="72621527">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2C42966">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618E47A">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9019834">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3BEA3FE">
            <w:pPr>
              <w:shd w:val="clear" w:color="auto"/>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8C3243A">
            <w:pPr>
              <w:shd w:val="clear" w:color="auto"/>
              <w:rPr>
                <w:rFonts w:ascii="Times New Roman" w:hAnsi="Courier New"/>
                <w:color w:val="auto"/>
                <w:highlight w:val="none"/>
              </w:rPr>
            </w:pPr>
          </w:p>
        </w:tc>
      </w:tr>
      <w:tr w14:paraId="24070717">
        <w:tblPrEx>
          <w:tblCellMar>
            <w:top w:w="0" w:type="dxa"/>
            <w:left w:w="0" w:type="dxa"/>
            <w:bottom w:w="0" w:type="dxa"/>
            <w:right w:w="0" w:type="dxa"/>
          </w:tblCellMar>
        </w:tblPrEx>
        <w:trPr>
          <w:trHeight w:val="701"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B9AB811">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4DF774F">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26D51AB">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3C1F51C">
            <w:pPr>
              <w:shd w:val="clear" w:color="auto"/>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46F28D0">
            <w:pPr>
              <w:shd w:val="clear" w:color="auto"/>
              <w:rPr>
                <w:rFonts w:ascii="Times New Roman" w:hAnsi="Courier New"/>
                <w:color w:val="auto"/>
                <w:highlight w:val="none"/>
              </w:rPr>
            </w:pPr>
          </w:p>
        </w:tc>
      </w:tr>
      <w:tr w14:paraId="2FBE7DE1">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EA4BE90">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0E7B6E5">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5870EC3">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02FA0D6">
            <w:pPr>
              <w:shd w:val="clear" w:color="auto"/>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65BDAA4">
            <w:pPr>
              <w:shd w:val="clear" w:color="auto"/>
              <w:rPr>
                <w:rFonts w:ascii="Times New Roman" w:hAnsi="Courier New"/>
                <w:color w:val="auto"/>
                <w:highlight w:val="none"/>
              </w:rPr>
            </w:pPr>
          </w:p>
        </w:tc>
      </w:tr>
      <w:tr w14:paraId="76FC1F67">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A38D481">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9A2EA16">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0B1EB92">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FBE07EE">
            <w:pPr>
              <w:shd w:val="clear" w:color="auto"/>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0C132DF">
            <w:pPr>
              <w:shd w:val="clear" w:color="auto"/>
              <w:rPr>
                <w:rFonts w:ascii="Times New Roman" w:hAnsi="Courier New"/>
                <w:color w:val="auto"/>
                <w:highlight w:val="none"/>
              </w:rPr>
            </w:pPr>
          </w:p>
        </w:tc>
      </w:tr>
      <w:tr w14:paraId="7E1DCBCD">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30B02F5">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316090A">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2C6F54A">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8F5869C">
            <w:pPr>
              <w:shd w:val="clear" w:color="auto"/>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253254E">
            <w:pPr>
              <w:shd w:val="clear" w:color="auto"/>
              <w:rPr>
                <w:rFonts w:ascii="Times New Roman" w:hAnsi="Courier New"/>
                <w:color w:val="auto"/>
                <w:highlight w:val="none"/>
              </w:rPr>
            </w:pPr>
          </w:p>
        </w:tc>
      </w:tr>
      <w:tr w14:paraId="3AB1ED7C">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3139205">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2ED26BA">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FB4D505">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EC87C17">
            <w:pPr>
              <w:shd w:val="clear" w:color="auto"/>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D4B8DAF">
            <w:pPr>
              <w:shd w:val="clear" w:color="auto"/>
              <w:rPr>
                <w:rFonts w:ascii="Times New Roman" w:hAnsi="Courier New"/>
                <w:color w:val="auto"/>
                <w:highlight w:val="none"/>
              </w:rPr>
            </w:pPr>
          </w:p>
        </w:tc>
      </w:tr>
      <w:tr w14:paraId="7FE02A9C">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318EEA5">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B9FBB82">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6761C13">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7333525">
            <w:pPr>
              <w:shd w:val="clear" w:color="auto"/>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3C3BC94">
            <w:pPr>
              <w:shd w:val="clear" w:color="auto"/>
              <w:rPr>
                <w:rFonts w:ascii="Times New Roman" w:hAnsi="Courier New"/>
                <w:color w:val="auto"/>
                <w:highlight w:val="none"/>
              </w:rPr>
            </w:pPr>
          </w:p>
        </w:tc>
      </w:tr>
      <w:tr w14:paraId="7ED18658">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FFA6E33">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B24A804">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5338EE2">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439AF48">
            <w:pPr>
              <w:shd w:val="clear" w:color="auto"/>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A4FD644">
            <w:pPr>
              <w:shd w:val="clear" w:color="auto"/>
              <w:rPr>
                <w:rFonts w:ascii="Times New Roman" w:hAnsi="Courier New"/>
                <w:color w:val="auto"/>
                <w:highlight w:val="none"/>
              </w:rPr>
            </w:pPr>
          </w:p>
        </w:tc>
      </w:tr>
      <w:tr w14:paraId="25BBF8B6">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DDE089D">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634F884">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B6A2921">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2D2C19F">
            <w:pPr>
              <w:shd w:val="clear" w:color="auto"/>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DD14703">
            <w:pPr>
              <w:shd w:val="clear" w:color="auto"/>
              <w:rPr>
                <w:rFonts w:ascii="Times New Roman" w:hAnsi="Courier New"/>
                <w:color w:val="auto"/>
                <w:highlight w:val="none"/>
              </w:rPr>
            </w:pPr>
          </w:p>
        </w:tc>
      </w:tr>
      <w:tr w14:paraId="0081E67C">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6DCD38C">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8EFD68A">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5D13598">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A41CE9E">
            <w:pPr>
              <w:shd w:val="clear" w:color="auto"/>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8BB259C">
            <w:pPr>
              <w:shd w:val="clear" w:color="auto"/>
              <w:rPr>
                <w:rFonts w:ascii="Times New Roman" w:hAnsi="Courier New"/>
                <w:color w:val="auto"/>
                <w:highlight w:val="none"/>
              </w:rPr>
            </w:pPr>
          </w:p>
        </w:tc>
      </w:tr>
      <w:tr w14:paraId="4BEB3E47">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6D374FC">
            <w:pPr>
              <w:shd w:val="clear" w:color="auto"/>
              <w:rPr>
                <w:rFonts w:ascii="Times New Roman" w:hAnsi="Courier New"/>
                <w:color w:val="auto"/>
                <w:highlight w:val="none"/>
              </w:rPr>
            </w:pPr>
            <w:r>
              <w:rPr>
                <w:rFonts w:ascii="Times New Roman" w:hAnsi="Courier New"/>
                <w:color w:val="auto"/>
                <w:highlight w:val="none"/>
              </w:rPr>
              <w:t>.....</w:t>
            </w: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5437FFF">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392ED0E">
            <w:pPr>
              <w:shd w:val="clear" w:color="auto"/>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915C31E">
            <w:pPr>
              <w:shd w:val="clear" w:color="auto"/>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28D8A22">
            <w:pPr>
              <w:shd w:val="clear" w:color="auto"/>
              <w:rPr>
                <w:rFonts w:ascii="Times New Roman" w:hAnsi="Courier New"/>
                <w:color w:val="auto"/>
                <w:highlight w:val="none"/>
              </w:rPr>
            </w:pPr>
          </w:p>
        </w:tc>
      </w:tr>
    </w:tbl>
    <w:p w14:paraId="2218FF78">
      <w:pPr>
        <w:shd w:val="clear" w:color="auto"/>
        <w:spacing w:line="440" w:lineRule="exact"/>
        <w:jc w:val="center"/>
        <w:rPr>
          <w:rFonts w:ascii="Times New Roman" w:hAnsi="Courier New" w:eastAsia="隶书"/>
          <w:b/>
          <w:color w:val="auto"/>
          <w:sz w:val="48"/>
          <w:szCs w:val="20"/>
          <w:highlight w:val="none"/>
        </w:rPr>
      </w:pPr>
    </w:p>
    <w:p w14:paraId="0A7C717C">
      <w:pPr>
        <w:shd w:val="clear" w:color="auto"/>
        <w:tabs>
          <w:tab w:val="left" w:pos="0"/>
        </w:tabs>
        <w:spacing w:line="360" w:lineRule="auto"/>
        <w:ind w:right="-210"/>
        <w:rPr>
          <w:rFonts w:hint="eastAsia" w:ascii="宋体" w:hAnsi="宋体" w:cs="宋体"/>
          <w:color w:val="auto"/>
          <w:highlight w:val="none"/>
        </w:rPr>
      </w:pPr>
      <w:r>
        <w:rPr>
          <w:rFonts w:hint="eastAsia" w:ascii="宋体" w:hAnsi="宋体" w:cs="宋体"/>
          <w:color w:val="auto"/>
          <w:highlight w:val="none"/>
        </w:rPr>
        <w:t>【备注：附各岗位人员资格证件（如有）及相关证明材料扫描件。以上扫描件均为原件的扫描件】</w:t>
      </w:r>
    </w:p>
    <w:p w14:paraId="4F2961D1">
      <w:pPr>
        <w:shd w:val="clear" w:color="auto"/>
        <w:spacing w:line="440" w:lineRule="exact"/>
        <w:jc w:val="center"/>
        <w:rPr>
          <w:rFonts w:hint="eastAsia" w:ascii="宋体" w:hAnsi="宋体" w:cs="宋体"/>
          <w:b/>
          <w:color w:val="auto"/>
          <w:sz w:val="48"/>
          <w:highlight w:val="none"/>
        </w:rPr>
      </w:pPr>
    </w:p>
    <w:p w14:paraId="4AF84B02">
      <w:pPr>
        <w:shd w:val="clear" w:color="auto"/>
        <w:spacing w:line="360" w:lineRule="auto"/>
        <w:ind w:left="4335" w:hanging="240"/>
        <w:rPr>
          <w:rFonts w:hint="eastAsia" w:ascii="宋体" w:hAnsi="宋体" w:cs="宋体"/>
          <w:color w:val="auto"/>
          <w:sz w:val="24"/>
          <w:highlight w:val="none"/>
        </w:rPr>
      </w:pPr>
      <w:r>
        <w:rPr>
          <w:rFonts w:hint="eastAsia" w:ascii="宋体" w:hAnsi="宋体" w:cs="宋体"/>
          <w:color w:val="auto"/>
          <w:sz w:val="24"/>
          <w:highlight w:val="none"/>
        </w:rPr>
        <w:t>供应商名称（电子签章）：</w:t>
      </w:r>
    </w:p>
    <w:p w14:paraId="0C43ABFD">
      <w:pPr>
        <w:shd w:val="clear" w:color="auto"/>
        <w:spacing w:line="360" w:lineRule="auto"/>
        <w:ind w:firstLine="6480"/>
        <w:rPr>
          <w:rFonts w:hint="eastAsia" w:ascii="宋体" w:hAnsi="宋体" w:cs="宋体"/>
          <w:color w:val="auto"/>
          <w:sz w:val="24"/>
          <w:highlight w:val="none"/>
          <w:lang w:val="zh-CN"/>
        </w:rPr>
      </w:pPr>
      <w:r>
        <w:rPr>
          <w:rFonts w:hint="eastAsia" w:ascii="宋体" w:hAnsi="宋体" w:cs="宋体"/>
          <w:color w:val="auto"/>
          <w:sz w:val="24"/>
          <w:highlight w:val="none"/>
          <w:lang w:val="zh-CN"/>
        </w:rPr>
        <w:t>日期：  年  月   日</w:t>
      </w:r>
    </w:p>
    <w:p w14:paraId="4E82115F">
      <w:pPr>
        <w:shd w:val="clear" w:color="auto"/>
        <w:spacing w:line="440" w:lineRule="exact"/>
        <w:jc w:val="center"/>
        <w:rPr>
          <w:rFonts w:ascii="Times New Roman" w:hAnsi="Courier New" w:eastAsia="隶书"/>
          <w:b/>
          <w:color w:val="auto"/>
          <w:sz w:val="48"/>
          <w:highlight w:val="none"/>
        </w:rPr>
      </w:pPr>
    </w:p>
    <w:p w14:paraId="2EB2C325">
      <w:pPr>
        <w:shd w:val="clear" w:color="auto"/>
        <w:rPr>
          <w:rFonts w:hint="eastAsia" w:ascii="Times New Roman" w:hAnsi="Courier New"/>
          <w:b/>
          <w:color w:val="auto"/>
          <w:sz w:val="32"/>
          <w:highlight w:val="none"/>
        </w:rPr>
      </w:pPr>
      <w:r>
        <w:rPr>
          <w:rFonts w:hint="eastAsia" w:ascii="Times New Roman" w:hAnsi="Courier New"/>
          <w:b/>
          <w:color w:val="auto"/>
          <w:sz w:val="32"/>
          <w:highlight w:val="none"/>
        </w:rPr>
        <w:br w:type="page" w:clear="all"/>
      </w:r>
    </w:p>
    <w:p w14:paraId="755F54C5">
      <w:pPr>
        <w:shd w:val="clear" w:color="auto"/>
        <w:jc w:val="center"/>
        <w:rPr>
          <w:rFonts w:ascii="Times New Roman" w:hAnsi="Courier New"/>
          <w:b/>
          <w:color w:val="auto"/>
          <w:sz w:val="32"/>
          <w:highlight w:val="none"/>
        </w:rPr>
      </w:pPr>
      <w:r>
        <w:rPr>
          <w:rFonts w:hint="eastAsia" w:ascii="Times New Roman" w:hAnsi="Courier New"/>
          <w:b/>
          <w:color w:val="auto"/>
          <w:sz w:val="32"/>
          <w:highlight w:val="none"/>
        </w:rPr>
        <w:t>施工方案或施工组织设计部分包括下列内容</w:t>
      </w:r>
      <w:r>
        <w:rPr>
          <w:rFonts w:hint="eastAsia" w:ascii="Times New Roman" w:hAnsi="Courier New"/>
          <w:b/>
          <w:color w:val="auto"/>
          <w:sz w:val="32"/>
          <w:highlight w:val="none"/>
          <w:lang w:eastAsia="zh-CN"/>
        </w:rPr>
        <w:t>：</w:t>
      </w:r>
    </w:p>
    <w:p w14:paraId="175E56F7">
      <w:pPr>
        <w:shd w:val="clear" w:color="auto"/>
        <w:jc w:val="center"/>
        <w:rPr>
          <w:rFonts w:ascii="Times New Roman" w:hAnsi="Courier New"/>
          <w:b/>
          <w:color w:val="auto"/>
          <w:sz w:val="32"/>
          <w:highlight w:val="none"/>
        </w:rPr>
      </w:pPr>
      <w:r>
        <w:rPr>
          <w:rFonts w:hint="eastAsia" w:ascii="Times New Roman" w:hAnsi="Courier New"/>
          <w:b/>
          <w:color w:val="auto"/>
          <w:sz w:val="32"/>
          <w:highlight w:val="none"/>
        </w:rPr>
        <w:t>（一）施工方案或施工组织设计</w:t>
      </w:r>
    </w:p>
    <w:p w14:paraId="1E80F1B8">
      <w:pPr>
        <w:shd w:val="clear" w:color="auto"/>
        <w:rPr>
          <w:rFonts w:ascii="Times New Roman" w:hAnsi="Courier New"/>
          <w:color w:val="auto"/>
          <w:highlight w:val="none"/>
        </w:rPr>
      </w:pPr>
    </w:p>
    <w:p w14:paraId="5F78BBE2">
      <w:pPr>
        <w:shd w:val="clear" w:color="auto"/>
        <w:ind w:firstLine="420"/>
        <w:rPr>
          <w:rFonts w:hint="eastAsia" w:ascii="宋体" w:hAnsi="宋体" w:eastAsia="宋体" w:cs="宋体"/>
          <w:color w:val="auto"/>
          <w:highlight w:val="none"/>
        </w:rPr>
      </w:pPr>
      <w:r>
        <w:rPr>
          <w:rFonts w:hint="eastAsia" w:ascii="Times New Roman" w:hAnsi="Courier New"/>
          <w:color w:val="auto"/>
          <w:highlight w:val="none"/>
        </w:rPr>
        <w:t>供应商应递交完整的施工方案或施工组织设计，说明各分部分项工程的施工方法和布置，提交</w:t>
      </w:r>
      <w:r>
        <w:rPr>
          <w:rFonts w:hint="eastAsia" w:ascii="Times New Roman" w:hAnsi="Courier New"/>
          <w:color w:val="auto"/>
          <w:highlight w:val="none"/>
          <w:lang w:eastAsia="zh-CN"/>
        </w:rPr>
        <w:t>必需的</w:t>
      </w:r>
      <w:r>
        <w:rPr>
          <w:rFonts w:hint="eastAsia" w:ascii="Times New Roman" w:hAnsi="Courier New"/>
          <w:color w:val="auto"/>
          <w:highlight w:val="none"/>
        </w:rPr>
        <w:t>图表、文字说明书等资料</w:t>
      </w:r>
      <w:r>
        <w:rPr>
          <w:rFonts w:hint="eastAsia" w:ascii="宋体" w:hAnsi="宋体" w:eastAsia="宋体" w:cs="宋体"/>
          <w:color w:val="auto"/>
          <w:highlight w:val="none"/>
        </w:rPr>
        <w:t>。</w:t>
      </w:r>
    </w:p>
    <w:p w14:paraId="7FE1A6CF">
      <w:pPr>
        <w:shd w:val="clear" w:color="auto"/>
        <w:rPr>
          <w:rFonts w:ascii="Times New Roman" w:hAnsi="Courier New"/>
          <w:color w:val="auto"/>
          <w:highlight w:val="none"/>
        </w:rPr>
      </w:pPr>
    </w:p>
    <w:p w14:paraId="7401F942">
      <w:pPr>
        <w:shd w:val="clear" w:color="auto"/>
        <w:jc w:val="center"/>
        <w:rPr>
          <w:rFonts w:ascii="Times New Roman" w:hAnsi="Courier New"/>
          <w:b/>
          <w:color w:val="auto"/>
          <w:sz w:val="32"/>
          <w:highlight w:val="none"/>
        </w:rPr>
      </w:pPr>
      <w:r>
        <w:rPr>
          <w:rFonts w:hint="eastAsia" w:ascii="Times New Roman" w:hAnsi="Courier New"/>
          <w:b/>
          <w:color w:val="auto"/>
          <w:sz w:val="32"/>
          <w:highlight w:val="none"/>
        </w:rPr>
        <w:t>（二）计划开、竣工日期和施工进度表</w:t>
      </w:r>
    </w:p>
    <w:p w14:paraId="3F737AD4">
      <w:pPr>
        <w:shd w:val="clear" w:color="auto"/>
        <w:rPr>
          <w:rFonts w:ascii="Times New Roman" w:hAnsi="Courier New"/>
          <w:color w:val="auto"/>
          <w:highlight w:val="none"/>
        </w:rPr>
      </w:pPr>
    </w:p>
    <w:p w14:paraId="17DD00AC">
      <w:pPr>
        <w:shd w:val="clear" w:color="auto"/>
        <w:ind w:firstLine="420"/>
        <w:rPr>
          <w:rFonts w:ascii="Times New Roman" w:hAnsi="Courier New"/>
          <w:color w:val="auto"/>
          <w:highlight w:val="none"/>
        </w:rPr>
      </w:pPr>
      <w:r>
        <w:rPr>
          <w:rFonts w:hint="eastAsia" w:ascii="Times New Roman" w:hAnsi="Courier New"/>
          <w:color w:val="auto"/>
          <w:highlight w:val="none"/>
        </w:rPr>
        <w:t>供应商应提交初步的施工进度表，说明按竞争性磋商文件要求的工期进行施工的各个关键日期。成交的供应商还要按合同条件有关条款的要求提交详细的施工进度计划。</w:t>
      </w:r>
    </w:p>
    <w:p w14:paraId="0CEFFAA1">
      <w:pPr>
        <w:shd w:val="clear" w:color="auto"/>
        <w:ind w:firstLine="420"/>
        <w:rPr>
          <w:rFonts w:ascii="Times New Roman" w:hAnsi="Courier New"/>
          <w:color w:val="auto"/>
          <w:highlight w:val="none"/>
        </w:rPr>
      </w:pPr>
      <w:r>
        <w:rPr>
          <w:rFonts w:hint="eastAsia" w:ascii="Times New Roman" w:hAnsi="Courier New"/>
          <w:color w:val="auto"/>
          <w:highlight w:val="none"/>
        </w:rPr>
        <w:t>初步施工进度表可采用横道图（或关键线路网络图）表示，说明计划开工日期和各分项工程各阶段的完工日期和分包合同签订的日期。</w:t>
      </w:r>
    </w:p>
    <w:p w14:paraId="18E4BE01">
      <w:pPr>
        <w:shd w:val="clear" w:color="auto"/>
        <w:ind w:firstLine="420"/>
        <w:rPr>
          <w:rFonts w:ascii="Times New Roman" w:hAnsi="Courier New"/>
          <w:color w:val="auto"/>
          <w:highlight w:val="none"/>
        </w:rPr>
      </w:pPr>
      <w:r>
        <w:rPr>
          <w:rFonts w:hint="eastAsia" w:ascii="Times New Roman" w:hAnsi="Courier New"/>
          <w:color w:val="auto"/>
          <w:highlight w:val="none"/>
        </w:rPr>
        <w:t>施工进度计划应与施工方案或施工组织设计相适应。</w:t>
      </w:r>
    </w:p>
    <w:p w14:paraId="4CA87893">
      <w:pPr>
        <w:shd w:val="clear" w:color="auto"/>
        <w:jc w:val="center"/>
        <w:rPr>
          <w:rFonts w:ascii="Times New Roman" w:hAnsi="Courier New"/>
          <w:color w:val="auto"/>
          <w:highlight w:val="none"/>
        </w:rPr>
      </w:pPr>
      <w:r>
        <w:rPr>
          <w:rFonts w:hint="eastAsia" w:ascii="Times New Roman" w:hAnsi="Courier New"/>
          <w:b/>
          <w:color w:val="auto"/>
          <w:sz w:val="32"/>
          <w:highlight w:val="none"/>
        </w:rPr>
        <w:t>（三）劳动力计划表</w:t>
      </w:r>
    </w:p>
    <w:p w14:paraId="2C419354">
      <w:pPr>
        <w:shd w:val="clear" w:color="auto"/>
        <w:ind w:firstLine="420"/>
        <w:rPr>
          <w:rFonts w:ascii="Times New Roman" w:hAnsi="Courier New"/>
          <w:color w:val="auto"/>
          <w:highlight w:val="none"/>
        </w:rPr>
      </w:pPr>
      <w:r>
        <w:rPr>
          <w:rFonts w:hint="eastAsia" w:ascii="Times New Roman" w:hAnsi="Courier New"/>
          <w:color w:val="auto"/>
          <w:highlight w:val="none"/>
        </w:rPr>
        <w:t>供应商应按所列格式提交包括分包人在内的估计的劳动力计划表。本</w:t>
      </w:r>
      <w:r>
        <w:rPr>
          <w:rFonts w:hint="eastAsia" w:ascii="Times New Roman" w:hAnsi="Courier New"/>
          <w:color w:val="auto"/>
          <w:highlight w:val="none"/>
          <w:lang w:eastAsia="zh-CN"/>
        </w:rPr>
        <w:t>计划表</w:t>
      </w:r>
      <w:r>
        <w:rPr>
          <w:rFonts w:hint="eastAsia" w:ascii="Times New Roman" w:hAnsi="Courier New"/>
          <w:color w:val="auto"/>
          <w:highlight w:val="none"/>
        </w:rPr>
        <w:t>以每班八小时工作制为基础。</w:t>
      </w:r>
    </w:p>
    <w:p w14:paraId="089C3C52">
      <w:pPr>
        <w:shd w:val="clear" w:color="auto"/>
        <w:jc w:val="right"/>
        <w:rPr>
          <w:rFonts w:ascii="Times New Roman" w:hAnsi="Courier New"/>
          <w:color w:val="auto"/>
          <w:highlight w:val="none"/>
        </w:rPr>
      </w:pPr>
      <w:r>
        <w:rPr>
          <w:rFonts w:ascii="Times New Roman" w:hAnsi="Courier New"/>
          <w:color w:val="auto"/>
          <w:highlight w:val="none"/>
        </w:rPr>
        <w:t xml:space="preserve">   </w:t>
      </w:r>
      <w:r>
        <w:rPr>
          <w:rFonts w:hint="eastAsia" w:ascii="Times New Roman" w:hAnsi="Courier New"/>
          <w:color w:val="auto"/>
          <w:highlight w:val="none"/>
        </w:rPr>
        <w:t>单位：人</w:t>
      </w:r>
    </w:p>
    <w:tbl>
      <w:tblPr>
        <w:tblStyle w:val="48"/>
        <w:tblW w:w="0" w:type="auto"/>
        <w:jc w:val="center"/>
        <w:tblLayout w:type="fixed"/>
        <w:tblCellMar>
          <w:top w:w="0" w:type="dxa"/>
          <w:left w:w="0" w:type="dxa"/>
          <w:bottom w:w="0" w:type="dxa"/>
          <w:right w:w="0" w:type="dxa"/>
        </w:tblCellMar>
      </w:tblPr>
      <w:tblGrid>
        <w:gridCol w:w="1350"/>
        <w:gridCol w:w="1140"/>
        <w:gridCol w:w="1154"/>
        <w:gridCol w:w="1125"/>
        <w:gridCol w:w="1243"/>
        <w:gridCol w:w="1243"/>
        <w:gridCol w:w="1140"/>
        <w:gridCol w:w="1036"/>
      </w:tblGrid>
      <w:tr w14:paraId="40E9CF43">
        <w:tblPrEx>
          <w:tblCellMar>
            <w:top w:w="0" w:type="dxa"/>
            <w:left w:w="0" w:type="dxa"/>
            <w:bottom w:w="0" w:type="dxa"/>
            <w:right w:w="0" w:type="dxa"/>
          </w:tblCellMar>
        </w:tblPrEx>
        <w:trPr>
          <w:trHeight w:val="365" w:hRule="exact"/>
          <w:jc w:val="center"/>
        </w:trPr>
        <w:tc>
          <w:tcPr>
            <w:tcW w:w="1350" w:type="dxa"/>
            <w:vMerge w:val="restar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6A5CABA">
            <w:pPr>
              <w:shd w:val="clear" w:color="auto"/>
              <w:rPr>
                <w:rFonts w:ascii="Times New Roman" w:hAnsi="Courier New"/>
                <w:color w:val="auto"/>
                <w:highlight w:val="none"/>
              </w:rPr>
            </w:pPr>
            <w:r>
              <w:rPr>
                <w:rFonts w:hint="eastAsia" w:ascii="Times New Roman" w:hAnsi="Courier New"/>
                <w:color w:val="auto"/>
                <w:highlight w:val="none"/>
              </w:rPr>
              <w:t>工种、级别</w:t>
            </w:r>
          </w:p>
        </w:tc>
        <w:tc>
          <w:tcPr>
            <w:tcW w:w="8081" w:type="dxa"/>
            <w:gridSpan w:val="7"/>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8BE8A0">
            <w:pPr>
              <w:shd w:val="clear" w:color="auto"/>
              <w:jc w:val="center"/>
              <w:rPr>
                <w:rFonts w:ascii="Times New Roman" w:hAnsi="Courier New"/>
                <w:color w:val="auto"/>
                <w:highlight w:val="none"/>
              </w:rPr>
            </w:pPr>
            <w:r>
              <w:rPr>
                <w:rFonts w:hint="eastAsia" w:ascii="Times New Roman" w:hAnsi="Courier New"/>
                <w:color w:val="auto"/>
                <w:highlight w:val="none"/>
              </w:rPr>
              <w:t>按工程施工阶段投入劳动力情况</w:t>
            </w:r>
          </w:p>
        </w:tc>
      </w:tr>
      <w:tr w14:paraId="08E2F8C9">
        <w:tblPrEx>
          <w:tblCellMar>
            <w:top w:w="0" w:type="dxa"/>
            <w:left w:w="0" w:type="dxa"/>
            <w:bottom w:w="0" w:type="dxa"/>
            <w:right w:w="0" w:type="dxa"/>
          </w:tblCellMar>
        </w:tblPrEx>
        <w:trPr>
          <w:trHeight w:val="365" w:hRule="exact"/>
          <w:jc w:val="center"/>
        </w:trPr>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6EF41">
            <w:pPr>
              <w:widowControl/>
              <w:shd w:val="clear" w:color="auto"/>
              <w:jc w:val="left"/>
              <w:rPr>
                <w:rFonts w:ascii="Times New Roman" w:hAnsi="Courier New"/>
                <w:color w:val="auto"/>
                <w:highlight w:val="none"/>
              </w:rPr>
            </w:pPr>
          </w:p>
        </w:tc>
        <w:tc>
          <w:tcPr>
            <w:tcW w:w="11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EF757E5">
            <w:pPr>
              <w:shd w:val="clear" w:color="auto"/>
              <w:rPr>
                <w:rFonts w:ascii="Times New Roman" w:hAnsi="Courier New"/>
                <w:color w:val="auto"/>
                <w:highlight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4EE26C0">
            <w:pPr>
              <w:shd w:val="clear" w:color="auto"/>
              <w:rPr>
                <w:rFonts w:ascii="Times New Roman" w:hAnsi="Courier New"/>
                <w:color w:val="auto"/>
                <w:highlight w:val="none"/>
              </w:rPr>
            </w:pPr>
          </w:p>
        </w:tc>
        <w:tc>
          <w:tcPr>
            <w:tcW w:w="11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E340F95">
            <w:pPr>
              <w:shd w:val="clear" w:color="auto"/>
              <w:rPr>
                <w:rFonts w:ascii="Times New Roman" w:hAnsi="Courier New"/>
                <w:color w:val="auto"/>
                <w:highlight w:val="none"/>
              </w:rPr>
            </w:pPr>
          </w:p>
        </w:tc>
        <w:tc>
          <w:tcPr>
            <w:tcW w:w="12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DDDE1CB">
            <w:pPr>
              <w:shd w:val="clear" w:color="auto"/>
              <w:rPr>
                <w:rFonts w:ascii="Times New Roman" w:hAnsi="Courier New"/>
                <w:color w:val="auto"/>
                <w:highlight w:val="none"/>
              </w:rPr>
            </w:pPr>
          </w:p>
        </w:tc>
        <w:tc>
          <w:tcPr>
            <w:tcW w:w="12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E3688F4">
            <w:pPr>
              <w:shd w:val="clear" w:color="auto"/>
              <w:rPr>
                <w:rFonts w:ascii="Times New Roman" w:hAnsi="Courier New"/>
                <w:color w:val="auto"/>
                <w:highlight w:val="none"/>
              </w:rPr>
            </w:pPr>
          </w:p>
        </w:tc>
        <w:tc>
          <w:tcPr>
            <w:tcW w:w="11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093B843">
            <w:pPr>
              <w:shd w:val="clear" w:color="auto"/>
              <w:rPr>
                <w:rFonts w:ascii="Times New Roman" w:hAnsi="Courier New"/>
                <w:color w:val="auto"/>
                <w:highlight w:val="none"/>
              </w:rPr>
            </w:pPr>
          </w:p>
        </w:tc>
        <w:tc>
          <w:tcPr>
            <w:tcW w:w="103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4AEFDE8">
            <w:pPr>
              <w:shd w:val="clear" w:color="auto"/>
              <w:rPr>
                <w:rFonts w:ascii="Times New Roman" w:hAnsi="Courier New"/>
                <w:color w:val="auto"/>
                <w:highlight w:val="none"/>
              </w:rPr>
            </w:pPr>
          </w:p>
        </w:tc>
      </w:tr>
      <w:tr w14:paraId="5927FEBA">
        <w:tblPrEx>
          <w:tblCellMar>
            <w:top w:w="0" w:type="dxa"/>
            <w:left w:w="0" w:type="dxa"/>
            <w:bottom w:w="0" w:type="dxa"/>
            <w:right w:w="0" w:type="dxa"/>
          </w:tblCellMar>
        </w:tblPrEx>
        <w:trPr>
          <w:trHeight w:val="2451" w:hRule="atLeast"/>
          <w:jc w:val="center"/>
        </w:trPr>
        <w:tc>
          <w:tcPr>
            <w:tcW w:w="135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A61273F">
            <w:pPr>
              <w:shd w:val="clear" w:color="auto"/>
              <w:rPr>
                <w:rFonts w:ascii="Times New Roman" w:hAnsi="Courier New"/>
                <w:color w:val="auto"/>
                <w:highlight w:val="none"/>
              </w:rPr>
            </w:pPr>
          </w:p>
        </w:tc>
        <w:tc>
          <w:tcPr>
            <w:tcW w:w="11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B6084B0">
            <w:pPr>
              <w:shd w:val="clear" w:color="auto"/>
              <w:rPr>
                <w:rFonts w:ascii="Times New Roman" w:hAnsi="Courier New"/>
                <w:color w:val="auto"/>
                <w:highlight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2DA9A00">
            <w:pPr>
              <w:shd w:val="clear" w:color="auto"/>
              <w:rPr>
                <w:rFonts w:ascii="Times New Roman" w:hAnsi="Courier New"/>
                <w:color w:val="auto"/>
                <w:highlight w:val="none"/>
              </w:rPr>
            </w:pPr>
          </w:p>
        </w:tc>
        <w:tc>
          <w:tcPr>
            <w:tcW w:w="11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DD831AF">
            <w:pPr>
              <w:shd w:val="clear" w:color="auto"/>
              <w:rPr>
                <w:rFonts w:ascii="Times New Roman" w:hAnsi="Courier New"/>
                <w:color w:val="auto"/>
                <w:highlight w:val="none"/>
              </w:rPr>
            </w:pPr>
          </w:p>
        </w:tc>
        <w:tc>
          <w:tcPr>
            <w:tcW w:w="12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5002D57">
            <w:pPr>
              <w:shd w:val="clear" w:color="auto"/>
              <w:rPr>
                <w:rFonts w:ascii="Times New Roman" w:hAnsi="Courier New"/>
                <w:color w:val="auto"/>
                <w:highlight w:val="none"/>
              </w:rPr>
            </w:pPr>
          </w:p>
        </w:tc>
        <w:tc>
          <w:tcPr>
            <w:tcW w:w="12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1A4CA9C">
            <w:pPr>
              <w:shd w:val="clear" w:color="auto"/>
              <w:rPr>
                <w:rFonts w:ascii="Times New Roman" w:hAnsi="Courier New"/>
                <w:color w:val="auto"/>
                <w:highlight w:val="none"/>
              </w:rPr>
            </w:pPr>
          </w:p>
        </w:tc>
        <w:tc>
          <w:tcPr>
            <w:tcW w:w="11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309EAB1">
            <w:pPr>
              <w:shd w:val="clear" w:color="auto"/>
              <w:rPr>
                <w:rFonts w:ascii="Times New Roman" w:hAnsi="Courier New"/>
                <w:color w:val="auto"/>
                <w:highlight w:val="none"/>
              </w:rPr>
            </w:pPr>
          </w:p>
        </w:tc>
        <w:tc>
          <w:tcPr>
            <w:tcW w:w="103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A161BDB">
            <w:pPr>
              <w:shd w:val="clear" w:color="auto"/>
              <w:rPr>
                <w:rFonts w:ascii="Times New Roman" w:hAnsi="Courier New"/>
                <w:color w:val="auto"/>
                <w:highlight w:val="none"/>
              </w:rPr>
            </w:pPr>
          </w:p>
        </w:tc>
      </w:tr>
    </w:tbl>
    <w:p w14:paraId="55534438">
      <w:pPr>
        <w:shd w:val="clear" w:color="auto"/>
        <w:spacing w:line="440" w:lineRule="exact"/>
        <w:jc w:val="center"/>
        <w:rPr>
          <w:rFonts w:ascii="Times New Roman" w:hAnsi="Courier New" w:eastAsia="隶书"/>
          <w:b/>
          <w:color w:val="auto"/>
          <w:sz w:val="48"/>
          <w:szCs w:val="20"/>
          <w:highlight w:val="none"/>
        </w:rPr>
      </w:pPr>
    </w:p>
    <w:p w14:paraId="1B29EF4F">
      <w:pPr>
        <w:shd w:val="clear" w:color="auto"/>
        <w:spacing w:line="440" w:lineRule="exact"/>
        <w:jc w:val="center"/>
        <w:rPr>
          <w:rFonts w:ascii="Times New Roman" w:hAnsi="Courier New" w:eastAsia="隶书"/>
          <w:b/>
          <w:color w:val="auto"/>
          <w:sz w:val="48"/>
          <w:highlight w:val="none"/>
        </w:rPr>
      </w:pPr>
    </w:p>
    <w:p w14:paraId="0F3059FF">
      <w:pPr>
        <w:shd w:val="clear" w:color="auto"/>
        <w:spacing w:line="360" w:lineRule="auto"/>
        <w:ind w:left="4335" w:hanging="240"/>
        <w:rPr>
          <w:rFonts w:hint="eastAsia" w:ascii="宋体" w:hAnsi="宋体" w:cs="宋体"/>
          <w:color w:val="auto"/>
          <w:sz w:val="24"/>
          <w:highlight w:val="none"/>
        </w:rPr>
      </w:pPr>
      <w:r>
        <w:rPr>
          <w:rFonts w:hint="eastAsia" w:ascii="宋体" w:hAnsi="宋体" w:cs="宋体"/>
          <w:color w:val="auto"/>
          <w:sz w:val="24"/>
          <w:highlight w:val="none"/>
        </w:rPr>
        <w:t>供应商名称（电子签章）：</w:t>
      </w:r>
    </w:p>
    <w:p w14:paraId="37AD6D92">
      <w:pPr>
        <w:shd w:val="clear" w:color="auto"/>
        <w:spacing w:line="360" w:lineRule="auto"/>
        <w:ind w:firstLine="6480"/>
        <w:rPr>
          <w:rFonts w:ascii="Times New Roman" w:hAnsi="Courier New" w:eastAsia="隶书"/>
          <w:b/>
          <w:color w:val="auto"/>
          <w:sz w:val="48"/>
          <w:highlight w:val="none"/>
        </w:rPr>
      </w:pPr>
      <w:r>
        <w:rPr>
          <w:rFonts w:hint="eastAsia" w:ascii="宋体" w:hAnsi="宋体" w:cs="宋体"/>
          <w:color w:val="auto"/>
          <w:sz w:val="24"/>
          <w:highlight w:val="none"/>
          <w:lang w:val="zh-CN"/>
        </w:rPr>
        <w:t>日期：  年  月   日</w:t>
      </w:r>
    </w:p>
    <w:p w14:paraId="477CF4AD">
      <w:pPr>
        <w:shd w:val="clear" w:color="auto"/>
        <w:spacing w:before="158" w:after="50" w:line="360" w:lineRule="auto"/>
        <w:jc w:val="center"/>
        <w:rPr>
          <w:rFonts w:hint="eastAsia" w:ascii="Times New Roman" w:hAnsi="宋体" w:cs="仿宋_GB2312"/>
          <w:b/>
          <w:bCs/>
          <w:color w:val="auto"/>
          <w:sz w:val="32"/>
          <w:szCs w:val="32"/>
          <w:highlight w:val="none"/>
        </w:rPr>
      </w:pPr>
      <w:r>
        <w:rPr>
          <w:rFonts w:ascii="Times New Roman" w:hAnsi="宋体" w:cs="仿宋_GB2312"/>
          <w:color w:val="auto"/>
          <w:sz w:val="24"/>
          <w:highlight w:val="none"/>
        </w:rPr>
        <w:br w:type="page" w:clear="all"/>
      </w:r>
      <w:r>
        <w:rPr>
          <w:rFonts w:hint="eastAsia" w:ascii="Times New Roman" w:hAnsi="宋体"/>
          <w:b/>
          <w:bCs/>
          <w:color w:val="auto"/>
          <w:sz w:val="32"/>
          <w:szCs w:val="32"/>
          <w:highlight w:val="none"/>
        </w:rPr>
        <w:t>响应函及附录（格式）</w:t>
      </w:r>
    </w:p>
    <w:p w14:paraId="70B946B4">
      <w:pPr>
        <w:shd w:val="clear" w:color="auto"/>
        <w:spacing w:line="500" w:lineRule="exact"/>
        <w:jc w:val="center"/>
        <w:rPr>
          <w:rFonts w:ascii="Times New Roman" w:hAnsi="Times New Roman"/>
          <w:b/>
          <w:bCs/>
          <w:color w:val="auto"/>
          <w:sz w:val="30"/>
          <w:szCs w:val="30"/>
          <w:highlight w:val="none"/>
        </w:rPr>
      </w:pPr>
      <w:r>
        <w:rPr>
          <w:rFonts w:hint="eastAsia" w:ascii="Times New Roman" w:hAnsi="Times New Roman"/>
          <w:b/>
          <w:bCs/>
          <w:color w:val="auto"/>
          <w:sz w:val="30"/>
          <w:szCs w:val="30"/>
          <w:highlight w:val="none"/>
        </w:rPr>
        <w:t>（一）响应函</w:t>
      </w:r>
    </w:p>
    <w:p w14:paraId="2F7775B6">
      <w:pPr>
        <w:keepNext w:val="0"/>
        <w:keepLines w:val="0"/>
        <w:pageBreakBefore w:val="0"/>
        <w:widowControl w:val="0"/>
        <w:shd w:val="clear" w:color="auto"/>
        <w:bidi w:val="0"/>
        <w:spacing w:line="44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致：</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（采购代理机构名称）</w:t>
      </w:r>
    </w:p>
    <w:p w14:paraId="77202FD8">
      <w:pPr>
        <w:keepNext w:val="0"/>
        <w:keepLines w:val="0"/>
        <w:pageBreakBefore w:val="0"/>
        <w:widowControl w:val="0"/>
        <w:shd w:val="clear" w:color="auto"/>
        <w:bidi w:val="0"/>
        <w:spacing w:line="440" w:lineRule="exact"/>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我方已仔细阅读了贵方组织的</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项目（项目编号：</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）的竞争性磋商采购文件的全部内容，现正式递交下述文件参加贵方组织的本次政府采购活动： </w:t>
      </w:r>
    </w:p>
    <w:p w14:paraId="7B0DFD61">
      <w:pPr>
        <w:keepNext w:val="0"/>
        <w:keepLines w:val="0"/>
        <w:pageBreakBefore w:val="0"/>
        <w:widowControl w:val="0"/>
        <w:shd w:val="clear" w:color="auto"/>
        <w:bidi w:val="0"/>
        <w:spacing w:line="440" w:lineRule="exact"/>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一、首次报价文件电子版</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份（包含按“第</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rPr>
        <w:t xml:space="preserve">章 </w:t>
      </w:r>
      <w:r>
        <w:rPr>
          <w:rFonts w:hint="eastAsia" w:ascii="宋体" w:hAnsi="宋体" w:cs="宋体"/>
          <w:color w:val="auto"/>
          <w:sz w:val="21"/>
          <w:szCs w:val="21"/>
          <w:highlight w:val="none"/>
          <w:lang w:val="en-US" w:eastAsia="zh-CN"/>
        </w:rPr>
        <w:t>磋商</w:t>
      </w:r>
      <w:r>
        <w:rPr>
          <w:rFonts w:hint="eastAsia" w:ascii="宋体" w:hAnsi="宋体" w:cs="宋体"/>
          <w:color w:val="auto"/>
          <w:sz w:val="21"/>
          <w:szCs w:val="21"/>
          <w:highlight w:val="none"/>
        </w:rPr>
        <w:t>供应商须知”提交的全部文件）；</w:t>
      </w:r>
    </w:p>
    <w:p w14:paraId="33990BE6">
      <w:pPr>
        <w:keepNext w:val="0"/>
        <w:keepLines w:val="0"/>
        <w:pageBreakBefore w:val="0"/>
        <w:widowControl w:val="0"/>
        <w:shd w:val="clear" w:color="auto"/>
        <w:bidi w:val="0"/>
        <w:spacing w:line="440" w:lineRule="exact"/>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二、技术文件电子版</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份（包含按“第</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rPr>
        <w:t xml:space="preserve">章 </w:t>
      </w:r>
      <w:r>
        <w:rPr>
          <w:rFonts w:hint="eastAsia" w:ascii="宋体" w:hAnsi="宋体" w:cs="宋体"/>
          <w:color w:val="auto"/>
          <w:sz w:val="21"/>
          <w:szCs w:val="21"/>
          <w:highlight w:val="none"/>
          <w:lang w:val="en-US" w:eastAsia="zh-CN"/>
        </w:rPr>
        <w:t>磋商</w:t>
      </w:r>
      <w:r>
        <w:rPr>
          <w:rFonts w:hint="eastAsia" w:ascii="宋体" w:hAnsi="宋体" w:cs="宋体"/>
          <w:color w:val="auto"/>
          <w:sz w:val="21"/>
          <w:szCs w:val="21"/>
          <w:highlight w:val="none"/>
        </w:rPr>
        <w:t>供应商须知”提交的全部文件）；商务文件电子版</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份（包含按“第</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rPr>
        <w:t>章 磋商供应商须知”提交的全部文件）；（商务技术文件已合并装订成册）</w:t>
      </w:r>
    </w:p>
    <w:p w14:paraId="7E30E44A">
      <w:pPr>
        <w:keepNext w:val="0"/>
        <w:keepLines w:val="0"/>
        <w:pageBreakBefore w:val="0"/>
        <w:widowControl w:val="0"/>
        <w:shd w:val="clear" w:color="auto"/>
        <w:bidi w:val="0"/>
        <w:spacing w:line="440" w:lineRule="exact"/>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据此函，签字人兹宣布：</w:t>
      </w:r>
    </w:p>
    <w:p w14:paraId="471624EE">
      <w:pPr>
        <w:keepNext w:val="0"/>
        <w:keepLines w:val="0"/>
        <w:pageBreakBefore w:val="0"/>
        <w:widowControl w:val="0"/>
        <w:shd w:val="clear" w:color="auto"/>
        <w:bidi w:val="0"/>
        <w:spacing w:line="440" w:lineRule="exact"/>
        <w:ind w:firstLine="535"/>
        <w:rPr>
          <w:rFonts w:hint="eastAsia" w:ascii="宋体" w:hAnsi="宋体" w:cs="宋体"/>
          <w:color w:val="auto"/>
          <w:sz w:val="21"/>
          <w:szCs w:val="21"/>
          <w:highlight w:val="none"/>
        </w:rPr>
      </w:pPr>
      <w:r>
        <w:rPr>
          <w:rFonts w:hint="eastAsia" w:ascii="宋体" w:hAnsi="宋体" w:cs="宋体"/>
          <w:color w:val="auto"/>
          <w:spacing w:val="2"/>
          <w:sz w:val="21"/>
          <w:szCs w:val="21"/>
          <w:highlight w:val="none"/>
          <w:lang w:eastAsia="zh-CN"/>
        </w:rPr>
        <w:t>1.</w:t>
      </w:r>
      <w:r>
        <w:rPr>
          <w:rFonts w:hint="eastAsia" w:ascii="宋体" w:hAnsi="宋体" w:cs="宋体"/>
          <w:color w:val="auto"/>
          <w:spacing w:val="8"/>
          <w:sz w:val="21"/>
          <w:szCs w:val="21"/>
          <w:highlight w:val="none"/>
        </w:rPr>
        <w:t>我单位经考察现场和研究上述工程竞争性磋商文件的</w:t>
      </w:r>
      <w:r>
        <w:rPr>
          <w:rFonts w:hint="eastAsia" w:ascii="宋体" w:hAnsi="宋体" w:cs="宋体"/>
          <w:color w:val="auto"/>
          <w:sz w:val="21"/>
          <w:szCs w:val="21"/>
          <w:highlight w:val="none"/>
        </w:rPr>
        <w:t>磋商</w:t>
      </w:r>
      <w:r>
        <w:rPr>
          <w:rFonts w:hint="eastAsia" w:ascii="宋体" w:hAnsi="宋体" w:cs="宋体"/>
          <w:color w:val="auto"/>
          <w:spacing w:val="8"/>
          <w:sz w:val="21"/>
          <w:szCs w:val="21"/>
          <w:highlight w:val="none"/>
        </w:rPr>
        <w:t>须知、合同条件、技术规范、图纸和其他有关文件后，我方承接本项目</w:t>
      </w:r>
      <w:r>
        <w:rPr>
          <w:rFonts w:hint="eastAsia" w:ascii="宋体" w:hAnsi="宋体" w:cs="宋体"/>
          <w:color w:val="auto"/>
          <w:spacing w:val="8"/>
          <w:sz w:val="21"/>
          <w:szCs w:val="21"/>
          <w:highlight w:val="none"/>
          <w:u w:val="single"/>
        </w:rPr>
        <w:t xml:space="preserve">    </w:t>
      </w:r>
      <w:r>
        <w:rPr>
          <w:rFonts w:hint="eastAsia" w:ascii="宋体" w:hAnsi="宋体" w:cs="宋体"/>
          <w:color w:val="auto"/>
          <w:spacing w:val="8"/>
          <w:sz w:val="21"/>
          <w:szCs w:val="21"/>
          <w:highlight w:val="none"/>
        </w:rPr>
        <w:t>分标（如有）</w:t>
      </w:r>
      <w:r>
        <w:rPr>
          <w:rFonts w:hint="eastAsia" w:ascii="宋体" w:hAnsi="宋体" w:cs="宋体"/>
          <w:color w:val="auto"/>
          <w:sz w:val="21"/>
          <w:szCs w:val="21"/>
          <w:highlight w:val="none"/>
        </w:rPr>
        <w:t>（</w:t>
      </w:r>
      <w:r>
        <w:rPr>
          <w:rFonts w:hint="eastAsia" w:ascii="宋体" w:hAnsi="宋体" w:cs="宋体"/>
          <w:color w:val="auto"/>
          <w:sz w:val="21"/>
          <w:szCs w:val="21"/>
          <w:highlight w:val="none"/>
          <w:u w:val="single"/>
        </w:rPr>
        <w:t xml:space="preserve">   分标名称   </w:t>
      </w:r>
      <w:r>
        <w:rPr>
          <w:rFonts w:hint="eastAsia" w:ascii="宋体" w:hAnsi="宋体" w:cs="宋体"/>
          <w:color w:val="auto"/>
          <w:sz w:val="21"/>
          <w:szCs w:val="21"/>
          <w:highlight w:val="none"/>
        </w:rPr>
        <w:t>）</w:t>
      </w:r>
      <w:r>
        <w:rPr>
          <w:rFonts w:hint="eastAsia" w:ascii="宋体" w:hAnsi="宋体" w:cs="宋体"/>
          <w:color w:val="auto"/>
          <w:spacing w:val="8"/>
          <w:sz w:val="21"/>
          <w:szCs w:val="21"/>
          <w:highlight w:val="none"/>
        </w:rPr>
        <w:t>磋商报价为人民币</w:t>
      </w:r>
      <w:r>
        <w:rPr>
          <w:rFonts w:hint="eastAsia" w:ascii="宋体" w:hAnsi="宋体" w:cs="宋体"/>
          <w:color w:val="auto"/>
          <w:spacing w:val="8"/>
          <w:sz w:val="21"/>
          <w:szCs w:val="21"/>
          <w:highlight w:val="none"/>
          <w:u w:val="single"/>
        </w:rPr>
        <w:t xml:space="preserve">   （大写）   </w:t>
      </w:r>
      <w:r>
        <w:rPr>
          <w:rFonts w:hint="eastAsia" w:ascii="宋体" w:hAnsi="宋体" w:cs="宋体"/>
          <w:color w:val="auto"/>
          <w:spacing w:val="8"/>
          <w:sz w:val="21"/>
          <w:szCs w:val="21"/>
          <w:highlight w:val="none"/>
        </w:rPr>
        <w:t>（</w:t>
      </w:r>
      <w:r>
        <w:rPr>
          <w:rFonts w:hint="eastAsia" w:ascii="宋体" w:hAnsi="宋体" w:cs="宋体"/>
          <w:color w:val="auto"/>
          <w:spacing w:val="8"/>
          <w:sz w:val="21"/>
          <w:szCs w:val="21"/>
          <w:highlight w:val="none"/>
          <w:lang w:val="en-US" w:eastAsia="zh-CN"/>
        </w:rPr>
        <w:t>¥</w:t>
      </w:r>
      <w:r>
        <w:rPr>
          <w:rFonts w:hint="eastAsia" w:ascii="宋体" w:hAnsi="宋体" w:cs="宋体"/>
          <w:color w:val="auto"/>
          <w:sz w:val="21"/>
          <w:szCs w:val="21"/>
          <w:highlight w:val="none"/>
          <w:u w:val="single"/>
        </w:rPr>
        <w:t xml:space="preserve">       </w:t>
      </w:r>
      <w:r>
        <w:rPr>
          <w:rFonts w:hint="eastAsia" w:ascii="宋体" w:hAnsi="宋体" w:cs="宋体"/>
          <w:color w:val="auto"/>
          <w:spacing w:val="8"/>
          <w:sz w:val="21"/>
          <w:szCs w:val="21"/>
          <w:highlight w:val="none"/>
        </w:rPr>
        <w:t>）</w:t>
      </w:r>
      <w:r>
        <w:rPr>
          <w:rFonts w:hint="eastAsia" w:ascii="宋体" w:hAnsi="宋体" w:cs="宋体"/>
          <w:color w:val="auto"/>
          <w:sz w:val="21"/>
          <w:szCs w:val="21"/>
          <w:highlight w:val="none"/>
        </w:rPr>
        <w:t>，工期</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日历天</w:t>
      </w:r>
      <w:r>
        <w:rPr>
          <w:rFonts w:hint="eastAsia" w:ascii="宋体" w:hAnsi="宋体" w:cs="宋体"/>
          <w:color w:val="auto"/>
          <w:spacing w:val="8"/>
          <w:sz w:val="21"/>
          <w:szCs w:val="21"/>
          <w:highlight w:val="none"/>
        </w:rPr>
        <w:t>。</w:t>
      </w:r>
      <w:r>
        <w:rPr>
          <w:rFonts w:hint="eastAsia" w:ascii="宋体" w:hAnsi="宋体" w:cs="宋体"/>
          <w:color w:val="auto"/>
          <w:sz w:val="21"/>
          <w:szCs w:val="21"/>
          <w:highlight w:val="none"/>
        </w:rPr>
        <w:t>按上述合同条件、技术规范、图纸的条件承包本采购范围内全部工程的施工、竣工和保修，保证工程质量</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，并承担任何质量缺陷保修责任，完成合同的责任及义务。</w:t>
      </w:r>
    </w:p>
    <w:p w14:paraId="5790D927">
      <w:pPr>
        <w:keepNext w:val="0"/>
        <w:keepLines w:val="0"/>
        <w:pageBreakBefore w:val="0"/>
        <w:widowControl w:val="0"/>
        <w:shd w:val="clear" w:color="auto"/>
        <w:bidi w:val="0"/>
        <w:spacing w:line="440" w:lineRule="exact"/>
        <w:ind w:firstLine="482"/>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2.</w:t>
      </w:r>
      <w:r>
        <w:rPr>
          <w:rFonts w:hint="eastAsia" w:ascii="宋体" w:hAnsi="宋体" w:cs="宋体"/>
          <w:color w:val="auto"/>
          <w:sz w:val="21"/>
          <w:szCs w:val="21"/>
          <w:highlight w:val="none"/>
        </w:rPr>
        <w:t>我方同意自本项目竞争性磋商采购文件采购公告规定的递交响应文件截止时间起遵循本响应函，并承诺在“第</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rPr>
        <w:t>章 磋商供应商须知”规定的响应有效期内不修改、撤销响应文件。</w:t>
      </w:r>
    </w:p>
    <w:p w14:paraId="1986C46B">
      <w:pPr>
        <w:keepNext w:val="0"/>
        <w:keepLines w:val="0"/>
        <w:pageBreakBefore w:val="0"/>
        <w:widowControl w:val="0"/>
        <w:shd w:val="clear" w:color="auto"/>
        <w:bidi w:val="0"/>
        <w:spacing w:line="440" w:lineRule="exact"/>
        <w:ind w:firstLine="482"/>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3.</w:t>
      </w:r>
      <w:r>
        <w:rPr>
          <w:rFonts w:hint="eastAsia" w:ascii="宋体" w:hAnsi="宋体" w:cs="宋体"/>
          <w:color w:val="auto"/>
          <w:sz w:val="21"/>
          <w:szCs w:val="21"/>
          <w:highlight w:val="none"/>
        </w:rPr>
        <w:t>我方在此声明，所递交的响应文件及有关资料内容完整、真实和准确。</w:t>
      </w:r>
    </w:p>
    <w:p w14:paraId="1FA5E8FF">
      <w:pPr>
        <w:keepNext w:val="0"/>
        <w:keepLines w:val="0"/>
        <w:pageBreakBefore w:val="0"/>
        <w:widowControl w:val="0"/>
        <w:shd w:val="clear" w:color="auto"/>
        <w:bidi w:val="0"/>
        <w:spacing w:line="440" w:lineRule="exact"/>
        <w:ind w:firstLine="482"/>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4.</w:t>
      </w:r>
      <w:r>
        <w:rPr>
          <w:rFonts w:hint="eastAsia" w:ascii="宋体" w:hAnsi="宋体" w:cs="宋体"/>
          <w:color w:val="auto"/>
          <w:sz w:val="21"/>
          <w:szCs w:val="21"/>
          <w:highlight w:val="none"/>
        </w:rPr>
        <w:t>如本项目采购内容涉及须符合国家强制规定的，我方承诺我方本次竞标均符合国家有关强制规定。</w:t>
      </w:r>
    </w:p>
    <w:p w14:paraId="4AD2C11F">
      <w:pPr>
        <w:keepNext w:val="0"/>
        <w:keepLines w:val="0"/>
        <w:pageBreakBefore w:val="0"/>
        <w:widowControl w:val="0"/>
        <w:shd w:val="clear" w:color="auto"/>
        <w:bidi w:val="0"/>
        <w:spacing w:line="440" w:lineRule="exact"/>
        <w:ind w:firstLine="482"/>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5.</w:t>
      </w:r>
      <w:r>
        <w:rPr>
          <w:rFonts w:hint="eastAsia" w:ascii="宋体" w:hAnsi="宋体" w:cs="宋体"/>
          <w:color w:val="auto"/>
          <w:sz w:val="21"/>
          <w:szCs w:val="21"/>
          <w:highlight w:val="none"/>
        </w:rPr>
        <w:t>我方承诺未被列入失信被执行人、</w:t>
      </w:r>
      <w:r>
        <w:rPr>
          <w:rFonts w:hint="eastAsia" w:ascii="宋体" w:hAnsi="宋体" w:cs="宋体"/>
          <w:color w:val="auto"/>
          <w:sz w:val="21"/>
          <w:szCs w:val="21"/>
        </w:rPr>
        <w:t>重大税收违法案件当事人名单</w:t>
      </w:r>
      <w:r>
        <w:rPr>
          <w:rFonts w:hint="eastAsia" w:ascii="宋体" w:hAnsi="宋体" w:cs="宋体"/>
          <w:color w:val="auto"/>
          <w:sz w:val="21"/>
          <w:szCs w:val="21"/>
          <w:highlight w:val="none"/>
        </w:rPr>
        <w:t>、政府采购严重违法失信行为记录名单，并已经具备《中华人民共和国政府采购法》中规定的参加政府采购活动的供应商应当具备的条件：</w:t>
      </w:r>
    </w:p>
    <w:p w14:paraId="1BC5BB84">
      <w:pPr>
        <w:keepNext w:val="0"/>
        <w:keepLines w:val="0"/>
        <w:pageBreakBefore w:val="0"/>
        <w:widowControl w:val="0"/>
        <w:numPr>
          <w:ilvl w:val="0"/>
          <w:numId w:val="0"/>
        </w:numPr>
        <w:shd w:val="clear" w:color="auto"/>
        <w:tabs>
          <w:tab w:val="left" w:pos="945"/>
        </w:tabs>
        <w:bidi w:val="0"/>
        <w:spacing w:line="440" w:lineRule="exact"/>
        <w:ind w:left="1140" w:hanging="720"/>
        <w:rPr>
          <w:rFonts w:hint="eastAsia" w:ascii="宋体" w:hAnsi="宋体" w:cs="宋体"/>
          <w:color w:val="auto"/>
          <w:sz w:val="21"/>
          <w:szCs w:val="21"/>
          <w:highlight w:val="none"/>
        </w:rPr>
      </w:pPr>
      <w:r>
        <w:rPr>
          <w:rFonts w:hint="eastAsia" w:ascii="宋体" w:hAnsi="宋体" w:eastAsia="宋体" w:cs="宋体"/>
          <w:color w:val="auto"/>
          <w:sz w:val="21"/>
          <w:szCs w:val="21"/>
          <w:highlight w:val="none"/>
          <w:lang w:val="en-US" w:eastAsia="zh-CN" w:bidi="ar-SA"/>
        </w:rPr>
        <w:t>（1）</w:t>
      </w:r>
      <w:r>
        <w:rPr>
          <w:rFonts w:hint="eastAsia" w:ascii="宋体" w:hAnsi="宋体" w:cs="宋体"/>
          <w:color w:val="auto"/>
          <w:sz w:val="21"/>
          <w:szCs w:val="21"/>
          <w:highlight w:val="none"/>
        </w:rPr>
        <w:t>具有独立承担民事责任的能力；</w:t>
      </w:r>
    </w:p>
    <w:p w14:paraId="5B9E7331">
      <w:pPr>
        <w:keepNext w:val="0"/>
        <w:keepLines w:val="0"/>
        <w:pageBreakBefore w:val="0"/>
        <w:widowControl w:val="0"/>
        <w:numPr>
          <w:ilvl w:val="0"/>
          <w:numId w:val="0"/>
        </w:numPr>
        <w:shd w:val="clear" w:color="auto"/>
        <w:tabs>
          <w:tab w:val="left" w:pos="945"/>
        </w:tabs>
        <w:bidi w:val="0"/>
        <w:spacing w:line="440" w:lineRule="exact"/>
        <w:ind w:left="1140" w:hanging="720"/>
        <w:rPr>
          <w:rFonts w:hint="eastAsia" w:ascii="宋体" w:hAnsi="宋体" w:cs="宋体"/>
          <w:color w:val="auto"/>
          <w:sz w:val="21"/>
          <w:szCs w:val="21"/>
          <w:highlight w:val="none"/>
        </w:rPr>
      </w:pPr>
      <w:r>
        <w:rPr>
          <w:rFonts w:hint="eastAsia" w:ascii="宋体" w:hAnsi="宋体" w:eastAsia="宋体" w:cs="宋体"/>
          <w:color w:val="auto"/>
          <w:sz w:val="21"/>
          <w:szCs w:val="21"/>
          <w:highlight w:val="none"/>
          <w:lang w:val="en-US" w:eastAsia="zh-CN" w:bidi="ar-SA"/>
        </w:rPr>
        <w:t>（2）</w:t>
      </w:r>
      <w:r>
        <w:rPr>
          <w:rFonts w:hint="eastAsia" w:ascii="宋体" w:hAnsi="宋体" w:cs="宋体"/>
          <w:color w:val="auto"/>
          <w:sz w:val="21"/>
          <w:szCs w:val="21"/>
          <w:highlight w:val="none"/>
        </w:rPr>
        <w:t>具有良好的商业信誉和健全的财务会计制度；</w:t>
      </w:r>
    </w:p>
    <w:p w14:paraId="014124E0">
      <w:pPr>
        <w:keepNext w:val="0"/>
        <w:keepLines w:val="0"/>
        <w:pageBreakBefore w:val="0"/>
        <w:widowControl w:val="0"/>
        <w:numPr>
          <w:ilvl w:val="0"/>
          <w:numId w:val="0"/>
        </w:numPr>
        <w:shd w:val="clear" w:color="auto"/>
        <w:tabs>
          <w:tab w:val="left" w:pos="945"/>
        </w:tabs>
        <w:bidi w:val="0"/>
        <w:spacing w:line="440" w:lineRule="exact"/>
        <w:ind w:left="1140" w:hanging="720"/>
        <w:rPr>
          <w:rFonts w:hint="eastAsia" w:ascii="宋体" w:hAnsi="宋体" w:cs="宋体"/>
          <w:color w:val="auto"/>
          <w:sz w:val="21"/>
          <w:szCs w:val="21"/>
          <w:highlight w:val="none"/>
        </w:rPr>
      </w:pPr>
      <w:r>
        <w:rPr>
          <w:rFonts w:hint="eastAsia" w:ascii="宋体" w:hAnsi="宋体" w:eastAsia="宋体" w:cs="宋体"/>
          <w:color w:val="auto"/>
          <w:sz w:val="21"/>
          <w:szCs w:val="21"/>
          <w:highlight w:val="none"/>
          <w:lang w:val="en-US" w:eastAsia="zh-CN" w:bidi="ar-SA"/>
        </w:rPr>
        <w:t>（3）</w:t>
      </w:r>
      <w:r>
        <w:rPr>
          <w:rFonts w:hint="eastAsia" w:ascii="宋体" w:hAnsi="宋体" w:cs="宋体"/>
          <w:color w:val="auto"/>
          <w:sz w:val="21"/>
          <w:szCs w:val="21"/>
          <w:highlight w:val="none"/>
        </w:rPr>
        <w:t>具有履行合同所必需的设备和专业技术能力；</w:t>
      </w:r>
    </w:p>
    <w:p w14:paraId="1698374D">
      <w:pPr>
        <w:keepNext w:val="0"/>
        <w:keepLines w:val="0"/>
        <w:pageBreakBefore w:val="0"/>
        <w:widowControl w:val="0"/>
        <w:numPr>
          <w:ilvl w:val="0"/>
          <w:numId w:val="0"/>
        </w:numPr>
        <w:shd w:val="clear" w:color="auto"/>
        <w:tabs>
          <w:tab w:val="left" w:pos="945"/>
        </w:tabs>
        <w:bidi w:val="0"/>
        <w:spacing w:line="440" w:lineRule="exact"/>
        <w:ind w:left="1140" w:hanging="720"/>
        <w:rPr>
          <w:rFonts w:hint="eastAsia" w:ascii="宋体" w:hAnsi="宋体" w:cs="宋体"/>
          <w:color w:val="auto"/>
          <w:sz w:val="21"/>
          <w:szCs w:val="21"/>
          <w:highlight w:val="none"/>
        </w:rPr>
      </w:pPr>
      <w:r>
        <w:rPr>
          <w:rFonts w:hint="eastAsia" w:ascii="宋体" w:hAnsi="宋体" w:eastAsia="宋体" w:cs="宋体"/>
          <w:color w:val="auto"/>
          <w:sz w:val="21"/>
          <w:szCs w:val="21"/>
          <w:highlight w:val="none"/>
          <w:lang w:val="en-US" w:eastAsia="zh-CN" w:bidi="ar-SA"/>
        </w:rPr>
        <w:t>（4）</w:t>
      </w:r>
      <w:r>
        <w:rPr>
          <w:rFonts w:hint="eastAsia" w:ascii="宋体" w:hAnsi="宋体" w:cs="宋体"/>
          <w:color w:val="auto"/>
          <w:sz w:val="21"/>
          <w:szCs w:val="21"/>
          <w:highlight w:val="none"/>
        </w:rPr>
        <w:t>有依法缴纳税收和社会保障资金的良好记录；</w:t>
      </w:r>
    </w:p>
    <w:p w14:paraId="2DF5AF38">
      <w:pPr>
        <w:keepNext w:val="0"/>
        <w:keepLines w:val="0"/>
        <w:pageBreakBefore w:val="0"/>
        <w:widowControl w:val="0"/>
        <w:numPr>
          <w:ilvl w:val="0"/>
          <w:numId w:val="0"/>
        </w:numPr>
        <w:shd w:val="clear" w:color="auto"/>
        <w:tabs>
          <w:tab w:val="left" w:pos="945"/>
        </w:tabs>
        <w:bidi w:val="0"/>
        <w:spacing w:line="440" w:lineRule="exact"/>
        <w:ind w:left="1140" w:hanging="720"/>
        <w:rPr>
          <w:rFonts w:hint="eastAsia" w:ascii="宋体" w:hAnsi="宋体" w:cs="宋体"/>
          <w:color w:val="auto"/>
          <w:sz w:val="21"/>
          <w:szCs w:val="21"/>
          <w:highlight w:val="none"/>
        </w:rPr>
      </w:pPr>
      <w:r>
        <w:rPr>
          <w:rFonts w:hint="eastAsia" w:ascii="宋体" w:hAnsi="宋体" w:eastAsia="宋体" w:cs="宋体"/>
          <w:color w:val="auto"/>
          <w:sz w:val="21"/>
          <w:szCs w:val="21"/>
          <w:highlight w:val="none"/>
          <w:lang w:val="en-US" w:eastAsia="zh-CN" w:bidi="ar-SA"/>
        </w:rPr>
        <w:t>（5）</w:t>
      </w:r>
      <w:r>
        <w:rPr>
          <w:rFonts w:hint="eastAsia" w:ascii="宋体" w:hAnsi="宋体" w:cs="宋体"/>
          <w:color w:val="auto"/>
          <w:sz w:val="21"/>
          <w:szCs w:val="21"/>
          <w:highlight w:val="none"/>
        </w:rPr>
        <w:t>参加政府采购活动前三年内，在经营活动中没有重大违法记录；</w:t>
      </w:r>
    </w:p>
    <w:p w14:paraId="44E62BBD">
      <w:pPr>
        <w:keepNext w:val="0"/>
        <w:keepLines w:val="0"/>
        <w:pageBreakBefore w:val="0"/>
        <w:widowControl w:val="0"/>
        <w:numPr>
          <w:ilvl w:val="0"/>
          <w:numId w:val="0"/>
        </w:numPr>
        <w:shd w:val="clear" w:color="auto"/>
        <w:tabs>
          <w:tab w:val="left" w:pos="945"/>
        </w:tabs>
        <w:bidi w:val="0"/>
        <w:spacing w:line="440" w:lineRule="exact"/>
        <w:ind w:left="1140" w:hanging="720"/>
        <w:rPr>
          <w:rFonts w:hint="eastAsia" w:ascii="宋体" w:hAnsi="宋体" w:cs="宋体"/>
          <w:color w:val="auto"/>
          <w:sz w:val="21"/>
          <w:szCs w:val="21"/>
          <w:highlight w:val="none"/>
        </w:rPr>
      </w:pPr>
      <w:r>
        <w:rPr>
          <w:rFonts w:hint="eastAsia" w:ascii="宋体" w:hAnsi="宋体" w:eastAsia="宋体" w:cs="宋体"/>
          <w:color w:val="auto"/>
          <w:sz w:val="21"/>
          <w:szCs w:val="21"/>
          <w:highlight w:val="none"/>
          <w:lang w:val="en-US" w:eastAsia="zh-CN" w:bidi="ar-SA"/>
        </w:rPr>
        <w:t>（6）</w:t>
      </w:r>
      <w:r>
        <w:rPr>
          <w:rFonts w:hint="eastAsia" w:ascii="宋体" w:hAnsi="宋体" w:cs="宋体"/>
          <w:color w:val="auto"/>
          <w:sz w:val="21"/>
          <w:szCs w:val="21"/>
          <w:highlight w:val="none"/>
        </w:rPr>
        <w:t>法律、行政法规规定的其他条件。</w:t>
      </w:r>
    </w:p>
    <w:p w14:paraId="15E6905D">
      <w:pPr>
        <w:keepNext w:val="0"/>
        <w:keepLines w:val="0"/>
        <w:pageBreakBefore w:val="0"/>
        <w:widowControl w:val="0"/>
        <w:shd w:val="clear" w:color="auto"/>
        <w:bidi w:val="0"/>
        <w:spacing w:line="440" w:lineRule="exact"/>
        <w:ind w:firstLine="482"/>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6.</w:t>
      </w:r>
      <w:r>
        <w:rPr>
          <w:rFonts w:hint="eastAsia" w:ascii="宋体" w:hAnsi="宋体" w:cs="宋体"/>
          <w:color w:val="auto"/>
          <w:sz w:val="21"/>
          <w:szCs w:val="21"/>
          <w:highlight w:val="none"/>
        </w:rPr>
        <w:t>如我方成交，我方承诺在收到成交通知书后，在成交通知书规定的期限内，根据竞争性磋商采购文件、我方的响应文件及有关澄清承诺书的要求按第</w:t>
      </w:r>
      <w:r>
        <w:rPr>
          <w:rFonts w:hint="eastAsia" w:ascii="宋体" w:hAnsi="宋体" w:cs="宋体"/>
          <w:color w:val="auto"/>
          <w:sz w:val="21"/>
          <w:szCs w:val="21"/>
          <w:highlight w:val="none"/>
          <w:lang w:val="en-US" w:eastAsia="zh-CN"/>
        </w:rPr>
        <w:t>五</w:t>
      </w:r>
      <w:r>
        <w:rPr>
          <w:rFonts w:hint="eastAsia" w:ascii="宋体" w:hAnsi="宋体" w:cs="宋体"/>
          <w:color w:val="auto"/>
          <w:sz w:val="21"/>
          <w:szCs w:val="21"/>
          <w:highlight w:val="none"/>
        </w:rPr>
        <w:t>章“合同文本”与采购人订立书面合同，并按照合同约定承担完成合同的责任和义务。</w:t>
      </w:r>
    </w:p>
    <w:p w14:paraId="3C487913">
      <w:pPr>
        <w:keepNext w:val="0"/>
        <w:keepLines w:val="0"/>
        <w:pageBreakBefore w:val="0"/>
        <w:widowControl w:val="0"/>
        <w:shd w:val="clear" w:color="auto"/>
        <w:bidi w:val="0"/>
        <w:spacing w:line="440" w:lineRule="exact"/>
        <w:ind w:firstLine="482"/>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7.</w:t>
      </w:r>
      <w:r>
        <w:rPr>
          <w:rFonts w:hint="eastAsia" w:ascii="宋体" w:hAnsi="宋体" w:cs="宋体"/>
          <w:color w:val="auto"/>
          <w:sz w:val="21"/>
          <w:szCs w:val="21"/>
          <w:highlight w:val="none"/>
        </w:rPr>
        <w:t>我方已详细审核竞争性磋商采购文件，我方知道必须放弃提出含糊不清或误解问题的权利。</w:t>
      </w:r>
    </w:p>
    <w:p w14:paraId="5E18BC4D">
      <w:pPr>
        <w:keepNext w:val="0"/>
        <w:keepLines w:val="0"/>
        <w:pageBreakBefore w:val="0"/>
        <w:widowControl w:val="0"/>
        <w:shd w:val="clear" w:color="auto"/>
        <w:bidi w:val="0"/>
        <w:spacing w:line="440" w:lineRule="exact"/>
        <w:ind w:firstLine="482"/>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8.</w:t>
      </w:r>
      <w:r>
        <w:rPr>
          <w:rFonts w:hint="eastAsia" w:ascii="宋体" w:hAnsi="宋体" w:cs="宋体"/>
          <w:color w:val="auto"/>
          <w:sz w:val="21"/>
          <w:szCs w:val="21"/>
          <w:highlight w:val="none"/>
        </w:rPr>
        <w:t>我方承诺满足竞争性磋商采购文件第五章“合同文本”的条款，承担完成合同的责任和义务。</w:t>
      </w:r>
    </w:p>
    <w:p w14:paraId="62208CD5">
      <w:pPr>
        <w:keepNext w:val="0"/>
        <w:keepLines w:val="0"/>
        <w:pageBreakBefore w:val="0"/>
        <w:widowControl w:val="0"/>
        <w:shd w:val="clear" w:color="auto"/>
        <w:bidi w:val="0"/>
        <w:spacing w:line="440" w:lineRule="exact"/>
        <w:ind w:firstLine="482"/>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9.</w:t>
      </w:r>
      <w:r>
        <w:rPr>
          <w:rFonts w:hint="eastAsia" w:ascii="宋体" w:hAnsi="宋体" w:cs="宋体"/>
          <w:color w:val="auto"/>
          <w:sz w:val="21"/>
          <w:szCs w:val="21"/>
          <w:highlight w:val="none"/>
        </w:rPr>
        <w:t>我方同意应贵方要求提供与</w:t>
      </w:r>
      <w:r>
        <w:rPr>
          <w:rFonts w:hint="eastAsia" w:ascii="宋体" w:hAnsi="宋体" w:cs="宋体"/>
          <w:color w:val="auto"/>
          <w:sz w:val="21"/>
          <w:szCs w:val="21"/>
          <w:highlight w:val="none"/>
          <w:lang w:eastAsia="zh-CN"/>
        </w:rPr>
        <w:t>本次</w:t>
      </w:r>
      <w:r>
        <w:rPr>
          <w:rFonts w:hint="eastAsia" w:ascii="宋体" w:hAnsi="宋体" w:cs="宋体"/>
          <w:color w:val="auto"/>
          <w:sz w:val="21"/>
          <w:szCs w:val="21"/>
          <w:highlight w:val="none"/>
        </w:rPr>
        <w:t>竞标有关的任何数据或资料。若贵方需要，我方愿意提供我方作出的一切承诺的证明材料。</w:t>
      </w:r>
    </w:p>
    <w:p w14:paraId="51F9B3C7">
      <w:pPr>
        <w:keepNext w:val="0"/>
        <w:keepLines w:val="0"/>
        <w:pageBreakBefore w:val="0"/>
        <w:widowControl w:val="0"/>
        <w:shd w:val="clear" w:color="auto"/>
        <w:bidi w:val="0"/>
        <w:spacing w:line="440" w:lineRule="exact"/>
        <w:ind w:firstLine="482"/>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10.</w:t>
      </w:r>
      <w:r>
        <w:rPr>
          <w:rFonts w:hint="eastAsia" w:ascii="宋体" w:hAnsi="宋体" w:cs="宋体"/>
          <w:color w:val="auto"/>
          <w:sz w:val="21"/>
          <w:szCs w:val="21"/>
          <w:highlight w:val="none"/>
        </w:rPr>
        <w:t>我方完全理解贵方不一定接受响应报价最低的竞标人为成交供应商的行为。</w:t>
      </w:r>
    </w:p>
    <w:p w14:paraId="193D30B1">
      <w:pPr>
        <w:keepNext w:val="0"/>
        <w:keepLines w:val="0"/>
        <w:pageBreakBefore w:val="0"/>
        <w:widowControl w:val="0"/>
        <w:shd w:val="clear" w:color="auto"/>
        <w:bidi w:val="0"/>
        <w:spacing w:line="440" w:lineRule="exact"/>
        <w:ind w:firstLine="482"/>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11.</w:t>
      </w:r>
      <w:r>
        <w:rPr>
          <w:rFonts w:hint="eastAsia" w:ascii="宋体" w:hAnsi="宋体" w:cs="宋体"/>
          <w:color w:val="auto"/>
          <w:sz w:val="21"/>
          <w:szCs w:val="21"/>
          <w:highlight w:val="none"/>
        </w:rPr>
        <w:t>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AABF738">
      <w:pPr>
        <w:keepNext w:val="0"/>
        <w:keepLines w:val="0"/>
        <w:pageBreakBefore w:val="0"/>
        <w:widowControl w:val="0"/>
        <w:numPr>
          <w:ilvl w:val="0"/>
          <w:numId w:val="0"/>
        </w:numPr>
        <w:shd w:val="clear" w:color="auto"/>
        <w:tabs>
          <w:tab w:val="left" w:pos="945"/>
        </w:tabs>
        <w:bidi w:val="0"/>
        <w:spacing w:line="440" w:lineRule="exact"/>
        <w:ind w:left="1140" w:hanging="720"/>
        <w:rPr>
          <w:rFonts w:hint="eastAsia" w:ascii="宋体" w:hAnsi="宋体" w:cs="宋体"/>
          <w:color w:val="auto"/>
          <w:sz w:val="21"/>
          <w:szCs w:val="21"/>
          <w:highlight w:val="none"/>
        </w:rPr>
      </w:pPr>
      <w:r>
        <w:rPr>
          <w:rFonts w:hint="eastAsia" w:ascii="宋体" w:hAnsi="宋体" w:eastAsia="宋体" w:cs="Times New Roman"/>
          <w:color w:val="auto"/>
          <w:sz w:val="21"/>
          <w:szCs w:val="21"/>
          <w:highlight w:val="none"/>
          <w:lang w:val="en-US" w:eastAsia="zh-CN" w:bidi="ar-SA"/>
        </w:rPr>
        <w:t>（1）</w:t>
      </w:r>
      <w:r>
        <w:rPr>
          <w:rFonts w:hint="eastAsia" w:ascii="宋体" w:hAnsi="宋体" w:cs="宋体"/>
          <w:color w:val="auto"/>
          <w:sz w:val="21"/>
          <w:szCs w:val="21"/>
          <w:highlight w:val="none"/>
        </w:rPr>
        <w:t>提供虚假材料谋取中标、成交的；</w:t>
      </w:r>
    </w:p>
    <w:p w14:paraId="14B44426">
      <w:pPr>
        <w:keepNext w:val="0"/>
        <w:keepLines w:val="0"/>
        <w:pageBreakBefore w:val="0"/>
        <w:widowControl w:val="0"/>
        <w:numPr>
          <w:ilvl w:val="0"/>
          <w:numId w:val="0"/>
        </w:numPr>
        <w:shd w:val="clear" w:color="auto"/>
        <w:tabs>
          <w:tab w:val="left" w:pos="945"/>
        </w:tabs>
        <w:bidi w:val="0"/>
        <w:spacing w:line="440" w:lineRule="exact"/>
        <w:ind w:left="1140" w:hanging="720"/>
        <w:rPr>
          <w:rFonts w:hint="eastAsia" w:ascii="宋体" w:hAnsi="宋体" w:cs="宋体"/>
          <w:color w:val="auto"/>
          <w:sz w:val="21"/>
          <w:szCs w:val="21"/>
          <w:highlight w:val="none"/>
        </w:rPr>
      </w:pPr>
      <w:r>
        <w:rPr>
          <w:rFonts w:hint="eastAsia" w:ascii="宋体" w:hAnsi="宋体" w:eastAsia="宋体" w:cs="Times New Roman"/>
          <w:color w:val="auto"/>
          <w:sz w:val="21"/>
          <w:szCs w:val="21"/>
          <w:highlight w:val="none"/>
          <w:lang w:val="en-US" w:eastAsia="zh-CN" w:bidi="ar-SA"/>
        </w:rPr>
        <w:t>（2）</w:t>
      </w:r>
      <w:r>
        <w:rPr>
          <w:rFonts w:hint="eastAsia" w:ascii="宋体" w:hAnsi="宋体" w:cs="宋体"/>
          <w:color w:val="auto"/>
          <w:sz w:val="21"/>
          <w:szCs w:val="21"/>
          <w:highlight w:val="none"/>
        </w:rPr>
        <w:t>采取不正当手段诋毁、排挤其他供应商的；</w:t>
      </w:r>
    </w:p>
    <w:p w14:paraId="367D5F35">
      <w:pPr>
        <w:keepNext w:val="0"/>
        <w:keepLines w:val="0"/>
        <w:pageBreakBefore w:val="0"/>
        <w:widowControl w:val="0"/>
        <w:numPr>
          <w:ilvl w:val="0"/>
          <w:numId w:val="0"/>
        </w:numPr>
        <w:shd w:val="clear" w:color="auto"/>
        <w:tabs>
          <w:tab w:val="left" w:pos="945"/>
        </w:tabs>
        <w:bidi w:val="0"/>
        <w:spacing w:line="440" w:lineRule="exact"/>
        <w:ind w:left="1140" w:hanging="720"/>
        <w:rPr>
          <w:rFonts w:hint="eastAsia" w:ascii="宋体" w:hAnsi="宋体" w:cs="宋体"/>
          <w:color w:val="auto"/>
          <w:sz w:val="21"/>
          <w:szCs w:val="21"/>
          <w:highlight w:val="none"/>
        </w:rPr>
      </w:pPr>
      <w:r>
        <w:rPr>
          <w:rFonts w:hint="eastAsia" w:ascii="宋体" w:hAnsi="宋体" w:eastAsia="宋体" w:cs="Times New Roman"/>
          <w:color w:val="auto"/>
          <w:sz w:val="21"/>
          <w:szCs w:val="21"/>
          <w:highlight w:val="none"/>
          <w:lang w:val="en-US" w:eastAsia="zh-CN" w:bidi="ar-SA"/>
        </w:rPr>
        <w:t>（3）</w:t>
      </w:r>
      <w:r>
        <w:rPr>
          <w:rFonts w:hint="eastAsia" w:ascii="宋体" w:hAnsi="宋体" w:cs="宋体"/>
          <w:color w:val="auto"/>
          <w:sz w:val="21"/>
          <w:szCs w:val="21"/>
          <w:highlight w:val="none"/>
        </w:rPr>
        <w:t>与采购人、其他供应商或者采购代理机构恶意串通的；</w:t>
      </w:r>
    </w:p>
    <w:p w14:paraId="1A835FB7">
      <w:pPr>
        <w:keepNext w:val="0"/>
        <w:keepLines w:val="0"/>
        <w:pageBreakBefore w:val="0"/>
        <w:widowControl w:val="0"/>
        <w:numPr>
          <w:ilvl w:val="0"/>
          <w:numId w:val="0"/>
        </w:numPr>
        <w:shd w:val="clear" w:color="auto"/>
        <w:tabs>
          <w:tab w:val="left" w:pos="945"/>
        </w:tabs>
        <w:bidi w:val="0"/>
        <w:spacing w:line="440" w:lineRule="exact"/>
        <w:ind w:left="1140" w:hanging="720"/>
        <w:rPr>
          <w:rFonts w:hint="eastAsia" w:ascii="宋体" w:hAnsi="宋体" w:cs="宋体"/>
          <w:color w:val="auto"/>
          <w:sz w:val="21"/>
          <w:szCs w:val="21"/>
          <w:highlight w:val="none"/>
        </w:rPr>
      </w:pPr>
      <w:r>
        <w:rPr>
          <w:rFonts w:hint="eastAsia" w:ascii="宋体" w:hAnsi="宋体" w:eastAsia="宋体" w:cs="Times New Roman"/>
          <w:color w:val="auto"/>
          <w:sz w:val="21"/>
          <w:szCs w:val="21"/>
          <w:highlight w:val="none"/>
          <w:lang w:val="en-US" w:eastAsia="zh-CN" w:bidi="ar-SA"/>
        </w:rPr>
        <w:t>（4）</w:t>
      </w:r>
      <w:r>
        <w:rPr>
          <w:rFonts w:hint="eastAsia" w:ascii="宋体" w:hAnsi="宋体" w:cs="宋体"/>
          <w:color w:val="auto"/>
          <w:sz w:val="21"/>
          <w:szCs w:val="21"/>
          <w:highlight w:val="none"/>
        </w:rPr>
        <w:t>向采购人、采购代理机构行贿或者提供其他不正当利益的；</w:t>
      </w:r>
    </w:p>
    <w:p w14:paraId="124A54CD">
      <w:pPr>
        <w:keepNext w:val="0"/>
        <w:keepLines w:val="0"/>
        <w:pageBreakBefore w:val="0"/>
        <w:widowControl w:val="0"/>
        <w:numPr>
          <w:ilvl w:val="0"/>
          <w:numId w:val="0"/>
        </w:numPr>
        <w:shd w:val="clear" w:color="auto"/>
        <w:tabs>
          <w:tab w:val="left" w:pos="945"/>
        </w:tabs>
        <w:bidi w:val="0"/>
        <w:spacing w:line="440" w:lineRule="exact"/>
        <w:ind w:left="1140" w:hanging="720"/>
        <w:rPr>
          <w:rFonts w:hint="eastAsia" w:ascii="宋体" w:hAnsi="宋体" w:cs="宋体"/>
          <w:color w:val="auto"/>
          <w:sz w:val="21"/>
          <w:szCs w:val="21"/>
          <w:highlight w:val="none"/>
        </w:rPr>
      </w:pPr>
      <w:r>
        <w:rPr>
          <w:rFonts w:hint="eastAsia" w:ascii="宋体" w:hAnsi="宋体" w:eastAsia="宋体" w:cs="Times New Roman"/>
          <w:color w:val="auto"/>
          <w:sz w:val="21"/>
          <w:szCs w:val="21"/>
          <w:highlight w:val="none"/>
          <w:lang w:val="en-US" w:eastAsia="zh-CN" w:bidi="ar-SA"/>
        </w:rPr>
        <w:t>（5）</w:t>
      </w:r>
      <w:r>
        <w:rPr>
          <w:rFonts w:hint="eastAsia" w:ascii="宋体" w:hAnsi="宋体" w:cs="宋体"/>
          <w:color w:val="auto"/>
          <w:sz w:val="21"/>
          <w:szCs w:val="21"/>
          <w:highlight w:val="none"/>
        </w:rPr>
        <w:t>在采购过程中与采购人进行协商谈判的；</w:t>
      </w:r>
    </w:p>
    <w:p w14:paraId="7223949E">
      <w:pPr>
        <w:keepNext w:val="0"/>
        <w:keepLines w:val="0"/>
        <w:pageBreakBefore w:val="0"/>
        <w:widowControl w:val="0"/>
        <w:numPr>
          <w:ilvl w:val="0"/>
          <w:numId w:val="0"/>
        </w:numPr>
        <w:shd w:val="clear" w:color="auto"/>
        <w:tabs>
          <w:tab w:val="left" w:pos="945"/>
        </w:tabs>
        <w:bidi w:val="0"/>
        <w:spacing w:line="440" w:lineRule="exact"/>
        <w:ind w:left="1140" w:hanging="720"/>
        <w:rPr>
          <w:rFonts w:hint="eastAsia" w:ascii="宋体" w:hAnsi="宋体" w:cs="宋体"/>
          <w:color w:val="auto"/>
          <w:sz w:val="21"/>
          <w:szCs w:val="21"/>
          <w:highlight w:val="none"/>
        </w:rPr>
      </w:pPr>
      <w:r>
        <w:rPr>
          <w:rFonts w:hint="eastAsia" w:ascii="宋体" w:hAnsi="宋体" w:eastAsia="宋体" w:cs="Times New Roman"/>
          <w:color w:val="auto"/>
          <w:sz w:val="21"/>
          <w:szCs w:val="21"/>
          <w:highlight w:val="none"/>
          <w:lang w:val="en-US" w:eastAsia="zh-CN" w:bidi="ar-SA"/>
        </w:rPr>
        <w:t>（6）</w:t>
      </w:r>
      <w:r>
        <w:rPr>
          <w:rFonts w:hint="eastAsia" w:ascii="宋体" w:hAnsi="宋体" w:cs="宋体"/>
          <w:color w:val="auto"/>
          <w:sz w:val="21"/>
          <w:szCs w:val="21"/>
          <w:highlight w:val="none"/>
        </w:rPr>
        <w:t>拒绝有关部门监督检查或提供虚假情况的。</w:t>
      </w:r>
    </w:p>
    <w:p w14:paraId="37563EB9">
      <w:pPr>
        <w:keepNext w:val="0"/>
        <w:keepLines w:val="0"/>
        <w:pageBreakBefore w:val="0"/>
        <w:widowControl w:val="0"/>
        <w:shd w:val="clear" w:color="auto"/>
        <w:bidi w:val="0"/>
        <w:spacing w:line="440" w:lineRule="exact"/>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12.与本磋商有关的一切正式往来信函请寄：</w:t>
      </w:r>
    </w:p>
    <w:p w14:paraId="5675889B">
      <w:pPr>
        <w:keepNext w:val="0"/>
        <w:keepLines w:val="0"/>
        <w:pageBreakBefore w:val="0"/>
        <w:widowControl w:val="0"/>
        <w:shd w:val="clear" w:color="auto"/>
        <w:bidi w:val="0"/>
        <w:spacing w:line="440" w:lineRule="exact"/>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地址：</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w:t>
      </w:r>
    </w:p>
    <w:p w14:paraId="34D73A5E">
      <w:pPr>
        <w:keepNext w:val="0"/>
        <w:keepLines w:val="0"/>
        <w:pageBreakBefore w:val="0"/>
        <w:widowControl w:val="0"/>
        <w:shd w:val="clear" w:color="auto"/>
        <w:bidi w:val="0"/>
        <w:spacing w:line="440" w:lineRule="exact"/>
        <w:ind w:firstLine="420"/>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电话：</w:t>
      </w:r>
      <w:r>
        <w:rPr>
          <w:rFonts w:hint="eastAsia" w:ascii="宋体" w:hAnsi="宋体" w:cs="宋体"/>
          <w:color w:val="auto"/>
          <w:sz w:val="21"/>
          <w:szCs w:val="21"/>
          <w:highlight w:val="none"/>
          <w:u w:val="single"/>
        </w:rPr>
        <w:t xml:space="preserve">                                      　　　　　　　　　</w:t>
      </w:r>
    </w:p>
    <w:p w14:paraId="30082119">
      <w:pPr>
        <w:keepNext w:val="0"/>
        <w:keepLines w:val="0"/>
        <w:pageBreakBefore w:val="0"/>
        <w:widowControl w:val="0"/>
        <w:shd w:val="clear" w:color="auto"/>
        <w:bidi w:val="0"/>
        <w:spacing w:line="440" w:lineRule="exact"/>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传真：</w:t>
      </w:r>
      <w:r>
        <w:rPr>
          <w:rFonts w:hint="eastAsia" w:ascii="宋体" w:hAnsi="宋体" w:cs="宋体"/>
          <w:color w:val="auto"/>
          <w:sz w:val="21"/>
          <w:szCs w:val="21"/>
          <w:highlight w:val="none"/>
          <w:u w:val="single"/>
        </w:rPr>
        <w:t>　　　　　　　　　　　　　　　　　　　　　　　　　　　　</w:t>
      </w:r>
    </w:p>
    <w:p w14:paraId="2E556513">
      <w:pPr>
        <w:keepNext w:val="0"/>
        <w:keepLines w:val="0"/>
        <w:pageBreakBefore w:val="0"/>
        <w:widowControl w:val="0"/>
        <w:shd w:val="clear" w:color="auto"/>
        <w:bidi w:val="0"/>
        <w:spacing w:line="440" w:lineRule="exact"/>
        <w:ind w:firstLine="420"/>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邮政编码：</w:t>
      </w:r>
      <w:r>
        <w:rPr>
          <w:rFonts w:hint="eastAsia" w:ascii="宋体" w:hAnsi="宋体" w:cs="宋体"/>
          <w:color w:val="auto"/>
          <w:sz w:val="21"/>
          <w:szCs w:val="21"/>
          <w:highlight w:val="none"/>
          <w:u w:val="single"/>
        </w:rPr>
        <w:t xml:space="preserve">                                                    </w:t>
      </w:r>
    </w:p>
    <w:p w14:paraId="0FEF20D5">
      <w:pPr>
        <w:keepNext w:val="0"/>
        <w:keepLines w:val="0"/>
        <w:pageBreakBefore w:val="0"/>
        <w:widowControl w:val="0"/>
        <w:shd w:val="clear" w:color="auto"/>
        <w:bidi w:val="0"/>
        <w:spacing w:line="440" w:lineRule="exact"/>
        <w:ind w:firstLine="420"/>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开户名称：</w:t>
      </w:r>
      <w:r>
        <w:rPr>
          <w:rFonts w:hint="eastAsia" w:ascii="宋体" w:hAnsi="宋体" w:cs="宋体"/>
          <w:color w:val="auto"/>
          <w:sz w:val="21"/>
          <w:szCs w:val="21"/>
          <w:highlight w:val="none"/>
          <w:u w:val="single"/>
        </w:rPr>
        <w:t xml:space="preserve">                                                    </w:t>
      </w:r>
    </w:p>
    <w:p w14:paraId="41DB1AAF">
      <w:pPr>
        <w:keepNext w:val="0"/>
        <w:keepLines w:val="0"/>
        <w:pageBreakBefore w:val="0"/>
        <w:widowControl w:val="0"/>
        <w:shd w:val="clear" w:color="auto"/>
        <w:bidi w:val="0"/>
        <w:spacing w:line="440" w:lineRule="exact"/>
        <w:ind w:firstLine="420"/>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开户银行：</w:t>
      </w:r>
      <w:r>
        <w:rPr>
          <w:rFonts w:hint="eastAsia" w:ascii="宋体" w:hAnsi="宋体" w:cs="宋体"/>
          <w:color w:val="auto"/>
          <w:sz w:val="21"/>
          <w:szCs w:val="21"/>
          <w:highlight w:val="none"/>
          <w:u w:val="single"/>
        </w:rPr>
        <w:t xml:space="preserve">                                                    </w:t>
      </w:r>
    </w:p>
    <w:p w14:paraId="68BA7EEF">
      <w:pPr>
        <w:keepNext w:val="0"/>
        <w:keepLines w:val="0"/>
        <w:pageBreakBefore w:val="0"/>
        <w:widowControl w:val="0"/>
        <w:shd w:val="clear" w:color="auto"/>
        <w:bidi w:val="0"/>
        <w:spacing w:line="440" w:lineRule="exact"/>
        <w:ind w:firstLine="420"/>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银行账号：</w:t>
      </w:r>
      <w:r>
        <w:rPr>
          <w:rFonts w:hint="eastAsia" w:ascii="宋体" w:hAnsi="宋体" w:cs="宋体"/>
          <w:color w:val="auto"/>
          <w:sz w:val="21"/>
          <w:szCs w:val="21"/>
          <w:highlight w:val="none"/>
          <w:u w:val="single"/>
        </w:rPr>
        <w:t xml:space="preserve">                                                    </w:t>
      </w:r>
    </w:p>
    <w:p w14:paraId="76EC953E">
      <w:pPr>
        <w:keepNext w:val="0"/>
        <w:keepLines w:val="0"/>
        <w:pageBreakBefore w:val="0"/>
        <w:widowControl w:val="0"/>
        <w:shd w:val="clear" w:color="auto"/>
        <w:tabs>
          <w:tab w:val="left" w:pos="939"/>
        </w:tabs>
        <w:bidi w:val="0"/>
        <w:spacing w:line="440" w:lineRule="exact"/>
        <w:ind w:left="141" w:firstLine="315"/>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特此承诺。</w:t>
      </w:r>
    </w:p>
    <w:p w14:paraId="45318A6E">
      <w:pPr>
        <w:keepNext w:val="0"/>
        <w:keepLines w:val="0"/>
        <w:pageBreakBefore w:val="0"/>
        <w:widowControl w:val="0"/>
        <w:shd w:val="clear" w:color="auto"/>
        <w:bidi w:val="0"/>
        <w:spacing w:line="440" w:lineRule="exact"/>
        <w:contextualSpacing/>
        <w:jc w:val="left"/>
        <w:rPr>
          <w:rFonts w:hint="eastAsia" w:ascii="宋体" w:hAnsi="宋体" w:cs="宋体"/>
          <w:color w:val="auto"/>
          <w:sz w:val="21"/>
          <w:szCs w:val="21"/>
          <w:highlight w:val="none"/>
        </w:rPr>
      </w:pPr>
    </w:p>
    <w:p w14:paraId="6B3AC469">
      <w:pPr>
        <w:keepNext w:val="0"/>
        <w:keepLines w:val="0"/>
        <w:pageBreakBefore w:val="0"/>
        <w:widowControl w:val="0"/>
        <w:shd w:val="clear" w:color="auto"/>
        <w:bidi w:val="0"/>
        <w:spacing w:line="440" w:lineRule="exact"/>
        <w:ind w:left="4305" w:hanging="210"/>
        <w:rPr>
          <w:rFonts w:hint="eastAsia" w:ascii="宋体" w:hAnsi="宋体" w:cs="宋体"/>
          <w:color w:val="auto"/>
          <w:sz w:val="21"/>
          <w:szCs w:val="21"/>
          <w:highlight w:val="none"/>
        </w:rPr>
      </w:pPr>
      <w:r>
        <w:rPr>
          <w:rFonts w:hint="eastAsia" w:ascii="宋体" w:hAnsi="宋体" w:cs="宋体"/>
          <w:color w:val="auto"/>
          <w:sz w:val="21"/>
          <w:szCs w:val="21"/>
          <w:highlight w:val="none"/>
        </w:rPr>
        <w:t>供应商名称（电子签章）：</w:t>
      </w:r>
    </w:p>
    <w:p w14:paraId="2849D58C">
      <w:pPr>
        <w:keepNext w:val="0"/>
        <w:keepLines w:val="0"/>
        <w:pageBreakBefore w:val="0"/>
        <w:widowControl w:val="0"/>
        <w:shd w:val="clear" w:color="auto"/>
        <w:bidi w:val="0"/>
        <w:spacing w:line="440" w:lineRule="exact"/>
        <w:ind w:firstLine="5670"/>
        <w:rPr>
          <w:rFonts w:hint="eastAsia" w:ascii="宋体" w:hAnsi="宋体" w:cs="宋体"/>
          <w:color w:val="auto"/>
          <w:sz w:val="21"/>
          <w:szCs w:val="21"/>
          <w:highlight w:val="none"/>
          <w:lang w:val="zh-CN"/>
        </w:rPr>
      </w:pPr>
      <w:r>
        <w:rPr>
          <w:rFonts w:hint="eastAsia" w:ascii="宋体" w:hAnsi="宋体" w:cs="宋体"/>
          <w:color w:val="auto"/>
          <w:sz w:val="21"/>
          <w:szCs w:val="21"/>
          <w:highlight w:val="none"/>
          <w:lang w:val="zh-CN"/>
        </w:rPr>
        <w:t>日期：  年  月   日</w:t>
      </w:r>
    </w:p>
    <w:p w14:paraId="477D32F3">
      <w:pPr>
        <w:shd w:val="clear" w:color="auto"/>
        <w:spacing w:line="500" w:lineRule="exact"/>
        <w:jc w:val="center"/>
        <w:rPr>
          <w:rFonts w:ascii="Times New Roman" w:hAnsi="Times New Roman"/>
          <w:b/>
          <w:bCs/>
          <w:color w:val="auto"/>
          <w:sz w:val="30"/>
          <w:szCs w:val="30"/>
          <w:highlight w:val="none"/>
        </w:rPr>
      </w:pPr>
      <w:r>
        <w:rPr>
          <w:rFonts w:ascii="仿宋_GB2312" w:hAnsi="仿宋" w:eastAsia="仿宋_GB2312" w:cs="仿宋_GB2312"/>
          <w:color w:val="auto"/>
          <w:sz w:val="24"/>
          <w:szCs w:val="21"/>
          <w:highlight w:val="none"/>
          <w:lang w:val="zh-CN"/>
        </w:rPr>
        <w:br w:type="page" w:clear="all"/>
      </w:r>
      <w:r>
        <w:rPr>
          <w:rFonts w:hint="eastAsia" w:ascii="Times New Roman" w:hAnsi="Times New Roman"/>
          <w:b/>
          <w:bCs/>
          <w:color w:val="auto"/>
          <w:sz w:val="30"/>
          <w:szCs w:val="30"/>
          <w:highlight w:val="none"/>
        </w:rPr>
        <w:t>（二）附录</w:t>
      </w:r>
    </w:p>
    <w:p w14:paraId="5E9AFC8A">
      <w:pPr>
        <w:shd w:val="clear" w:color="auto"/>
        <w:spacing w:line="500" w:lineRule="exact"/>
        <w:rPr>
          <w:rFonts w:ascii="Times New Roman" w:hAnsi="Times New Roman"/>
          <w:color w:val="auto"/>
          <w:sz w:val="32"/>
          <w:szCs w:val="21"/>
          <w:highlight w:val="none"/>
        </w:rPr>
      </w:pP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346"/>
        <w:gridCol w:w="1367"/>
        <w:gridCol w:w="2555"/>
        <w:gridCol w:w="1250"/>
      </w:tblGrid>
      <w:tr w14:paraId="4532D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7A6CFFCA">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 号</w:t>
            </w:r>
          </w:p>
        </w:tc>
        <w:tc>
          <w:tcPr>
            <w:tcW w:w="2346" w:type="dxa"/>
            <w:noWrap w:val="0"/>
            <w:vAlign w:val="center"/>
          </w:tcPr>
          <w:p w14:paraId="6EA8339A">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条款内容</w:t>
            </w:r>
          </w:p>
        </w:tc>
        <w:tc>
          <w:tcPr>
            <w:tcW w:w="1367" w:type="dxa"/>
            <w:noWrap w:val="0"/>
            <w:vAlign w:val="center"/>
          </w:tcPr>
          <w:p w14:paraId="53967706">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合同条款号</w:t>
            </w:r>
          </w:p>
        </w:tc>
        <w:tc>
          <w:tcPr>
            <w:tcW w:w="2555" w:type="dxa"/>
            <w:noWrap w:val="0"/>
            <w:vAlign w:val="center"/>
          </w:tcPr>
          <w:p w14:paraId="5EBD9E9B">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约定内容</w:t>
            </w:r>
          </w:p>
        </w:tc>
        <w:tc>
          <w:tcPr>
            <w:tcW w:w="1250" w:type="dxa"/>
            <w:noWrap w:val="0"/>
            <w:vAlign w:val="center"/>
          </w:tcPr>
          <w:p w14:paraId="1B09925B">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3F56A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71F82DC8">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346" w:type="dxa"/>
            <w:noWrap w:val="0"/>
            <w:vAlign w:val="center"/>
          </w:tcPr>
          <w:p w14:paraId="33431C77">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项目经理</w:t>
            </w:r>
          </w:p>
        </w:tc>
        <w:tc>
          <w:tcPr>
            <w:tcW w:w="1367" w:type="dxa"/>
            <w:noWrap w:val="0"/>
            <w:tcMar>
              <w:left w:w="170" w:type="dxa"/>
            </w:tcMar>
            <w:vAlign w:val="center"/>
          </w:tcPr>
          <w:p w14:paraId="76322DBC">
            <w:pPr>
              <w:shd w:val="clear" w:color="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合同协议书</w:t>
            </w:r>
          </w:p>
        </w:tc>
        <w:tc>
          <w:tcPr>
            <w:tcW w:w="2555" w:type="dxa"/>
            <w:noWrap w:val="0"/>
            <w:vAlign w:val="center"/>
          </w:tcPr>
          <w:p w14:paraId="44AADF17">
            <w:pPr>
              <w:shd w:val="clear" w:color="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r>
              <w:rPr>
                <w:rFonts w:hint="eastAsia" w:ascii="宋体" w:hAnsi="宋体" w:eastAsia="宋体" w:cs="宋体"/>
                <w:color w:val="auto"/>
                <w:szCs w:val="21"/>
                <w:highlight w:val="none"/>
                <w:u w:val="single"/>
              </w:rPr>
              <w:t xml:space="preserve">          </w:t>
            </w:r>
          </w:p>
        </w:tc>
        <w:tc>
          <w:tcPr>
            <w:tcW w:w="1250" w:type="dxa"/>
            <w:noWrap w:val="0"/>
            <w:vAlign w:val="center"/>
          </w:tcPr>
          <w:p w14:paraId="62A9E66B">
            <w:pPr>
              <w:shd w:val="clear" w:color="auto"/>
              <w:jc w:val="center"/>
              <w:rPr>
                <w:rFonts w:hint="eastAsia" w:ascii="宋体" w:hAnsi="宋体" w:eastAsia="宋体" w:cs="宋体"/>
                <w:color w:val="auto"/>
                <w:szCs w:val="21"/>
                <w:highlight w:val="none"/>
              </w:rPr>
            </w:pPr>
          </w:p>
        </w:tc>
      </w:tr>
      <w:tr w14:paraId="07AF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1E837B5C">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2346" w:type="dxa"/>
            <w:noWrap w:val="0"/>
            <w:vAlign w:val="center"/>
          </w:tcPr>
          <w:p w14:paraId="50003A8C">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工期</w:t>
            </w:r>
          </w:p>
        </w:tc>
        <w:tc>
          <w:tcPr>
            <w:tcW w:w="1367" w:type="dxa"/>
            <w:noWrap w:val="0"/>
            <w:tcMar>
              <w:left w:w="170" w:type="dxa"/>
            </w:tcMar>
            <w:vAlign w:val="center"/>
          </w:tcPr>
          <w:p w14:paraId="23C0CF40">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合同协议书</w:t>
            </w:r>
          </w:p>
        </w:tc>
        <w:tc>
          <w:tcPr>
            <w:tcW w:w="2555" w:type="dxa"/>
            <w:noWrap w:val="0"/>
            <w:vAlign w:val="center"/>
          </w:tcPr>
          <w:p w14:paraId="297F8D05">
            <w:pPr>
              <w:shd w:val="clear" w:color="auto"/>
              <w:jc w:val="center"/>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天数：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日历天</w:t>
            </w:r>
          </w:p>
        </w:tc>
        <w:tc>
          <w:tcPr>
            <w:tcW w:w="1250" w:type="dxa"/>
            <w:noWrap w:val="0"/>
            <w:vAlign w:val="center"/>
          </w:tcPr>
          <w:p w14:paraId="5AD4098D">
            <w:pPr>
              <w:shd w:val="clear" w:color="auto"/>
              <w:jc w:val="center"/>
              <w:rPr>
                <w:rFonts w:hint="eastAsia" w:ascii="宋体" w:hAnsi="宋体" w:eastAsia="宋体" w:cs="宋体"/>
                <w:color w:val="auto"/>
                <w:szCs w:val="21"/>
                <w:highlight w:val="none"/>
              </w:rPr>
            </w:pPr>
          </w:p>
        </w:tc>
      </w:tr>
      <w:tr w14:paraId="13DF9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20968A8C">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2346" w:type="dxa"/>
            <w:noWrap w:val="0"/>
            <w:vAlign w:val="center"/>
          </w:tcPr>
          <w:p w14:paraId="560BE113">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缺陷责任期</w:t>
            </w:r>
          </w:p>
          <w:p w14:paraId="30C2AEA7">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（工程质量保修期）</w:t>
            </w:r>
          </w:p>
        </w:tc>
        <w:tc>
          <w:tcPr>
            <w:tcW w:w="1367" w:type="dxa"/>
            <w:noWrap w:val="0"/>
            <w:tcMar>
              <w:left w:w="170" w:type="dxa"/>
            </w:tcMar>
            <w:vAlign w:val="center"/>
          </w:tcPr>
          <w:p w14:paraId="4540E06A">
            <w:pPr>
              <w:shd w:val="clear" w:color="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专用合同条款15.2</w:t>
            </w:r>
          </w:p>
        </w:tc>
        <w:tc>
          <w:tcPr>
            <w:tcW w:w="2555" w:type="dxa"/>
            <w:noWrap w:val="0"/>
            <w:vAlign w:val="center"/>
          </w:tcPr>
          <w:p w14:paraId="5841DF6F">
            <w:pPr>
              <w:shd w:val="clear" w:color="auto"/>
              <w:jc w:val="center"/>
              <w:rPr>
                <w:rFonts w:hint="eastAsia" w:ascii="宋体" w:hAnsi="宋体" w:eastAsia="宋体" w:cs="宋体"/>
                <w:color w:val="auto"/>
                <w:szCs w:val="21"/>
                <w:highlight w:val="none"/>
              </w:rPr>
            </w:pPr>
          </w:p>
        </w:tc>
        <w:tc>
          <w:tcPr>
            <w:tcW w:w="1250" w:type="dxa"/>
            <w:noWrap w:val="0"/>
            <w:vAlign w:val="center"/>
          </w:tcPr>
          <w:p w14:paraId="0C936219">
            <w:pPr>
              <w:shd w:val="clear" w:color="auto"/>
              <w:jc w:val="center"/>
              <w:rPr>
                <w:rFonts w:hint="eastAsia" w:ascii="宋体" w:hAnsi="宋体" w:eastAsia="宋体" w:cs="宋体"/>
                <w:color w:val="auto"/>
                <w:szCs w:val="21"/>
                <w:highlight w:val="none"/>
              </w:rPr>
            </w:pPr>
          </w:p>
        </w:tc>
      </w:tr>
      <w:tr w14:paraId="7E8C0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65FD4B85">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2346" w:type="dxa"/>
            <w:noWrap w:val="0"/>
            <w:vAlign w:val="center"/>
          </w:tcPr>
          <w:p w14:paraId="2C3B1778">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分包</w:t>
            </w:r>
          </w:p>
        </w:tc>
        <w:tc>
          <w:tcPr>
            <w:tcW w:w="1367" w:type="dxa"/>
            <w:noWrap w:val="0"/>
            <w:tcMar>
              <w:left w:w="170" w:type="dxa"/>
            </w:tcMar>
            <w:vAlign w:val="center"/>
          </w:tcPr>
          <w:p w14:paraId="379F9F52">
            <w:pPr>
              <w:shd w:val="clear" w:color="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专用合同条款3.5</w:t>
            </w:r>
          </w:p>
        </w:tc>
        <w:tc>
          <w:tcPr>
            <w:tcW w:w="2555" w:type="dxa"/>
            <w:noWrap w:val="0"/>
            <w:vAlign w:val="center"/>
          </w:tcPr>
          <w:p w14:paraId="6B1DE954">
            <w:pPr>
              <w:shd w:val="clear" w:color="auto"/>
              <w:jc w:val="center"/>
              <w:rPr>
                <w:rFonts w:hint="eastAsia" w:ascii="宋体" w:hAnsi="宋体" w:eastAsia="宋体" w:cs="宋体"/>
                <w:color w:val="auto"/>
                <w:szCs w:val="21"/>
                <w:highlight w:val="none"/>
              </w:rPr>
            </w:pPr>
          </w:p>
        </w:tc>
        <w:tc>
          <w:tcPr>
            <w:tcW w:w="1250" w:type="dxa"/>
            <w:noWrap w:val="0"/>
            <w:vAlign w:val="center"/>
          </w:tcPr>
          <w:p w14:paraId="507901E3">
            <w:pPr>
              <w:shd w:val="clear" w:color="auto"/>
              <w:jc w:val="center"/>
              <w:rPr>
                <w:rFonts w:hint="eastAsia" w:ascii="宋体" w:hAnsi="宋体" w:eastAsia="宋体" w:cs="宋体"/>
                <w:color w:val="auto"/>
                <w:szCs w:val="21"/>
                <w:highlight w:val="none"/>
              </w:rPr>
            </w:pPr>
          </w:p>
        </w:tc>
      </w:tr>
      <w:tr w14:paraId="4E6C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0204E8DF">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2346" w:type="dxa"/>
            <w:noWrap w:val="0"/>
            <w:vAlign w:val="center"/>
          </w:tcPr>
          <w:p w14:paraId="309FE6BB">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价格调整的差额计算</w:t>
            </w:r>
          </w:p>
        </w:tc>
        <w:tc>
          <w:tcPr>
            <w:tcW w:w="1367" w:type="dxa"/>
            <w:noWrap w:val="0"/>
            <w:tcMar>
              <w:left w:w="170" w:type="dxa"/>
            </w:tcMar>
            <w:vAlign w:val="center"/>
          </w:tcPr>
          <w:p w14:paraId="5F7F6975">
            <w:pPr>
              <w:shd w:val="clear" w:color="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专用合同条款11</w:t>
            </w:r>
          </w:p>
        </w:tc>
        <w:tc>
          <w:tcPr>
            <w:tcW w:w="2555" w:type="dxa"/>
            <w:noWrap w:val="0"/>
            <w:vAlign w:val="center"/>
          </w:tcPr>
          <w:p w14:paraId="7419D659">
            <w:pPr>
              <w:shd w:val="clear" w:color="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按专用合同条款执行。</w:t>
            </w:r>
          </w:p>
        </w:tc>
        <w:tc>
          <w:tcPr>
            <w:tcW w:w="1250" w:type="dxa"/>
            <w:noWrap w:val="0"/>
            <w:vAlign w:val="center"/>
          </w:tcPr>
          <w:p w14:paraId="13FEAEC1">
            <w:pPr>
              <w:shd w:val="clear" w:color="auto"/>
              <w:jc w:val="center"/>
              <w:rPr>
                <w:rFonts w:hint="eastAsia" w:ascii="宋体" w:hAnsi="宋体" w:eastAsia="宋体" w:cs="宋体"/>
                <w:color w:val="auto"/>
                <w:szCs w:val="21"/>
                <w:highlight w:val="none"/>
              </w:rPr>
            </w:pPr>
          </w:p>
        </w:tc>
      </w:tr>
      <w:tr w14:paraId="145F0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34A139EE">
            <w:pPr>
              <w:shd w:val="clear" w:color="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w:t>
            </w:r>
          </w:p>
        </w:tc>
        <w:tc>
          <w:tcPr>
            <w:tcW w:w="2346" w:type="dxa"/>
            <w:noWrap w:val="0"/>
            <w:vAlign w:val="center"/>
          </w:tcPr>
          <w:p w14:paraId="5ED79C95">
            <w:pPr>
              <w:shd w:val="clear" w:color="auto"/>
              <w:jc w:val="center"/>
              <w:rPr>
                <w:rFonts w:hint="eastAsia" w:ascii="宋体" w:hAnsi="宋体" w:eastAsia="宋体" w:cs="宋体"/>
                <w:color w:val="auto"/>
                <w:szCs w:val="21"/>
                <w:highlight w:val="none"/>
              </w:rPr>
            </w:pPr>
          </w:p>
        </w:tc>
        <w:tc>
          <w:tcPr>
            <w:tcW w:w="1367" w:type="dxa"/>
            <w:noWrap w:val="0"/>
            <w:tcMar>
              <w:left w:w="170" w:type="dxa"/>
            </w:tcMar>
            <w:vAlign w:val="center"/>
          </w:tcPr>
          <w:p w14:paraId="576BB3BB">
            <w:pPr>
              <w:shd w:val="clear" w:color="auto"/>
              <w:jc w:val="center"/>
              <w:rPr>
                <w:rFonts w:hint="eastAsia" w:ascii="宋体" w:hAnsi="宋体" w:eastAsia="宋体" w:cs="宋体"/>
                <w:color w:val="auto"/>
                <w:szCs w:val="21"/>
                <w:highlight w:val="none"/>
              </w:rPr>
            </w:pPr>
          </w:p>
        </w:tc>
        <w:tc>
          <w:tcPr>
            <w:tcW w:w="2555" w:type="dxa"/>
            <w:noWrap w:val="0"/>
            <w:vAlign w:val="center"/>
          </w:tcPr>
          <w:p w14:paraId="1C8DF50C">
            <w:pPr>
              <w:shd w:val="clear" w:color="auto"/>
              <w:jc w:val="center"/>
              <w:rPr>
                <w:rFonts w:hint="eastAsia" w:ascii="宋体" w:hAnsi="宋体" w:eastAsia="宋体" w:cs="宋体"/>
                <w:color w:val="auto"/>
                <w:szCs w:val="21"/>
                <w:highlight w:val="none"/>
              </w:rPr>
            </w:pPr>
          </w:p>
        </w:tc>
        <w:tc>
          <w:tcPr>
            <w:tcW w:w="1250" w:type="dxa"/>
            <w:noWrap w:val="0"/>
            <w:vAlign w:val="center"/>
          </w:tcPr>
          <w:p w14:paraId="02B6F9FF">
            <w:pPr>
              <w:shd w:val="clear" w:color="auto"/>
              <w:jc w:val="center"/>
              <w:rPr>
                <w:rFonts w:hint="eastAsia" w:ascii="宋体" w:hAnsi="宋体" w:eastAsia="宋体" w:cs="宋体"/>
                <w:color w:val="auto"/>
                <w:szCs w:val="21"/>
                <w:highlight w:val="none"/>
              </w:rPr>
            </w:pPr>
          </w:p>
        </w:tc>
      </w:tr>
      <w:tr w14:paraId="52FC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52FEFFC7">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346" w:type="dxa"/>
            <w:noWrap w:val="0"/>
            <w:vAlign w:val="center"/>
          </w:tcPr>
          <w:p w14:paraId="5711AFC6">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367" w:type="dxa"/>
            <w:noWrap w:val="0"/>
            <w:tcMar>
              <w:left w:w="170" w:type="dxa"/>
            </w:tcMar>
            <w:vAlign w:val="center"/>
          </w:tcPr>
          <w:p w14:paraId="47183A2B">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555" w:type="dxa"/>
            <w:noWrap w:val="0"/>
            <w:vAlign w:val="center"/>
          </w:tcPr>
          <w:p w14:paraId="79C0F1D7">
            <w:pPr>
              <w:shd w:val="clear" w:color="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50" w:type="dxa"/>
            <w:noWrap w:val="0"/>
            <w:vAlign w:val="center"/>
          </w:tcPr>
          <w:p w14:paraId="37312BF0">
            <w:pPr>
              <w:shd w:val="clear" w:color="auto"/>
              <w:jc w:val="center"/>
              <w:rPr>
                <w:rFonts w:hint="eastAsia" w:ascii="宋体" w:hAnsi="宋体" w:eastAsia="宋体" w:cs="宋体"/>
                <w:color w:val="auto"/>
                <w:szCs w:val="21"/>
                <w:highlight w:val="none"/>
              </w:rPr>
            </w:pPr>
          </w:p>
        </w:tc>
      </w:tr>
    </w:tbl>
    <w:p w14:paraId="6CE4D6E1">
      <w:pPr>
        <w:shd w:val="clear" w:color="auto"/>
        <w:spacing w:line="360" w:lineRule="auto"/>
        <w:ind w:left="4335" w:hanging="240"/>
        <w:rPr>
          <w:rFonts w:hint="eastAsia" w:ascii="仿宋_GB2312" w:hAnsi="仿宋" w:eastAsia="仿宋_GB2312" w:cs="仿宋_GB2312"/>
          <w:color w:val="auto"/>
          <w:sz w:val="24"/>
          <w:highlight w:val="none"/>
        </w:rPr>
      </w:pPr>
    </w:p>
    <w:p w14:paraId="3EABD554">
      <w:pPr>
        <w:shd w:val="clear" w:color="auto"/>
        <w:spacing w:line="360" w:lineRule="auto"/>
        <w:ind w:left="4335" w:hanging="240"/>
        <w:rPr>
          <w:rFonts w:hint="eastAsia" w:ascii="宋体" w:hAnsi="宋体" w:cs="宋体"/>
          <w:color w:val="auto"/>
          <w:sz w:val="24"/>
          <w:highlight w:val="none"/>
        </w:rPr>
      </w:pPr>
      <w:r>
        <w:rPr>
          <w:rFonts w:hint="eastAsia" w:ascii="宋体" w:hAnsi="宋体" w:cs="宋体"/>
          <w:color w:val="auto"/>
          <w:sz w:val="24"/>
          <w:highlight w:val="none"/>
        </w:rPr>
        <w:t>供应商名称（电子签章）：</w:t>
      </w:r>
    </w:p>
    <w:p w14:paraId="606BB745">
      <w:pPr>
        <w:shd w:val="clear" w:color="auto"/>
        <w:spacing w:line="360" w:lineRule="auto"/>
        <w:ind w:firstLine="6480"/>
        <w:rPr>
          <w:rFonts w:hint="eastAsia" w:ascii="宋体" w:hAnsi="宋体" w:cs="宋体"/>
          <w:color w:val="auto"/>
          <w:sz w:val="24"/>
          <w:highlight w:val="none"/>
          <w:lang w:val="zh-CN"/>
        </w:rPr>
      </w:pPr>
      <w:r>
        <w:rPr>
          <w:rFonts w:hint="eastAsia" w:ascii="宋体" w:hAnsi="宋体" w:cs="宋体"/>
          <w:color w:val="auto"/>
          <w:sz w:val="24"/>
          <w:highlight w:val="none"/>
          <w:lang w:val="zh-CN"/>
        </w:rPr>
        <w:t>日期：  年  月   日</w:t>
      </w:r>
    </w:p>
    <w:p w14:paraId="5A2728E3">
      <w:pPr>
        <w:shd w:val="clear" w:color="auto"/>
        <w:spacing w:line="440" w:lineRule="exact"/>
        <w:ind w:firstLine="400"/>
        <w:rPr>
          <w:rFonts w:ascii="Times New Roman" w:hAnsi="Times New Roman"/>
          <w:color w:val="auto"/>
          <w:sz w:val="20"/>
          <w:szCs w:val="21"/>
          <w:highlight w:val="none"/>
        </w:rPr>
      </w:pPr>
    </w:p>
    <w:p w14:paraId="75F40FCB">
      <w:pPr>
        <w:shd w:val="clear" w:color="auto"/>
        <w:spacing w:before="158" w:after="158" w:line="360" w:lineRule="auto"/>
        <w:jc w:val="center"/>
        <w:rPr>
          <w:rFonts w:hint="eastAsia" w:ascii="宋体" w:hAnsi="宋体"/>
          <w:b/>
          <w:bCs/>
          <w:color w:val="auto"/>
          <w:sz w:val="32"/>
          <w:szCs w:val="32"/>
          <w:highlight w:val="none"/>
        </w:rPr>
      </w:pPr>
      <w:r>
        <w:rPr>
          <w:rFonts w:ascii="仿宋_GB2312" w:hAnsi="仿宋" w:eastAsia="仿宋_GB2312" w:cs="仿宋_GB2312"/>
          <w:color w:val="auto"/>
          <w:sz w:val="24"/>
          <w:highlight w:val="none"/>
          <w:lang w:val="zh-CN"/>
        </w:rPr>
        <w:br w:type="page" w:clear="all"/>
      </w:r>
      <w:r>
        <w:rPr>
          <w:rFonts w:hint="eastAsia" w:ascii="宋体" w:hAnsi="宋体"/>
          <w:b/>
          <w:bCs/>
          <w:color w:val="auto"/>
          <w:sz w:val="32"/>
          <w:szCs w:val="32"/>
          <w:highlight w:val="none"/>
        </w:rPr>
        <w:t>响应报价表（格式）</w:t>
      </w:r>
    </w:p>
    <w:p w14:paraId="2A3C1E94">
      <w:pPr>
        <w:shd w:val="clear" w:color="auto"/>
        <w:spacing w:before="50" w:after="50" w:line="360" w:lineRule="auto"/>
        <w:rPr>
          <w:rFonts w:hint="eastAsia" w:ascii="宋体" w:hAnsi="宋体"/>
          <w:color w:val="auto"/>
          <w:sz w:val="24"/>
          <w:highlight w:val="none"/>
          <w:u w:val="singl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 xml:space="preserve">         </w:t>
      </w:r>
      <w:r>
        <w:rPr>
          <w:rFonts w:hint="eastAsia" w:ascii="宋体" w:hAnsi="宋体"/>
          <w:color w:val="auto"/>
          <w:sz w:val="24"/>
          <w:highlight w:val="none"/>
        </w:rPr>
        <w:t>项目编号：</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分标：</w:t>
      </w:r>
      <w:r>
        <w:rPr>
          <w:rFonts w:hint="eastAsia" w:ascii="宋体" w:hAnsi="宋体"/>
          <w:color w:val="auto"/>
          <w:sz w:val="24"/>
          <w:highlight w:val="none"/>
          <w:u w:val="single"/>
        </w:rPr>
        <w:t xml:space="preserve">           </w:t>
      </w:r>
    </w:p>
    <w:p w14:paraId="1AC2C18D">
      <w:pPr>
        <w:shd w:val="clear" w:color="auto"/>
        <w:spacing w:before="50" w:after="50" w:line="360" w:lineRule="auto"/>
        <w:rPr>
          <w:rFonts w:ascii="宋体" w:hAnsi="宋体" w:cs="仿宋_GB2312"/>
          <w:color w:val="auto"/>
          <w:sz w:val="24"/>
          <w:highlight w:val="none"/>
        </w:rPr>
      </w:pPr>
      <w:r>
        <w:rPr>
          <w:rFonts w:hint="eastAsia" w:ascii="Times New Roman" w:hAnsi="宋体"/>
          <w:color w:val="auto"/>
          <w:sz w:val="24"/>
          <w:highlight w:val="none"/>
        </w:rPr>
        <w:t>供应商名称：</w:t>
      </w:r>
      <w:r>
        <w:rPr>
          <w:rFonts w:hint="eastAsia" w:ascii="Times New Roman" w:hAnsi="宋体"/>
          <w:color w:val="auto"/>
          <w:sz w:val="24"/>
          <w:highlight w:val="none"/>
          <w:u w:val="single"/>
        </w:rPr>
        <w:t xml:space="preserve">                     </w:t>
      </w:r>
      <w:r>
        <w:rPr>
          <w:rFonts w:hint="eastAsia" w:ascii="Times New Roman" w:hAnsi="宋体"/>
          <w:color w:val="auto"/>
          <w:sz w:val="24"/>
          <w:highlight w:val="none"/>
        </w:rPr>
        <w:t xml:space="preserve">  </w:t>
      </w:r>
      <w:r>
        <w:rPr>
          <w:rFonts w:hint="eastAsia" w:ascii="宋体" w:hAnsi="宋体" w:cs="仿宋_GB2312"/>
          <w:color w:val="auto"/>
          <w:sz w:val="24"/>
          <w:highlight w:val="none"/>
        </w:rPr>
        <w:t xml:space="preserve">                    </w:t>
      </w:r>
    </w:p>
    <w:p w14:paraId="60A972D0">
      <w:pPr>
        <w:shd w:val="clear" w:color="auto"/>
        <w:spacing w:line="340" w:lineRule="exact"/>
        <w:ind w:left="238" w:hanging="240"/>
        <w:jc w:val="left"/>
        <w:rPr>
          <w:rFonts w:ascii="宋体" w:hAnsi="宋体"/>
          <w:color w:val="auto"/>
          <w:sz w:val="24"/>
          <w:highlight w:val="none"/>
          <w:vertAlign w:val="superscript"/>
        </w:rPr>
      </w:pPr>
      <w:r>
        <w:rPr>
          <w:rFonts w:hint="eastAsia" w:ascii="宋体" w:hAnsi="宋体"/>
          <w:color w:val="auto"/>
          <w:sz w:val="24"/>
          <w:highlight w:val="none"/>
        </w:rPr>
        <w:t>币种：人民币</w:t>
      </w:r>
      <w:r>
        <w:rPr>
          <w:rFonts w:hint="eastAsia" w:ascii="宋体" w:hAnsi="宋体"/>
          <w:color w:val="auto"/>
          <w:sz w:val="24"/>
          <w:highlight w:val="none"/>
          <w:vertAlign w:val="superscript"/>
        </w:rPr>
        <w:t xml:space="preserve"> </w:t>
      </w:r>
    </w:p>
    <w:p w14:paraId="149B973D">
      <w:pPr>
        <w:shd w:val="clear" w:color="auto"/>
        <w:spacing w:line="120" w:lineRule="exact"/>
        <w:rPr>
          <w:rFonts w:hint="eastAsia" w:ascii="宋体" w:hAnsi="宋体"/>
          <w:color w:val="auto"/>
          <w:sz w:val="18"/>
          <w:szCs w:val="18"/>
          <w:highlight w:val="none"/>
        </w:rPr>
      </w:pPr>
      <w:r>
        <w:rPr>
          <w:rFonts w:hint="eastAsia" w:ascii="宋体" w:hAnsi="宋体"/>
          <w:color w:val="auto"/>
          <w:sz w:val="18"/>
          <w:szCs w:val="18"/>
          <w:highlight w:val="none"/>
        </w:rPr>
        <w:t xml:space="preserve"> </w:t>
      </w:r>
    </w:p>
    <w:tbl>
      <w:tblPr>
        <w:tblStyle w:val="48"/>
        <w:tblW w:w="0" w:type="auto"/>
        <w:jc w:val="center"/>
        <w:tblLayout w:type="fixed"/>
        <w:tblCellMar>
          <w:top w:w="0" w:type="dxa"/>
          <w:left w:w="0" w:type="dxa"/>
          <w:bottom w:w="0" w:type="dxa"/>
          <w:right w:w="0" w:type="dxa"/>
        </w:tblCellMar>
      </w:tblPr>
      <w:tblGrid>
        <w:gridCol w:w="1135"/>
        <w:gridCol w:w="4450"/>
        <w:gridCol w:w="3761"/>
      </w:tblGrid>
      <w:tr w14:paraId="28A22793">
        <w:tblPrEx>
          <w:tblCellMar>
            <w:top w:w="0" w:type="dxa"/>
            <w:left w:w="0" w:type="dxa"/>
            <w:bottom w:w="0" w:type="dxa"/>
            <w:right w:w="0" w:type="dxa"/>
          </w:tblCellMar>
        </w:tblPrEx>
        <w:trPr>
          <w:trHeight w:val="1122"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596F15EC">
            <w:pPr>
              <w:shd w:val="clear" w:color="auto"/>
              <w:spacing w:line="560" w:lineRule="exact"/>
              <w:rPr>
                <w:rFonts w:hint="eastAsia" w:ascii="宋体" w:hAnsi="宋体"/>
                <w:color w:val="auto"/>
                <w:sz w:val="24"/>
                <w:highlight w:val="none"/>
              </w:rPr>
            </w:pPr>
          </w:p>
        </w:tc>
        <w:tc>
          <w:tcPr>
            <w:tcW w:w="4450" w:type="dxa"/>
            <w:tcBorders>
              <w:top w:val="single" w:color="000000" w:sz="4" w:space="0"/>
              <w:left w:val="nil"/>
              <w:bottom w:val="single" w:color="000000" w:sz="4" w:space="0"/>
              <w:right w:val="single" w:color="000000" w:sz="4" w:space="0"/>
            </w:tcBorders>
            <w:noWrap w:val="0"/>
            <w:vAlign w:val="center"/>
          </w:tcPr>
          <w:p w14:paraId="2BA4BB80">
            <w:pPr>
              <w:shd w:val="clear" w:color="auto"/>
              <w:jc w:val="center"/>
              <w:rPr>
                <w:rFonts w:hint="eastAsia" w:ascii="方正隶书简体" w:hAnsi="Courier New" w:eastAsia="方正隶书简体"/>
                <w:b/>
                <w:color w:val="auto"/>
                <w:sz w:val="30"/>
                <w:szCs w:val="30"/>
                <w:highlight w:val="none"/>
              </w:rPr>
            </w:pPr>
            <w:r>
              <w:rPr>
                <w:rFonts w:hint="eastAsia" w:ascii="宋体" w:hAnsi="宋体"/>
                <w:color w:val="auto"/>
                <w:sz w:val="24"/>
                <w:highlight w:val="none"/>
              </w:rPr>
              <w:t>总报价（一）＋（二）＋</w:t>
            </w:r>
            <w:r>
              <w:rPr>
                <w:rFonts w:hint="eastAsia" w:ascii="宋体" w:hAnsi="宋体"/>
                <w:color w:val="auto"/>
                <w:sz w:val="24"/>
                <w:highlight w:val="none"/>
                <w:lang w:eastAsia="zh-CN"/>
              </w:rPr>
              <w:t>（</w:t>
            </w:r>
            <w:r>
              <w:rPr>
                <w:rFonts w:hint="eastAsia" w:ascii="宋体" w:hAnsi="宋体"/>
                <w:color w:val="auto"/>
                <w:sz w:val="24"/>
                <w:highlight w:val="none"/>
              </w:rPr>
              <w:t>三</w:t>
            </w:r>
            <w:r>
              <w:rPr>
                <w:rFonts w:hint="eastAsia" w:ascii="宋体" w:hAnsi="宋体"/>
                <w:color w:val="auto"/>
                <w:sz w:val="24"/>
                <w:highlight w:val="none"/>
                <w:lang w:eastAsia="zh-CN"/>
              </w:rPr>
              <w:t>）</w:t>
            </w:r>
            <w:r>
              <w:rPr>
                <w:rFonts w:hint="eastAsia" w:ascii="Times New Roman" w:hAnsi="Times New Roman"/>
                <w:color w:val="auto"/>
                <w:sz w:val="24"/>
                <w:highlight w:val="none"/>
              </w:rPr>
              <w:t>+</w:t>
            </w:r>
            <w:r>
              <w:rPr>
                <w:rFonts w:ascii="Times New Roman" w:hAnsi="Times New Roman"/>
                <w:color w:val="auto"/>
                <w:sz w:val="24"/>
                <w:highlight w:val="none"/>
              </w:rPr>
              <w:t>…</w:t>
            </w:r>
          </w:p>
        </w:tc>
        <w:tc>
          <w:tcPr>
            <w:tcW w:w="3761" w:type="dxa"/>
            <w:tcBorders>
              <w:top w:val="single" w:color="000000" w:sz="4" w:space="0"/>
              <w:left w:val="nil"/>
              <w:bottom w:val="single" w:color="000000" w:sz="4" w:space="0"/>
              <w:right w:val="single" w:color="000000" w:sz="4" w:space="0"/>
            </w:tcBorders>
            <w:noWrap w:val="0"/>
            <w:vAlign w:val="center"/>
          </w:tcPr>
          <w:p w14:paraId="53914055">
            <w:pPr>
              <w:shd w:val="clear" w:color="auto"/>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r w14:paraId="4456351B">
        <w:tblPrEx>
          <w:tblCellMar>
            <w:top w:w="0" w:type="dxa"/>
            <w:left w:w="0" w:type="dxa"/>
            <w:bottom w:w="0" w:type="dxa"/>
            <w:right w:w="0" w:type="dxa"/>
          </w:tblCellMar>
        </w:tblPrEx>
        <w:trPr>
          <w:trHeight w:val="701"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3047E15C">
            <w:pPr>
              <w:shd w:val="clear" w:color="auto"/>
              <w:spacing w:line="560" w:lineRule="exact"/>
              <w:jc w:val="center"/>
              <w:rPr>
                <w:rFonts w:hint="eastAsia" w:ascii="宋体" w:hAnsi="宋体"/>
                <w:color w:val="auto"/>
                <w:sz w:val="24"/>
                <w:highlight w:val="none"/>
              </w:rPr>
            </w:pPr>
            <w:r>
              <w:rPr>
                <w:rFonts w:hint="eastAsia" w:ascii="宋体" w:hAnsi="宋体"/>
                <w:color w:val="auto"/>
                <w:sz w:val="24"/>
                <w:highlight w:val="none"/>
              </w:rPr>
              <w:t>（一）</w:t>
            </w:r>
          </w:p>
        </w:tc>
        <w:tc>
          <w:tcPr>
            <w:tcW w:w="4450" w:type="dxa"/>
            <w:tcBorders>
              <w:top w:val="single" w:color="000000" w:sz="4" w:space="0"/>
              <w:left w:val="nil"/>
              <w:bottom w:val="single" w:color="000000" w:sz="4" w:space="0"/>
              <w:right w:val="single" w:color="000000" w:sz="4" w:space="0"/>
            </w:tcBorders>
            <w:noWrap w:val="0"/>
            <w:vAlign w:val="center"/>
          </w:tcPr>
          <w:p w14:paraId="141E1FB8">
            <w:pPr>
              <w:shd w:val="clear" w:color="auto"/>
              <w:spacing w:before="100" w:beforeAutospacing="1" w:line="560" w:lineRule="exact"/>
              <w:jc w:val="center"/>
              <w:rPr>
                <w:rFonts w:hint="eastAsia" w:ascii="宋体" w:hAnsi="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011FE9AF">
            <w:pPr>
              <w:shd w:val="clear" w:color="auto"/>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r w14:paraId="0228DD73">
        <w:tblPrEx>
          <w:tblCellMar>
            <w:top w:w="0" w:type="dxa"/>
            <w:left w:w="0" w:type="dxa"/>
            <w:bottom w:w="0" w:type="dxa"/>
            <w:right w:w="0" w:type="dxa"/>
          </w:tblCellMar>
        </w:tblPrEx>
        <w:trPr>
          <w:trHeight w:val="625"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047DE75E">
            <w:pPr>
              <w:shd w:val="clear" w:color="auto"/>
              <w:spacing w:line="560" w:lineRule="exact"/>
              <w:jc w:val="center"/>
              <w:rPr>
                <w:rFonts w:hint="eastAsia" w:ascii="宋体" w:hAnsi="宋体"/>
                <w:color w:val="auto"/>
                <w:sz w:val="24"/>
                <w:highlight w:val="none"/>
              </w:rPr>
            </w:pPr>
            <w:r>
              <w:rPr>
                <w:rFonts w:hint="eastAsia" w:ascii="宋体" w:hAnsi="宋体"/>
                <w:color w:val="auto"/>
                <w:sz w:val="24"/>
                <w:highlight w:val="none"/>
              </w:rPr>
              <w:t>（二）</w:t>
            </w:r>
          </w:p>
        </w:tc>
        <w:tc>
          <w:tcPr>
            <w:tcW w:w="4450" w:type="dxa"/>
            <w:tcBorders>
              <w:top w:val="single" w:color="000000" w:sz="4" w:space="0"/>
              <w:left w:val="nil"/>
              <w:bottom w:val="single" w:color="000000" w:sz="4" w:space="0"/>
              <w:right w:val="single" w:color="000000" w:sz="4" w:space="0"/>
            </w:tcBorders>
            <w:noWrap w:val="0"/>
            <w:vAlign w:val="center"/>
          </w:tcPr>
          <w:p w14:paraId="1E63AB63">
            <w:pPr>
              <w:shd w:val="clear" w:color="auto"/>
              <w:spacing w:before="100" w:beforeAutospacing="1" w:line="560" w:lineRule="exact"/>
              <w:jc w:val="center"/>
              <w:rPr>
                <w:rFonts w:hint="eastAsia" w:ascii="宋体" w:hAnsi="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2BEFA75D">
            <w:pPr>
              <w:shd w:val="clear" w:color="auto"/>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r w14:paraId="0D8508D4">
        <w:tblPrEx>
          <w:tblCellMar>
            <w:top w:w="0" w:type="dxa"/>
            <w:left w:w="0" w:type="dxa"/>
            <w:bottom w:w="0" w:type="dxa"/>
            <w:right w:w="0" w:type="dxa"/>
          </w:tblCellMar>
        </w:tblPrEx>
        <w:trPr>
          <w:trHeight w:val="625"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3EE80E82">
            <w:pPr>
              <w:shd w:val="clear" w:color="auto"/>
              <w:spacing w:line="560" w:lineRule="exact"/>
              <w:jc w:val="center"/>
              <w:rPr>
                <w:rFonts w:hint="eastAsia" w:ascii="宋体" w:hAnsi="宋体"/>
                <w:color w:val="auto"/>
                <w:sz w:val="24"/>
                <w:highlight w:val="none"/>
              </w:rPr>
            </w:pPr>
            <w:r>
              <w:rPr>
                <w:rFonts w:hint="eastAsia" w:ascii="Times New Roman" w:hAnsi="Times New Roman"/>
                <w:color w:val="auto"/>
                <w:sz w:val="24"/>
                <w:highlight w:val="none"/>
                <w:lang w:eastAsia="zh-CN"/>
              </w:rPr>
              <w:t>（</w:t>
            </w:r>
            <w:r>
              <w:rPr>
                <w:rFonts w:hint="eastAsia" w:ascii="宋体" w:hAnsi="宋体"/>
                <w:color w:val="auto"/>
                <w:sz w:val="24"/>
                <w:highlight w:val="none"/>
              </w:rPr>
              <w:t>三</w:t>
            </w:r>
            <w:r>
              <w:rPr>
                <w:rFonts w:hint="eastAsia" w:ascii="宋体" w:hAnsi="宋体"/>
                <w:color w:val="auto"/>
                <w:sz w:val="24"/>
                <w:highlight w:val="none"/>
                <w:lang w:eastAsia="zh-CN"/>
              </w:rPr>
              <w:t>）</w:t>
            </w:r>
          </w:p>
        </w:tc>
        <w:tc>
          <w:tcPr>
            <w:tcW w:w="4450" w:type="dxa"/>
            <w:tcBorders>
              <w:top w:val="single" w:color="000000" w:sz="4" w:space="0"/>
              <w:left w:val="nil"/>
              <w:bottom w:val="single" w:color="000000" w:sz="4" w:space="0"/>
              <w:right w:val="single" w:color="000000" w:sz="4" w:space="0"/>
            </w:tcBorders>
            <w:noWrap w:val="0"/>
            <w:vAlign w:val="center"/>
          </w:tcPr>
          <w:p w14:paraId="365F02FF">
            <w:pPr>
              <w:shd w:val="clear" w:color="auto"/>
              <w:spacing w:before="100" w:beforeAutospacing="1" w:line="560" w:lineRule="exact"/>
              <w:jc w:val="center"/>
              <w:rPr>
                <w:rFonts w:hint="eastAsia" w:ascii="宋体" w:hAnsi="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126872BA">
            <w:pPr>
              <w:shd w:val="clear" w:color="auto"/>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r w14:paraId="18F01BC5">
        <w:tblPrEx>
          <w:tblCellMar>
            <w:top w:w="0" w:type="dxa"/>
            <w:left w:w="0" w:type="dxa"/>
            <w:bottom w:w="0" w:type="dxa"/>
            <w:right w:w="0" w:type="dxa"/>
          </w:tblCellMar>
        </w:tblPrEx>
        <w:trPr>
          <w:trHeight w:val="604"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2C4DAEEB">
            <w:pPr>
              <w:shd w:val="clear" w:color="auto"/>
              <w:spacing w:line="560" w:lineRule="exact"/>
              <w:jc w:val="center"/>
              <w:rPr>
                <w:rFonts w:hint="eastAsia" w:ascii="宋体" w:hAnsi="宋体"/>
                <w:color w:val="auto"/>
                <w:sz w:val="24"/>
                <w:highlight w:val="none"/>
              </w:rPr>
            </w:pPr>
            <w:r>
              <w:rPr>
                <w:rFonts w:ascii="Times New Roman" w:hAnsi="Times New Roman"/>
                <w:color w:val="auto"/>
                <w:sz w:val="24"/>
                <w:highlight w:val="none"/>
              </w:rPr>
              <w:t>…</w:t>
            </w:r>
          </w:p>
        </w:tc>
        <w:tc>
          <w:tcPr>
            <w:tcW w:w="4450" w:type="dxa"/>
            <w:tcBorders>
              <w:top w:val="single" w:color="000000" w:sz="4" w:space="0"/>
              <w:left w:val="nil"/>
              <w:bottom w:val="single" w:color="000000" w:sz="4" w:space="0"/>
              <w:right w:val="single" w:color="000000" w:sz="4" w:space="0"/>
            </w:tcBorders>
            <w:noWrap w:val="0"/>
            <w:vAlign w:val="center"/>
          </w:tcPr>
          <w:p w14:paraId="73127BDD">
            <w:pPr>
              <w:shd w:val="clear" w:color="auto"/>
              <w:spacing w:line="560" w:lineRule="exact"/>
              <w:rPr>
                <w:rFonts w:hint="eastAsia" w:ascii="宋体" w:hAnsi="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0626CDF5">
            <w:pPr>
              <w:shd w:val="clear" w:color="auto"/>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r w14:paraId="6A023137">
        <w:tblPrEx>
          <w:tblCellMar>
            <w:top w:w="0" w:type="dxa"/>
            <w:left w:w="0" w:type="dxa"/>
            <w:bottom w:w="0" w:type="dxa"/>
            <w:right w:w="0" w:type="dxa"/>
          </w:tblCellMar>
        </w:tblPrEx>
        <w:trPr>
          <w:trHeight w:val="821" w:hRule="atLeast"/>
          <w:jc w:val="center"/>
        </w:trPr>
        <w:tc>
          <w:tcPr>
            <w:tcW w:w="1135" w:type="dxa"/>
            <w:vMerge w:val="restart"/>
            <w:tcBorders>
              <w:top w:val="nil"/>
              <w:left w:val="single" w:color="000000" w:sz="4" w:space="0"/>
              <w:bottom w:val="single" w:color="000000" w:sz="4" w:space="0"/>
              <w:right w:val="single" w:color="000000" w:sz="4" w:space="0"/>
            </w:tcBorders>
            <w:noWrap w:val="0"/>
            <w:vAlign w:val="center"/>
          </w:tcPr>
          <w:p w14:paraId="2B6FA96F">
            <w:pPr>
              <w:shd w:val="clear" w:color="auto"/>
              <w:spacing w:line="560" w:lineRule="exact"/>
              <w:jc w:val="center"/>
              <w:rPr>
                <w:rFonts w:hint="eastAsia" w:ascii="宋体" w:hAnsi="宋体"/>
                <w:color w:val="auto"/>
                <w:sz w:val="24"/>
                <w:highlight w:val="none"/>
              </w:rPr>
            </w:pPr>
            <w:r>
              <w:rPr>
                <w:rFonts w:hint="eastAsia" w:ascii="宋体" w:hAnsi="宋体"/>
                <w:color w:val="auto"/>
                <w:sz w:val="24"/>
                <w:highlight w:val="none"/>
              </w:rPr>
              <w:t>其中：</w:t>
            </w:r>
          </w:p>
        </w:tc>
        <w:tc>
          <w:tcPr>
            <w:tcW w:w="4450" w:type="dxa"/>
            <w:tcBorders>
              <w:top w:val="single" w:color="000000" w:sz="4" w:space="0"/>
              <w:left w:val="nil"/>
              <w:bottom w:val="single" w:color="000000" w:sz="4" w:space="0"/>
              <w:right w:val="single" w:color="000000" w:sz="4" w:space="0"/>
            </w:tcBorders>
            <w:noWrap w:val="0"/>
            <w:vAlign w:val="center"/>
          </w:tcPr>
          <w:p w14:paraId="44439D86">
            <w:pPr>
              <w:shd w:val="clear" w:color="auto"/>
              <w:spacing w:line="560" w:lineRule="exact"/>
              <w:rPr>
                <w:rFonts w:hint="eastAsia" w:ascii="宋体" w:hAnsi="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77B1DFA9">
            <w:pPr>
              <w:shd w:val="clear" w:color="auto"/>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r w14:paraId="386B9CD7">
        <w:tblPrEx>
          <w:tblCellMar>
            <w:top w:w="0" w:type="dxa"/>
            <w:left w:w="0" w:type="dxa"/>
            <w:bottom w:w="0" w:type="dxa"/>
            <w:right w:w="0" w:type="dxa"/>
          </w:tblCellMar>
        </w:tblPrEx>
        <w:trPr>
          <w:trHeight w:val="290" w:hRule="atLeast"/>
          <w:jc w:val="center"/>
        </w:trPr>
        <w:tc>
          <w:tcPr>
            <w:tcW w:w="1135" w:type="dxa"/>
            <w:vMerge w:val="continue"/>
            <w:tcBorders>
              <w:top w:val="nil"/>
              <w:left w:val="single" w:color="000000" w:sz="4" w:space="0"/>
              <w:bottom w:val="single" w:color="000000" w:sz="4" w:space="0"/>
              <w:right w:val="single" w:color="000000" w:sz="4" w:space="0"/>
            </w:tcBorders>
            <w:noWrap w:val="0"/>
            <w:vAlign w:val="center"/>
          </w:tcPr>
          <w:p w14:paraId="1E276DCD">
            <w:pPr>
              <w:widowControl/>
              <w:shd w:val="clear" w:color="auto"/>
              <w:jc w:val="left"/>
              <w:rPr>
                <w:rFonts w:ascii="宋体" w:hAnsi="宋体"/>
                <w:color w:val="auto"/>
                <w:sz w:val="24"/>
                <w:highlight w:val="none"/>
              </w:rPr>
            </w:pPr>
          </w:p>
        </w:tc>
        <w:tc>
          <w:tcPr>
            <w:tcW w:w="4450" w:type="dxa"/>
            <w:tcBorders>
              <w:top w:val="single" w:color="000000" w:sz="4" w:space="0"/>
              <w:left w:val="nil"/>
              <w:bottom w:val="single" w:color="000000" w:sz="4" w:space="0"/>
              <w:right w:val="single" w:color="000000" w:sz="4" w:space="0"/>
            </w:tcBorders>
            <w:noWrap w:val="0"/>
            <w:vAlign w:val="center"/>
          </w:tcPr>
          <w:p w14:paraId="39240359">
            <w:pPr>
              <w:shd w:val="clear" w:color="auto"/>
              <w:spacing w:line="560" w:lineRule="exact"/>
              <w:rPr>
                <w:rFonts w:hint="eastAsia" w:ascii="宋体" w:hAnsi="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6EB095DA">
            <w:pPr>
              <w:shd w:val="clear" w:color="auto"/>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r w14:paraId="6B4658D9">
        <w:tblPrEx>
          <w:tblCellMar>
            <w:top w:w="0" w:type="dxa"/>
            <w:left w:w="0" w:type="dxa"/>
            <w:bottom w:w="0" w:type="dxa"/>
            <w:right w:w="0" w:type="dxa"/>
          </w:tblCellMar>
        </w:tblPrEx>
        <w:trPr>
          <w:trHeight w:val="290" w:hRule="atLeast"/>
          <w:jc w:val="center"/>
        </w:trPr>
        <w:tc>
          <w:tcPr>
            <w:tcW w:w="1135" w:type="dxa"/>
            <w:vMerge w:val="continue"/>
            <w:tcBorders>
              <w:top w:val="nil"/>
              <w:left w:val="single" w:color="000000" w:sz="4" w:space="0"/>
              <w:bottom w:val="single" w:color="000000" w:sz="4" w:space="0"/>
              <w:right w:val="single" w:color="000000" w:sz="4" w:space="0"/>
            </w:tcBorders>
            <w:noWrap w:val="0"/>
            <w:vAlign w:val="center"/>
          </w:tcPr>
          <w:p w14:paraId="6D0416B1">
            <w:pPr>
              <w:widowControl/>
              <w:shd w:val="clear" w:color="auto"/>
              <w:jc w:val="left"/>
              <w:rPr>
                <w:rFonts w:ascii="宋体" w:hAnsi="宋体"/>
                <w:color w:val="auto"/>
                <w:sz w:val="24"/>
                <w:highlight w:val="none"/>
              </w:rPr>
            </w:pPr>
          </w:p>
        </w:tc>
        <w:tc>
          <w:tcPr>
            <w:tcW w:w="4450" w:type="dxa"/>
            <w:tcBorders>
              <w:top w:val="single" w:color="000000" w:sz="4" w:space="0"/>
              <w:left w:val="nil"/>
              <w:bottom w:val="single" w:color="000000" w:sz="4" w:space="0"/>
              <w:right w:val="single" w:color="000000" w:sz="4" w:space="0"/>
            </w:tcBorders>
            <w:noWrap w:val="0"/>
            <w:vAlign w:val="center"/>
          </w:tcPr>
          <w:p w14:paraId="644FC5D4">
            <w:pPr>
              <w:shd w:val="clear" w:color="auto"/>
              <w:spacing w:line="560" w:lineRule="exact"/>
              <w:rPr>
                <w:rFonts w:hint="eastAsia" w:ascii="宋体" w:hAnsi="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78EAED45">
            <w:pPr>
              <w:shd w:val="clear" w:color="auto"/>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r w14:paraId="20DDC632">
        <w:tblPrEx>
          <w:tblCellMar>
            <w:top w:w="0" w:type="dxa"/>
            <w:left w:w="0" w:type="dxa"/>
            <w:bottom w:w="0" w:type="dxa"/>
            <w:right w:w="0" w:type="dxa"/>
          </w:tblCellMar>
        </w:tblPrEx>
        <w:trPr>
          <w:trHeight w:val="290" w:hRule="atLeast"/>
          <w:jc w:val="center"/>
        </w:trPr>
        <w:tc>
          <w:tcPr>
            <w:tcW w:w="1135" w:type="dxa"/>
            <w:vMerge w:val="continue"/>
            <w:tcBorders>
              <w:top w:val="nil"/>
              <w:left w:val="single" w:color="000000" w:sz="4" w:space="0"/>
              <w:bottom w:val="single" w:color="000000" w:sz="4" w:space="0"/>
              <w:right w:val="single" w:color="000000" w:sz="4" w:space="0"/>
            </w:tcBorders>
            <w:noWrap w:val="0"/>
            <w:vAlign w:val="center"/>
          </w:tcPr>
          <w:p w14:paraId="1971CB57">
            <w:pPr>
              <w:widowControl/>
              <w:shd w:val="clear" w:color="auto"/>
              <w:jc w:val="left"/>
              <w:rPr>
                <w:rFonts w:ascii="宋体" w:hAnsi="宋体"/>
                <w:color w:val="auto"/>
                <w:sz w:val="24"/>
                <w:highlight w:val="none"/>
              </w:rPr>
            </w:pPr>
          </w:p>
        </w:tc>
        <w:tc>
          <w:tcPr>
            <w:tcW w:w="4450" w:type="dxa"/>
            <w:tcBorders>
              <w:top w:val="single" w:color="000000" w:sz="4" w:space="0"/>
              <w:left w:val="nil"/>
              <w:bottom w:val="single" w:color="000000" w:sz="4" w:space="0"/>
              <w:right w:val="single" w:color="000000" w:sz="4" w:space="0"/>
            </w:tcBorders>
            <w:noWrap w:val="0"/>
            <w:vAlign w:val="center"/>
          </w:tcPr>
          <w:p w14:paraId="7E883C66">
            <w:pPr>
              <w:shd w:val="clear" w:color="auto"/>
              <w:spacing w:line="560" w:lineRule="exact"/>
              <w:rPr>
                <w:rFonts w:hint="eastAsia" w:ascii="宋体" w:hAnsi="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63F418A2">
            <w:pPr>
              <w:shd w:val="clear" w:color="auto"/>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bl>
    <w:p w14:paraId="1391D977">
      <w:pPr>
        <w:shd w:val="clear" w:color="auto"/>
        <w:rPr>
          <w:rFonts w:hint="eastAsia" w:ascii="宋体" w:hAnsi="宋体"/>
          <w:color w:val="auto"/>
          <w:sz w:val="24"/>
          <w:highlight w:val="none"/>
        </w:rPr>
      </w:pPr>
      <w:r>
        <w:rPr>
          <w:rFonts w:hint="eastAsia" w:ascii="宋体" w:hAnsi="宋体"/>
          <w:color w:val="auto"/>
          <w:sz w:val="24"/>
          <w:highlight w:val="none"/>
        </w:rPr>
        <w:t xml:space="preserve"> </w:t>
      </w:r>
    </w:p>
    <w:p w14:paraId="0277580D">
      <w:pPr>
        <w:shd w:val="clear" w:color="auto"/>
        <w:spacing w:before="50" w:after="50" w:line="360" w:lineRule="auto"/>
        <w:rPr>
          <w:rFonts w:hint="eastAsia" w:ascii="宋体" w:hAnsi="宋体"/>
          <w:color w:val="auto"/>
          <w:sz w:val="24"/>
          <w:highlight w:val="none"/>
          <w:u w:val="single"/>
        </w:rPr>
      </w:pPr>
    </w:p>
    <w:p w14:paraId="27BB250C">
      <w:pPr>
        <w:shd w:val="clear" w:color="auto"/>
        <w:ind w:firstLine="480"/>
        <w:jc w:val="left"/>
        <w:rPr>
          <w:rFonts w:hint="eastAsia" w:ascii="宋体" w:hAnsi="宋体" w:cs="宋体"/>
          <w:color w:val="auto"/>
          <w:sz w:val="24"/>
          <w:highlight w:val="none"/>
          <w:lang w:val="zh-CN"/>
        </w:rPr>
      </w:pPr>
      <w:r>
        <w:rPr>
          <w:rFonts w:hint="eastAsia" w:ascii="宋体" w:hAnsi="宋体" w:cs="宋体"/>
          <w:color w:val="auto"/>
          <w:sz w:val="24"/>
          <w:szCs w:val="22"/>
          <w:highlight w:val="none"/>
          <w:lang w:val="zh-CN"/>
        </w:rPr>
        <w:t>注：</w:t>
      </w:r>
      <w:r>
        <w:rPr>
          <w:rFonts w:hint="eastAsia" w:ascii="宋体" w:hAnsi="宋体" w:cs="宋体"/>
          <w:color w:val="auto"/>
          <w:sz w:val="24"/>
          <w:highlight w:val="none"/>
          <w:lang w:val="zh-CN"/>
        </w:rPr>
        <w:t>符合采购文件中列明的可享受中小企业扶持政策的供应商，请填写中小企业声明函。注：供应商提供的中小企业声明函内容不实的，属于提供虚假材料谋取中标、成交，将依照《中华人民共和国政府采购法》等国家有关规定追究相应责任。</w:t>
      </w:r>
    </w:p>
    <w:p w14:paraId="088F5592">
      <w:pPr>
        <w:shd w:val="clear" w:color="auto"/>
        <w:spacing w:line="360" w:lineRule="auto"/>
        <w:ind w:left="4335" w:hanging="240"/>
        <w:rPr>
          <w:rFonts w:ascii="仿宋_GB2312" w:hAnsi="仿宋" w:eastAsia="仿宋_GB2312" w:cs="仿宋_GB2312"/>
          <w:color w:val="auto"/>
          <w:sz w:val="24"/>
          <w:highlight w:val="none"/>
        </w:rPr>
      </w:pPr>
    </w:p>
    <w:p w14:paraId="7CF5DAC7">
      <w:pPr>
        <w:shd w:val="clear" w:color="auto"/>
        <w:spacing w:line="360" w:lineRule="auto"/>
        <w:ind w:left="4335" w:hanging="240"/>
        <w:rPr>
          <w:rFonts w:hint="eastAsia" w:ascii="宋体" w:hAnsi="宋体" w:cs="宋体"/>
          <w:color w:val="auto"/>
          <w:sz w:val="24"/>
          <w:highlight w:val="none"/>
        </w:rPr>
      </w:pPr>
      <w:r>
        <w:rPr>
          <w:rFonts w:hint="eastAsia" w:ascii="宋体" w:hAnsi="宋体" w:cs="宋体"/>
          <w:color w:val="auto"/>
          <w:sz w:val="24"/>
          <w:highlight w:val="none"/>
        </w:rPr>
        <w:t>供应商名称（电子签章）：</w:t>
      </w:r>
    </w:p>
    <w:p w14:paraId="6B1C81FB">
      <w:pPr>
        <w:shd w:val="clear" w:color="auto"/>
        <w:spacing w:line="500" w:lineRule="exact"/>
        <w:ind w:firstLine="6360"/>
        <w:rPr>
          <w:rFonts w:hint="eastAsia" w:ascii="宋体" w:hAnsi="宋体" w:cs="宋体"/>
          <w:color w:val="auto"/>
          <w:sz w:val="24"/>
          <w:highlight w:val="none"/>
          <w:lang w:val="zh-CN"/>
        </w:rPr>
        <w:sectPr>
          <w:footerReference r:id="rId5" w:type="first"/>
          <w:footerReference r:id="rId4" w:type="default"/>
          <w:pgSz w:w="11905" w:h="16838"/>
          <w:pgMar w:top="1417" w:right="1417" w:bottom="1417" w:left="1417" w:header="850" w:footer="992" w:gutter="0"/>
          <w:pgNumType w:start="1"/>
          <w:cols w:space="720" w:num="1"/>
        </w:sectPr>
      </w:pPr>
      <w:r>
        <w:rPr>
          <w:rFonts w:hint="eastAsia" w:ascii="宋体" w:hAnsi="宋体" w:cs="宋体"/>
          <w:color w:val="auto"/>
          <w:sz w:val="24"/>
          <w:szCs w:val="21"/>
          <w:highlight w:val="none"/>
          <w:lang w:val="zh-CN"/>
        </w:rPr>
        <w:t>日期：  年  月   日</w:t>
      </w:r>
    </w:p>
    <w:p w14:paraId="6316429C">
      <w:pPr>
        <w:shd w:val="clear" w:color="auto"/>
        <w:spacing w:line="50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已标价的工程量清单报价文件（格式）</w:t>
      </w:r>
    </w:p>
    <w:p w14:paraId="5B423B4A">
      <w:pPr>
        <w:shd w:val="clear" w:color="auto"/>
        <w:spacing w:line="500" w:lineRule="exact"/>
        <w:ind w:firstLine="602"/>
        <w:rPr>
          <w:rFonts w:ascii="仿宋" w:hAnsi="仿宋" w:eastAsia="仿宋" w:cs="仿宋_GB2312"/>
          <w:b/>
          <w:color w:val="auto"/>
          <w:sz w:val="30"/>
          <w:szCs w:val="30"/>
          <w:highlight w:val="none"/>
        </w:rPr>
      </w:pPr>
    </w:p>
    <w:p w14:paraId="6AADEF5B">
      <w:pPr>
        <w:shd w:val="clear" w:color="auto"/>
        <w:spacing w:line="500" w:lineRule="exact"/>
        <w:ind w:firstLine="420"/>
        <w:jc w:val="center"/>
        <w:rPr>
          <w:rFonts w:ascii="宋体" w:hAnsi="宋体"/>
          <w:color w:val="auto"/>
          <w:szCs w:val="21"/>
          <w:highlight w:val="none"/>
        </w:rPr>
      </w:pPr>
      <w:r>
        <w:rPr>
          <w:rFonts w:hint="eastAsia" w:ascii="宋体" w:hAnsi="宋体"/>
          <w:color w:val="auto"/>
          <w:szCs w:val="21"/>
          <w:highlight w:val="none"/>
        </w:rPr>
        <w:t>按 “工程量清单”中的相关表格及投标报价说明填写。</w:t>
      </w:r>
    </w:p>
    <w:p w14:paraId="706F55EA">
      <w:pPr>
        <w:shd w:val="clear" w:color="auto"/>
        <w:spacing w:line="500" w:lineRule="exact"/>
        <w:ind w:firstLine="602"/>
        <w:rPr>
          <w:rFonts w:ascii="仿宋" w:hAnsi="仿宋" w:eastAsia="仿宋" w:cs="仿宋_GB2312"/>
          <w:b/>
          <w:color w:val="auto"/>
          <w:sz w:val="30"/>
          <w:szCs w:val="30"/>
          <w:highlight w:val="none"/>
        </w:rPr>
      </w:pPr>
    </w:p>
    <w:p w14:paraId="2BEDE4EF">
      <w:pPr>
        <w:shd w:val="clear" w:color="auto"/>
        <w:spacing w:line="500" w:lineRule="exact"/>
        <w:ind w:firstLine="602"/>
        <w:rPr>
          <w:rFonts w:ascii="仿宋" w:hAnsi="仿宋" w:eastAsia="仿宋" w:cs="仿宋_GB2312"/>
          <w:b/>
          <w:color w:val="auto"/>
          <w:sz w:val="30"/>
          <w:szCs w:val="30"/>
          <w:highlight w:val="none"/>
        </w:rPr>
      </w:pPr>
    </w:p>
    <w:p w14:paraId="1A0C9409">
      <w:pPr>
        <w:shd w:val="clear" w:color="auto"/>
        <w:spacing w:line="500" w:lineRule="exact"/>
        <w:ind w:firstLine="602"/>
        <w:rPr>
          <w:rFonts w:ascii="仿宋" w:hAnsi="仿宋" w:eastAsia="仿宋" w:cs="仿宋_GB2312"/>
          <w:b/>
          <w:color w:val="auto"/>
          <w:sz w:val="30"/>
          <w:szCs w:val="30"/>
          <w:highlight w:val="none"/>
        </w:rPr>
      </w:pPr>
    </w:p>
    <w:p w14:paraId="4BC58648">
      <w:pPr>
        <w:shd w:val="clear" w:color="auto"/>
        <w:spacing w:line="500" w:lineRule="exact"/>
        <w:ind w:firstLine="602"/>
        <w:rPr>
          <w:rFonts w:ascii="仿宋" w:hAnsi="仿宋" w:eastAsia="仿宋" w:cs="仿宋_GB2312"/>
          <w:b/>
          <w:color w:val="auto"/>
          <w:sz w:val="30"/>
          <w:szCs w:val="30"/>
          <w:highlight w:val="none"/>
        </w:rPr>
      </w:pPr>
    </w:p>
    <w:p w14:paraId="4704F6E3">
      <w:pPr>
        <w:shd w:val="clear" w:color="auto"/>
        <w:spacing w:line="500" w:lineRule="exact"/>
        <w:ind w:firstLine="602"/>
        <w:rPr>
          <w:rFonts w:ascii="仿宋" w:hAnsi="仿宋" w:eastAsia="仿宋" w:cs="仿宋_GB2312"/>
          <w:b/>
          <w:color w:val="auto"/>
          <w:sz w:val="30"/>
          <w:szCs w:val="30"/>
          <w:highlight w:val="none"/>
        </w:rPr>
      </w:pPr>
    </w:p>
    <w:p w14:paraId="660E707E">
      <w:pPr>
        <w:shd w:val="clear" w:color="auto"/>
        <w:spacing w:line="500" w:lineRule="exact"/>
        <w:ind w:firstLine="602"/>
        <w:rPr>
          <w:rFonts w:ascii="仿宋" w:hAnsi="仿宋" w:eastAsia="仿宋" w:cs="仿宋_GB2312"/>
          <w:b/>
          <w:color w:val="auto"/>
          <w:sz w:val="30"/>
          <w:szCs w:val="30"/>
          <w:highlight w:val="none"/>
        </w:rPr>
      </w:pPr>
    </w:p>
    <w:p w14:paraId="48AAA89D">
      <w:pPr>
        <w:shd w:val="clear" w:color="auto"/>
        <w:spacing w:line="500" w:lineRule="exact"/>
        <w:ind w:firstLine="602"/>
        <w:rPr>
          <w:rFonts w:ascii="仿宋" w:hAnsi="仿宋" w:eastAsia="仿宋" w:cs="仿宋_GB2312"/>
          <w:b/>
          <w:color w:val="auto"/>
          <w:sz w:val="30"/>
          <w:szCs w:val="30"/>
          <w:highlight w:val="none"/>
        </w:rPr>
      </w:pPr>
    </w:p>
    <w:p w14:paraId="3D79F9E6">
      <w:pPr>
        <w:shd w:val="clear" w:color="auto"/>
        <w:spacing w:line="500" w:lineRule="exact"/>
        <w:ind w:firstLine="602"/>
        <w:rPr>
          <w:rFonts w:ascii="仿宋" w:hAnsi="仿宋" w:eastAsia="仿宋" w:cs="仿宋_GB2312"/>
          <w:b/>
          <w:color w:val="auto"/>
          <w:sz w:val="30"/>
          <w:szCs w:val="30"/>
          <w:highlight w:val="none"/>
        </w:rPr>
      </w:pPr>
    </w:p>
    <w:p w14:paraId="425396B3">
      <w:pPr>
        <w:shd w:val="clear" w:color="auto"/>
        <w:spacing w:line="500" w:lineRule="exact"/>
        <w:ind w:firstLine="602"/>
        <w:rPr>
          <w:rFonts w:ascii="仿宋" w:hAnsi="仿宋" w:eastAsia="仿宋" w:cs="仿宋_GB2312"/>
          <w:b/>
          <w:color w:val="auto"/>
          <w:sz w:val="30"/>
          <w:szCs w:val="30"/>
          <w:highlight w:val="none"/>
        </w:rPr>
      </w:pPr>
    </w:p>
    <w:p w14:paraId="41C740DA">
      <w:pPr>
        <w:shd w:val="clear" w:color="auto"/>
        <w:spacing w:line="500" w:lineRule="exact"/>
        <w:ind w:firstLine="602"/>
        <w:rPr>
          <w:rFonts w:ascii="仿宋" w:hAnsi="仿宋" w:eastAsia="仿宋" w:cs="仿宋_GB2312"/>
          <w:b/>
          <w:color w:val="auto"/>
          <w:sz w:val="30"/>
          <w:szCs w:val="30"/>
          <w:highlight w:val="none"/>
        </w:rPr>
      </w:pPr>
    </w:p>
    <w:p w14:paraId="756DA071">
      <w:pPr>
        <w:shd w:val="clear" w:color="auto"/>
        <w:spacing w:line="500" w:lineRule="exact"/>
        <w:ind w:firstLine="602"/>
        <w:rPr>
          <w:rFonts w:ascii="仿宋" w:hAnsi="仿宋" w:eastAsia="仿宋" w:cs="仿宋_GB2312"/>
          <w:b/>
          <w:color w:val="auto"/>
          <w:sz w:val="30"/>
          <w:szCs w:val="30"/>
          <w:highlight w:val="none"/>
        </w:rPr>
      </w:pPr>
    </w:p>
    <w:p w14:paraId="0FA76C5D">
      <w:pPr>
        <w:shd w:val="clear" w:color="auto"/>
        <w:spacing w:line="500" w:lineRule="exact"/>
        <w:ind w:firstLine="602"/>
        <w:rPr>
          <w:rFonts w:ascii="仿宋" w:hAnsi="仿宋" w:eastAsia="仿宋" w:cs="仿宋_GB2312"/>
          <w:b/>
          <w:color w:val="auto"/>
          <w:sz w:val="30"/>
          <w:szCs w:val="30"/>
          <w:highlight w:val="none"/>
        </w:rPr>
      </w:pPr>
    </w:p>
    <w:p w14:paraId="4D115762">
      <w:pPr>
        <w:shd w:val="clear" w:color="auto"/>
        <w:spacing w:line="500" w:lineRule="exact"/>
        <w:ind w:firstLine="602"/>
        <w:rPr>
          <w:rFonts w:ascii="仿宋" w:hAnsi="仿宋" w:eastAsia="仿宋" w:cs="仿宋_GB2312"/>
          <w:b/>
          <w:color w:val="auto"/>
          <w:sz w:val="30"/>
          <w:szCs w:val="30"/>
          <w:highlight w:val="none"/>
        </w:rPr>
      </w:pPr>
    </w:p>
    <w:p w14:paraId="7EF63B2C">
      <w:pPr>
        <w:shd w:val="clear" w:color="auto"/>
        <w:spacing w:line="500" w:lineRule="exact"/>
        <w:ind w:firstLine="602"/>
        <w:rPr>
          <w:rFonts w:hint="eastAsia" w:ascii="仿宋" w:hAnsi="仿宋" w:eastAsia="仿宋" w:cs="仿宋_GB2312"/>
          <w:b/>
          <w:color w:val="auto"/>
          <w:sz w:val="30"/>
          <w:szCs w:val="30"/>
          <w:highlight w:val="none"/>
        </w:rPr>
      </w:pPr>
    </w:p>
    <w:p w14:paraId="549D9ED5">
      <w:pPr>
        <w:keepNext/>
        <w:keepLines/>
        <w:shd w:val="clear" w:color="auto"/>
        <w:spacing w:before="260" w:after="260" w:line="416" w:lineRule="auto"/>
        <w:jc w:val="center"/>
        <w:outlineLvl w:val="1"/>
        <w:rPr>
          <w:rFonts w:hint="eastAsia" w:ascii="宋体" w:hAnsi="宋体" w:cs="宋体"/>
          <w:b/>
          <w:bCs/>
          <w:color w:val="auto"/>
          <w:sz w:val="32"/>
          <w:szCs w:val="32"/>
          <w:highlight w:val="none"/>
        </w:rPr>
      </w:pPr>
      <w:bookmarkStart w:id="40" w:name="_Toc87898662"/>
      <w:bookmarkStart w:id="41" w:name="_Toc80205942"/>
      <w:r>
        <w:rPr>
          <w:rFonts w:hint="eastAsia" w:ascii="宋体" w:hAnsi="宋体"/>
          <w:b/>
          <w:bCs/>
          <w:color w:val="auto"/>
          <w:sz w:val="32"/>
          <w:szCs w:val="32"/>
          <w:highlight w:val="none"/>
        </w:rPr>
        <w:br w:type="page" w:clear="all"/>
      </w:r>
      <w:bookmarkEnd w:id="40"/>
      <w:bookmarkEnd w:id="41"/>
      <w:r>
        <w:rPr>
          <w:rFonts w:hint="eastAsia" w:ascii="宋体" w:hAnsi="宋体" w:cs="宋体"/>
          <w:b/>
          <w:bCs/>
          <w:color w:val="auto"/>
          <w:sz w:val="32"/>
          <w:szCs w:val="32"/>
          <w:highlight w:val="none"/>
        </w:rPr>
        <w:t>中小企业声明函（工程）</w:t>
      </w:r>
    </w:p>
    <w:p w14:paraId="586D7194">
      <w:pPr>
        <w:shd w:val="clear" w:color="auto"/>
        <w:spacing w:line="360" w:lineRule="auto"/>
        <w:ind w:left="-426" w:right="142" w:firstLine="640"/>
        <w:contextualSpacing/>
        <w:rPr>
          <w:rFonts w:hint="eastAsia" w:ascii="宋体" w:hAnsi="宋体" w:cs="宋体"/>
          <w:color w:val="auto"/>
          <w:sz w:val="24"/>
          <w:highlight w:val="none"/>
        </w:rPr>
      </w:pPr>
      <w:r>
        <w:rPr>
          <w:rFonts w:hint="eastAsia" w:ascii="宋体" w:hAnsi="宋体" w:cs="宋体"/>
          <w:color w:val="auto"/>
          <w:sz w:val="24"/>
          <w:highlight w:val="none"/>
        </w:rPr>
        <w:t>本公司（联合体）郑重声明，根据《政府采购促进中小企业发展管理办法》（财库﹝2020﹞46号）的规定，本公司（联合体）参加</w:t>
      </w:r>
      <w:r>
        <w:rPr>
          <w:rFonts w:hint="eastAsia" w:ascii="宋体" w:hAnsi="宋体" w:cs="宋体"/>
          <w:color w:val="auto"/>
          <w:sz w:val="24"/>
          <w:highlight w:val="none"/>
          <w:u w:val="single"/>
        </w:rPr>
        <w:t>（单位名称</w:t>
      </w:r>
      <w:r>
        <w:rPr>
          <w:rFonts w:hint="eastAsia" w:ascii="宋体" w:hAnsi="宋体" w:cs="宋体"/>
          <w:color w:val="auto"/>
          <w:sz w:val="24"/>
          <w:highlight w:val="none"/>
          <w:u w:val="single"/>
          <w:lang w:eastAsia="zh-CN"/>
        </w:rPr>
        <w:t>：广西机电职业技术学院</w:t>
      </w:r>
      <w:r>
        <w:rPr>
          <w:rFonts w:hint="eastAsia" w:ascii="宋体" w:hAnsi="宋体" w:cs="宋体"/>
          <w:color w:val="auto"/>
          <w:sz w:val="24"/>
          <w:highlight w:val="none"/>
          <w:u w:val="single"/>
        </w:rPr>
        <w:t>）</w:t>
      </w:r>
      <w:r>
        <w:rPr>
          <w:rFonts w:hint="eastAsia" w:ascii="宋体" w:hAnsi="宋体" w:cs="宋体"/>
          <w:color w:val="auto"/>
          <w:sz w:val="24"/>
          <w:highlight w:val="none"/>
        </w:rPr>
        <w:t>的</w:t>
      </w:r>
      <w:r>
        <w:rPr>
          <w:rFonts w:hint="eastAsia" w:ascii="宋体" w:hAnsi="宋体" w:cs="宋体"/>
          <w:color w:val="auto"/>
          <w:sz w:val="24"/>
          <w:highlight w:val="none"/>
          <w:u w:val="single"/>
        </w:rPr>
        <w:t>（项目名称</w:t>
      </w:r>
      <w:r>
        <w:rPr>
          <w:rFonts w:hint="eastAsia" w:ascii="宋体" w:hAnsi="宋体" w:cs="宋体"/>
          <w:color w:val="auto"/>
          <w:sz w:val="24"/>
          <w:highlight w:val="none"/>
          <w:u w:val="single"/>
          <w:lang w:eastAsia="zh-CN"/>
        </w:rPr>
        <w:t>：101青年创新港施工项目</w:t>
      </w:r>
      <w:r>
        <w:rPr>
          <w:rFonts w:hint="eastAsia" w:ascii="宋体" w:hAnsi="宋体" w:cs="宋体"/>
          <w:color w:val="auto"/>
          <w:sz w:val="24"/>
          <w:highlight w:val="none"/>
          <w:u w:val="single"/>
        </w:rPr>
        <w:t>）</w:t>
      </w:r>
      <w:r>
        <w:rPr>
          <w:rFonts w:hint="eastAsia" w:ascii="宋体" w:hAnsi="宋体" w:cs="宋体"/>
          <w:color w:val="auto"/>
          <w:sz w:val="24"/>
          <w:highlight w:val="none"/>
        </w:rPr>
        <w:t>采购活动，工程的施工单位全部为符合政策要求的中小企业。相关企业（含联合体中的中小企业、签订分包意向协议的中小企业）的具体情况如下：</w:t>
      </w:r>
    </w:p>
    <w:p w14:paraId="222CB94F">
      <w:pPr>
        <w:shd w:val="clear" w:color="auto"/>
        <w:tabs>
          <w:tab w:val="left" w:pos="1384"/>
          <w:tab w:val="left" w:pos="4562"/>
          <w:tab w:val="left" w:pos="6803"/>
        </w:tabs>
        <w:spacing w:line="360" w:lineRule="auto"/>
        <w:ind w:left="-426" w:right="-58" w:firstLine="655"/>
        <w:contextualSpacing/>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u w:val="single"/>
        </w:rPr>
        <w:t>（标的名称</w:t>
      </w:r>
      <w:r>
        <w:rPr>
          <w:rFonts w:hint="eastAsia" w:ascii="宋体" w:hAnsi="宋体" w:cs="宋体"/>
          <w:color w:val="auto"/>
          <w:sz w:val="24"/>
          <w:highlight w:val="none"/>
          <w:u w:val="single"/>
          <w:lang w:eastAsia="zh-CN"/>
        </w:rPr>
        <w:t>：101青年创新港施工项目</w:t>
      </w:r>
      <w:r>
        <w:rPr>
          <w:rFonts w:hint="eastAsia" w:ascii="宋体" w:hAnsi="宋体" w:cs="宋体"/>
          <w:color w:val="auto"/>
          <w:sz w:val="24"/>
          <w:highlight w:val="none"/>
          <w:u w:val="single"/>
        </w:rPr>
        <w:t>）</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u w:val="single"/>
          <w:lang w:eastAsia="zh-CN"/>
        </w:rPr>
        <w:t>：建筑业</w:t>
      </w:r>
      <w:r>
        <w:rPr>
          <w:rFonts w:hint="eastAsia" w:ascii="宋体" w:hAnsi="宋体" w:cs="宋体"/>
          <w:color w:val="auto"/>
          <w:sz w:val="24"/>
          <w:highlight w:val="none"/>
          <w:u w:val="single"/>
        </w:rPr>
        <w:t>）</w:t>
      </w:r>
      <w:r>
        <w:rPr>
          <w:rFonts w:hint="eastAsia" w:ascii="宋体" w:hAnsi="宋体" w:cs="宋体"/>
          <w:color w:val="auto"/>
          <w:sz w:val="24"/>
          <w:highlight w:val="none"/>
        </w:rPr>
        <w:t>行业；施工单位为</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3E3F8D3B">
      <w:pPr>
        <w:shd w:val="clear" w:color="auto"/>
        <w:tabs>
          <w:tab w:val="left" w:pos="1065"/>
          <w:tab w:val="left" w:pos="6477"/>
        </w:tabs>
        <w:spacing w:line="360" w:lineRule="auto"/>
        <w:ind w:left="-426" w:right="-58" w:firstLine="655"/>
        <w:contextualSpacing/>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行业；施工单位为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130DD897">
      <w:pPr>
        <w:shd w:val="clear" w:color="auto"/>
        <w:spacing w:line="360" w:lineRule="auto"/>
        <w:ind w:left="142" w:right="142"/>
        <w:contextualSpacing/>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C79BF2B">
      <w:pPr>
        <w:shd w:val="clear" w:color="auto"/>
        <w:spacing w:line="360" w:lineRule="auto"/>
        <w:ind w:left="-405" w:right="142" w:firstLine="453"/>
        <w:contextualSpacing/>
        <w:rPr>
          <w:rFonts w:hint="eastAsia" w:ascii="宋体" w:hAnsi="宋体" w:cs="宋体"/>
          <w:color w:val="auto"/>
          <w:sz w:val="24"/>
          <w:highlight w:val="none"/>
        </w:rPr>
      </w:pPr>
      <w:r>
        <w:rPr>
          <w:rFonts w:hint="eastAsia" w:ascii="宋体" w:hAnsi="宋体" w:cs="宋体"/>
          <w:color w:val="auto"/>
          <w:sz w:val="24"/>
          <w:highlight w:val="none"/>
        </w:rPr>
        <w:t>以上企业，不属于大企业的分支机构，不存在控股股东为大企业的情形，也不存在与大企业的负责人为同一人的情形。</w:t>
      </w:r>
    </w:p>
    <w:p w14:paraId="5CF2B9F6">
      <w:pPr>
        <w:shd w:val="clear" w:color="auto"/>
        <w:spacing w:line="360" w:lineRule="auto"/>
        <w:ind w:left="-426" w:right="142" w:firstLine="567"/>
        <w:contextualSpacing/>
        <w:rPr>
          <w:rFonts w:hint="eastAsia" w:ascii="宋体" w:hAnsi="宋体" w:cs="宋体"/>
          <w:color w:val="auto"/>
          <w:sz w:val="24"/>
          <w:highlight w:val="none"/>
        </w:rPr>
      </w:pPr>
      <w:r>
        <w:rPr>
          <w:rFonts w:hint="eastAsia" w:ascii="宋体" w:hAnsi="宋体" w:cs="宋体"/>
          <w:color w:val="auto"/>
          <w:sz w:val="24"/>
          <w:highlight w:val="none"/>
        </w:rPr>
        <w:t>本企业对上述声明内容的真实性负责。如有虚假，将依法承担相应责任。</w:t>
      </w:r>
    </w:p>
    <w:p w14:paraId="5948F928">
      <w:pPr>
        <w:shd w:val="clear" w:color="auto"/>
        <w:spacing w:line="360" w:lineRule="auto"/>
        <w:ind w:left="3960" w:right="1808"/>
        <w:contextualSpacing/>
        <w:rPr>
          <w:rFonts w:hint="eastAsia" w:ascii="宋体" w:hAnsi="宋体" w:cs="宋体"/>
          <w:color w:val="auto"/>
          <w:sz w:val="24"/>
          <w:highlight w:val="none"/>
        </w:rPr>
      </w:pPr>
    </w:p>
    <w:p w14:paraId="08E25F4A">
      <w:pPr>
        <w:shd w:val="clear" w:color="auto"/>
        <w:spacing w:line="360" w:lineRule="auto"/>
        <w:ind w:left="4335" w:hanging="240"/>
        <w:rPr>
          <w:rFonts w:hint="eastAsia" w:ascii="宋体" w:hAnsi="宋体" w:cs="宋体"/>
          <w:color w:val="auto"/>
          <w:sz w:val="24"/>
          <w:highlight w:val="none"/>
        </w:rPr>
      </w:pPr>
      <w:r>
        <w:rPr>
          <w:rFonts w:hint="eastAsia" w:ascii="宋体" w:hAnsi="宋体" w:cs="宋体"/>
          <w:color w:val="auto"/>
          <w:sz w:val="24"/>
          <w:highlight w:val="none"/>
        </w:rPr>
        <w:t>供应商名称（电子签章）：</w:t>
      </w:r>
    </w:p>
    <w:p w14:paraId="4150E98F">
      <w:pPr>
        <w:shd w:val="clear" w:color="auto"/>
        <w:spacing w:line="360" w:lineRule="auto"/>
        <w:ind w:firstLine="6480"/>
        <w:rPr>
          <w:rFonts w:hint="eastAsia" w:ascii="宋体" w:hAnsi="宋体" w:cs="宋体"/>
          <w:color w:val="auto"/>
          <w:sz w:val="24"/>
          <w:highlight w:val="none"/>
          <w:lang w:val="zh-CN"/>
        </w:rPr>
      </w:pPr>
      <w:r>
        <w:rPr>
          <w:rFonts w:hint="eastAsia" w:ascii="宋体" w:hAnsi="宋体" w:cs="宋体"/>
          <w:color w:val="auto"/>
          <w:sz w:val="24"/>
          <w:highlight w:val="none"/>
          <w:lang w:val="zh-CN"/>
        </w:rPr>
        <w:t>日期：  年  月   日</w:t>
      </w:r>
    </w:p>
    <w:p w14:paraId="1E3C5AC4">
      <w:pPr>
        <w:shd w:val="clear" w:color="auto"/>
        <w:spacing w:line="360" w:lineRule="auto"/>
        <w:ind w:left="3960" w:right="1808"/>
        <w:contextualSpacing/>
        <w:rPr>
          <w:rFonts w:hint="eastAsia" w:ascii="宋体" w:hAnsi="宋体" w:cs="宋体"/>
          <w:color w:val="auto"/>
          <w:sz w:val="24"/>
          <w:highlight w:val="none"/>
        </w:rPr>
      </w:pPr>
    </w:p>
    <w:p w14:paraId="2BAE17A9">
      <w:pPr>
        <w:shd w:val="clear" w:color="auto"/>
        <w:spacing w:line="360" w:lineRule="auto"/>
        <w:ind w:right="110"/>
        <w:contextualSpacing/>
        <w:rPr>
          <w:rFonts w:hint="eastAsia" w:ascii="宋体" w:hAnsi="宋体" w:cs="宋体"/>
          <w:color w:val="auto"/>
          <w:sz w:val="24"/>
          <w:highlight w:val="none"/>
        </w:rPr>
      </w:pPr>
      <w:r>
        <w:rPr>
          <w:rFonts w:hint="eastAsia" w:ascii="宋体" w:hAnsi="宋体" w:cs="宋体"/>
          <w:color w:val="auto"/>
          <w:sz w:val="24"/>
          <w:highlight w:val="none"/>
        </w:rPr>
        <w:t>从业人员、营业收入、资产总额填报上一年度数据，无上一年度数据的新成立企业可不填报。</w:t>
      </w:r>
    </w:p>
    <w:p w14:paraId="508404E1">
      <w:pPr>
        <w:shd w:val="clear" w:color="auto"/>
        <w:spacing w:line="360" w:lineRule="auto"/>
        <w:ind w:right="1809"/>
        <w:contextualSpacing/>
        <w:rPr>
          <w:rFonts w:hint="eastAsia" w:ascii="宋体" w:hAnsi="宋体" w:cs="宋体"/>
          <w:color w:val="auto"/>
          <w:sz w:val="24"/>
          <w:highlight w:val="none"/>
        </w:rPr>
      </w:pPr>
    </w:p>
    <w:p w14:paraId="632D5193">
      <w:pPr>
        <w:shd w:val="clear" w:color="auto"/>
        <w:rPr>
          <w:rFonts w:hint="eastAsia" w:ascii="宋体" w:hAnsi="宋体" w:cs="宋体"/>
          <w:color w:val="auto"/>
          <w:sz w:val="24"/>
          <w:highlight w:val="none"/>
        </w:rPr>
        <w:sectPr>
          <w:footerReference r:id="rId6" w:type="default"/>
          <w:pgSz w:w="11905" w:h="16838"/>
          <w:pgMar w:top="1134" w:right="1134" w:bottom="1134" w:left="1134" w:header="850" w:footer="992" w:gutter="0"/>
          <w:cols w:space="720" w:num="1"/>
        </w:sectPr>
      </w:pPr>
      <w:r>
        <w:rPr>
          <w:rFonts w:hint="eastAsia" w:ascii="宋体" w:hAnsi="宋体" w:cs="宋体"/>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32EF7C77">
      <w:pPr>
        <w:shd w:val="clear" w:color="auto"/>
        <w:rPr>
          <w:rFonts w:hint="eastAsia" w:ascii="Times New Roman" w:hAnsi="Times New Roman"/>
          <w:color w:val="auto"/>
          <w:highlight w:val="none"/>
        </w:rPr>
      </w:pPr>
    </w:p>
    <w:p w14:paraId="454CB831">
      <w:pPr>
        <w:shd w:val="clear" w:color="auto"/>
        <w:spacing w:line="520" w:lineRule="exact"/>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残疾人福利性单位声明函</w:t>
      </w:r>
    </w:p>
    <w:p w14:paraId="3B9E8F01">
      <w:pPr>
        <w:shd w:val="clear" w:color="auto"/>
        <w:spacing w:line="520" w:lineRule="exact"/>
        <w:rPr>
          <w:rFonts w:hint="eastAsia" w:ascii="仿宋_GB2312" w:hAnsi="仿宋_GB2312" w:eastAsia="仿宋_GB2312" w:cs="仿宋_GB2312"/>
          <w:color w:val="auto"/>
          <w:sz w:val="32"/>
          <w:szCs w:val="32"/>
          <w:highlight w:val="none"/>
        </w:rPr>
      </w:pPr>
    </w:p>
    <w:p w14:paraId="06B274AD">
      <w:pPr>
        <w:shd w:val="clear" w:color="auto"/>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单位的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项目采购活动由本单位提供服务。</w:t>
      </w:r>
    </w:p>
    <w:p w14:paraId="0E507DC3">
      <w:pPr>
        <w:shd w:val="clear" w:color="auto"/>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本单位对上述声明的真实性负责。如有虚假，将依法承担相应责任。</w:t>
      </w:r>
    </w:p>
    <w:p w14:paraId="31E55D44">
      <w:pPr>
        <w:shd w:val="clear" w:color="auto"/>
        <w:spacing w:line="360" w:lineRule="auto"/>
        <w:contextualSpacing/>
        <w:rPr>
          <w:rFonts w:hint="eastAsia" w:ascii="宋体" w:hAnsi="宋体" w:cs="宋体"/>
          <w:color w:val="auto"/>
          <w:sz w:val="24"/>
          <w:highlight w:val="none"/>
        </w:rPr>
      </w:pPr>
    </w:p>
    <w:p w14:paraId="4D2FE3D1">
      <w:pPr>
        <w:shd w:val="clear" w:color="auto"/>
        <w:spacing w:line="360" w:lineRule="auto"/>
        <w:contextualSpacing/>
        <w:rPr>
          <w:rFonts w:hint="eastAsia" w:ascii="宋体" w:hAnsi="宋体" w:cs="宋体"/>
          <w:color w:val="auto"/>
          <w:sz w:val="24"/>
          <w:highlight w:val="none"/>
        </w:rPr>
      </w:pPr>
    </w:p>
    <w:p w14:paraId="149AAD0E">
      <w:pPr>
        <w:shd w:val="clear" w:color="auto"/>
        <w:spacing w:line="360" w:lineRule="auto"/>
        <w:contextualSpacing/>
        <w:rPr>
          <w:rFonts w:hint="eastAsia" w:ascii="宋体" w:hAnsi="宋体" w:cs="宋体"/>
          <w:color w:val="auto"/>
          <w:sz w:val="24"/>
          <w:highlight w:val="none"/>
        </w:rPr>
      </w:pPr>
    </w:p>
    <w:p w14:paraId="2820031D">
      <w:pPr>
        <w:shd w:val="clear" w:color="auto"/>
        <w:spacing w:line="360" w:lineRule="auto"/>
        <w:ind w:firstLine="2400"/>
        <w:contextualSpacing/>
        <w:rPr>
          <w:rFonts w:hint="eastAsia" w:ascii="宋体" w:hAnsi="宋体" w:cs="宋体"/>
          <w:color w:val="auto"/>
          <w:sz w:val="24"/>
          <w:highlight w:val="none"/>
        </w:rPr>
      </w:pPr>
      <w:r>
        <w:rPr>
          <w:rFonts w:hint="eastAsia" w:ascii="宋体" w:hAnsi="宋体" w:cs="宋体"/>
          <w:color w:val="auto"/>
          <w:sz w:val="24"/>
          <w:highlight w:val="none"/>
        </w:rPr>
        <w:t>供应商名称（电子签章）：</w:t>
      </w:r>
    </w:p>
    <w:p w14:paraId="631907B7">
      <w:pPr>
        <w:shd w:val="clear" w:color="auto"/>
        <w:spacing w:line="360" w:lineRule="auto"/>
        <w:ind w:firstLine="4320"/>
        <w:contextualSpacing/>
        <w:rPr>
          <w:rFonts w:hint="eastAsia" w:ascii="宋体" w:hAnsi="宋体" w:cs="宋体"/>
          <w:color w:val="auto"/>
          <w:sz w:val="24"/>
          <w:highlight w:val="none"/>
        </w:rPr>
      </w:pPr>
      <w:r>
        <w:rPr>
          <w:rFonts w:hint="eastAsia" w:ascii="宋体" w:hAnsi="宋体" w:cs="宋体"/>
          <w:color w:val="auto"/>
          <w:sz w:val="24"/>
          <w:highlight w:val="none"/>
        </w:rPr>
        <w:t>日  期：     年   月   日</w:t>
      </w:r>
    </w:p>
    <w:p w14:paraId="073C6C51">
      <w:pPr>
        <w:shd w:val="clear" w:color="auto"/>
        <w:spacing w:line="360" w:lineRule="auto"/>
        <w:contextualSpacing/>
        <w:rPr>
          <w:rFonts w:hint="eastAsia" w:ascii="宋体" w:hAnsi="宋体" w:cs="仿宋_GB2312"/>
          <w:color w:val="auto"/>
          <w:sz w:val="24"/>
          <w:highlight w:val="none"/>
        </w:rPr>
      </w:pPr>
    </w:p>
    <w:p w14:paraId="2EC242D2">
      <w:pPr>
        <w:shd w:val="clear" w:color="auto"/>
        <w:spacing w:line="360" w:lineRule="auto"/>
        <w:contextualSpacing/>
        <w:rPr>
          <w:rFonts w:hint="eastAsia" w:ascii="宋体" w:hAnsi="宋体" w:cs="仿宋_GB2312"/>
          <w:color w:val="auto"/>
          <w:sz w:val="24"/>
          <w:highlight w:val="none"/>
        </w:rPr>
      </w:pPr>
    </w:p>
    <w:p w14:paraId="2B8A6E51">
      <w:pPr>
        <w:shd w:val="clear" w:color="auto"/>
        <w:spacing w:line="360" w:lineRule="auto"/>
        <w:contextualSpacing/>
        <w:rPr>
          <w:rFonts w:hint="eastAsia" w:ascii="宋体" w:hAnsi="宋体" w:cs="仿宋_GB2312"/>
          <w:color w:val="auto"/>
          <w:sz w:val="24"/>
          <w:highlight w:val="none"/>
        </w:rPr>
      </w:pPr>
    </w:p>
    <w:p w14:paraId="09D1833E">
      <w:pPr>
        <w:shd w:val="clear" w:color="auto"/>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43A5791D">
      <w:pPr>
        <w:rPr>
          <w:rFonts w:hint="eastAsia" w:ascii="宋体" w:hAnsi="宋体" w:cs="仿宋_GB2312"/>
          <w:color w:val="auto"/>
          <w:sz w:val="24"/>
          <w:highlight w:val="none"/>
        </w:rPr>
      </w:pPr>
      <w:r>
        <w:rPr>
          <w:rFonts w:hint="eastAsia" w:ascii="宋体" w:hAnsi="宋体" w:cs="仿宋_GB2312"/>
          <w:color w:val="auto"/>
          <w:sz w:val="24"/>
          <w:highlight w:val="none"/>
        </w:rPr>
        <w:br w:type="page" w:clear="all"/>
      </w:r>
    </w:p>
    <w:p w14:paraId="0593ABD2">
      <w:pPr>
        <w:spacing w:line="528" w:lineRule="exact"/>
        <w:ind w:firstLine="2400"/>
        <w:rPr>
          <w:rFonts w:hint="eastAsia" w:ascii="宋体" w:hAnsi="宋体" w:eastAsia="宋体" w:cs="宋体"/>
          <w:sz w:val="40"/>
          <w:szCs w:val="40"/>
        </w:rPr>
      </w:pPr>
      <w:r>
        <w:rPr>
          <w:rFonts w:hint="eastAsia" w:ascii="宋体" w:hAnsi="宋体" w:eastAsia="宋体" w:cs="宋体"/>
          <w:sz w:val="40"/>
          <w:szCs w:val="40"/>
        </w:rPr>
        <w:t>中小微企业划型标准</w:t>
      </w:r>
    </w:p>
    <w:tbl>
      <w:tblPr>
        <w:tblStyle w:val="48"/>
        <w:tblW w:w="8655" w:type="dxa"/>
        <w:tblInd w:w="250" w:type="dxa"/>
        <w:tblLayout w:type="fixed"/>
        <w:tblCellMar>
          <w:top w:w="0" w:type="dxa"/>
          <w:left w:w="108" w:type="dxa"/>
          <w:bottom w:w="0" w:type="dxa"/>
          <w:right w:w="108" w:type="dxa"/>
        </w:tblCellMar>
      </w:tblPr>
      <w:tblGrid>
        <w:gridCol w:w="1845"/>
        <w:gridCol w:w="1500"/>
        <w:gridCol w:w="990"/>
        <w:gridCol w:w="1756"/>
        <w:gridCol w:w="1561"/>
        <w:gridCol w:w="1003"/>
      </w:tblGrid>
      <w:tr w14:paraId="48BD7885">
        <w:tblPrEx>
          <w:tblCellMar>
            <w:top w:w="0" w:type="dxa"/>
            <w:left w:w="108" w:type="dxa"/>
            <w:bottom w:w="0" w:type="dxa"/>
            <w:right w:w="108" w:type="dxa"/>
          </w:tblCellMar>
        </w:tblPrEx>
        <w:trPr>
          <w:trHeight w:val="712" w:hRule="atLeast"/>
        </w:trPr>
        <w:tc>
          <w:tcPr>
            <w:tcW w:w="1845" w:type="dxa"/>
            <w:tcBorders>
              <w:top w:val="single" w:color="auto" w:sz="4" w:space="0"/>
              <w:left w:val="single" w:color="auto" w:sz="4" w:space="0"/>
              <w:bottom w:val="single" w:color="auto" w:sz="4" w:space="0"/>
              <w:right w:val="single" w:color="auto" w:sz="4" w:space="0"/>
            </w:tcBorders>
            <w:noWrap w:val="0"/>
            <w:vAlign w:val="center"/>
          </w:tcPr>
          <w:p w14:paraId="2F786E76">
            <w:pPr>
              <w:widowControl/>
              <w:jc w:val="left"/>
              <w:rPr>
                <w:rFonts w:hint="eastAsia" w:ascii="宋体" w:hAnsi="宋体" w:eastAsia="宋体" w:cs="宋体"/>
                <w:b/>
                <w:sz w:val="24"/>
              </w:rPr>
            </w:pPr>
            <w:r>
              <w:rPr>
                <w:rFonts w:hint="eastAsia" w:ascii="宋体" w:hAnsi="宋体" w:eastAsia="宋体" w:cs="宋体"/>
                <w:b/>
                <w:sz w:val="24"/>
              </w:rPr>
              <w:t>行业名称</w:t>
            </w:r>
          </w:p>
        </w:tc>
        <w:tc>
          <w:tcPr>
            <w:tcW w:w="1500" w:type="dxa"/>
            <w:tcBorders>
              <w:top w:val="single" w:color="auto" w:sz="4" w:space="0"/>
              <w:left w:val="nil"/>
              <w:bottom w:val="single" w:color="auto" w:sz="4" w:space="0"/>
              <w:right w:val="single" w:color="auto" w:sz="4" w:space="0"/>
            </w:tcBorders>
            <w:noWrap w:val="0"/>
            <w:vAlign w:val="center"/>
          </w:tcPr>
          <w:p w14:paraId="6BDE841E">
            <w:pPr>
              <w:widowControl/>
              <w:jc w:val="left"/>
              <w:rPr>
                <w:rFonts w:hint="eastAsia" w:ascii="宋体" w:hAnsi="宋体" w:eastAsia="宋体" w:cs="宋体"/>
                <w:b/>
                <w:sz w:val="24"/>
              </w:rPr>
            </w:pPr>
            <w:r>
              <w:rPr>
                <w:rFonts w:hint="eastAsia" w:ascii="宋体" w:hAnsi="宋体" w:eastAsia="宋体" w:cs="宋体"/>
                <w:b/>
                <w:sz w:val="24"/>
              </w:rPr>
              <w:t>指标名称</w:t>
            </w:r>
          </w:p>
        </w:tc>
        <w:tc>
          <w:tcPr>
            <w:tcW w:w="990" w:type="dxa"/>
            <w:tcBorders>
              <w:top w:val="single" w:color="auto" w:sz="4" w:space="0"/>
              <w:left w:val="nil"/>
              <w:bottom w:val="single" w:color="auto" w:sz="4" w:space="0"/>
              <w:right w:val="single" w:color="auto" w:sz="4" w:space="0"/>
            </w:tcBorders>
            <w:noWrap w:val="0"/>
            <w:vAlign w:val="center"/>
          </w:tcPr>
          <w:p w14:paraId="45690B3A">
            <w:pPr>
              <w:widowControl/>
              <w:jc w:val="left"/>
              <w:rPr>
                <w:rFonts w:hint="eastAsia" w:ascii="宋体" w:hAnsi="宋体" w:eastAsia="宋体" w:cs="宋体"/>
                <w:b/>
                <w:sz w:val="24"/>
              </w:rPr>
            </w:pPr>
            <w:r>
              <w:rPr>
                <w:rFonts w:hint="eastAsia" w:ascii="宋体" w:hAnsi="宋体" w:eastAsia="宋体" w:cs="宋体"/>
                <w:b/>
                <w:sz w:val="24"/>
              </w:rPr>
              <w:t>计量单位</w:t>
            </w:r>
          </w:p>
        </w:tc>
        <w:tc>
          <w:tcPr>
            <w:tcW w:w="1756" w:type="dxa"/>
            <w:tcBorders>
              <w:top w:val="single" w:color="auto" w:sz="4" w:space="0"/>
              <w:left w:val="nil"/>
              <w:bottom w:val="single" w:color="auto" w:sz="4" w:space="0"/>
              <w:right w:val="single" w:color="auto" w:sz="4" w:space="0"/>
            </w:tcBorders>
            <w:noWrap w:val="0"/>
            <w:vAlign w:val="center"/>
          </w:tcPr>
          <w:p w14:paraId="4831F4F6">
            <w:pPr>
              <w:widowControl/>
              <w:jc w:val="left"/>
              <w:rPr>
                <w:rFonts w:hint="eastAsia" w:ascii="宋体" w:hAnsi="宋体" w:eastAsia="宋体" w:cs="宋体"/>
                <w:b/>
                <w:sz w:val="24"/>
              </w:rPr>
            </w:pPr>
            <w:r>
              <w:rPr>
                <w:rFonts w:hint="eastAsia" w:ascii="宋体" w:hAnsi="宋体" w:eastAsia="宋体" w:cs="宋体"/>
                <w:b/>
                <w:sz w:val="24"/>
              </w:rPr>
              <w:t>中型</w:t>
            </w:r>
          </w:p>
        </w:tc>
        <w:tc>
          <w:tcPr>
            <w:tcW w:w="1561" w:type="dxa"/>
            <w:tcBorders>
              <w:top w:val="single" w:color="auto" w:sz="4" w:space="0"/>
              <w:left w:val="nil"/>
              <w:bottom w:val="single" w:color="auto" w:sz="4" w:space="0"/>
              <w:right w:val="single" w:color="auto" w:sz="4" w:space="0"/>
            </w:tcBorders>
            <w:noWrap w:val="0"/>
            <w:vAlign w:val="center"/>
          </w:tcPr>
          <w:p w14:paraId="53B8183A">
            <w:pPr>
              <w:widowControl/>
              <w:jc w:val="left"/>
              <w:rPr>
                <w:rFonts w:hint="eastAsia" w:ascii="宋体" w:hAnsi="宋体" w:eastAsia="宋体" w:cs="宋体"/>
                <w:b/>
                <w:sz w:val="24"/>
              </w:rPr>
            </w:pPr>
            <w:r>
              <w:rPr>
                <w:rFonts w:hint="eastAsia" w:ascii="宋体" w:hAnsi="宋体" w:eastAsia="宋体" w:cs="宋体"/>
                <w:b/>
                <w:sz w:val="24"/>
              </w:rPr>
              <w:t>小型</w:t>
            </w:r>
          </w:p>
        </w:tc>
        <w:tc>
          <w:tcPr>
            <w:tcW w:w="1003" w:type="dxa"/>
            <w:tcBorders>
              <w:top w:val="single" w:color="auto" w:sz="4" w:space="0"/>
              <w:left w:val="nil"/>
              <w:bottom w:val="single" w:color="auto" w:sz="4" w:space="0"/>
              <w:right w:val="single" w:color="auto" w:sz="4" w:space="0"/>
            </w:tcBorders>
            <w:noWrap w:val="0"/>
            <w:vAlign w:val="center"/>
          </w:tcPr>
          <w:p w14:paraId="04BF5398">
            <w:pPr>
              <w:widowControl/>
              <w:jc w:val="left"/>
              <w:rPr>
                <w:rFonts w:hint="eastAsia" w:ascii="宋体" w:hAnsi="宋体" w:eastAsia="宋体" w:cs="宋体"/>
                <w:b/>
                <w:sz w:val="24"/>
              </w:rPr>
            </w:pPr>
            <w:r>
              <w:rPr>
                <w:rFonts w:hint="eastAsia" w:ascii="宋体" w:hAnsi="宋体" w:eastAsia="宋体" w:cs="宋体"/>
                <w:b/>
                <w:sz w:val="24"/>
              </w:rPr>
              <w:t>微型</w:t>
            </w:r>
          </w:p>
        </w:tc>
      </w:tr>
      <w:tr w14:paraId="223B2DE7">
        <w:tblPrEx>
          <w:tblCellMar>
            <w:top w:w="0" w:type="dxa"/>
            <w:left w:w="108" w:type="dxa"/>
            <w:bottom w:w="0" w:type="dxa"/>
            <w:right w:w="108" w:type="dxa"/>
          </w:tblCellMar>
        </w:tblPrEx>
        <w:trPr>
          <w:trHeight w:val="273" w:hRule="atLeast"/>
        </w:trPr>
        <w:tc>
          <w:tcPr>
            <w:tcW w:w="1845" w:type="dxa"/>
            <w:tcBorders>
              <w:top w:val="nil"/>
              <w:left w:val="single" w:color="auto" w:sz="4" w:space="0"/>
              <w:bottom w:val="single" w:color="auto" w:sz="4" w:space="0"/>
              <w:right w:val="single" w:color="auto" w:sz="4" w:space="0"/>
            </w:tcBorders>
            <w:noWrap w:val="0"/>
            <w:vAlign w:val="bottom"/>
          </w:tcPr>
          <w:p w14:paraId="6A6B9A2D">
            <w:pPr>
              <w:widowControl/>
              <w:jc w:val="center"/>
              <w:rPr>
                <w:rFonts w:hint="eastAsia" w:ascii="宋体" w:hAnsi="宋体" w:eastAsia="宋体" w:cs="宋体"/>
                <w:b/>
                <w:bCs/>
                <w:sz w:val="18"/>
                <w:szCs w:val="18"/>
              </w:rPr>
            </w:pPr>
            <w:r>
              <w:rPr>
                <w:rFonts w:hint="eastAsia" w:ascii="宋体" w:hAnsi="宋体" w:eastAsia="宋体" w:cs="宋体"/>
                <w:b/>
                <w:bCs/>
                <w:sz w:val="18"/>
                <w:szCs w:val="18"/>
              </w:rPr>
              <w:t>农、林、牧、渔</w:t>
            </w:r>
          </w:p>
        </w:tc>
        <w:tc>
          <w:tcPr>
            <w:tcW w:w="1500" w:type="dxa"/>
            <w:tcBorders>
              <w:top w:val="nil"/>
              <w:left w:val="nil"/>
              <w:bottom w:val="single" w:color="auto" w:sz="4" w:space="0"/>
              <w:right w:val="single" w:color="auto" w:sz="4" w:space="0"/>
            </w:tcBorders>
            <w:noWrap w:val="0"/>
            <w:vAlign w:val="center"/>
          </w:tcPr>
          <w:p w14:paraId="2229C407">
            <w:pPr>
              <w:widowControl/>
              <w:jc w:val="left"/>
              <w:rPr>
                <w:rFonts w:hint="eastAsia" w:ascii="宋体" w:hAnsi="宋体" w:eastAsia="宋体" w:cs="宋体"/>
                <w:sz w:val="18"/>
                <w:szCs w:val="18"/>
              </w:rPr>
            </w:pPr>
            <w:r>
              <w:rPr>
                <w:rFonts w:hint="eastAsia" w:ascii="宋体" w:hAnsi="宋体" w:eastAsia="宋体" w:cs="宋体"/>
                <w:sz w:val="18"/>
                <w:szCs w:val="18"/>
              </w:rPr>
              <w:t>营业收入（Y）</w:t>
            </w:r>
          </w:p>
        </w:tc>
        <w:tc>
          <w:tcPr>
            <w:tcW w:w="990" w:type="dxa"/>
            <w:tcBorders>
              <w:top w:val="nil"/>
              <w:left w:val="nil"/>
              <w:bottom w:val="single" w:color="auto" w:sz="4" w:space="0"/>
              <w:right w:val="single" w:color="auto" w:sz="4" w:space="0"/>
            </w:tcBorders>
            <w:noWrap w:val="0"/>
            <w:vAlign w:val="center"/>
          </w:tcPr>
          <w:p w14:paraId="744E2A97">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1698A3E9">
            <w:pPr>
              <w:widowControl/>
              <w:jc w:val="left"/>
              <w:rPr>
                <w:rFonts w:hint="eastAsia" w:ascii="宋体" w:hAnsi="宋体" w:eastAsia="宋体" w:cs="宋体"/>
                <w:sz w:val="18"/>
                <w:szCs w:val="18"/>
              </w:rPr>
            </w:pPr>
            <w:r>
              <w:rPr>
                <w:rFonts w:hint="eastAsia" w:ascii="宋体" w:hAnsi="宋体" w:eastAsia="宋体" w:cs="宋体"/>
                <w:sz w:val="18"/>
                <w:szCs w:val="18"/>
              </w:rPr>
              <w:t>500≤Y＜20000</w:t>
            </w:r>
          </w:p>
        </w:tc>
        <w:tc>
          <w:tcPr>
            <w:tcW w:w="1561" w:type="dxa"/>
            <w:tcBorders>
              <w:top w:val="nil"/>
              <w:left w:val="nil"/>
              <w:bottom w:val="single" w:color="auto" w:sz="4" w:space="0"/>
              <w:right w:val="single" w:color="auto" w:sz="4" w:space="0"/>
            </w:tcBorders>
            <w:noWrap w:val="0"/>
            <w:vAlign w:val="center"/>
          </w:tcPr>
          <w:p w14:paraId="550019E6">
            <w:pPr>
              <w:widowControl/>
              <w:jc w:val="left"/>
              <w:rPr>
                <w:rFonts w:hint="eastAsia" w:ascii="宋体" w:hAnsi="宋体" w:eastAsia="宋体" w:cs="宋体"/>
                <w:sz w:val="18"/>
                <w:szCs w:val="18"/>
              </w:rPr>
            </w:pPr>
            <w:r>
              <w:rPr>
                <w:rFonts w:hint="eastAsia" w:ascii="宋体" w:hAnsi="宋体" w:eastAsia="宋体" w:cs="宋体"/>
                <w:sz w:val="18"/>
                <w:szCs w:val="18"/>
              </w:rPr>
              <w:t>50≤Y＜500</w:t>
            </w:r>
          </w:p>
        </w:tc>
        <w:tc>
          <w:tcPr>
            <w:tcW w:w="1003" w:type="dxa"/>
            <w:tcBorders>
              <w:top w:val="nil"/>
              <w:left w:val="nil"/>
              <w:bottom w:val="single" w:color="auto" w:sz="4" w:space="0"/>
              <w:right w:val="single" w:color="auto" w:sz="4" w:space="0"/>
            </w:tcBorders>
            <w:noWrap w:val="0"/>
            <w:vAlign w:val="center"/>
          </w:tcPr>
          <w:p w14:paraId="52FB235D">
            <w:pPr>
              <w:widowControl/>
              <w:jc w:val="left"/>
              <w:rPr>
                <w:rFonts w:hint="eastAsia" w:ascii="宋体" w:hAnsi="宋体" w:eastAsia="宋体" w:cs="宋体"/>
                <w:sz w:val="18"/>
                <w:szCs w:val="18"/>
              </w:rPr>
            </w:pPr>
            <w:r>
              <w:rPr>
                <w:rFonts w:hint="eastAsia" w:ascii="宋体" w:hAnsi="宋体" w:eastAsia="宋体" w:cs="宋体"/>
                <w:sz w:val="18"/>
                <w:szCs w:val="18"/>
              </w:rPr>
              <w:t>Y＜50</w:t>
            </w:r>
          </w:p>
        </w:tc>
      </w:tr>
      <w:tr w14:paraId="567FC94C">
        <w:tblPrEx>
          <w:tblCellMar>
            <w:top w:w="0" w:type="dxa"/>
            <w:left w:w="108" w:type="dxa"/>
            <w:bottom w:w="0" w:type="dxa"/>
            <w:right w:w="108" w:type="dxa"/>
          </w:tblCellMar>
        </w:tblPrEx>
        <w:trPr>
          <w:trHeight w:val="273" w:hRule="atLeast"/>
        </w:trPr>
        <w:tc>
          <w:tcPr>
            <w:tcW w:w="1845" w:type="dxa"/>
            <w:vMerge w:val="restart"/>
            <w:tcBorders>
              <w:top w:val="nil"/>
              <w:left w:val="single" w:color="auto" w:sz="4" w:space="0"/>
              <w:bottom w:val="single" w:color="auto" w:sz="4" w:space="0"/>
              <w:right w:val="single" w:color="auto" w:sz="4" w:space="0"/>
            </w:tcBorders>
            <w:noWrap w:val="0"/>
            <w:vAlign w:val="bottom"/>
          </w:tcPr>
          <w:p w14:paraId="765BF14F">
            <w:pPr>
              <w:widowControl/>
              <w:jc w:val="center"/>
              <w:rPr>
                <w:rFonts w:hint="eastAsia" w:ascii="宋体" w:hAnsi="宋体" w:eastAsia="宋体" w:cs="宋体"/>
                <w:b/>
                <w:bCs/>
                <w:sz w:val="18"/>
                <w:szCs w:val="18"/>
              </w:rPr>
            </w:pPr>
            <w:r>
              <w:rPr>
                <w:rFonts w:hint="eastAsia" w:ascii="宋体" w:hAnsi="宋体" w:eastAsia="宋体" w:cs="宋体"/>
                <w:b/>
                <w:bCs/>
                <w:sz w:val="18"/>
                <w:szCs w:val="18"/>
              </w:rPr>
              <w:t>工业</w:t>
            </w:r>
          </w:p>
        </w:tc>
        <w:tc>
          <w:tcPr>
            <w:tcW w:w="1500" w:type="dxa"/>
            <w:tcBorders>
              <w:top w:val="nil"/>
              <w:left w:val="nil"/>
              <w:bottom w:val="single" w:color="auto" w:sz="4" w:space="0"/>
              <w:right w:val="single" w:color="auto" w:sz="4" w:space="0"/>
            </w:tcBorders>
            <w:noWrap w:val="0"/>
            <w:vAlign w:val="center"/>
          </w:tcPr>
          <w:p w14:paraId="4B371967">
            <w:pPr>
              <w:widowControl/>
              <w:jc w:val="left"/>
              <w:rPr>
                <w:rFonts w:hint="eastAsia" w:ascii="宋体" w:hAnsi="宋体" w:eastAsia="宋体" w:cs="宋体"/>
                <w:sz w:val="18"/>
                <w:szCs w:val="18"/>
              </w:rPr>
            </w:pPr>
            <w:r>
              <w:rPr>
                <w:rFonts w:hint="eastAsia" w:ascii="宋体" w:hAnsi="宋体" w:eastAsia="宋体" w:cs="宋体"/>
                <w:sz w:val="18"/>
                <w:szCs w:val="18"/>
              </w:rPr>
              <w:t>从业人员（X）</w:t>
            </w:r>
          </w:p>
        </w:tc>
        <w:tc>
          <w:tcPr>
            <w:tcW w:w="990" w:type="dxa"/>
            <w:tcBorders>
              <w:top w:val="nil"/>
              <w:left w:val="nil"/>
              <w:bottom w:val="single" w:color="auto" w:sz="4" w:space="0"/>
              <w:right w:val="single" w:color="auto" w:sz="4" w:space="0"/>
            </w:tcBorders>
            <w:noWrap w:val="0"/>
            <w:vAlign w:val="center"/>
          </w:tcPr>
          <w:p w14:paraId="7078CAC4">
            <w:pPr>
              <w:widowControl/>
              <w:jc w:val="left"/>
              <w:rPr>
                <w:rFonts w:hint="eastAsia" w:ascii="宋体" w:hAnsi="宋体" w:eastAsia="宋体" w:cs="宋体"/>
                <w:sz w:val="18"/>
                <w:szCs w:val="18"/>
              </w:rPr>
            </w:pPr>
            <w:r>
              <w:rPr>
                <w:rFonts w:hint="eastAsia" w:ascii="宋体" w:hAnsi="宋体" w:eastAsia="宋体" w:cs="宋体"/>
                <w:sz w:val="18"/>
                <w:szCs w:val="18"/>
              </w:rPr>
              <w:t>人</w:t>
            </w:r>
          </w:p>
        </w:tc>
        <w:tc>
          <w:tcPr>
            <w:tcW w:w="1756" w:type="dxa"/>
            <w:tcBorders>
              <w:top w:val="nil"/>
              <w:left w:val="nil"/>
              <w:bottom w:val="single" w:color="auto" w:sz="4" w:space="0"/>
              <w:right w:val="single" w:color="auto" w:sz="4" w:space="0"/>
            </w:tcBorders>
            <w:noWrap w:val="0"/>
            <w:vAlign w:val="center"/>
          </w:tcPr>
          <w:p w14:paraId="0BBE100B">
            <w:pPr>
              <w:widowControl/>
              <w:jc w:val="left"/>
              <w:rPr>
                <w:rFonts w:hint="eastAsia" w:ascii="宋体" w:hAnsi="宋体" w:eastAsia="宋体" w:cs="宋体"/>
                <w:sz w:val="18"/>
                <w:szCs w:val="18"/>
              </w:rPr>
            </w:pPr>
            <w:r>
              <w:rPr>
                <w:rFonts w:hint="eastAsia" w:ascii="宋体" w:hAnsi="宋体" w:eastAsia="宋体" w:cs="宋体"/>
                <w:sz w:val="18"/>
                <w:szCs w:val="18"/>
              </w:rPr>
              <w:t>300≤X＜1000</w:t>
            </w:r>
          </w:p>
        </w:tc>
        <w:tc>
          <w:tcPr>
            <w:tcW w:w="1561" w:type="dxa"/>
            <w:tcBorders>
              <w:top w:val="nil"/>
              <w:left w:val="nil"/>
              <w:bottom w:val="single" w:color="auto" w:sz="4" w:space="0"/>
              <w:right w:val="single" w:color="auto" w:sz="4" w:space="0"/>
            </w:tcBorders>
            <w:noWrap w:val="0"/>
            <w:vAlign w:val="center"/>
          </w:tcPr>
          <w:p w14:paraId="492553FE">
            <w:pPr>
              <w:widowControl/>
              <w:jc w:val="left"/>
              <w:rPr>
                <w:rFonts w:hint="eastAsia" w:ascii="宋体" w:hAnsi="宋体" w:eastAsia="宋体" w:cs="宋体"/>
                <w:sz w:val="18"/>
                <w:szCs w:val="18"/>
              </w:rPr>
            </w:pPr>
            <w:r>
              <w:rPr>
                <w:rFonts w:hint="eastAsia" w:ascii="宋体" w:hAnsi="宋体" w:eastAsia="宋体" w:cs="宋体"/>
                <w:sz w:val="18"/>
                <w:szCs w:val="18"/>
              </w:rPr>
              <w:t>20≤X＜300</w:t>
            </w:r>
          </w:p>
        </w:tc>
        <w:tc>
          <w:tcPr>
            <w:tcW w:w="1003" w:type="dxa"/>
            <w:tcBorders>
              <w:top w:val="nil"/>
              <w:left w:val="nil"/>
              <w:bottom w:val="single" w:color="auto" w:sz="4" w:space="0"/>
              <w:right w:val="single" w:color="auto" w:sz="4" w:space="0"/>
            </w:tcBorders>
            <w:noWrap w:val="0"/>
            <w:vAlign w:val="center"/>
          </w:tcPr>
          <w:p w14:paraId="02A8B72D">
            <w:pPr>
              <w:widowControl/>
              <w:jc w:val="left"/>
              <w:rPr>
                <w:rFonts w:hint="eastAsia" w:ascii="宋体" w:hAnsi="宋体" w:eastAsia="宋体" w:cs="宋体"/>
                <w:sz w:val="18"/>
                <w:szCs w:val="18"/>
              </w:rPr>
            </w:pPr>
            <w:r>
              <w:rPr>
                <w:rFonts w:hint="eastAsia" w:ascii="宋体" w:hAnsi="宋体" w:eastAsia="宋体" w:cs="宋体"/>
                <w:sz w:val="18"/>
                <w:szCs w:val="18"/>
              </w:rPr>
              <w:t>X＜20</w:t>
            </w:r>
          </w:p>
        </w:tc>
      </w:tr>
      <w:tr w14:paraId="36E195DB">
        <w:tblPrEx>
          <w:tblCellMar>
            <w:top w:w="0" w:type="dxa"/>
            <w:left w:w="108" w:type="dxa"/>
            <w:bottom w:w="0" w:type="dxa"/>
            <w:right w:w="108" w:type="dxa"/>
          </w:tblCellMar>
        </w:tblPrEx>
        <w:trPr>
          <w:trHeight w:val="273" w:hRule="atLeast"/>
        </w:trPr>
        <w:tc>
          <w:tcPr>
            <w:tcW w:w="1845" w:type="dxa"/>
            <w:vMerge w:val="continue"/>
            <w:tcBorders>
              <w:top w:val="nil"/>
              <w:left w:val="single" w:color="auto" w:sz="4" w:space="0"/>
              <w:bottom w:val="single" w:color="auto" w:sz="4" w:space="0"/>
              <w:right w:val="single" w:color="auto" w:sz="4" w:space="0"/>
            </w:tcBorders>
            <w:noWrap w:val="0"/>
            <w:vAlign w:val="center"/>
          </w:tcPr>
          <w:p w14:paraId="06218A2B">
            <w:pPr>
              <w:widowControl/>
              <w:jc w:val="left"/>
              <w:rPr>
                <w:rFonts w:hint="eastAsia" w:ascii="宋体" w:hAnsi="宋体" w:eastAsia="宋体" w:cs="宋体"/>
                <w:b/>
                <w:bCs/>
                <w:sz w:val="18"/>
                <w:szCs w:val="18"/>
              </w:rPr>
            </w:pPr>
          </w:p>
        </w:tc>
        <w:tc>
          <w:tcPr>
            <w:tcW w:w="1500" w:type="dxa"/>
            <w:tcBorders>
              <w:top w:val="nil"/>
              <w:left w:val="nil"/>
              <w:bottom w:val="single" w:color="auto" w:sz="4" w:space="0"/>
              <w:right w:val="single" w:color="auto" w:sz="4" w:space="0"/>
            </w:tcBorders>
            <w:noWrap w:val="0"/>
            <w:vAlign w:val="center"/>
          </w:tcPr>
          <w:p w14:paraId="48763C02">
            <w:pPr>
              <w:widowControl/>
              <w:jc w:val="left"/>
              <w:rPr>
                <w:rFonts w:hint="eastAsia" w:ascii="宋体" w:hAnsi="宋体" w:eastAsia="宋体" w:cs="宋体"/>
                <w:sz w:val="18"/>
                <w:szCs w:val="18"/>
              </w:rPr>
            </w:pPr>
            <w:r>
              <w:rPr>
                <w:rFonts w:hint="eastAsia" w:ascii="宋体" w:hAnsi="宋体" w:eastAsia="宋体" w:cs="宋体"/>
                <w:sz w:val="18"/>
                <w:szCs w:val="18"/>
              </w:rPr>
              <w:t>营业收入（Y）</w:t>
            </w:r>
          </w:p>
        </w:tc>
        <w:tc>
          <w:tcPr>
            <w:tcW w:w="990" w:type="dxa"/>
            <w:tcBorders>
              <w:top w:val="nil"/>
              <w:left w:val="nil"/>
              <w:bottom w:val="single" w:color="auto" w:sz="4" w:space="0"/>
              <w:right w:val="single" w:color="auto" w:sz="4" w:space="0"/>
            </w:tcBorders>
            <w:noWrap w:val="0"/>
            <w:vAlign w:val="center"/>
          </w:tcPr>
          <w:p w14:paraId="2D6B3F89">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506584A7">
            <w:pPr>
              <w:widowControl/>
              <w:jc w:val="left"/>
              <w:rPr>
                <w:rFonts w:hint="eastAsia" w:ascii="宋体" w:hAnsi="宋体" w:eastAsia="宋体" w:cs="宋体"/>
                <w:sz w:val="18"/>
                <w:szCs w:val="18"/>
              </w:rPr>
            </w:pPr>
            <w:r>
              <w:rPr>
                <w:rFonts w:hint="eastAsia" w:ascii="宋体" w:hAnsi="宋体" w:eastAsia="宋体" w:cs="宋体"/>
                <w:sz w:val="18"/>
                <w:szCs w:val="18"/>
              </w:rPr>
              <w:t>2000≤Y＜40000</w:t>
            </w:r>
          </w:p>
        </w:tc>
        <w:tc>
          <w:tcPr>
            <w:tcW w:w="1561" w:type="dxa"/>
            <w:tcBorders>
              <w:top w:val="nil"/>
              <w:left w:val="nil"/>
              <w:bottom w:val="single" w:color="auto" w:sz="4" w:space="0"/>
              <w:right w:val="single" w:color="auto" w:sz="4" w:space="0"/>
            </w:tcBorders>
            <w:noWrap w:val="0"/>
            <w:vAlign w:val="center"/>
          </w:tcPr>
          <w:p w14:paraId="3E55AC32">
            <w:pPr>
              <w:widowControl/>
              <w:jc w:val="left"/>
              <w:rPr>
                <w:rFonts w:hint="eastAsia" w:ascii="宋体" w:hAnsi="宋体" w:eastAsia="宋体" w:cs="宋体"/>
                <w:sz w:val="18"/>
                <w:szCs w:val="18"/>
              </w:rPr>
            </w:pPr>
            <w:r>
              <w:rPr>
                <w:rFonts w:hint="eastAsia" w:ascii="宋体" w:hAnsi="宋体" w:eastAsia="宋体" w:cs="宋体"/>
                <w:sz w:val="18"/>
                <w:szCs w:val="18"/>
              </w:rPr>
              <w:t>300≤Y＜2000</w:t>
            </w:r>
          </w:p>
        </w:tc>
        <w:tc>
          <w:tcPr>
            <w:tcW w:w="1003" w:type="dxa"/>
            <w:tcBorders>
              <w:top w:val="nil"/>
              <w:left w:val="nil"/>
              <w:bottom w:val="single" w:color="auto" w:sz="4" w:space="0"/>
              <w:right w:val="single" w:color="auto" w:sz="4" w:space="0"/>
            </w:tcBorders>
            <w:noWrap w:val="0"/>
            <w:vAlign w:val="center"/>
          </w:tcPr>
          <w:p w14:paraId="1A393EB3">
            <w:pPr>
              <w:widowControl/>
              <w:jc w:val="left"/>
              <w:rPr>
                <w:rFonts w:hint="eastAsia" w:ascii="宋体" w:hAnsi="宋体" w:eastAsia="宋体" w:cs="宋体"/>
                <w:sz w:val="18"/>
                <w:szCs w:val="18"/>
              </w:rPr>
            </w:pPr>
            <w:r>
              <w:rPr>
                <w:rFonts w:hint="eastAsia" w:ascii="宋体" w:hAnsi="宋体" w:eastAsia="宋体" w:cs="宋体"/>
                <w:sz w:val="18"/>
                <w:szCs w:val="18"/>
              </w:rPr>
              <w:t>Y＜300</w:t>
            </w:r>
          </w:p>
        </w:tc>
      </w:tr>
      <w:tr w14:paraId="76D5A207">
        <w:tblPrEx>
          <w:tblCellMar>
            <w:top w:w="0" w:type="dxa"/>
            <w:left w:w="108" w:type="dxa"/>
            <w:bottom w:w="0" w:type="dxa"/>
            <w:right w:w="108" w:type="dxa"/>
          </w:tblCellMar>
        </w:tblPrEx>
        <w:trPr>
          <w:trHeight w:val="273" w:hRule="atLeast"/>
        </w:trPr>
        <w:tc>
          <w:tcPr>
            <w:tcW w:w="1845" w:type="dxa"/>
            <w:vMerge w:val="restart"/>
            <w:tcBorders>
              <w:top w:val="nil"/>
              <w:left w:val="single" w:color="auto" w:sz="4" w:space="0"/>
              <w:bottom w:val="single" w:color="auto" w:sz="4" w:space="0"/>
              <w:right w:val="single" w:color="auto" w:sz="4" w:space="0"/>
            </w:tcBorders>
            <w:noWrap w:val="0"/>
            <w:vAlign w:val="bottom"/>
          </w:tcPr>
          <w:p w14:paraId="07DAA089">
            <w:pPr>
              <w:widowControl/>
              <w:jc w:val="center"/>
              <w:rPr>
                <w:rFonts w:hint="eastAsia" w:ascii="宋体" w:hAnsi="宋体" w:eastAsia="宋体" w:cs="宋体"/>
                <w:b/>
                <w:bCs/>
                <w:sz w:val="18"/>
                <w:szCs w:val="18"/>
              </w:rPr>
            </w:pPr>
            <w:r>
              <w:rPr>
                <w:rFonts w:hint="eastAsia" w:ascii="宋体" w:hAnsi="宋体" w:eastAsia="宋体" w:cs="宋体"/>
                <w:b/>
                <w:bCs/>
                <w:sz w:val="18"/>
                <w:szCs w:val="18"/>
              </w:rPr>
              <w:t>建筑业</w:t>
            </w:r>
          </w:p>
        </w:tc>
        <w:tc>
          <w:tcPr>
            <w:tcW w:w="1500" w:type="dxa"/>
            <w:tcBorders>
              <w:top w:val="nil"/>
              <w:left w:val="nil"/>
              <w:bottom w:val="single" w:color="auto" w:sz="4" w:space="0"/>
              <w:right w:val="single" w:color="auto" w:sz="4" w:space="0"/>
            </w:tcBorders>
            <w:noWrap w:val="0"/>
            <w:vAlign w:val="center"/>
          </w:tcPr>
          <w:p w14:paraId="6D1FDFD1">
            <w:pPr>
              <w:widowControl/>
              <w:jc w:val="left"/>
              <w:rPr>
                <w:rFonts w:hint="eastAsia" w:ascii="宋体" w:hAnsi="宋体" w:eastAsia="宋体" w:cs="宋体"/>
                <w:sz w:val="18"/>
                <w:szCs w:val="18"/>
              </w:rPr>
            </w:pPr>
            <w:r>
              <w:rPr>
                <w:rFonts w:hint="eastAsia" w:ascii="宋体" w:hAnsi="宋体" w:eastAsia="宋体" w:cs="宋体"/>
                <w:sz w:val="18"/>
                <w:szCs w:val="18"/>
              </w:rPr>
              <w:t>营业收入（Y）</w:t>
            </w:r>
          </w:p>
        </w:tc>
        <w:tc>
          <w:tcPr>
            <w:tcW w:w="990" w:type="dxa"/>
            <w:tcBorders>
              <w:top w:val="nil"/>
              <w:left w:val="nil"/>
              <w:bottom w:val="single" w:color="auto" w:sz="4" w:space="0"/>
              <w:right w:val="single" w:color="auto" w:sz="4" w:space="0"/>
            </w:tcBorders>
            <w:noWrap w:val="0"/>
            <w:vAlign w:val="center"/>
          </w:tcPr>
          <w:p w14:paraId="3ED90A89">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52907676">
            <w:pPr>
              <w:widowControl/>
              <w:jc w:val="left"/>
              <w:rPr>
                <w:rFonts w:hint="eastAsia" w:ascii="宋体" w:hAnsi="宋体" w:eastAsia="宋体" w:cs="宋体"/>
                <w:sz w:val="18"/>
                <w:szCs w:val="18"/>
              </w:rPr>
            </w:pPr>
            <w:r>
              <w:rPr>
                <w:rFonts w:hint="eastAsia" w:ascii="宋体" w:hAnsi="宋体" w:eastAsia="宋体" w:cs="宋体"/>
                <w:sz w:val="18"/>
                <w:szCs w:val="18"/>
              </w:rPr>
              <w:t>6000≤Y＜80000</w:t>
            </w:r>
          </w:p>
        </w:tc>
        <w:tc>
          <w:tcPr>
            <w:tcW w:w="1561" w:type="dxa"/>
            <w:tcBorders>
              <w:top w:val="nil"/>
              <w:left w:val="nil"/>
              <w:bottom w:val="single" w:color="auto" w:sz="4" w:space="0"/>
              <w:right w:val="single" w:color="auto" w:sz="4" w:space="0"/>
            </w:tcBorders>
            <w:noWrap w:val="0"/>
            <w:vAlign w:val="center"/>
          </w:tcPr>
          <w:p w14:paraId="6C620889">
            <w:pPr>
              <w:widowControl/>
              <w:jc w:val="left"/>
              <w:rPr>
                <w:rFonts w:hint="eastAsia" w:ascii="宋体" w:hAnsi="宋体" w:eastAsia="宋体" w:cs="宋体"/>
                <w:sz w:val="18"/>
                <w:szCs w:val="18"/>
              </w:rPr>
            </w:pPr>
            <w:r>
              <w:rPr>
                <w:rFonts w:hint="eastAsia" w:ascii="宋体" w:hAnsi="宋体" w:eastAsia="宋体" w:cs="宋体"/>
                <w:sz w:val="18"/>
                <w:szCs w:val="18"/>
              </w:rPr>
              <w:t>300≤Y＜6000</w:t>
            </w:r>
          </w:p>
        </w:tc>
        <w:tc>
          <w:tcPr>
            <w:tcW w:w="1003" w:type="dxa"/>
            <w:tcBorders>
              <w:top w:val="nil"/>
              <w:left w:val="nil"/>
              <w:bottom w:val="single" w:color="auto" w:sz="4" w:space="0"/>
              <w:right w:val="single" w:color="auto" w:sz="4" w:space="0"/>
            </w:tcBorders>
            <w:noWrap w:val="0"/>
            <w:vAlign w:val="center"/>
          </w:tcPr>
          <w:p w14:paraId="1F7D363E">
            <w:pPr>
              <w:widowControl/>
              <w:jc w:val="left"/>
              <w:rPr>
                <w:rFonts w:hint="eastAsia" w:ascii="宋体" w:hAnsi="宋体" w:eastAsia="宋体" w:cs="宋体"/>
                <w:sz w:val="18"/>
                <w:szCs w:val="18"/>
              </w:rPr>
            </w:pPr>
            <w:r>
              <w:rPr>
                <w:rFonts w:hint="eastAsia" w:ascii="宋体" w:hAnsi="宋体" w:eastAsia="宋体" w:cs="宋体"/>
                <w:sz w:val="18"/>
                <w:szCs w:val="18"/>
              </w:rPr>
              <w:t>Y＜300</w:t>
            </w:r>
          </w:p>
        </w:tc>
      </w:tr>
      <w:tr w14:paraId="05C45A83">
        <w:tblPrEx>
          <w:tblCellMar>
            <w:top w:w="0" w:type="dxa"/>
            <w:left w:w="108" w:type="dxa"/>
            <w:bottom w:w="0" w:type="dxa"/>
            <w:right w:w="108" w:type="dxa"/>
          </w:tblCellMar>
        </w:tblPrEx>
        <w:trPr>
          <w:trHeight w:val="273" w:hRule="atLeast"/>
        </w:trPr>
        <w:tc>
          <w:tcPr>
            <w:tcW w:w="1845" w:type="dxa"/>
            <w:vMerge w:val="continue"/>
            <w:tcBorders>
              <w:top w:val="nil"/>
              <w:left w:val="single" w:color="auto" w:sz="4" w:space="0"/>
              <w:bottom w:val="single" w:color="auto" w:sz="4" w:space="0"/>
              <w:right w:val="single" w:color="auto" w:sz="4" w:space="0"/>
            </w:tcBorders>
            <w:noWrap w:val="0"/>
            <w:vAlign w:val="center"/>
          </w:tcPr>
          <w:p w14:paraId="24D4ED8C">
            <w:pPr>
              <w:widowControl/>
              <w:jc w:val="left"/>
              <w:rPr>
                <w:rFonts w:hint="eastAsia" w:ascii="宋体" w:hAnsi="宋体" w:eastAsia="宋体" w:cs="宋体"/>
                <w:b/>
                <w:bCs/>
                <w:sz w:val="18"/>
                <w:szCs w:val="18"/>
              </w:rPr>
            </w:pPr>
          </w:p>
        </w:tc>
        <w:tc>
          <w:tcPr>
            <w:tcW w:w="1500" w:type="dxa"/>
            <w:tcBorders>
              <w:top w:val="nil"/>
              <w:left w:val="nil"/>
              <w:bottom w:val="single" w:color="auto" w:sz="4" w:space="0"/>
              <w:right w:val="single" w:color="auto" w:sz="4" w:space="0"/>
            </w:tcBorders>
            <w:noWrap w:val="0"/>
            <w:vAlign w:val="center"/>
          </w:tcPr>
          <w:p w14:paraId="4247D53D">
            <w:pPr>
              <w:widowControl/>
              <w:jc w:val="left"/>
              <w:rPr>
                <w:rFonts w:hint="eastAsia" w:ascii="宋体" w:hAnsi="宋体" w:eastAsia="宋体" w:cs="宋体"/>
                <w:sz w:val="18"/>
                <w:szCs w:val="18"/>
              </w:rPr>
            </w:pPr>
            <w:r>
              <w:rPr>
                <w:rFonts w:hint="eastAsia" w:ascii="宋体" w:hAnsi="宋体" w:eastAsia="宋体" w:cs="宋体"/>
                <w:sz w:val="18"/>
                <w:szCs w:val="18"/>
              </w:rPr>
              <w:t>资产总额（Z）</w:t>
            </w:r>
          </w:p>
        </w:tc>
        <w:tc>
          <w:tcPr>
            <w:tcW w:w="990" w:type="dxa"/>
            <w:tcBorders>
              <w:top w:val="nil"/>
              <w:left w:val="nil"/>
              <w:bottom w:val="single" w:color="auto" w:sz="4" w:space="0"/>
              <w:right w:val="single" w:color="auto" w:sz="4" w:space="0"/>
            </w:tcBorders>
            <w:noWrap w:val="0"/>
            <w:vAlign w:val="center"/>
          </w:tcPr>
          <w:p w14:paraId="71DBDC85">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731DC242">
            <w:pPr>
              <w:widowControl/>
              <w:jc w:val="left"/>
              <w:rPr>
                <w:rFonts w:hint="eastAsia" w:ascii="宋体" w:hAnsi="宋体" w:eastAsia="宋体" w:cs="宋体"/>
                <w:sz w:val="18"/>
                <w:szCs w:val="18"/>
              </w:rPr>
            </w:pPr>
            <w:r>
              <w:rPr>
                <w:rFonts w:hint="eastAsia" w:ascii="宋体" w:hAnsi="宋体" w:eastAsia="宋体" w:cs="宋体"/>
                <w:sz w:val="18"/>
                <w:szCs w:val="18"/>
              </w:rPr>
              <w:t>5000≤Z＜80000</w:t>
            </w:r>
          </w:p>
        </w:tc>
        <w:tc>
          <w:tcPr>
            <w:tcW w:w="1561" w:type="dxa"/>
            <w:tcBorders>
              <w:top w:val="nil"/>
              <w:left w:val="nil"/>
              <w:bottom w:val="single" w:color="auto" w:sz="4" w:space="0"/>
              <w:right w:val="single" w:color="auto" w:sz="4" w:space="0"/>
            </w:tcBorders>
            <w:noWrap w:val="0"/>
            <w:vAlign w:val="center"/>
          </w:tcPr>
          <w:p w14:paraId="4EBF91E1">
            <w:pPr>
              <w:widowControl/>
              <w:jc w:val="left"/>
              <w:rPr>
                <w:rFonts w:hint="eastAsia" w:ascii="宋体" w:hAnsi="宋体" w:eastAsia="宋体" w:cs="宋体"/>
                <w:sz w:val="18"/>
                <w:szCs w:val="18"/>
              </w:rPr>
            </w:pPr>
            <w:r>
              <w:rPr>
                <w:rFonts w:hint="eastAsia" w:ascii="宋体" w:hAnsi="宋体" w:eastAsia="宋体" w:cs="宋体"/>
                <w:sz w:val="18"/>
                <w:szCs w:val="18"/>
              </w:rPr>
              <w:t>300≤Z＜5000</w:t>
            </w:r>
          </w:p>
        </w:tc>
        <w:tc>
          <w:tcPr>
            <w:tcW w:w="1003" w:type="dxa"/>
            <w:tcBorders>
              <w:top w:val="nil"/>
              <w:left w:val="nil"/>
              <w:bottom w:val="single" w:color="auto" w:sz="4" w:space="0"/>
              <w:right w:val="single" w:color="auto" w:sz="4" w:space="0"/>
            </w:tcBorders>
            <w:noWrap w:val="0"/>
            <w:vAlign w:val="center"/>
          </w:tcPr>
          <w:p w14:paraId="060C5C97">
            <w:pPr>
              <w:widowControl/>
              <w:jc w:val="left"/>
              <w:rPr>
                <w:rFonts w:hint="eastAsia" w:ascii="宋体" w:hAnsi="宋体" w:eastAsia="宋体" w:cs="宋体"/>
                <w:sz w:val="18"/>
                <w:szCs w:val="18"/>
              </w:rPr>
            </w:pPr>
            <w:r>
              <w:rPr>
                <w:rFonts w:hint="eastAsia" w:ascii="宋体" w:hAnsi="宋体" w:eastAsia="宋体" w:cs="宋体"/>
                <w:sz w:val="18"/>
                <w:szCs w:val="18"/>
              </w:rPr>
              <w:t>Z＜300</w:t>
            </w:r>
          </w:p>
        </w:tc>
      </w:tr>
      <w:tr w14:paraId="2389537D">
        <w:tblPrEx>
          <w:tblCellMar>
            <w:top w:w="0" w:type="dxa"/>
            <w:left w:w="108" w:type="dxa"/>
            <w:bottom w:w="0" w:type="dxa"/>
            <w:right w:w="108" w:type="dxa"/>
          </w:tblCellMar>
        </w:tblPrEx>
        <w:trPr>
          <w:trHeight w:val="273" w:hRule="atLeast"/>
        </w:trPr>
        <w:tc>
          <w:tcPr>
            <w:tcW w:w="1845" w:type="dxa"/>
            <w:vMerge w:val="restart"/>
            <w:tcBorders>
              <w:top w:val="nil"/>
              <w:left w:val="single" w:color="auto" w:sz="4" w:space="0"/>
              <w:bottom w:val="single" w:color="auto" w:sz="4" w:space="0"/>
              <w:right w:val="single" w:color="auto" w:sz="4" w:space="0"/>
            </w:tcBorders>
            <w:noWrap w:val="0"/>
            <w:vAlign w:val="bottom"/>
          </w:tcPr>
          <w:p w14:paraId="34EEBAB1">
            <w:pPr>
              <w:widowControl/>
              <w:jc w:val="center"/>
              <w:rPr>
                <w:rFonts w:hint="eastAsia" w:ascii="宋体" w:hAnsi="宋体" w:eastAsia="宋体" w:cs="宋体"/>
                <w:b/>
                <w:bCs/>
                <w:sz w:val="18"/>
                <w:szCs w:val="18"/>
              </w:rPr>
            </w:pPr>
            <w:r>
              <w:rPr>
                <w:rFonts w:hint="eastAsia" w:ascii="宋体" w:hAnsi="宋体" w:eastAsia="宋体" w:cs="宋体"/>
                <w:b/>
                <w:bCs/>
                <w:sz w:val="18"/>
                <w:szCs w:val="18"/>
              </w:rPr>
              <w:t>批发业</w:t>
            </w:r>
          </w:p>
        </w:tc>
        <w:tc>
          <w:tcPr>
            <w:tcW w:w="1500" w:type="dxa"/>
            <w:tcBorders>
              <w:top w:val="nil"/>
              <w:left w:val="nil"/>
              <w:bottom w:val="single" w:color="auto" w:sz="4" w:space="0"/>
              <w:right w:val="single" w:color="auto" w:sz="4" w:space="0"/>
            </w:tcBorders>
            <w:noWrap w:val="0"/>
            <w:vAlign w:val="center"/>
          </w:tcPr>
          <w:p w14:paraId="6084667F">
            <w:pPr>
              <w:widowControl/>
              <w:jc w:val="left"/>
              <w:rPr>
                <w:rFonts w:hint="eastAsia" w:ascii="宋体" w:hAnsi="宋体" w:eastAsia="宋体" w:cs="宋体"/>
                <w:sz w:val="18"/>
                <w:szCs w:val="18"/>
              </w:rPr>
            </w:pPr>
            <w:r>
              <w:rPr>
                <w:rFonts w:hint="eastAsia" w:ascii="宋体" w:hAnsi="宋体" w:eastAsia="宋体" w:cs="宋体"/>
                <w:sz w:val="18"/>
                <w:szCs w:val="18"/>
              </w:rPr>
              <w:t>从业人员（X）</w:t>
            </w:r>
          </w:p>
        </w:tc>
        <w:tc>
          <w:tcPr>
            <w:tcW w:w="990" w:type="dxa"/>
            <w:tcBorders>
              <w:top w:val="nil"/>
              <w:left w:val="nil"/>
              <w:bottom w:val="single" w:color="auto" w:sz="4" w:space="0"/>
              <w:right w:val="single" w:color="auto" w:sz="4" w:space="0"/>
            </w:tcBorders>
            <w:noWrap w:val="0"/>
            <w:vAlign w:val="center"/>
          </w:tcPr>
          <w:p w14:paraId="467C0EF4">
            <w:pPr>
              <w:widowControl/>
              <w:jc w:val="left"/>
              <w:rPr>
                <w:rFonts w:hint="eastAsia" w:ascii="宋体" w:hAnsi="宋体" w:eastAsia="宋体" w:cs="宋体"/>
                <w:sz w:val="18"/>
                <w:szCs w:val="18"/>
              </w:rPr>
            </w:pPr>
            <w:r>
              <w:rPr>
                <w:rFonts w:hint="eastAsia" w:ascii="宋体" w:hAnsi="宋体" w:eastAsia="宋体" w:cs="宋体"/>
                <w:sz w:val="18"/>
                <w:szCs w:val="18"/>
              </w:rPr>
              <w:t>人</w:t>
            </w:r>
          </w:p>
        </w:tc>
        <w:tc>
          <w:tcPr>
            <w:tcW w:w="1756" w:type="dxa"/>
            <w:tcBorders>
              <w:top w:val="nil"/>
              <w:left w:val="nil"/>
              <w:bottom w:val="single" w:color="auto" w:sz="4" w:space="0"/>
              <w:right w:val="single" w:color="auto" w:sz="4" w:space="0"/>
            </w:tcBorders>
            <w:noWrap w:val="0"/>
            <w:vAlign w:val="center"/>
          </w:tcPr>
          <w:p w14:paraId="50922CB7">
            <w:pPr>
              <w:widowControl/>
              <w:jc w:val="left"/>
              <w:rPr>
                <w:rFonts w:hint="eastAsia" w:ascii="宋体" w:hAnsi="宋体" w:eastAsia="宋体" w:cs="宋体"/>
                <w:sz w:val="18"/>
                <w:szCs w:val="18"/>
              </w:rPr>
            </w:pPr>
            <w:r>
              <w:rPr>
                <w:rFonts w:hint="eastAsia" w:ascii="宋体" w:hAnsi="宋体" w:eastAsia="宋体" w:cs="宋体"/>
                <w:sz w:val="18"/>
                <w:szCs w:val="18"/>
              </w:rPr>
              <w:t>20≤X＜200</w:t>
            </w:r>
          </w:p>
        </w:tc>
        <w:tc>
          <w:tcPr>
            <w:tcW w:w="1561" w:type="dxa"/>
            <w:tcBorders>
              <w:top w:val="nil"/>
              <w:left w:val="nil"/>
              <w:bottom w:val="single" w:color="auto" w:sz="4" w:space="0"/>
              <w:right w:val="single" w:color="auto" w:sz="4" w:space="0"/>
            </w:tcBorders>
            <w:noWrap w:val="0"/>
            <w:vAlign w:val="center"/>
          </w:tcPr>
          <w:p w14:paraId="0FA0FFA4">
            <w:pPr>
              <w:widowControl/>
              <w:jc w:val="left"/>
              <w:rPr>
                <w:rFonts w:hint="eastAsia" w:ascii="宋体" w:hAnsi="宋体" w:eastAsia="宋体" w:cs="宋体"/>
                <w:sz w:val="18"/>
                <w:szCs w:val="18"/>
              </w:rPr>
            </w:pPr>
            <w:r>
              <w:rPr>
                <w:rFonts w:hint="eastAsia" w:ascii="宋体" w:hAnsi="宋体" w:eastAsia="宋体" w:cs="宋体"/>
                <w:sz w:val="18"/>
                <w:szCs w:val="18"/>
              </w:rPr>
              <w:t>5≤X＜20</w:t>
            </w:r>
          </w:p>
        </w:tc>
        <w:tc>
          <w:tcPr>
            <w:tcW w:w="1003" w:type="dxa"/>
            <w:tcBorders>
              <w:top w:val="nil"/>
              <w:left w:val="nil"/>
              <w:bottom w:val="single" w:color="auto" w:sz="4" w:space="0"/>
              <w:right w:val="single" w:color="auto" w:sz="4" w:space="0"/>
            </w:tcBorders>
            <w:noWrap w:val="0"/>
            <w:vAlign w:val="center"/>
          </w:tcPr>
          <w:p w14:paraId="74E8C91B">
            <w:pPr>
              <w:widowControl/>
              <w:jc w:val="left"/>
              <w:rPr>
                <w:rFonts w:hint="eastAsia" w:ascii="宋体" w:hAnsi="宋体" w:eastAsia="宋体" w:cs="宋体"/>
                <w:sz w:val="18"/>
                <w:szCs w:val="18"/>
              </w:rPr>
            </w:pPr>
            <w:r>
              <w:rPr>
                <w:rFonts w:hint="eastAsia" w:ascii="宋体" w:hAnsi="宋体" w:eastAsia="宋体" w:cs="宋体"/>
                <w:sz w:val="18"/>
                <w:szCs w:val="18"/>
              </w:rPr>
              <w:t>X＜5</w:t>
            </w:r>
          </w:p>
        </w:tc>
      </w:tr>
      <w:tr w14:paraId="028802DE">
        <w:tblPrEx>
          <w:tblCellMar>
            <w:top w:w="0" w:type="dxa"/>
            <w:left w:w="108" w:type="dxa"/>
            <w:bottom w:w="0" w:type="dxa"/>
            <w:right w:w="108" w:type="dxa"/>
          </w:tblCellMar>
        </w:tblPrEx>
        <w:trPr>
          <w:trHeight w:val="273" w:hRule="atLeast"/>
        </w:trPr>
        <w:tc>
          <w:tcPr>
            <w:tcW w:w="1845" w:type="dxa"/>
            <w:vMerge w:val="continue"/>
            <w:tcBorders>
              <w:top w:val="nil"/>
              <w:left w:val="single" w:color="auto" w:sz="4" w:space="0"/>
              <w:bottom w:val="single" w:color="auto" w:sz="4" w:space="0"/>
              <w:right w:val="single" w:color="auto" w:sz="4" w:space="0"/>
            </w:tcBorders>
            <w:noWrap w:val="0"/>
            <w:vAlign w:val="center"/>
          </w:tcPr>
          <w:p w14:paraId="22758184">
            <w:pPr>
              <w:widowControl/>
              <w:jc w:val="left"/>
              <w:rPr>
                <w:rFonts w:hint="eastAsia" w:ascii="宋体" w:hAnsi="宋体" w:eastAsia="宋体" w:cs="宋体"/>
                <w:b/>
                <w:bCs/>
                <w:sz w:val="18"/>
                <w:szCs w:val="18"/>
              </w:rPr>
            </w:pPr>
          </w:p>
        </w:tc>
        <w:tc>
          <w:tcPr>
            <w:tcW w:w="1500" w:type="dxa"/>
            <w:tcBorders>
              <w:top w:val="nil"/>
              <w:left w:val="nil"/>
              <w:bottom w:val="single" w:color="auto" w:sz="4" w:space="0"/>
              <w:right w:val="single" w:color="auto" w:sz="4" w:space="0"/>
            </w:tcBorders>
            <w:noWrap w:val="0"/>
            <w:vAlign w:val="center"/>
          </w:tcPr>
          <w:p w14:paraId="729FA806">
            <w:pPr>
              <w:widowControl/>
              <w:jc w:val="left"/>
              <w:rPr>
                <w:rFonts w:hint="eastAsia" w:ascii="宋体" w:hAnsi="宋体" w:eastAsia="宋体" w:cs="宋体"/>
                <w:sz w:val="18"/>
                <w:szCs w:val="18"/>
              </w:rPr>
            </w:pPr>
            <w:r>
              <w:rPr>
                <w:rFonts w:hint="eastAsia" w:ascii="宋体" w:hAnsi="宋体" w:eastAsia="宋体" w:cs="宋体"/>
                <w:sz w:val="18"/>
                <w:szCs w:val="18"/>
              </w:rPr>
              <w:t>营业收入（Y）</w:t>
            </w:r>
          </w:p>
        </w:tc>
        <w:tc>
          <w:tcPr>
            <w:tcW w:w="990" w:type="dxa"/>
            <w:tcBorders>
              <w:top w:val="nil"/>
              <w:left w:val="nil"/>
              <w:bottom w:val="single" w:color="auto" w:sz="4" w:space="0"/>
              <w:right w:val="single" w:color="auto" w:sz="4" w:space="0"/>
            </w:tcBorders>
            <w:noWrap w:val="0"/>
            <w:vAlign w:val="center"/>
          </w:tcPr>
          <w:p w14:paraId="778B6441">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26BF3A82">
            <w:pPr>
              <w:widowControl/>
              <w:jc w:val="left"/>
              <w:rPr>
                <w:rFonts w:hint="eastAsia" w:ascii="宋体" w:hAnsi="宋体" w:eastAsia="宋体" w:cs="宋体"/>
                <w:sz w:val="18"/>
                <w:szCs w:val="18"/>
              </w:rPr>
            </w:pPr>
            <w:r>
              <w:rPr>
                <w:rFonts w:hint="eastAsia" w:ascii="宋体" w:hAnsi="宋体" w:eastAsia="宋体" w:cs="宋体"/>
                <w:sz w:val="18"/>
                <w:szCs w:val="18"/>
              </w:rPr>
              <w:t>5000≤Y＜40000</w:t>
            </w:r>
          </w:p>
        </w:tc>
        <w:tc>
          <w:tcPr>
            <w:tcW w:w="1561" w:type="dxa"/>
            <w:tcBorders>
              <w:top w:val="nil"/>
              <w:left w:val="nil"/>
              <w:bottom w:val="single" w:color="auto" w:sz="4" w:space="0"/>
              <w:right w:val="single" w:color="auto" w:sz="4" w:space="0"/>
            </w:tcBorders>
            <w:noWrap w:val="0"/>
            <w:vAlign w:val="center"/>
          </w:tcPr>
          <w:p w14:paraId="01E16685">
            <w:pPr>
              <w:widowControl/>
              <w:jc w:val="left"/>
              <w:rPr>
                <w:rFonts w:hint="eastAsia" w:ascii="宋体" w:hAnsi="宋体" w:eastAsia="宋体" w:cs="宋体"/>
                <w:sz w:val="18"/>
                <w:szCs w:val="18"/>
              </w:rPr>
            </w:pPr>
            <w:r>
              <w:rPr>
                <w:rFonts w:hint="eastAsia" w:ascii="宋体" w:hAnsi="宋体" w:eastAsia="宋体" w:cs="宋体"/>
                <w:sz w:val="18"/>
                <w:szCs w:val="18"/>
              </w:rPr>
              <w:t>1000≤Y＜5000</w:t>
            </w:r>
          </w:p>
        </w:tc>
        <w:tc>
          <w:tcPr>
            <w:tcW w:w="1003" w:type="dxa"/>
            <w:tcBorders>
              <w:top w:val="nil"/>
              <w:left w:val="nil"/>
              <w:bottom w:val="single" w:color="auto" w:sz="4" w:space="0"/>
              <w:right w:val="single" w:color="auto" w:sz="4" w:space="0"/>
            </w:tcBorders>
            <w:noWrap w:val="0"/>
            <w:vAlign w:val="center"/>
          </w:tcPr>
          <w:p w14:paraId="31AF46B7">
            <w:pPr>
              <w:widowControl/>
              <w:jc w:val="left"/>
              <w:rPr>
                <w:rFonts w:hint="eastAsia" w:ascii="宋体" w:hAnsi="宋体" w:eastAsia="宋体" w:cs="宋体"/>
                <w:sz w:val="18"/>
                <w:szCs w:val="18"/>
              </w:rPr>
            </w:pPr>
            <w:r>
              <w:rPr>
                <w:rFonts w:hint="eastAsia" w:ascii="宋体" w:hAnsi="宋体" w:eastAsia="宋体" w:cs="宋体"/>
                <w:sz w:val="18"/>
                <w:szCs w:val="18"/>
              </w:rPr>
              <w:t>Y＜1000</w:t>
            </w:r>
          </w:p>
        </w:tc>
      </w:tr>
      <w:tr w14:paraId="0ACD5CEA">
        <w:tblPrEx>
          <w:tblCellMar>
            <w:top w:w="0" w:type="dxa"/>
            <w:left w:w="108" w:type="dxa"/>
            <w:bottom w:w="0" w:type="dxa"/>
            <w:right w:w="108" w:type="dxa"/>
          </w:tblCellMar>
        </w:tblPrEx>
        <w:trPr>
          <w:trHeight w:val="273" w:hRule="atLeast"/>
        </w:trPr>
        <w:tc>
          <w:tcPr>
            <w:tcW w:w="1845" w:type="dxa"/>
            <w:vMerge w:val="restart"/>
            <w:tcBorders>
              <w:top w:val="nil"/>
              <w:left w:val="single" w:color="auto" w:sz="4" w:space="0"/>
              <w:bottom w:val="single" w:color="auto" w:sz="4" w:space="0"/>
              <w:right w:val="single" w:color="auto" w:sz="4" w:space="0"/>
            </w:tcBorders>
            <w:noWrap w:val="0"/>
            <w:vAlign w:val="bottom"/>
          </w:tcPr>
          <w:p w14:paraId="1A3DC4E3">
            <w:pPr>
              <w:widowControl/>
              <w:jc w:val="center"/>
              <w:rPr>
                <w:rFonts w:hint="eastAsia" w:ascii="宋体" w:hAnsi="宋体" w:eastAsia="宋体" w:cs="宋体"/>
                <w:b/>
                <w:bCs/>
                <w:sz w:val="18"/>
                <w:szCs w:val="18"/>
              </w:rPr>
            </w:pPr>
            <w:r>
              <w:rPr>
                <w:rFonts w:hint="eastAsia" w:ascii="宋体" w:hAnsi="宋体" w:eastAsia="宋体" w:cs="宋体"/>
                <w:b/>
                <w:bCs/>
                <w:sz w:val="18"/>
                <w:szCs w:val="18"/>
              </w:rPr>
              <w:t>零售业</w:t>
            </w:r>
          </w:p>
        </w:tc>
        <w:tc>
          <w:tcPr>
            <w:tcW w:w="1500" w:type="dxa"/>
            <w:tcBorders>
              <w:top w:val="nil"/>
              <w:left w:val="nil"/>
              <w:bottom w:val="single" w:color="auto" w:sz="4" w:space="0"/>
              <w:right w:val="single" w:color="auto" w:sz="4" w:space="0"/>
            </w:tcBorders>
            <w:noWrap w:val="0"/>
            <w:vAlign w:val="center"/>
          </w:tcPr>
          <w:p w14:paraId="0F410D0E">
            <w:pPr>
              <w:widowControl/>
              <w:jc w:val="left"/>
              <w:rPr>
                <w:rFonts w:hint="eastAsia" w:ascii="宋体" w:hAnsi="宋体" w:eastAsia="宋体" w:cs="宋体"/>
                <w:sz w:val="18"/>
                <w:szCs w:val="18"/>
              </w:rPr>
            </w:pPr>
            <w:r>
              <w:rPr>
                <w:rFonts w:hint="eastAsia" w:ascii="宋体" w:hAnsi="宋体" w:eastAsia="宋体" w:cs="宋体"/>
                <w:sz w:val="18"/>
                <w:szCs w:val="18"/>
              </w:rPr>
              <w:t>从业人员（X）</w:t>
            </w:r>
          </w:p>
        </w:tc>
        <w:tc>
          <w:tcPr>
            <w:tcW w:w="990" w:type="dxa"/>
            <w:tcBorders>
              <w:top w:val="nil"/>
              <w:left w:val="nil"/>
              <w:bottom w:val="single" w:color="auto" w:sz="4" w:space="0"/>
              <w:right w:val="single" w:color="auto" w:sz="4" w:space="0"/>
            </w:tcBorders>
            <w:noWrap w:val="0"/>
            <w:vAlign w:val="center"/>
          </w:tcPr>
          <w:p w14:paraId="6328F7BD">
            <w:pPr>
              <w:widowControl/>
              <w:jc w:val="left"/>
              <w:rPr>
                <w:rFonts w:hint="eastAsia" w:ascii="宋体" w:hAnsi="宋体" w:eastAsia="宋体" w:cs="宋体"/>
                <w:sz w:val="18"/>
                <w:szCs w:val="18"/>
              </w:rPr>
            </w:pPr>
            <w:r>
              <w:rPr>
                <w:rFonts w:hint="eastAsia" w:ascii="宋体" w:hAnsi="宋体" w:eastAsia="宋体" w:cs="宋体"/>
                <w:sz w:val="18"/>
                <w:szCs w:val="18"/>
              </w:rPr>
              <w:t>人</w:t>
            </w:r>
          </w:p>
        </w:tc>
        <w:tc>
          <w:tcPr>
            <w:tcW w:w="1756" w:type="dxa"/>
            <w:tcBorders>
              <w:top w:val="nil"/>
              <w:left w:val="nil"/>
              <w:bottom w:val="single" w:color="auto" w:sz="4" w:space="0"/>
              <w:right w:val="single" w:color="auto" w:sz="4" w:space="0"/>
            </w:tcBorders>
            <w:noWrap w:val="0"/>
            <w:vAlign w:val="center"/>
          </w:tcPr>
          <w:p w14:paraId="2575C012">
            <w:pPr>
              <w:widowControl/>
              <w:jc w:val="left"/>
              <w:rPr>
                <w:rFonts w:hint="eastAsia" w:ascii="宋体" w:hAnsi="宋体" w:eastAsia="宋体" w:cs="宋体"/>
                <w:sz w:val="18"/>
                <w:szCs w:val="18"/>
              </w:rPr>
            </w:pPr>
            <w:r>
              <w:rPr>
                <w:rFonts w:hint="eastAsia" w:ascii="宋体" w:hAnsi="宋体" w:eastAsia="宋体" w:cs="宋体"/>
                <w:sz w:val="18"/>
                <w:szCs w:val="18"/>
              </w:rPr>
              <w:t>50≤X＜300</w:t>
            </w:r>
          </w:p>
        </w:tc>
        <w:tc>
          <w:tcPr>
            <w:tcW w:w="1561" w:type="dxa"/>
            <w:tcBorders>
              <w:top w:val="nil"/>
              <w:left w:val="nil"/>
              <w:bottom w:val="single" w:color="auto" w:sz="4" w:space="0"/>
              <w:right w:val="single" w:color="auto" w:sz="4" w:space="0"/>
            </w:tcBorders>
            <w:noWrap w:val="0"/>
            <w:vAlign w:val="center"/>
          </w:tcPr>
          <w:p w14:paraId="021C40DF">
            <w:pPr>
              <w:widowControl/>
              <w:jc w:val="left"/>
              <w:rPr>
                <w:rFonts w:hint="eastAsia" w:ascii="宋体" w:hAnsi="宋体" w:eastAsia="宋体" w:cs="宋体"/>
                <w:sz w:val="18"/>
                <w:szCs w:val="18"/>
              </w:rPr>
            </w:pPr>
            <w:r>
              <w:rPr>
                <w:rFonts w:hint="eastAsia" w:ascii="宋体" w:hAnsi="宋体" w:eastAsia="宋体" w:cs="宋体"/>
                <w:sz w:val="18"/>
                <w:szCs w:val="18"/>
              </w:rPr>
              <w:t>10≤X＜50</w:t>
            </w:r>
          </w:p>
        </w:tc>
        <w:tc>
          <w:tcPr>
            <w:tcW w:w="1003" w:type="dxa"/>
            <w:tcBorders>
              <w:top w:val="nil"/>
              <w:left w:val="nil"/>
              <w:bottom w:val="single" w:color="auto" w:sz="4" w:space="0"/>
              <w:right w:val="single" w:color="auto" w:sz="4" w:space="0"/>
            </w:tcBorders>
            <w:noWrap w:val="0"/>
            <w:vAlign w:val="center"/>
          </w:tcPr>
          <w:p w14:paraId="11F3A659">
            <w:pPr>
              <w:widowControl/>
              <w:jc w:val="left"/>
              <w:rPr>
                <w:rFonts w:hint="eastAsia" w:ascii="宋体" w:hAnsi="宋体" w:eastAsia="宋体" w:cs="宋体"/>
                <w:sz w:val="18"/>
                <w:szCs w:val="18"/>
              </w:rPr>
            </w:pPr>
            <w:r>
              <w:rPr>
                <w:rFonts w:hint="eastAsia" w:ascii="宋体" w:hAnsi="宋体" w:eastAsia="宋体" w:cs="宋体"/>
                <w:sz w:val="18"/>
                <w:szCs w:val="18"/>
              </w:rPr>
              <w:t>X＜10</w:t>
            </w:r>
          </w:p>
        </w:tc>
      </w:tr>
      <w:tr w14:paraId="00DCA491">
        <w:tblPrEx>
          <w:tblCellMar>
            <w:top w:w="0" w:type="dxa"/>
            <w:left w:w="108" w:type="dxa"/>
            <w:bottom w:w="0" w:type="dxa"/>
            <w:right w:w="108" w:type="dxa"/>
          </w:tblCellMar>
        </w:tblPrEx>
        <w:trPr>
          <w:trHeight w:val="273" w:hRule="atLeast"/>
        </w:trPr>
        <w:tc>
          <w:tcPr>
            <w:tcW w:w="1845" w:type="dxa"/>
            <w:vMerge w:val="continue"/>
            <w:tcBorders>
              <w:top w:val="nil"/>
              <w:left w:val="single" w:color="auto" w:sz="4" w:space="0"/>
              <w:bottom w:val="single" w:color="auto" w:sz="4" w:space="0"/>
              <w:right w:val="single" w:color="auto" w:sz="4" w:space="0"/>
            </w:tcBorders>
            <w:noWrap w:val="0"/>
            <w:vAlign w:val="center"/>
          </w:tcPr>
          <w:p w14:paraId="46C085E0">
            <w:pPr>
              <w:widowControl/>
              <w:jc w:val="left"/>
              <w:rPr>
                <w:rFonts w:hint="eastAsia" w:ascii="宋体" w:hAnsi="宋体" w:eastAsia="宋体" w:cs="宋体"/>
                <w:b/>
                <w:bCs/>
                <w:sz w:val="18"/>
                <w:szCs w:val="18"/>
              </w:rPr>
            </w:pPr>
          </w:p>
        </w:tc>
        <w:tc>
          <w:tcPr>
            <w:tcW w:w="1500" w:type="dxa"/>
            <w:tcBorders>
              <w:top w:val="nil"/>
              <w:left w:val="nil"/>
              <w:bottom w:val="single" w:color="auto" w:sz="4" w:space="0"/>
              <w:right w:val="single" w:color="auto" w:sz="4" w:space="0"/>
            </w:tcBorders>
            <w:noWrap w:val="0"/>
            <w:vAlign w:val="center"/>
          </w:tcPr>
          <w:p w14:paraId="61008256">
            <w:pPr>
              <w:widowControl/>
              <w:jc w:val="left"/>
              <w:rPr>
                <w:rFonts w:hint="eastAsia" w:ascii="宋体" w:hAnsi="宋体" w:eastAsia="宋体" w:cs="宋体"/>
                <w:sz w:val="18"/>
                <w:szCs w:val="18"/>
              </w:rPr>
            </w:pPr>
            <w:r>
              <w:rPr>
                <w:rFonts w:hint="eastAsia" w:ascii="宋体" w:hAnsi="宋体" w:eastAsia="宋体" w:cs="宋体"/>
                <w:sz w:val="18"/>
                <w:szCs w:val="18"/>
              </w:rPr>
              <w:t>营业收入（Y）</w:t>
            </w:r>
          </w:p>
        </w:tc>
        <w:tc>
          <w:tcPr>
            <w:tcW w:w="990" w:type="dxa"/>
            <w:tcBorders>
              <w:top w:val="nil"/>
              <w:left w:val="nil"/>
              <w:bottom w:val="single" w:color="auto" w:sz="4" w:space="0"/>
              <w:right w:val="single" w:color="auto" w:sz="4" w:space="0"/>
            </w:tcBorders>
            <w:noWrap w:val="0"/>
            <w:vAlign w:val="center"/>
          </w:tcPr>
          <w:p w14:paraId="5CB7D25C">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1D086C87">
            <w:pPr>
              <w:widowControl/>
              <w:jc w:val="left"/>
              <w:rPr>
                <w:rFonts w:hint="eastAsia" w:ascii="宋体" w:hAnsi="宋体" w:eastAsia="宋体" w:cs="宋体"/>
                <w:sz w:val="18"/>
                <w:szCs w:val="18"/>
              </w:rPr>
            </w:pPr>
            <w:r>
              <w:rPr>
                <w:rFonts w:hint="eastAsia" w:ascii="宋体" w:hAnsi="宋体" w:eastAsia="宋体" w:cs="宋体"/>
                <w:sz w:val="18"/>
                <w:szCs w:val="18"/>
              </w:rPr>
              <w:t>500≤Y＜20000</w:t>
            </w:r>
          </w:p>
        </w:tc>
        <w:tc>
          <w:tcPr>
            <w:tcW w:w="1561" w:type="dxa"/>
            <w:tcBorders>
              <w:top w:val="nil"/>
              <w:left w:val="nil"/>
              <w:bottom w:val="single" w:color="auto" w:sz="4" w:space="0"/>
              <w:right w:val="single" w:color="auto" w:sz="4" w:space="0"/>
            </w:tcBorders>
            <w:noWrap w:val="0"/>
            <w:vAlign w:val="center"/>
          </w:tcPr>
          <w:p w14:paraId="4BEE34EA">
            <w:pPr>
              <w:widowControl/>
              <w:jc w:val="left"/>
              <w:rPr>
                <w:rFonts w:hint="eastAsia" w:ascii="宋体" w:hAnsi="宋体" w:eastAsia="宋体" w:cs="宋体"/>
                <w:sz w:val="18"/>
                <w:szCs w:val="18"/>
              </w:rPr>
            </w:pPr>
            <w:r>
              <w:rPr>
                <w:rFonts w:hint="eastAsia" w:ascii="宋体" w:hAnsi="宋体" w:eastAsia="宋体" w:cs="宋体"/>
                <w:sz w:val="18"/>
                <w:szCs w:val="18"/>
              </w:rPr>
              <w:t>100≤Y＜500</w:t>
            </w:r>
          </w:p>
        </w:tc>
        <w:tc>
          <w:tcPr>
            <w:tcW w:w="1003" w:type="dxa"/>
            <w:tcBorders>
              <w:top w:val="nil"/>
              <w:left w:val="nil"/>
              <w:bottom w:val="single" w:color="auto" w:sz="4" w:space="0"/>
              <w:right w:val="single" w:color="auto" w:sz="4" w:space="0"/>
            </w:tcBorders>
            <w:noWrap w:val="0"/>
            <w:vAlign w:val="center"/>
          </w:tcPr>
          <w:p w14:paraId="66D999C0">
            <w:pPr>
              <w:widowControl/>
              <w:jc w:val="left"/>
              <w:rPr>
                <w:rFonts w:hint="eastAsia" w:ascii="宋体" w:hAnsi="宋体" w:eastAsia="宋体" w:cs="宋体"/>
                <w:sz w:val="18"/>
                <w:szCs w:val="18"/>
              </w:rPr>
            </w:pPr>
            <w:r>
              <w:rPr>
                <w:rFonts w:hint="eastAsia" w:ascii="宋体" w:hAnsi="宋体" w:eastAsia="宋体" w:cs="宋体"/>
                <w:sz w:val="18"/>
                <w:szCs w:val="18"/>
              </w:rPr>
              <w:t>Y＜100</w:t>
            </w:r>
          </w:p>
        </w:tc>
      </w:tr>
      <w:tr w14:paraId="5D5B9B20">
        <w:tblPrEx>
          <w:tblCellMar>
            <w:top w:w="0" w:type="dxa"/>
            <w:left w:w="108" w:type="dxa"/>
            <w:bottom w:w="0" w:type="dxa"/>
            <w:right w:w="108" w:type="dxa"/>
          </w:tblCellMar>
        </w:tblPrEx>
        <w:trPr>
          <w:trHeight w:val="273" w:hRule="atLeast"/>
        </w:trPr>
        <w:tc>
          <w:tcPr>
            <w:tcW w:w="1845" w:type="dxa"/>
            <w:vMerge w:val="restart"/>
            <w:tcBorders>
              <w:top w:val="nil"/>
              <w:left w:val="single" w:color="auto" w:sz="4" w:space="0"/>
              <w:bottom w:val="single" w:color="auto" w:sz="4" w:space="0"/>
              <w:right w:val="single" w:color="auto" w:sz="4" w:space="0"/>
            </w:tcBorders>
            <w:noWrap w:val="0"/>
            <w:vAlign w:val="bottom"/>
          </w:tcPr>
          <w:p w14:paraId="74ADFDF8">
            <w:pPr>
              <w:widowControl/>
              <w:jc w:val="center"/>
              <w:rPr>
                <w:rFonts w:hint="eastAsia" w:ascii="宋体" w:hAnsi="宋体" w:eastAsia="宋体" w:cs="宋体"/>
                <w:b/>
                <w:bCs/>
                <w:sz w:val="18"/>
                <w:szCs w:val="18"/>
              </w:rPr>
            </w:pPr>
            <w:r>
              <w:rPr>
                <w:rFonts w:hint="eastAsia" w:ascii="宋体" w:hAnsi="宋体" w:eastAsia="宋体" w:cs="宋体"/>
                <w:b/>
                <w:bCs/>
                <w:sz w:val="18"/>
                <w:szCs w:val="18"/>
              </w:rPr>
              <w:t>交通运输业</w:t>
            </w:r>
          </w:p>
        </w:tc>
        <w:tc>
          <w:tcPr>
            <w:tcW w:w="1500" w:type="dxa"/>
            <w:tcBorders>
              <w:top w:val="nil"/>
              <w:left w:val="nil"/>
              <w:bottom w:val="single" w:color="auto" w:sz="4" w:space="0"/>
              <w:right w:val="single" w:color="auto" w:sz="4" w:space="0"/>
            </w:tcBorders>
            <w:noWrap w:val="0"/>
            <w:vAlign w:val="center"/>
          </w:tcPr>
          <w:p w14:paraId="6448BD52">
            <w:pPr>
              <w:widowControl/>
              <w:jc w:val="left"/>
              <w:rPr>
                <w:rFonts w:hint="eastAsia" w:ascii="宋体" w:hAnsi="宋体" w:eastAsia="宋体" w:cs="宋体"/>
                <w:sz w:val="18"/>
                <w:szCs w:val="18"/>
              </w:rPr>
            </w:pPr>
            <w:r>
              <w:rPr>
                <w:rFonts w:hint="eastAsia" w:ascii="宋体" w:hAnsi="宋体" w:eastAsia="宋体" w:cs="宋体"/>
                <w:sz w:val="18"/>
                <w:szCs w:val="18"/>
              </w:rPr>
              <w:t>从业人员（X）</w:t>
            </w:r>
          </w:p>
        </w:tc>
        <w:tc>
          <w:tcPr>
            <w:tcW w:w="990" w:type="dxa"/>
            <w:tcBorders>
              <w:top w:val="nil"/>
              <w:left w:val="nil"/>
              <w:bottom w:val="single" w:color="auto" w:sz="4" w:space="0"/>
              <w:right w:val="single" w:color="auto" w:sz="4" w:space="0"/>
            </w:tcBorders>
            <w:noWrap w:val="0"/>
            <w:vAlign w:val="center"/>
          </w:tcPr>
          <w:p w14:paraId="435AC0D4">
            <w:pPr>
              <w:widowControl/>
              <w:jc w:val="left"/>
              <w:rPr>
                <w:rFonts w:hint="eastAsia" w:ascii="宋体" w:hAnsi="宋体" w:eastAsia="宋体" w:cs="宋体"/>
                <w:sz w:val="18"/>
                <w:szCs w:val="18"/>
              </w:rPr>
            </w:pPr>
            <w:r>
              <w:rPr>
                <w:rFonts w:hint="eastAsia" w:ascii="宋体" w:hAnsi="宋体" w:eastAsia="宋体" w:cs="宋体"/>
                <w:sz w:val="18"/>
                <w:szCs w:val="18"/>
              </w:rPr>
              <w:t>人</w:t>
            </w:r>
          </w:p>
        </w:tc>
        <w:tc>
          <w:tcPr>
            <w:tcW w:w="1756" w:type="dxa"/>
            <w:tcBorders>
              <w:top w:val="nil"/>
              <w:left w:val="nil"/>
              <w:bottom w:val="single" w:color="auto" w:sz="4" w:space="0"/>
              <w:right w:val="single" w:color="auto" w:sz="4" w:space="0"/>
            </w:tcBorders>
            <w:noWrap w:val="0"/>
            <w:vAlign w:val="center"/>
          </w:tcPr>
          <w:p w14:paraId="0993DE3C">
            <w:pPr>
              <w:widowControl/>
              <w:jc w:val="left"/>
              <w:rPr>
                <w:rFonts w:hint="eastAsia" w:ascii="宋体" w:hAnsi="宋体" w:eastAsia="宋体" w:cs="宋体"/>
                <w:sz w:val="18"/>
                <w:szCs w:val="18"/>
              </w:rPr>
            </w:pPr>
            <w:r>
              <w:rPr>
                <w:rFonts w:hint="eastAsia" w:ascii="宋体" w:hAnsi="宋体" w:eastAsia="宋体" w:cs="宋体"/>
                <w:sz w:val="18"/>
                <w:szCs w:val="18"/>
              </w:rPr>
              <w:t>300≤X＜1000</w:t>
            </w:r>
          </w:p>
        </w:tc>
        <w:tc>
          <w:tcPr>
            <w:tcW w:w="1561" w:type="dxa"/>
            <w:tcBorders>
              <w:top w:val="nil"/>
              <w:left w:val="nil"/>
              <w:bottom w:val="single" w:color="auto" w:sz="4" w:space="0"/>
              <w:right w:val="single" w:color="auto" w:sz="4" w:space="0"/>
            </w:tcBorders>
            <w:noWrap w:val="0"/>
            <w:vAlign w:val="center"/>
          </w:tcPr>
          <w:p w14:paraId="591CD5C9">
            <w:pPr>
              <w:widowControl/>
              <w:jc w:val="left"/>
              <w:rPr>
                <w:rFonts w:hint="eastAsia" w:ascii="宋体" w:hAnsi="宋体" w:eastAsia="宋体" w:cs="宋体"/>
                <w:sz w:val="18"/>
                <w:szCs w:val="18"/>
              </w:rPr>
            </w:pPr>
            <w:r>
              <w:rPr>
                <w:rFonts w:hint="eastAsia" w:ascii="宋体" w:hAnsi="宋体" w:eastAsia="宋体" w:cs="宋体"/>
                <w:sz w:val="18"/>
                <w:szCs w:val="18"/>
              </w:rPr>
              <w:t>20≤X＜300</w:t>
            </w:r>
          </w:p>
        </w:tc>
        <w:tc>
          <w:tcPr>
            <w:tcW w:w="1003" w:type="dxa"/>
            <w:tcBorders>
              <w:top w:val="nil"/>
              <w:left w:val="nil"/>
              <w:bottom w:val="single" w:color="auto" w:sz="4" w:space="0"/>
              <w:right w:val="single" w:color="auto" w:sz="4" w:space="0"/>
            </w:tcBorders>
            <w:noWrap w:val="0"/>
            <w:vAlign w:val="center"/>
          </w:tcPr>
          <w:p w14:paraId="3B587E50">
            <w:pPr>
              <w:widowControl/>
              <w:jc w:val="left"/>
              <w:rPr>
                <w:rFonts w:hint="eastAsia" w:ascii="宋体" w:hAnsi="宋体" w:eastAsia="宋体" w:cs="宋体"/>
                <w:sz w:val="18"/>
                <w:szCs w:val="18"/>
              </w:rPr>
            </w:pPr>
            <w:r>
              <w:rPr>
                <w:rFonts w:hint="eastAsia" w:ascii="宋体" w:hAnsi="宋体" w:eastAsia="宋体" w:cs="宋体"/>
                <w:sz w:val="18"/>
                <w:szCs w:val="18"/>
              </w:rPr>
              <w:t>X＜20</w:t>
            </w:r>
          </w:p>
        </w:tc>
      </w:tr>
      <w:tr w14:paraId="1A56D9F9">
        <w:tblPrEx>
          <w:tblCellMar>
            <w:top w:w="0" w:type="dxa"/>
            <w:left w:w="108" w:type="dxa"/>
            <w:bottom w:w="0" w:type="dxa"/>
            <w:right w:w="108" w:type="dxa"/>
          </w:tblCellMar>
        </w:tblPrEx>
        <w:trPr>
          <w:trHeight w:val="273" w:hRule="atLeast"/>
        </w:trPr>
        <w:tc>
          <w:tcPr>
            <w:tcW w:w="1845" w:type="dxa"/>
            <w:vMerge w:val="continue"/>
            <w:tcBorders>
              <w:top w:val="nil"/>
              <w:left w:val="single" w:color="auto" w:sz="4" w:space="0"/>
              <w:bottom w:val="single" w:color="auto" w:sz="4" w:space="0"/>
              <w:right w:val="single" w:color="auto" w:sz="4" w:space="0"/>
            </w:tcBorders>
            <w:noWrap w:val="0"/>
            <w:vAlign w:val="center"/>
          </w:tcPr>
          <w:p w14:paraId="28C3988B">
            <w:pPr>
              <w:widowControl/>
              <w:jc w:val="left"/>
              <w:rPr>
                <w:rFonts w:hint="eastAsia" w:ascii="宋体" w:hAnsi="宋体" w:eastAsia="宋体" w:cs="宋体"/>
                <w:b/>
                <w:bCs/>
                <w:sz w:val="18"/>
                <w:szCs w:val="18"/>
              </w:rPr>
            </w:pPr>
          </w:p>
        </w:tc>
        <w:tc>
          <w:tcPr>
            <w:tcW w:w="1500" w:type="dxa"/>
            <w:tcBorders>
              <w:top w:val="nil"/>
              <w:left w:val="nil"/>
              <w:bottom w:val="single" w:color="auto" w:sz="4" w:space="0"/>
              <w:right w:val="single" w:color="auto" w:sz="4" w:space="0"/>
            </w:tcBorders>
            <w:noWrap w:val="0"/>
            <w:vAlign w:val="center"/>
          </w:tcPr>
          <w:p w14:paraId="4D6DD63D">
            <w:pPr>
              <w:widowControl/>
              <w:jc w:val="left"/>
              <w:rPr>
                <w:rFonts w:hint="eastAsia" w:ascii="宋体" w:hAnsi="宋体" w:eastAsia="宋体" w:cs="宋体"/>
                <w:sz w:val="18"/>
                <w:szCs w:val="18"/>
              </w:rPr>
            </w:pPr>
            <w:r>
              <w:rPr>
                <w:rFonts w:hint="eastAsia" w:ascii="宋体" w:hAnsi="宋体" w:eastAsia="宋体" w:cs="宋体"/>
                <w:sz w:val="18"/>
                <w:szCs w:val="18"/>
              </w:rPr>
              <w:t>营业收入（Y）</w:t>
            </w:r>
          </w:p>
        </w:tc>
        <w:tc>
          <w:tcPr>
            <w:tcW w:w="990" w:type="dxa"/>
            <w:tcBorders>
              <w:top w:val="nil"/>
              <w:left w:val="nil"/>
              <w:bottom w:val="single" w:color="auto" w:sz="4" w:space="0"/>
              <w:right w:val="single" w:color="auto" w:sz="4" w:space="0"/>
            </w:tcBorders>
            <w:noWrap w:val="0"/>
            <w:vAlign w:val="center"/>
          </w:tcPr>
          <w:p w14:paraId="509C7AF9">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74502FF7">
            <w:pPr>
              <w:widowControl/>
              <w:jc w:val="left"/>
              <w:rPr>
                <w:rFonts w:hint="eastAsia" w:ascii="宋体" w:hAnsi="宋体" w:eastAsia="宋体" w:cs="宋体"/>
                <w:sz w:val="18"/>
                <w:szCs w:val="18"/>
              </w:rPr>
            </w:pPr>
            <w:r>
              <w:rPr>
                <w:rFonts w:hint="eastAsia" w:ascii="宋体" w:hAnsi="宋体" w:eastAsia="宋体" w:cs="宋体"/>
                <w:sz w:val="18"/>
                <w:szCs w:val="18"/>
              </w:rPr>
              <w:t>3000≤Y＜30000</w:t>
            </w:r>
          </w:p>
        </w:tc>
        <w:tc>
          <w:tcPr>
            <w:tcW w:w="1561" w:type="dxa"/>
            <w:tcBorders>
              <w:top w:val="nil"/>
              <w:left w:val="nil"/>
              <w:bottom w:val="single" w:color="auto" w:sz="4" w:space="0"/>
              <w:right w:val="single" w:color="auto" w:sz="4" w:space="0"/>
            </w:tcBorders>
            <w:noWrap w:val="0"/>
            <w:vAlign w:val="center"/>
          </w:tcPr>
          <w:p w14:paraId="4245610B">
            <w:pPr>
              <w:widowControl/>
              <w:jc w:val="left"/>
              <w:rPr>
                <w:rFonts w:hint="eastAsia" w:ascii="宋体" w:hAnsi="宋体" w:eastAsia="宋体" w:cs="宋体"/>
                <w:sz w:val="18"/>
                <w:szCs w:val="18"/>
              </w:rPr>
            </w:pPr>
            <w:r>
              <w:rPr>
                <w:rFonts w:hint="eastAsia" w:ascii="宋体" w:hAnsi="宋体" w:eastAsia="宋体" w:cs="宋体"/>
                <w:sz w:val="18"/>
                <w:szCs w:val="18"/>
              </w:rPr>
              <w:t>200≤Y＜3000</w:t>
            </w:r>
          </w:p>
        </w:tc>
        <w:tc>
          <w:tcPr>
            <w:tcW w:w="1003" w:type="dxa"/>
            <w:tcBorders>
              <w:top w:val="nil"/>
              <w:left w:val="nil"/>
              <w:bottom w:val="single" w:color="auto" w:sz="4" w:space="0"/>
              <w:right w:val="single" w:color="auto" w:sz="4" w:space="0"/>
            </w:tcBorders>
            <w:noWrap w:val="0"/>
            <w:vAlign w:val="center"/>
          </w:tcPr>
          <w:p w14:paraId="24698146">
            <w:pPr>
              <w:widowControl/>
              <w:jc w:val="left"/>
              <w:rPr>
                <w:rFonts w:hint="eastAsia" w:ascii="宋体" w:hAnsi="宋体" w:eastAsia="宋体" w:cs="宋体"/>
                <w:sz w:val="18"/>
                <w:szCs w:val="18"/>
              </w:rPr>
            </w:pPr>
            <w:r>
              <w:rPr>
                <w:rFonts w:hint="eastAsia" w:ascii="宋体" w:hAnsi="宋体" w:eastAsia="宋体" w:cs="宋体"/>
                <w:sz w:val="18"/>
                <w:szCs w:val="18"/>
              </w:rPr>
              <w:t>Y＜200</w:t>
            </w:r>
          </w:p>
        </w:tc>
      </w:tr>
      <w:tr w14:paraId="77826BF5">
        <w:tblPrEx>
          <w:tblCellMar>
            <w:top w:w="0" w:type="dxa"/>
            <w:left w:w="108" w:type="dxa"/>
            <w:bottom w:w="0" w:type="dxa"/>
            <w:right w:w="108" w:type="dxa"/>
          </w:tblCellMar>
        </w:tblPrEx>
        <w:trPr>
          <w:trHeight w:val="273" w:hRule="atLeast"/>
        </w:trPr>
        <w:tc>
          <w:tcPr>
            <w:tcW w:w="1845" w:type="dxa"/>
            <w:vMerge w:val="restart"/>
            <w:tcBorders>
              <w:top w:val="nil"/>
              <w:left w:val="single" w:color="auto" w:sz="4" w:space="0"/>
              <w:bottom w:val="single" w:color="auto" w:sz="4" w:space="0"/>
              <w:right w:val="single" w:color="auto" w:sz="4" w:space="0"/>
            </w:tcBorders>
            <w:noWrap w:val="0"/>
            <w:vAlign w:val="bottom"/>
          </w:tcPr>
          <w:p w14:paraId="153CA8DC">
            <w:pPr>
              <w:widowControl/>
              <w:jc w:val="center"/>
              <w:rPr>
                <w:rFonts w:hint="eastAsia" w:ascii="宋体" w:hAnsi="宋体" w:eastAsia="宋体" w:cs="宋体"/>
                <w:b/>
                <w:bCs/>
                <w:sz w:val="18"/>
                <w:szCs w:val="18"/>
              </w:rPr>
            </w:pPr>
            <w:r>
              <w:rPr>
                <w:rFonts w:hint="eastAsia" w:ascii="宋体" w:hAnsi="宋体" w:eastAsia="宋体" w:cs="宋体"/>
                <w:b/>
                <w:bCs/>
                <w:sz w:val="18"/>
                <w:szCs w:val="18"/>
              </w:rPr>
              <w:t>仓储业</w:t>
            </w:r>
          </w:p>
        </w:tc>
        <w:tc>
          <w:tcPr>
            <w:tcW w:w="1500" w:type="dxa"/>
            <w:tcBorders>
              <w:top w:val="nil"/>
              <w:left w:val="nil"/>
              <w:bottom w:val="single" w:color="auto" w:sz="4" w:space="0"/>
              <w:right w:val="single" w:color="auto" w:sz="4" w:space="0"/>
            </w:tcBorders>
            <w:noWrap w:val="0"/>
            <w:vAlign w:val="center"/>
          </w:tcPr>
          <w:p w14:paraId="1BA4396F">
            <w:pPr>
              <w:widowControl/>
              <w:jc w:val="left"/>
              <w:rPr>
                <w:rFonts w:hint="eastAsia" w:ascii="宋体" w:hAnsi="宋体" w:eastAsia="宋体" w:cs="宋体"/>
                <w:sz w:val="18"/>
                <w:szCs w:val="18"/>
              </w:rPr>
            </w:pPr>
            <w:r>
              <w:rPr>
                <w:rFonts w:hint="eastAsia" w:ascii="宋体" w:hAnsi="宋体" w:eastAsia="宋体" w:cs="宋体"/>
                <w:sz w:val="18"/>
                <w:szCs w:val="18"/>
              </w:rPr>
              <w:t>从业人员（X）</w:t>
            </w:r>
          </w:p>
        </w:tc>
        <w:tc>
          <w:tcPr>
            <w:tcW w:w="990" w:type="dxa"/>
            <w:tcBorders>
              <w:top w:val="nil"/>
              <w:left w:val="nil"/>
              <w:bottom w:val="single" w:color="auto" w:sz="4" w:space="0"/>
              <w:right w:val="single" w:color="auto" w:sz="4" w:space="0"/>
            </w:tcBorders>
            <w:noWrap w:val="0"/>
            <w:vAlign w:val="center"/>
          </w:tcPr>
          <w:p w14:paraId="77C11683">
            <w:pPr>
              <w:widowControl/>
              <w:jc w:val="left"/>
              <w:rPr>
                <w:rFonts w:hint="eastAsia" w:ascii="宋体" w:hAnsi="宋体" w:eastAsia="宋体" w:cs="宋体"/>
                <w:sz w:val="18"/>
                <w:szCs w:val="18"/>
              </w:rPr>
            </w:pPr>
            <w:r>
              <w:rPr>
                <w:rFonts w:hint="eastAsia" w:ascii="宋体" w:hAnsi="宋体" w:eastAsia="宋体" w:cs="宋体"/>
                <w:sz w:val="18"/>
                <w:szCs w:val="18"/>
              </w:rPr>
              <w:t>人</w:t>
            </w:r>
          </w:p>
        </w:tc>
        <w:tc>
          <w:tcPr>
            <w:tcW w:w="1756" w:type="dxa"/>
            <w:tcBorders>
              <w:top w:val="nil"/>
              <w:left w:val="nil"/>
              <w:bottom w:val="single" w:color="auto" w:sz="4" w:space="0"/>
              <w:right w:val="single" w:color="auto" w:sz="4" w:space="0"/>
            </w:tcBorders>
            <w:noWrap w:val="0"/>
            <w:vAlign w:val="center"/>
          </w:tcPr>
          <w:p w14:paraId="398B9A73">
            <w:pPr>
              <w:widowControl/>
              <w:jc w:val="left"/>
              <w:rPr>
                <w:rFonts w:hint="eastAsia" w:ascii="宋体" w:hAnsi="宋体" w:eastAsia="宋体" w:cs="宋体"/>
                <w:sz w:val="18"/>
                <w:szCs w:val="18"/>
              </w:rPr>
            </w:pPr>
            <w:r>
              <w:rPr>
                <w:rFonts w:hint="eastAsia" w:ascii="宋体" w:hAnsi="宋体" w:eastAsia="宋体" w:cs="宋体"/>
                <w:sz w:val="18"/>
                <w:szCs w:val="18"/>
              </w:rPr>
              <w:t>100≤X＜200</w:t>
            </w:r>
          </w:p>
        </w:tc>
        <w:tc>
          <w:tcPr>
            <w:tcW w:w="1561" w:type="dxa"/>
            <w:tcBorders>
              <w:top w:val="nil"/>
              <w:left w:val="nil"/>
              <w:bottom w:val="single" w:color="auto" w:sz="4" w:space="0"/>
              <w:right w:val="single" w:color="auto" w:sz="4" w:space="0"/>
            </w:tcBorders>
            <w:noWrap w:val="0"/>
            <w:vAlign w:val="center"/>
          </w:tcPr>
          <w:p w14:paraId="0FB85F69">
            <w:pPr>
              <w:widowControl/>
              <w:jc w:val="left"/>
              <w:rPr>
                <w:rFonts w:hint="eastAsia" w:ascii="宋体" w:hAnsi="宋体" w:eastAsia="宋体" w:cs="宋体"/>
                <w:sz w:val="18"/>
                <w:szCs w:val="18"/>
              </w:rPr>
            </w:pPr>
            <w:r>
              <w:rPr>
                <w:rFonts w:hint="eastAsia" w:ascii="宋体" w:hAnsi="宋体" w:eastAsia="宋体" w:cs="宋体"/>
                <w:sz w:val="18"/>
                <w:szCs w:val="18"/>
              </w:rPr>
              <w:t>20≤X＜100</w:t>
            </w:r>
          </w:p>
        </w:tc>
        <w:tc>
          <w:tcPr>
            <w:tcW w:w="1003" w:type="dxa"/>
            <w:tcBorders>
              <w:top w:val="nil"/>
              <w:left w:val="nil"/>
              <w:bottom w:val="single" w:color="auto" w:sz="4" w:space="0"/>
              <w:right w:val="single" w:color="auto" w:sz="4" w:space="0"/>
            </w:tcBorders>
            <w:noWrap w:val="0"/>
            <w:vAlign w:val="center"/>
          </w:tcPr>
          <w:p w14:paraId="6D4BFAEB">
            <w:pPr>
              <w:widowControl/>
              <w:jc w:val="left"/>
              <w:rPr>
                <w:rFonts w:hint="eastAsia" w:ascii="宋体" w:hAnsi="宋体" w:eastAsia="宋体" w:cs="宋体"/>
                <w:sz w:val="18"/>
                <w:szCs w:val="18"/>
              </w:rPr>
            </w:pPr>
            <w:r>
              <w:rPr>
                <w:rFonts w:hint="eastAsia" w:ascii="宋体" w:hAnsi="宋体" w:eastAsia="宋体" w:cs="宋体"/>
                <w:sz w:val="18"/>
                <w:szCs w:val="18"/>
              </w:rPr>
              <w:t>X＜20</w:t>
            </w:r>
          </w:p>
        </w:tc>
      </w:tr>
      <w:tr w14:paraId="2DEF64DD">
        <w:tblPrEx>
          <w:tblCellMar>
            <w:top w:w="0" w:type="dxa"/>
            <w:left w:w="108" w:type="dxa"/>
            <w:bottom w:w="0" w:type="dxa"/>
            <w:right w:w="108" w:type="dxa"/>
          </w:tblCellMar>
        </w:tblPrEx>
        <w:trPr>
          <w:trHeight w:val="273" w:hRule="atLeast"/>
        </w:trPr>
        <w:tc>
          <w:tcPr>
            <w:tcW w:w="1845" w:type="dxa"/>
            <w:vMerge w:val="continue"/>
            <w:tcBorders>
              <w:top w:val="nil"/>
              <w:left w:val="single" w:color="auto" w:sz="4" w:space="0"/>
              <w:bottom w:val="single" w:color="auto" w:sz="4" w:space="0"/>
              <w:right w:val="single" w:color="auto" w:sz="4" w:space="0"/>
            </w:tcBorders>
            <w:noWrap w:val="0"/>
            <w:vAlign w:val="center"/>
          </w:tcPr>
          <w:p w14:paraId="1E97A11D">
            <w:pPr>
              <w:widowControl/>
              <w:jc w:val="left"/>
              <w:rPr>
                <w:rFonts w:hint="eastAsia" w:ascii="宋体" w:hAnsi="宋体" w:eastAsia="宋体" w:cs="宋体"/>
                <w:b/>
                <w:bCs/>
                <w:sz w:val="18"/>
                <w:szCs w:val="18"/>
              </w:rPr>
            </w:pPr>
          </w:p>
        </w:tc>
        <w:tc>
          <w:tcPr>
            <w:tcW w:w="1500" w:type="dxa"/>
            <w:tcBorders>
              <w:top w:val="nil"/>
              <w:left w:val="nil"/>
              <w:bottom w:val="single" w:color="auto" w:sz="4" w:space="0"/>
              <w:right w:val="single" w:color="auto" w:sz="4" w:space="0"/>
            </w:tcBorders>
            <w:noWrap w:val="0"/>
            <w:vAlign w:val="center"/>
          </w:tcPr>
          <w:p w14:paraId="2262D3BF">
            <w:pPr>
              <w:widowControl/>
              <w:jc w:val="left"/>
              <w:rPr>
                <w:rFonts w:hint="eastAsia" w:ascii="宋体" w:hAnsi="宋体" w:eastAsia="宋体" w:cs="宋体"/>
                <w:sz w:val="18"/>
                <w:szCs w:val="18"/>
              </w:rPr>
            </w:pPr>
            <w:r>
              <w:rPr>
                <w:rFonts w:hint="eastAsia" w:ascii="宋体" w:hAnsi="宋体" w:eastAsia="宋体" w:cs="宋体"/>
                <w:sz w:val="18"/>
                <w:szCs w:val="18"/>
              </w:rPr>
              <w:t>营业收入（Y）</w:t>
            </w:r>
          </w:p>
        </w:tc>
        <w:tc>
          <w:tcPr>
            <w:tcW w:w="990" w:type="dxa"/>
            <w:tcBorders>
              <w:top w:val="nil"/>
              <w:left w:val="nil"/>
              <w:bottom w:val="single" w:color="auto" w:sz="4" w:space="0"/>
              <w:right w:val="single" w:color="auto" w:sz="4" w:space="0"/>
            </w:tcBorders>
            <w:noWrap w:val="0"/>
            <w:vAlign w:val="center"/>
          </w:tcPr>
          <w:p w14:paraId="465A24B8">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552CDA22">
            <w:pPr>
              <w:widowControl/>
              <w:jc w:val="left"/>
              <w:rPr>
                <w:rFonts w:hint="eastAsia" w:ascii="宋体" w:hAnsi="宋体" w:eastAsia="宋体" w:cs="宋体"/>
                <w:sz w:val="18"/>
                <w:szCs w:val="18"/>
              </w:rPr>
            </w:pPr>
            <w:r>
              <w:rPr>
                <w:rFonts w:hint="eastAsia" w:ascii="宋体" w:hAnsi="宋体" w:eastAsia="宋体" w:cs="宋体"/>
                <w:sz w:val="18"/>
                <w:szCs w:val="18"/>
              </w:rPr>
              <w:t>1000≤Y＜30000</w:t>
            </w:r>
          </w:p>
        </w:tc>
        <w:tc>
          <w:tcPr>
            <w:tcW w:w="1561" w:type="dxa"/>
            <w:tcBorders>
              <w:top w:val="nil"/>
              <w:left w:val="nil"/>
              <w:bottom w:val="single" w:color="auto" w:sz="4" w:space="0"/>
              <w:right w:val="single" w:color="auto" w:sz="4" w:space="0"/>
            </w:tcBorders>
            <w:noWrap w:val="0"/>
            <w:vAlign w:val="center"/>
          </w:tcPr>
          <w:p w14:paraId="3C9550E4">
            <w:pPr>
              <w:widowControl/>
              <w:jc w:val="left"/>
              <w:rPr>
                <w:rFonts w:hint="eastAsia" w:ascii="宋体" w:hAnsi="宋体" w:eastAsia="宋体" w:cs="宋体"/>
                <w:sz w:val="18"/>
                <w:szCs w:val="18"/>
              </w:rPr>
            </w:pPr>
            <w:r>
              <w:rPr>
                <w:rFonts w:hint="eastAsia" w:ascii="宋体" w:hAnsi="宋体" w:eastAsia="宋体" w:cs="宋体"/>
                <w:sz w:val="18"/>
                <w:szCs w:val="18"/>
              </w:rPr>
              <w:t>100≤Y＜1000</w:t>
            </w:r>
          </w:p>
        </w:tc>
        <w:tc>
          <w:tcPr>
            <w:tcW w:w="1003" w:type="dxa"/>
            <w:tcBorders>
              <w:top w:val="nil"/>
              <w:left w:val="nil"/>
              <w:bottom w:val="single" w:color="auto" w:sz="4" w:space="0"/>
              <w:right w:val="single" w:color="auto" w:sz="4" w:space="0"/>
            </w:tcBorders>
            <w:noWrap w:val="0"/>
            <w:vAlign w:val="center"/>
          </w:tcPr>
          <w:p w14:paraId="5F8DC569">
            <w:pPr>
              <w:widowControl/>
              <w:jc w:val="left"/>
              <w:rPr>
                <w:rFonts w:hint="eastAsia" w:ascii="宋体" w:hAnsi="宋体" w:eastAsia="宋体" w:cs="宋体"/>
                <w:sz w:val="18"/>
                <w:szCs w:val="18"/>
              </w:rPr>
            </w:pPr>
            <w:r>
              <w:rPr>
                <w:rFonts w:hint="eastAsia" w:ascii="宋体" w:hAnsi="宋体" w:eastAsia="宋体" w:cs="宋体"/>
                <w:sz w:val="18"/>
                <w:szCs w:val="18"/>
              </w:rPr>
              <w:t>Y＜100</w:t>
            </w:r>
          </w:p>
        </w:tc>
      </w:tr>
      <w:tr w14:paraId="53656A22">
        <w:tblPrEx>
          <w:tblCellMar>
            <w:top w:w="0" w:type="dxa"/>
            <w:left w:w="108" w:type="dxa"/>
            <w:bottom w:w="0" w:type="dxa"/>
            <w:right w:w="108" w:type="dxa"/>
          </w:tblCellMar>
        </w:tblPrEx>
        <w:trPr>
          <w:trHeight w:val="273" w:hRule="atLeast"/>
        </w:trPr>
        <w:tc>
          <w:tcPr>
            <w:tcW w:w="1845" w:type="dxa"/>
            <w:vMerge w:val="restart"/>
            <w:tcBorders>
              <w:top w:val="nil"/>
              <w:left w:val="single" w:color="auto" w:sz="4" w:space="0"/>
              <w:bottom w:val="single" w:color="auto" w:sz="4" w:space="0"/>
              <w:right w:val="single" w:color="auto" w:sz="4" w:space="0"/>
            </w:tcBorders>
            <w:noWrap w:val="0"/>
            <w:vAlign w:val="bottom"/>
          </w:tcPr>
          <w:p w14:paraId="2ACD4F03">
            <w:pPr>
              <w:widowControl/>
              <w:jc w:val="center"/>
              <w:rPr>
                <w:rFonts w:hint="eastAsia" w:ascii="宋体" w:hAnsi="宋体" w:eastAsia="宋体" w:cs="宋体"/>
                <w:b/>
                <w:bCs/>
                <w:sz w:val="18"/>
                <w:szCs w:val="18"/>
              </w:rPr>
            </w:pPr>
            <w:r>
              <w:rPr>
                <w:rFonts w:hint="eastAsia" w:ascii="宋体" w:hAnsi="宋体" w:eastAsia="宋体" w:cs="宋体"/>
                <w:b/>
                <w:bCs/>
                <w:sz w:val="18"/>
                <w:szCs w:val="18"/>
              </w:rPr>
              <w:t>邮政业</w:t>
            </w:r>
          </w:p>
        </w:tc>
        <w:tc>
          <w:tcPr>
            <w:tcW w:w="1500" w:type="dxa"/>
            <w:tcBorders>
              <w:top w:val="nil"/>
              <w:left w:val="nil"/>
              <w:bottom w:val="single" w:color="auto" w:sz="4" w:space="0"/>
              <w:right w:val="single" w:color="auto" w:sz="4" w:space="0"/>
            </w:tcBorders>
            <w:noWrap w:val="0"/>
            <w:vAlign w:val="center"/>
          </w:tcPr>
          <w:p w14:paraId="315D717D">
            <w:pPr>
              <w:widowControl/>
              <w:jc w:val="left"/>
              <w:rPr>
                <w:rFonts w:hint="eastAsia" w:ascii="宋体" w:hAnsi="宋体" w:eastAsia="宋体" w:cs="宋体"/>
                <w:sz w:val="18"/>
                <w:szCs w:val="18"/>
              </w:rPr>
            </w:pPr>
            <w:r>
              <w:rPr>
                <w:rFonts w:hint="eastAsia" w:ascii="宋体" w:hAnsi="宋体" w:eastAsia="宋体" w:cs="宋体"/>
                <w:sz w:val="18"/>
                <w:szCs w:val="18"/>
              </w:rPr>
              <w:t>从业人员（X）</w:t>
            </w:r>
          </w:p>
        </w:tc>
        <w:tc>
          <w:tcPr>
            <w:tcW w:w="990" w:type="dxa"/>
            <w:tcBorders>
              <w:top w:val="nil"/>
              <w:left w:val="nil"/>
              <w:bottom w:val="single" w:color="auto" w:sz="4" w:space="0"/>
              <w:right w:val="single" w:color="auto" w:sz="4" w:space="0"/>
            </w:tcBorders>
            <w:noWrap w:val="0"/>
            <w:vAlign w:val="center"/>
          </w:tcPr>
          <w:p w14:paraId="427C779A">
            <w:pPr>
              <w:widowControl/>
              <w:jc w:val="left"/>
              <w:rPr>
                <w:rFonts w:hint="eastAsia" w:ascii="宋体" w:hAnsi="宋体" w:eastAsia="宋体" w:cs="宋体"/>
                <w:sz w:val="18"/>
                <w:szCs w:val="18"/>
              </w:rPr>
            </w:pPr>
            <w:r>
              <w:rPr>
                <w:rFonts w:hint="eastAsia" w:ascii="宋体" w:hAnsi="宋体" w:eastAsia="宋体" w:cs="宋体"/>
                <w:sz w:val="18"/>
                <w:szCs w:val="18"/>
              </w:rPr>
              <w:t>人</w:t>
            </w:r>
          </w:p>
        </w:tc>
        <w:tc>
          <w:tcPr>
            <w:tcW w:w="1756" w:type="dxa"/>
            <w:tcBorders>
              <w:top w:val="nil"/>
              <w:left w:val="nil"/>
              <w:bottom w:val="single" w:color="auto" w:sz="4" w:space="0"/>
              <w:right w:val="single" w:color="auto" w:sz="4" w:space="0"/>
            </w:tcBorders>
            <w:noWrap w:val="0"/>
            <w:vAlign w:val="center"/>
          </w:tcPr>
          <w:p w14:paraId="71166E23">
            <w:pPr>
              <w:widowControl/>
              <w:jc w:val="left"/>
              <w:rPr>
                <w:rFonts w:hint="eastAsia" w:ascii="宋体" w:hAnsi="宋体" w:eastAsia="宋体" w:cs="宋体"/>
                <w:sz w:val="18"/>
                <w:szCs w:val="18"/>
              </w:rPr>
            </w:pPr>
            <w:r>
              <w:rPr>
                <w:rFonts w:hint="eastAsia" w:ascii="宋体" w:hAnsi="宋体" w:eastAsia="宋体" w:cs="宋体"/>
                <w:sz w:val="18"/>
                <w:szCs w:val="18"/>
              </w:rPr>
              <w:t>300≤X＜1000</w:t>
            </w:r>
          </w:p>
        </w:tc>
        <w:tc>
          <w:tcPr>
            <w:tcW w:w="1561" w:type="dxa"/>
            <w:tcBorders>
              <w:top w:val="nil"/>
              <w:left w:val="nil"/>
              <w:bottom w:val="single" w:color="auto" w:sz="4" w:space="0"/>
              <w:right w:val="single" w:color="auto" w:sz="4" w:space="0"/>
            </w:tcBorders>
            <w:noWrap w:val="0"/>
            <w:vAlign w:val="center"/>
          </w:tcPr>
          <w:p w14:paraId="50D87EA6">
            <w:pPr>
              <w:widowControl/>
              <w:jc w:val="left"/>
              <w:rPr>
                <w:rFonts w:hint="eastAsia" w:ascii="宋体" w:hAnsi="宋体" w:eastAsia="宋体" w:cs="宋体"/>
                <w:sz w:val="18"/>
                <w:szCs w:val="18"/>
              </w:rPr>
            </w:pPr>
            <w:r>
              <w:rPr>
                <w:rFonts w:hint="eastAsia" w:ascii="宋体" w:hAnsi="宋体" w:eastAsia="宋体" w:cs="宋体"/>
                <w:sz w:val="18"/>
                <w:szCs w:val="18"/>
              </w:rPr>
              <w:t>20≤X＜300</w:t>
            </w:r>
          </w:p>
        </w:tc>
        <w:tc>
          <w:tcPr>
            <w:tcW w:w="1003" w:type="dxa"/>
            <w:tcBorders>
              <w:top w:val="nil"/>
              <w:left w:val="nil"/>
              <w:bottom w:val="single" w:color="auto" w:sz="4" w:space="0"/>
              <w:right w:val="single" w:color="auto" w:sz="4" w:space="0"/>
            </w:tcBorders>
            <w:noWrap w:val="0"/>
            <w:vAlign w:val="center"/>
          </w:tcPr>
          <w:p w14:paraId="37665F1D">
            <w:pPr>
              <w:widowControl/>
              <w:jc w:val="left"/>
              <w:rPr>
                <w:rFonts w:hint="eastAsia" w:ascii="宋体" w:hAnsi="宋体" w:eastAsia="宋体" w:cs="宋体"/>
                <w:sz w:val="18"/>
                <w:szCs w:val="18"/>
              </w:rPr>
            </w:pPr>
            <w:r>
              <w:rPr>
                <w:rFonts w:hint="eastAsia" w:ascii="宋体" w:hAnsi="宋体" w:eastAsia="宋体" w:cs="宋体"/>
                <w:sz w:val="18"/>
                <w:szCs w:val="18"/>
              </w:rPr>
              <w:t>X＜20</w:t>
            </w:r>
          </w:p>
        </w:tc>
      </w:tr>
      <w:tr w14:paraId="073AFE5B">
        <w:tblPrEx>
          <w:tblCellMar>
            <w:top w:w="0" w:type="dxa"/>
            <w:left w:w="108" w:type="dxa"/>
            <w:bottom w:w="0" w:type="dxa"/>
            <w:right w:w="108" w:type="dxa"/>
          </w:tblCellMar>
        </w:tblPrEx>
        <w:trPr>
          <w:trHeight w:val="273" w:hRule="atLeast"/>
        </w:trPr>
        <w:tc>
          <w:tcPr>
            <w:tcW w:w="1845" w:type="dxa"/>
            <w:vMerge w:val="continue"/>
            <w:tcBorders>
              <w:top w:val="nil"/>
              <w:left w:val="single" w:color="auto" w:sz="4" w:space="0"/>
              <w:bottom w:val="single" w:color="auto" w:sz="4" w:space="0"/>
              <w:right w:val="single" w:color="auto" w:sz="4" w:space="0"/>
            </w:tcBorders>
            <w:noWrap w:val="0"/>
            <w:vAlign w:val="center"/>
          </w:tcPr>
          <w:p w14:paraId="25985EDF">
            <w:pPr>
              <w:widowControl/>
              <w:jc w:val="left"/>
              <w:rPr>
                <w:rFonts w:hint="eastAsia" w:ascii="宋体" w:hAnsi="宋体" w:eastAsia="宋体" w:cs="宋体"/>
                <w:b/>
                <w:bCs/>
                <w:sz w:val="18"/>
                <w:szCs w:val="18"/>
              </w:rPr>
            </w:pPr>
          </w:p>
        </w:tc>
        <w:tc>
          <w:tcPr>
            <w:tcW w:w="1500" w:type="dxa"/>
            <w:tcBorders>
              <w:top w:val="nil"/>
              <w:left w:val="nil"/>
              <w:bottom w:val="single" w:color="auto" w:sz="4" w:space="0"/>
              <w:right w:val="single" w:color="auto" w:sz="4" w:space="0"/>
            </w:tcBorders>
            <w:noWrap w:val="0"/>
            <w:vAlign w:val="center"/>
          </w:tcPr>
          <w:p w14:paraId="2B1CD303">
            <w:pPr>
              <w:widowControl/>
              <w:jc w:val="left"/>
              <w:rPr>
                <w:rFonts w:hint="eastAsia" w:ascii="宋体" w:hAnsi="宋体" w:eastAsia="宋体" w:cs="宋体"/>
                <w:sz w:val="18"/>
                <w:szCs w:val="18"/>
              </w:rPr>
            </w:pPr>
            <w:r>
              <w:rPr>
                <w:rFonts w:hint="eastAsia" w:ascii="宋体" w:hAnsi="宋体" w:eastAsia="宋体" w:cs="宋体"/>
                <w:sz w:val="18"/>
                <w:szCs w:val="18"/>
              </w:rPr>
              <w:t>营业收入（Y）</w:t>
            </w:r>
          </w:p>
        </w:tc>
        <w:tc>
          <w:tcPr>
            <w:tcW w:w="990" w:type="dxa"/>
            <w:tcBorders>
              <w:top w:val="nil"/>
              <w:left w:val="nil"/>
              <w:bottom w:val="single" w:color="auto" w:sz="4" w:space="0"/>
              <w:right w:val="single" w:color="auto" w:sz="4" w:space="0"/>
            </w:tcBorders>
            <w:noWrap w:val="0"/>
            <w:vAlign w:val="center"/>
          </w:tcPr>
          <w:p w14:paraId="0D75EA3D">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3F89BF7E">
            <w:pPr>
              <w:widowControl/>
              <w:jc w:val="left"/>
              <w:rPr>
                <w:rFonts w:hint="eastAsia" w:ascii="宋体" w:hAnsi="宋体" w:eastAsia="宋体" w:cs="宋体"/>
                <w:sz w:val="18"/>
                <w:szCs w:val="18"/>
              </w:rPr>
            </w:pPr>
            <w:r>
              <w:rPr>
                <w:rFonts w:hint="eastAsia" w:ascii="宋体" w:hAnsi="宋体" w:eastAsia="宋体" w:cs="宋体"/>
                <w:sz w:val="18"/>
                <w:szCs w:val="18"/>
              </w:rPr>
              <w:t>2000≤Y＜30000</w:t>
            </w:r>
          </w:p>
        </w:tc>
        <w:tc>
          <w:tcPr>
            <w:tcW w:w="1561" w:type="dxa"/>
            <w:tcBorders>
              <w:top w:val="nil"/>
              <w:left w:val="nil"/>
              <w:bottom w:val="single" w:color="auto" w:sz="4" w:space="0"/>
              <w:right w:val="single" w:color="auto" w:sz="4" w:space="0"/>
            </w:tcBorders>
            <w:noWrap w:val="0"/>
            <w:vAlign w:val="center"/>
          </w:tcPr>
          <w:p w14:paraId="025FA9EB">
            <w:pPr>
              <w:widowControl/>
              <w:jc w:val="left"/>
              <w:rPr>
                <w:rFonts w:hint="eastAsia" w:ascii="宋体" w:hAnsi="宋体" w:eastAsia="宋体" w:cs="宋体"/>
                <w:sz w:val="18"/>
                <w:szCs w:val="18"/>
              </w:rPr>
            </w:pPr>
            <w:r>
              <w:rPr>
                <w:rFonts w:hint="eastAsia" w:ascii="宋体" w:hAnsi="宋体" w:eastAsia="宋体" w:cs="宋体"/>
                <w:sz w:val="18"/>
                <w:szCs w:val="18"/>
              </w:rPr>
              <w:t>100≤Y＜2000</w:t>
            </w:r>
          </w:p>
        </w:tc>
        <w:tc>
          <w:tcPr>
            <w:tcW w:w="1003" w:type="dxa"/>
            <w:tcBorders>
              <w:top w:val="nil"/>
              <w:left w:val="nil"/>
              <w:bottom w:val="single" w:color="auto" w:sz="4" w:space="0"/>
              <w:right w:val="single" w:color="auto" w:sz="4" w:space="0"/>
            </w:tcBorders>
            <w:noWrap w:val="0"/>
            <w:vAlign w:val="center"/>
          </w:tcPr>
          <w:p w14:paraId="0B0D67CF">
            <w:pPr>
              <w:widowControl/>
              <w:jc w:val="left"/>
              <w:rPr>
                <w:rFonts w:hint="eastAsia" w:ascii="宋体" w:hAnsi="宋体" w:eastAsia="宋体" w:cs="宋体"/>
                <w:sz w:val="18"/>
                <w:szCs w:val="18"/>
              </w:rPr>
            </w:pPr>
            <w:r>
              <w:rPr>
                <w:rFonts w:hint="eastAsia" w:ascii="宋体" w:hAnsi="宋体" w:eastAsia="宋体" w:cs="宋体"/>
                <w:sz w:val="18"/>
                <w:szCs w:val="18"/>
              </w:rPr>
              <w:t>Y＜100</w:t>
            </w:r>
          </w:p>
        </w:tc>
      </w:tr>
      <w:tr w14:paraId="22655781">
        <w:tblPrEx>
          <w:tblCellMar>
            <w:top w:w="0" w:type="dxa"/>
            <w:left w:w="108" w:type="dxa"/>
            <w:bottom w:w="0" w:type="dxa"/>
            <w:right w:w="108" w:type="dxa"/>
          </w:tblCellMar>
        </w:tblPrEx>
        <w:trPr>
          <w:trHeight w:val="273" w:hRule="atLeast"/>
        </w:trPr>
        <w:tc>
          <w:tcPr>
            <w:tcW w:w="1845" w:type="dxa"/>
            <w:vMerge w:val="restart"/>
            <w:tcBorders>
              <w:top w:val="nil"/>
              <w:left w:val="single" w:color="auto" w:sz="4" w:space="0"/>
              <w:bottom w:val="single" w:color="auto" w:sz="4" w:space="0"/>
              <w:right w:val="single" w:color="auto" w:sz="4" w:space="0"/>
            </w:tcBorders>
            <w:noWrap w:val="0"/>
            <w:vAlign w:val="bottom"/>
          </w:tcPr>
          <w:p w14:paraId="3E14CEF0">
            <w:pPr>
              <w:widowControl/>
              <w:jc w:val="center"/>
              <w:rPr>
                <w:rFonts w:hint="eastAsia" w:ascii="宋体" w:hAnsi="宋体" w:eastAsia="宋体" w:cs="宋体"/>
                <w:b/>
                <w:bCs/>
                <w:sz w:val="18"/>
                <w:szCs w:val="18"/>
              </w:rPr>
            </w:pPr>
            <w:r>
              <w:rPr>
                <w:rFonts w:hint="eastAsia" w:ascii="宋体" w:hAnsi="宋体" w:eastAsia="宋体" w:cs="宋体"/>
                <w:b/>
                <w:bCs/>
                <w:sz w:val="18"/>
                <w:szCs w:val="18"/>
              </w:rPr>
              <w:t>住宿业</w:t>
            </w:r>
          </w:p>
        </w:tc>
        <w:tc>
          <w:tcPr>
            <w:tcW w:w="1500" w:type="dxa"/>
            <w:tcBorders>
              <w:top w:val="nil"/>
              <w:left w:val="nil"/>
              <w:bottom w:val="single" w:color="auto" w:sz="4" w:space="0"/>
              <w:right w:val="single" w:color="auto" w:sz="4" w:space="0"/>
            </w:tcBorders>
            <w:noWrap w:val="0"/>
            <w:vAlign w:val="center"/>
          </w:tcPr>
          <w:p w14:paraId="3F7577D5">
            <w:pPr>
              <w:widowControl/>
              <w:jc w:val="left"/>
              <w:rPr>
                <w:rFonts w:hint="eastAsia" w:ascii="宋体" w:hAnsi="宋体" w:eastAsia="宋体" w:cs="宋体"/>
                <w:sz w:val="18"/>
                <w:szCs w:val="18"/>
              </w:rPr>
            </w:pPr>
            <w:r>
              <w:rPr>
                <w:rFonts w:hint="eastAsia" w:ascii="宋体" w:hAnsi="宋体" w:eastAsia="宋体" w:cs="宋体"/>
                <w:sz w:val="18"/>
                <w:szCs w:val="18"/>
              </w:rPr>
              <w:t>从业人员（X）</w:t>
            </w:r>
          </w:p>
        </w:tc>
        <w:tc>
          <w:tcPr>
            <w:tcW w:w="990" w:type="dxa"/>
            <w:tcBorders>
              <w:top w:val="nil"/>
              <w:left w:val="nil"/>
              <w:bottom w:val="single" w:color="auto" w:sz="4" w:space="0"/>
              <w:right w:val="single" w:color="auto" w:sz="4" w:space="0"/>
            </w:tcBorders>
            <w:noWrap w:val="0"/>
            <w:vAlign w:val="center"/>
          </w:tcPr>
          <w:p w14:paraId="40033DD7">
            <w:pPr>
              <w:widowControl/>
              <w:jc w:val="left"/>
              <w:rPr>
                <w:rFonts w:hint="eastAsia" w:ascii="宋体" w:hAnsi="宋体" w:eastAsia="宋体" w:cs="宋体"/>
                <w:sz w:val="18"/>
                <w:szCs w:val="18"/>
              </w:rPr>
            </w:pPr>
            <w:r>
              <w:rPr>
                <w:rFonts w:hint="eastAsia" w:ascii="宋体" w:hAnsi="宋体" w:eastAsia="宋体" w:cs="宋体"/>
                <w:sz w:val="18"/>
                <w:szCs w:val="18"/>
              </w:rPr>
              <w:t>人</w:t>
            </w:r>
          </w:p>
        </w:tc>
        <w:tc>
          <w:tcPr>
            <w:tcW w:w="1756" w:type="dxa"/>
            <w:tcBorders>
              <w:top w:val="nil"/>
              <w:left w:val="nil"/>
              <w:bottom w:val="single" w:color="auto" w:sz="4" w:space="0"/>
              <w:right w:val="single" w:color="auto" w:sz="4" w:space="0"/>
            </w:tcBorders>
            <w:noWrap w:val="0"/>
            <w:vAlign w:val="center"/>
          </w:tcPr>
          <w:p w14:paraId="782569B5">
            <w:pPr>
              <w:widowControl/>
              <w:jc w:val="left"/>
              <w:rPr>
                <w:rFonts w:hint="eastAsia" w:ascii="宋体" w:hAnsi="宋体" w:eastAsia="宋体" w:cs="宋体"/>
                <w:sz w:val="18"/>
                <w:szCs w:val="18"/>
              </w:rPr>
            </w:pPr>
            <w:r>
              <w:rPr>
                <w:rFonts w:hint="eastAsia" w:ascii="宋体" w:hAnsi="宋体" w:eastAsia="宋体" w:cs="宋体"/>
                <w:sz w:val="18"/>
                <w:szCs w:val="18"/>
              </w:rPr>
              <w:t>100≤X＜300</w:t>
            </w:r>
          </w:p>
        </w:tc>
        <w:tc>
          <w:tcPr>
            <w:tcW w:w="1561" w:type="dxa"/>
            <w:tcBorders>
              <w:top w:val="nil"/>
              <w:left w:val="nil"/>
              <w:bottom w:val="single" w:color="auto" w:sz="4" w:space="0"/>
              <w:right w:val="single" w:color="auto" w:sz="4" w:space="0"/>
            </w:tcBorders>
            <w:noWrap w:val="0"/>
            <w:vAlign w:val="center"/>
          </w:tcPr>
          <w:p w14:paraId="71E4884D">
            <w:pPr>
              <w:widowControl/>
              <w:jc w:val="left"/>
              <w:rPr>
                <w:rFonts w:hint="eastAsia" w:ascii="宋体" w:hAnsi="宋体" w:eastAsia="宋体" w:cs="宋体"/>
                <w:sz w:val="18"/>
                <w:szCs w:val="18"/>
              </w:rPr>
            </w:pPr>
            <w:r>
              <w:rPr>
                <w:rFonts w:hint="eastAsia" w:ascii="宋体" w:hAnsi="宋体" w:eastAsia="宋体" w:cs="宋体"/>
                <w:sz w:val="18"/>
                <w:szCs w:val="18"/>
              </w:rPr>
              <w:t>10≤X＜100</w:t>
            </w:r>
          </w:p>
        </w:tc>
        <w:tc>
          <w:tcPr>
            <w:tcW w:w="1003" w:type="dxa"/>
            <w:tcBorders>
              <w:top w:val="nil"/>
              <w:left w:val="nil"/>
              <w:bottom w:val="single" w:color="auto" w:sz="4" w:space="0"/>
              <w:right w:val="single" w:color="auto" w:sz="4" w:space="0"/>
            </w:tcBorders>
            <w:noWrap w:val="0"/>
            <w:vAlign w:val="center"/>
          </w:tcPr>
          <w:p w14:paraId="39B2BB66">
            <w:pPr>
              <w:widowControl/>
              <w:jc w:val="left"/>
              <w:rPr>
                <w:rFonts w:hint="eastAsia" w:ascii="宋体" w:hAnsi="宋体" w:eastAsia="宋体" w:cs="宋体"/>
                <w:sz w:val="18"/>
                <w:szCs w:val="18"/>
              </w:rPr>
            </w:pPr>
            <w:r>
              <w:rPr>
                <w:rFonts w:hint="eastAsia" w:ascii="宋体" w:hAnsi="宋体" w:eastAsia="宋体" w:cs="宋体"/>
                <w:sz w:val="18"/>
                <w:szCs w:val="18"/>
              </w:rPr>
              <w:t>X＜10</w:t>
            </w:r>
          </w:p>
        </w:tc>
      </w:tr>
      <w:tr w14:paraId="7D91FFD2">
        <w:tblPrEx>
          <w:tblCellMar>
            <w:top w:w="0" w:type="dxa"/>
            <w:left w:w="108" w:type="dxa"/>
            <w:bottom w:w="0" w:type="dxa"/>
            <w:right w:w="108" w:type="dxa"/>
          </w:tblCellMar>
        </w:tblPrEx>
        <w:trPr>
          <w:trHeight w:val="273" w:hRule="atLeast"/>
        </w:trPr>
        <w:tc>
          <w:tcPr>
            <w:tcW w:w="1845" w:type="dxa"/>
            <w:vMerge w:val="continue"/>
            <w:tcBorders>
              <w:top w:val="nil"/>
              <w:left w:val="single" w:color="auto" w:sz="4" w:space="0"/>
              <w:bottom w:val="single" w:color="auto" w:sz="4" w:space="0"/>
              <w:right w:val="single" w:color="auto" w:sz="4" w:space="0"/>
            </w:tcBorders>
            <w:noWrap w:val="0"/>
            <w:vAlign w:val="center"/>
          </w:tcPr>
          <w:p w14:paraId="29894B26">
            <w:pPr>
              <w:widowControl/>
              <w:jc w:val="left"/>
              <w:rPr>
                <w:rFonts w:hint="eastAsia" w:ascii="宋体" w:hAnsi="宋体" w:eastAsia="宋体" w:cs="宋体"/>
                <w:b/>
                <w:bCs/>
                <w:sz w:val="18"/>
                <w:szCs w:val="18"/>
              </w:rPr>
            </w:pPr>
          </w:p>
        </w:tc>
        <w:tc>
          <w:tcPr>
            <w:tcW w:w="1500" w:type="dxa"/>
            <w:tcBorders>
              <w:top w:val="nil"/>
              <w:left w:val="nil"/>
              <w:bottom w:val="single" w:color="auto" w:sz="4" w:space="0"/>
              <w:right w:val="single" w:color="auto" w:sz="4" w:space="0"/>
            </w:tcBorders>
            <w:noWrap w:val="0"/>
            <w:vAlign w:val="center"/>
          </w:tcPr>
          <w:p w14:paraId="7E3F1D66">
            <w:pPr>
              <w:widowControl/>
              <w:jc w:val="left"/>
              <w:rPr>
                <w:rFonts w:hint="eastAsia" w:ascii="宋体" w:hAnsi="宋体" w:eastAsia="宋体" w:cs="宋体"/>
                <w:sz w:val="18"/>
                <w:szCs w:val="18"/>
              </w:rPr>
            </w:pPr>
            <w:r>
              <w:rPr>
                <w:rFonts w:hint="eastAsia" w:ascii="宋体" w:hAnsi="宋体" w:eastAsia="宋体" w:cs="宋体"/>
                <w:sz w:val="18"/>
                <w:szCs w:val="18"/>
              </w:rPr>
              <w:t>营业收入（Y）</w:t>
            </w:r>
          </w:p>
        </w:tc>
        <w:tc>
          <w:tcPr>
            <w:tcW w:w="990" w:type="dxa"/>
            <w:tcBorders>
              <w:top w:val="nil"/>
              <w:left w:val="nil"/>
              <w:bottom w:val="single" w:color="auto" w:sz="4" w:space="0"/>
              <w:right w:val="single" w:color="auto" w:sz="4" w:space="0"/>
            </w:tcBorders>
            <w:noWrap w:val="0"/>
            <w:vAlign w:val="center"/>
          </w:tcPr>
          <w:p w14:paraId="1CBA5BEB">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40780865">
            <w:pPr>
              <w:widowControl/>
              <w:jc w:val="left"/>
              <w:rPr>
                <w:rFonts w:hint="eastAsia" w:ascii="宋体" w:hAnsi="宋体" w:eastAsia="宋体" w:cs="宋体"/>
                <w:sz w:val="18"/>
                <w:szCs w:val="18"/>
              </w:rPr>
            </w:pPr>
            <w:r>
              <w:rPr>
                <w:rFonts w:hint="eastAsia" w:ascii="宋体" w:hAnsi="宋体" w:eastAsia="宋体" w:cs="宋体"/>
                <w:sz w:val="18"/>
                <w:szCs w:val="18"/>
              </w:rPr>
              <w:t>2000≤Y＜10000</w:t>
            </w:r>
          </w:p>
        </w:tc>
        <w:tc>
          <w:tcPr>
            <w:tcW w:w="1561" w:type="dxa"/>
            <w:tcBorders>
              <w:top w:val="nil"/>
              <w:left w:val="nil"/>
              <w:bottom w:val="single" w:color="auto" w:sz="4" w:space="0"/>
              <w:right w:val="single" w:color="auto" w:sz="4" w:space="0"/>
            </w:tcBorders>
            <w:noWrap w:val="0"/>
            <w:vAlign w:val="center"/>
          </w:tcPr>
          <w:p w14:paraId="59A77B9E">
            <w:pPr>
              <w:widowControl/>
              <w:jc w:val="left"/>
              <w:rPr>
                <w:rFonts w:hint="eastAsia" w:ascii="宋体" w:hAnsi="宋体" w:eastAsia="宋体" w:cs="宋体"/>
                <w:sz w:val="18"/>
                <w:szCs w:val="18"/>
              </w:rPr>
            </w:pPr>
            <w:r>
              <w:rPr>
                <w:rFonts w:hint="eastAsia" w:ascii="宋体" w:hAnsi="宋体" w:eastAsia="宋体" w:cs="宋体"/>
                <w:sz w:val="18"/>
                <w:szCs w:val="18"/>
              </w:rPr>
              <w:t>100≤Y＜2000</w:t>
            </w:r>
          </w:p>
        </w:tc>
        <w:tc>
          <w:tcPr>
            <w:tcW w:w="1003" w:type="dxa"/>
            <w:tcBorders>
              <w:top w:val="nil"/>
              <w:left w:val="nil"/>
              <w:bottom w:val="single" w:color="auto" w:sz="4" w:space="0"/>
              <w:right w:val="single" w:color="auto" w:sz="4" w:space="0"/>
            </w:tcBorders>
            <w:noWrap w:val="0"/>
            <w:vAlign w:val="center"/>
          </w:tcPr>
          <w:p w14:paraId="178B1D6E">
            <w:pPr>
              <w:widowControl/>
              <w:jc w:val="left"/>
              <w:rPr>
                <w:rFonts w:hint="eastAsia" w:ascii="宋体" w:hAnsi="宋体" w:eastAsia="宋体" w:cs="宋体"/>
                <w:sz w:val="18"/>
                <w:szCs w:val="18"/>
              </w:rPr>
            </w:pPr>
            <w:r>
              <w:rPr>
                <w:rFonts w:hint="eastAsia" w:ascii="宋体" w:hAnsi="宋体" w:eastAsia="宋体" w:cs="宋体"/>
                <w:sz w:val="18"/>
                <w:szCs w:val="18"/>
              </w:rPr>
              <w:t>Y＜100</w:t>
            </w:r>
          </w:p>
        </w:tc>
      </w:tr>
      <w:tr w14:paraId="4BFE3EAD">
        <w:tblPrEx>
          <w:tblCellMar>
            <w:top w:w="0" w:type="dxa"/>
            <w:left w:w="108" w:type="dxa"/>
            <w:bottom w:w="0" w:type="dxa"/>
            <w:right w:w="108" w:type="dxa"/>
          </w:tblCellMar>
        </w:tblPrEx>
        <w:trPr>
          <w:trHeight w:val="273" w:hRule="atLeast"/>
        </w:trPr>
        <w:tc>
          <w:tcPr>
            <w:tcW w:w="1845" w:type="dxa"/>
            <w:vMerge w:val="restart"/>
            <w:tcBorders>
              <w:top w:val="nil"/>
              <w:left w:val="single" w:color="auto" w:sz="4" w:space="0"/>
              <w:bottom w:val="single" w:color="auto" w:sz="4" w:space="0"/>
              <w:right w:val="single" w:color="auto" w:sz="4" w:space="0"/>
            </w:tcBorders>
            <w:noWrap w:val="0"/>
            <w:vAlign w:val="bottom"/>
          </w:tcPr>
          <w:p w14:paraId="0F8E9562">
            <w:pPr>
              <w:widowControl/>
              <w:jc w:val="center"/>
              <w:rPr>
                <w:rFonts w:hint="eastAsia" w:ascii="宋体" w:hAnsi="宋体" w:eastAsia="宋体" w:cs="宋体"/>
                <w:b/>
                <w:bCs/>
                <w:sz w:val="18"/>
                <w:szCs w:val="18"/>
              </w:rPr>
            </w:pPr>
            <w:r>
              <w:rPr>
                <w:rFonts w:hint="eastAsia" w:ascii="宋体" w:hAnsi="宋体" w:eastAsia="宋体" w:cs="宋体"/>
                <w:b/>
                <w:bCs/>
                <w:sz w:val="18"/>
                <w:szCs w:val="18"/>
              </w:rPr>
              <w:t>餐饮业</w:t>
            </w:r>
          </w:p>
        </w:tc>
        <w:tc>
          <w:tcPr>
            <w:tcW w:w="1500" w:type="dxa"/>
            <w:tcBorders>
              <w:top w:val="nil"/>
              <w:left w:val="nil"/>
              <w:bottom w:val="single" w:color="auto" w:sz="4" w:space="0"/>
              <w:right w:val="single" w:color="auto" w:sz="4" w:space="0"/>
            </w:tcBorders>
            <w:noWrap w:val="0"/>
            <w:vAlign w:val="center"/>
          </w:tcPr>
          <w:p w14:paraId="15FD880E">
            <w:pPr>
              <w:widowControl/>
              <w:jc w:val="left"/>
              <w:rPr>
                <w:rFonts w:hint="eastAsia" w:ascii="宋体" w:hAnsi="宋体" w:eastAsia="宋体" w:cs="宋体"/>
                <w:sz w:val="18"/>
                <w:szCs w:val="18"/>
              </w:rPr>
            </w:pPr>
            <w:r>
              <w:rPr>
                <w:rFonts w:hint="eastAsia" w:ascii="宋体" w:hAnsi="宋体" w:eastAsia="宋体" w:cs="宋体"/>
                <w:sz w:val="18"/>
                <w:szCs w:val="18"/>
              </w:rPr>
              <w:t>从业人员（X）</w:t>
            </w:r>
          </w:p>
        </w:tc>
        <w:tc>
          <w:tcPr>
            <w:tcW w:w="990" w:type="dxa"/>
            <w:tcBorders>
              <w:top w:val="nil"/>
              <w:left w:val="nil"/>
              <w:bottom w:val="single" w:color="auto" w:sz="4" w:space="0"/>
              <w:right w:val="single" w:color="auto" w:sz="4" w:space="0"/>
            </w:tcBorders>
            <w:noWrap w:val="0"/>
            <w:vAlign w:val="center"/>
          </w:tcPr>
          <w:p w14:paraId="6EA006A9">
            <w:pPr>
              <w:widowControl/>
              <w:jc w:val="left"/>
              <w:rPr>
                <w:rFonts w:hint="eastAsia" w:ascii="宋体" w:hAnsi="宋体" w:eastAsia="宋体" w:cs="宋体"/>
                <w:sz w:val="18"/>
                <w:szCs w:val="18"/>
              </w:rPr>
            </w:pPr>
            <w:r>
              <w:rPr>
                <w:rFonts w:hint="eastAsia" w:ascii="宋体" w:hAnsi="宋体" w:eastAsia="宋体" w:cs="宋体"/>
                <w:sz w:val="18"/>
                <w:szCs w:val="18"/>
              </w:rPr>
              <w:t>人</w:t>
            </w:r>
          </w:p>
        </w:tc>
        <w:tc>
          <w:tcPr>
            <w:tcW w:w="1756" w:type="dxa"/>
            <w:tcBorders>
              <w:top w:val="nil"/>
              <w:left w:val="nil"/>
              <w:bottom w:val="single" w:color="auto" w:sz="4" w:space="0"/>
              <w:right w:val="single" w:color="auto" w:sz="4" w:space="0"/>
            </w:tcBorders>
            <w:noWrap w:val="0"/>
            <w:vAlign w:val="center"/>
          </w:tcPr>
          <w:p w14:paraId="6655B555">
            <w:pPr>
              <w:widowControl/>
              <w:jc w:val="left"/>
              <w:rPr>
                <w:rFonts w:hint="eastAsia" w:ascii="宋体" w:hAnsi="宋体" w:eastAsia="宋体" w:cs="宋体"/>
                <w:sz w:val="18"/>
                <w:szCs w:val="18"/>
              </w:rPr>
            </w:pPr>
            <w:r>
              <w:rPr>
                <w:rFonts w:hint="eastAsia" w:ascii="宋体" w:hAnsi="宋体" w:eastAsia="宋体" w:cs="宋体"/>
                <w:sz w:val="18"/>
                <w:szCs w:val="18"/>
              </w:rPr>
              <w:t>100≤X＜300</w:t>
            </w:r>
          </w:p>
        </w:tc>
        <w:tc>
          <w:tcPr>
            <w:tcW w:w="1561" w:type="dxa"/>
            <w:tcBorders>
              <w:top w:val="nil"/>
              <w:left w:val="nil"/>
              <w:bottom w:val="single" w:color="auto" w:sz="4" w:space="0"/>
              <w:right w:val="single" w:color="auto" w:sz="4" w:space="0"/>
            </w:tcBorders>
            <w:noWrap w:val="0"/>
            <w:vAlign w:val="center"/>
          </w:tcPr>
          <w:p w14:paraId="1E61C470">
            <w:pPr>
              <w:widowControl/>
              <w:jc w:val="left"/>
              <w:rPr>
                <w:rFonts w:hint="eastAsia" w:ascii="宋体" w:hAnsi="宋体" w:eastAsia="宋体" w:cs="宋体"/>
                <w:sz w:val="18"/>
                <w:szCs w:val="18"/>
              </w:rPr>
            </w:pPr>
            <w:r>
              <w:rPr>
                <w:rFonts w:hint="eastAsia" w:ascii="宋体" w:hAnsi="宋体" w:eastAsia="宋体" w:cs="宋体"/>
                <w:sz w:val="18"/>
                <w:szCs w:val="18"/>
              </w:rPr>
              <w:t>10≤X＜100</w:t>
            </w:r>
          </w:p>
        </w:tc>
        <w:tc>
          <w:tcPr>
            <w:tcW w:w="1003" w:type="dxa"/>
            <w:tcBorders>
              <w:top w:val="nil"/>
              <w:left w:val="nil"/>
              <w:bottom w:val="single" w:color="auto" w:sz="4" w:space="0"/>
              <w:right w:val="single" w:color="auto" w:sz="4" w:space="0"/>
            </w:tcBorders>
            <w:noWrap w:val="0"/>
            <w:vAlign w:val="center"/>
          </w:tcPr>
          <w:p w14:paraId="571AF400">
            <w:pPr>
              <w:widowControl/>
              <w:jc w:val="left"/>
              <w:rPr>
                <w:rFonts w:hint="eastAsia" w:ascii="宋体" w:hAnsi="宋体" w:eastAsia="宋体" w:cs="宋体"/>
                <w:sz w:val="18"/>
                <w:szCs w:val="18"/>
              </w:rPr>
            </w:pPr>
            <w:r>
              <w:rPr>
                <w:rFonts w:hint="eastAsia" w:ascii="宋体" w:hAnsi="宋体" w:eastAsia="宋体" w:cs="宋体"/>
                <w:sz w:val="18"/>
                <w:szCs w:val="18"/>
              </w:rPr>
              <w:t>X＜10</w:t>
            </w:r>
          </w:p>
        </w:tc>
      </w:tr>
      <w:tr w14:paraId="113BB24B">
        <w:tblPrEx>
          <w:tblCellMar>
            <w:top w:w="0" w:type="dxa"/>
            <w:left w:w="108" w:type="dxa"/>
            <w:bottom w:w="0" w:type="dxa"/>
            <w:right w:w="108" w:type="dxa"/>
          </w:tblCellMar>
        </w:tblPrEx>
        <w:trPr>
          <w:trHeight w:val="273" w:hRule="atLeast"/>
        </w:trPr>
        <w:tc>
          <w:tcPr>
            <w:tcW w:w="1845" w:type="dxa"/>
            <w:vMerge w:val="continue"/>
            <w:tcBorders>
              <w:top w:val="nil"/>
              <w:left w:val="single" w:color="auto" w:sz="4" w:space="0"/>
              <w:bottom w:val="single" w:color="auto" w:sz="4" w:space="0"/>
              <w:right w:val="single" w:color="auto" w:sz="4" w:space="0"/>
            </w:tcBorders>
            <w:noWrap w:val="0"/>
            <w:vAlign w:val="center"/>
          </w:tcPr>
          <w:p w14:paraId="60A39EAF">
            <w:pPr>
              <w:widowControl/>
              <w:jc w:val="left"/>
              <w:rPr>
                <w:rFonts w:hint="eastAsia" w:ascii="宋体" w:hAnsi="宋体" w:eastAsia="宋体" w:cs="宋体"/>
                <w:b/>
                <w:bCs/>
                <w:sz w:val="18"/>
                <w:szCs w:val="18"/>
              </w:rPr>
            </w:pPr>
          </w:p>
        </w:tc>
        <w:tc>
          <w:tcPr>
            <w:tcW w:w="1500" w:type="dxa"/>
            <w:tcBorders>
              <w:top w:val="nil"/>
              <w:left w:val="nil"/>
              <w:bottom w:val="single" w:color="auto" w:sz="4" w:space="0"/>
              <w:right w:val="single" w:color="auto" w:sz="4" w:space="0"/>
            </w:tcBorders>
            <w:noWrap w:val="0"/>
            <w:vAlign w:val="center"/>
          </w:tcPr>
          <w:p w14:paraId="6189B0B6">
            <w:pPr>
              <w:widowControl/>
              <w:jc w:val="left"/>
              <w:rPr>
                <w:rFonts w:hint="eastAsia" w:ascii="宋体" w:hAnsi="宋体" w:eastAsia="宋体" w:cs="宋体"/>
                <w:sz w:val="18"/>
                <w:szCs w:val="18"/>
              </w:rPr>
            </w:pPr>
            <w:r>
              <w:rPr>
                <w:rFonts w:hint="eastAsia" w:ascii="宋体" w:hAnsi="宋体" w:eastAsia="宋体" w:cs="宋体"/>
                <w:sz w:val="18"/>
                <w:szCs w:val="18"/>
              </w:rPr>
              <w:t>营业收入（Y）</w:t>
            </w:r>
          </w:p>
        </w:tc>
        <w:tc>
          <w:tcPr>
            <w:tcW w:w="990" w:type="dxa"/>
            <w:tcBorders>
              <w:top w:val="nil"/>
              <w:left w:val="nil"/>
              <w:bottom w:val="single" w:color="auto" w:sz="4" w:space="0"/>
              <w:right w:val="single" w:color="auto" w:sz="4" w:space="0"/>
            </w:tcBorders>
            <w:noWrap w:val="0"/>
            <w:vAlign w:val="center"/>
          </w:tcPr>
          <w:p w14:paraId="33383C85">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52434231">
            <w:pPr>
              <w:widowControl/>
              <w:jc w:val="left"/>
              <w:rPr>
                <w:rFonts w:hint="eastAsia" w:ascii="宋体" w:hAnsi="宋体" w:eastAsia="宋体" w:cs="宋体"/>
                <w:sz w:val="18"/>
                <w:szCs w:val="18"/>
              </w:rPr>
            </w:pPr>
            <w:r>
              <w:rPr>
                <w:rFonts w:hint="eastAsia" w:ascii="宋体" w:hAnsi="宋体" w:eastAsia="宋体" w:cs="宋体"/>
                <w:sz w:val="18"/>
                <w:szCs w:val="18"/>
              </w:rPr>
              <w:t>2000≤Y＜10000</w:t>
            </w:r>
          </w:p>
        </w:tc>
        <w:tc>
          <w:tcPr>
            <w:tcW w:w="1561" w:type="dxa"/>
            <w:tcBorders>
              <w:top w:val="nil"/>
              <w:left w:val="nil"/>
              <w:bottom w:val="single" w:color="auto" w:sz="4" w:space="0"/>
              <w:right w:val="single" w:color="auto" w:sz="4" w:space="0"/>
            </w:tcBorders>
            <w:noWrap w:val="0"/>
            <w:vAlign w:val="center"/>
          </w:tcPr>
          <w:p w14:paraId="5DE3CD78">
            <w:pPr>
              <w:widowControl/>
              <w:jc w:val="left"/>
              <w:rPr>
                <w:rFonts w:hint="eastAsia" w:ascii="宋体" w:hAnsi="宋体" w:eastAsia="宋体" w:cs="宋体"/>
                <w:sz w:val="18"/>
                <w:szCs w:val="18"/>
              </w:rPr>
            </w:pPr>
            <w:r>
              <w:rPr>
                <w:rFonts w:hint="eastAsia" w:ascii="宋体" w:hAnsi="宋体" w:eastAsia="宋体" w:cs="宋体"/>
                <w:sz w:val="18"/>
                <w:szCs w:val="18"/>
              </w:rPr>
              <w:t>100≤Y＜2000</w:t>
            </w:r>
          </w:p>
        </w:tc>
        <w:tc>
          <w:tcPr>
            <w:tcW w:w="1003" w:type="dxa"/>
            <w:tcBorders>
              <w:top w:val="nil"/>
              <w:left w:val="nil"/>
              <w:bottom w:val="single" w:color="auto" w:sz="4" w:space="0"/>
              <w:right w:val="single" w:color="auto" w:sz="4" w:space="0"/>
            </w:tcBorders>
            <w:noWrap w:val="0"/>
            <w:vAlign w:val="center"/>
          </w:tcPr>
          <w:p w14:paraId="7A4A6C98">
            <w:pPr>
              <w:widowControl/>
              <w:jc w:val="left"/>
              <w:rPr>
                <w:rFonts w:hint="eastAsia" w:ascii="宋体" w:hAnsi="宋体" w:eastAsia="宋体" w:cs="宋体"/>
                <w:sz w:val="18"/>
                <w:szCs w:val="18"/>
              </w:rPr>
            </w:pPr>
            <w:r>
              <w:rPr>
                <w:rFonts w:hint="eastAsia" w:ascii="宋体" w:hAnsi="宋体" w:eastAsia="宋体" w:cs="宋体"/>
                <w:sz w:val="18"/>
                <w:szCs w:val="18"/>
              </w:rPr>
              <w:t>Y＜100</w:t>
            </w:r>
          </w:p>
        </w:tc>
      </w:tr>
      <w:tr w14:paraId="50CCF143">
        <w:tblPrEx>
          <w:tblCellMar>
            <w:top w:w="0" w:type="dxa"/>
            <w:left w:w="108" w:type="dxa"/>
            <w:bottom w:w="0" w:type="dxa"/>
            <w:right w:w="108" w:type="dxa"/>
          </w:tblCellMar>
        </w:tblPrEx>
        <w:trPr>
          <w:trHeight w:val="273" w:hRule="atLeast"/>
        </w:trPr>
        <w:tc>
          <w:tcPr>
            <w:tcW w:w="1845" w:type="dxa"/>
            <w:vMerge w:val="restart"/>
            <w:tcBorders>
              <w:top w:val="nil"/>
              <w:left w:val="single" w:color="auto" w:sz="4" w:space="0"/>
              <w:bottom w:val="single" w:color="auto" w:sz="4" w:space="0"/>
              <w:right w:val="single" w:color="auto" w:sz="4" w:space="0"/>
            </w:tcBorders>
            <w:noWrap w:val="0"/>
            <w:vAlign w:val="bottom"/>
          </w:tcPr>
          <w:p w14:paraId="15F0AA5E">
            <w:pPr>
              <w:widowControl/>
              <w:jc w:val="center"/>
              <w:rPr>
                <w:rFonts w:hint="eastAsia" w:ascii="宋体" w:hAnsi="宋体" w:eastAsia="宋体" w:cs="宋体"/>
                <w:b/>
                <w:bCs/>
                <w:sz w:val="18"/>
                <w:szCs w:val="18"/>
              </w:rPr>
            </w:pPr>
            <w:r>
              <w:rPr>
                <w:rFonts w:hint="eastAsia" w:ascii="宋体" w:hAnsi="宋体" w:eastAsia="宋体" w:cs="宋体"/>
                <w:b/>
                <w:bCs/>
                <w:sz w:val="18"/>
                <w:szCs w:val="18"/>
              </w:rPr>
              <w:t>信息传输业</w:t>
            </w:r>
          </w:p>
        </w:tc>
        <w:tc>
          <w:tcPr>
            <w:tcW w:w="1500" w:type="dxa"/>
            <w:tcBorders>
              <w:top w:val="nil"/>
              <w:left w:val="nil"/>
              <w:bottom w:val="single" w:color="auto" w:sz="4" w:space="0"/>
              <w:right w:val="single" w:color="auto" w:sz="4" w:space="0"/>
            </w:tcBorders>
            <w:noWrap w:val="0"/>
            <w:vAlign w:val="center"/>
          </w:tcPr>
          <w:p w14:paraId="6E3BEBD7">
            <w:pPr>
              <w:widowControl/>
              <w:jc w:val="left"/>
              <w:rPr>
                <w:rFonts w:hint="eastAsia" w:ascii="宋体" w:hAnsi="宋体" w:eastAsia="宋体" w:cs="宋体"/>
                <w:sz w:val="18"/>
                <w:szCs w:val="18"/>
              </w:rPr>
            </w:pPr>
            <w:r>
              <w:rPr>
                <w:rFonts w:hint="eastAsia" w:ascii="宋体" w:hAnsi="宋体" w:eastAsia="宋体" w:cs="宋体"/>
                <w:sz w:val="18"/>
                <w:szCs w:val="18"/>
              </w:rPr>
              <w:t>从业人员（X）</w:t>
            </w:r>
          </w:p>
        </w:tc>
        <w:tc>
          <w:tcPr>
            <w:tcW w:w="990" w:type="dxa"/>
            <w:tcBorders>
              <w:top w:val="nil"/>
              <w:left w:val="nil"/>
              <w:bottom w:val="single" w:color="auto" w:sz="4" w:space="0"/>
              <w:right w:val="single" w:color="auto" w:sz="4" w:space="0"/>
            </w:tcBorders>
            <w:noWrap w:val="0"/>
            <w:vAlign w:val="center"/>
          </w:tcPr>
          <w:p w14:paraId="35F1395B">
            <w:pPr>
              <w:widowControl/>
              <w:jc w:val="left"/>
              <w:rPr>
                <w:rFonts w:hint="eastAsia" w:ascii="宋体" w:hAnsi="宋体" w:eastAsia="宋体" w:cs="宋体"/>
                <w:sz w:val="18"/>
                <w:szCs w:val="18"/>
              </w:rPr>
            </w:pPr>
            <w:r>
              <w:rPr>
                <w:rFonts w:hint="eastAsia" w:ascii="宋体" w:hAnsi="宋体" w:eastAsia="宋体" w:cs="宋体"/>
                <w:sz w:val="18"/>
                <w:szCs w:val="18"/>
              </w:rPr>
              <w:t>人</w:t>
            </w:r>
          </w:p>
        </w:tc>
        <w:tc>
          <w:tcPr>
            <w:tcW w:w="1756" w:type="dxa"/>
            <w:tcBorders>
              <w:top w:val="nil"/>
              <w:left w:val="nil"/>
              <w:bottom w:val="single" w:color="auto" w:sz="4" w:space="0"/>
              <w:right w:val="single" w:color="auto" w:sz="4" w:space="0"/>
            </w:tcBorders>
            <w:noWrap w:val="0"/>
            <w:vAlign w:val="center"/>
          </w:tcPr>
          <w:p w14:paraId="6CE9B009">
            <w:pPr>
              <w:widowControl/>
              <w:jc w:val="left"/>
              <w:rPr>
                <w:rFonts w:hint="eastAsia" w:ascii="宋体" w:hAnsi="宋体" w:eastAsia="宋体" w:cs="宋体"/>
                <w:sz w:val="18"/>
                <w:szCs w:val="18"/>
              </w:rPr>
            </w:pPr>
            <w:r>
              <w:rPr>
                <w:rFonts w:hint="eastAsia" w:ascii="宋体" w:hAnsi="宋体" w:eastAsia="宋体" w:cs="宋体"/>
                <w:sz w:val="18"/>
                <w:szCs w:val="18"/>
              </w:rPr>
              <w:t>100≤X＜2000</w:t>
            </w:r>
          </w:p>
        </w:tc>
        <w:tc>
          <w:tcPr>
            <w:tcW w:w="1561" w:type="dxa"/>
            <w:tcBorders>
              <w:top w:val="nil"/>
              <w:left w:val="nil"/>
              <w:bottom w:val="single" w:color="auto" w:sz="4" w:space="0"/>
              <w:right w:val="single" w:color="auto" w:sz="4" w:space="0"/>
            </w:tcBorders>
            <w:noWrap w:val="0"/>
            <w:vAlign w:val="center"/>
          </w:tcPr>
          <w:p w14:paraId="46478A82">
            <w:pPr>
              <w:widowControl/>
              <w:jc w:val="left"/>
              <w:rPr>
                <w:rFonts w:hint="eastAsia" w:ascii="宋体" w:hAnsi="宋体" w:eastAsia="宋体" w:cs="宋体"/>
                <w:sz w:val="18"/>
                <w:szCs w:val="18"/>
              </w:rPr>
            </w:pPr>
            <w:r>
              <w:rPr>
                <w:rFonts w:hint="eastAsia" w:ascii="宋体" w:hAnsi="宋体" w:eastAsia="宋体" w:cs="宋体"/>
                <w:sz w:val="18"/>
                <w:szCs w:val="18"/>
              </w:rPr>
              <w:t>10≤X＜100</w:t>
            </w:r>
          </w:p>
        </w:tc>
        <w:tc>
          <w:tcPr>
            <w:tcW w:w="1003" w:type="dxa"/>
            <w:tcBorders>
              <w:top w:val="nil"/>
              <w:left w:val="nil"/>
              <w:bottom w:val="single" w:color="auto" w:sz="4" w:space="0"/>
              <w:right w:val="single" w:color="auto" w:sz="4" w:space="0"/>
            </w:tcBorders>
            <w:noWrap w:val="0"/>
            <w:vAlign w:val="center"/>
          </w:tcPr>
          <w:p w14:paraId="19E55BAF">
            <w:pPr>
              <w:widowControl/>
              <w:jc w:val="left"/>
              <w:rPr>
                <w:rFonts w:hint="eastAsia" w:ascii="宋体" w:hAnsi="宋体" w:eastAsia="宋体" w:cs="宋体"/>
                <w:sz w:val="18"/>
                <w:szCs w:val="18"/>
              </w:rPr>
            </w:pPr>
            <w:r>
              <w:rPr>
                <w:rFonts w:hint="eastAsia" w:ascii="宋体" w:hAnsi="宋体" w:eastAsia="宋体" w:cs="宋体"/>
                <w:sz w:val="18"/>
                <w:szCs w:val="18"/>
              </w:rPr>
              <w:t>X＜10</w:t>
            </w:r>
          </w:p>
        </w:tc>
      </w:tr>
      <w:tr w14:paraId="5101B4B1">
        <w:tblPrEx>
          <w:tblCellMar>
            <w:top w:w="0" w:type="dxa"/>
            <w:left w:w="108" w:type="dxa"/>
            <w:bottom w:w="0" w:type="dxa"/>
            <w:right w:w="108" w:type="dxa"/>
          </w:tblCellMar>
        </w:tblPrEx>
        <w:trPr>
          <w:trHeight w:val="273" w:hRule="atLeast"/>
        </w:trPr>
        <w:tc>
          <w:tcPr>
            <w:tcW w:w="1845" w:type="dxa"/>
            <w:vMerge w:val="continue"/>
            <w:tcBorders>
              <w:top w:val="nil"/>
              <w:left w:val="single" w:color="auto" w:sz="4" w:space="0"/>
              <w:bottom w:val="single" w:color="auto" w:sz="4" w:space="0"/>
              <w:right w:val="single" w:color="auto" w:sz="4" w:space="0"/>
            </w:tcBorders>
            <w:noWrap w:val="0"/>
            <w:vAlign w:val="center"/>
          </w:tcPr>
          <w:p w14:paraId="248A7C6A">
            <w:pPr>
              <w:widowControl/>
              <w:jc w:val="left"/>
              <w:rPr>
                <w:rFonts w:hint="eastAsia" w:ascii="宋体" w:hAnsi="宋体" w:eastAsia="宋体" w:cs="宋体"/>
                <w:b/>
                <w:bCs/>
                <w:sz w:val="18"/>
                <w:szCs w:val="18"/>
              </w:rPr>
            </w:pPr>
          </w:p>
        </w:tc>
        <w:tc>
          <w:tcPr>
            <w:tcW w:w="1500" w:type="dxa"/>
            <w:tcBorders>
              <w:top w:val="nil"/>
              <w:left w:val="nil"/>
              <w:bottom w:val="single" w:color="auto" w:sz="4" w:space="0"/>
              <w:right w:val="single" w:color="auto" w:sz="4" w:space="0"/>
            </w:tcBorders>
            <w:noWrap w:val="0"/>
            <w:vAlign w:val="center"/>
          </w:tcPr>
          <w:p w14:paraId="107C90DF">
            <w:pPr>
              <w:widowControl/>
              <w:jc w:val="left"/>
              <w:rPr>
                <w:rFonts w:hint="eastAsia" w:ascii="宋体" w:hAnsi="宋体" w:eastAsia="宋体" w:cs="宋体"/>
                <w:sz w:val="18"/>
                <w:szCs w:val="18"/>
              </w:rPr>
            </w:pPr>
            <w:r>
              <w:rPr>
                <w:rFonts w:hint="eastAsia" w:ascii="宋体" w:hAnsi="宋体" w:eastAsia="宋体" w:cs="宋体"/>
                <w:sz w:val="18"/>
                <w:szCs w:val="18"/>
              </w:rPr>
              <w:t>营业收入（Y）</w:t>
            </w:r>
          </w:p>
        </w:tc>
        <w:tc>
          <w:tcPr>
            <w:tcW w:w="990" w:type="dxa"/>
            <w:tcBorders>
              <w:top w:val="nil"/>
              <w:left w:val="nil"/>
              <w:bottom w:val="single" w:color="auto" w:sz="4" w:space="0"/>
              <w:right w:val="single" w:color="auto" w:sz="4" w:space="0"/>
            </w:tcBorders>
            <w:noWrap w:val="0"/>
            <w:vAlign w:val="center"/>
          </w:tcPr>
          <w:p w14:paraId="15DED2B5">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3F1A51D6">
            <w:pPr>
              <w:widowControl/>
              <w:jc w:val="left"/>
              <w:rPr>
                <w:rFonts w:hint="eastAsia" w:ascii="宋体" w:hAnsi="宋体" w:eastAsia="宋体" w:cs="宋体"/>
                <w:sz w:val="18"/>
                <w:szCs w:val="18"/>
              </w:rPr>
            </w:pPr>
            <w:r>
              <w:rPr>
                <w:rFonts w:hint="eastAsia" w:ascii="宋体" w:hAnsi="宋体" w:eastAsia="宋体" w:cs="宋体"/>
                <w:sz w:val="18"/>
                <w:szCs w:val="18"/>
              </w:rPr>
              <w:t>1000≤Y＜100000</w:t>
            </w:r>
          </w:p>
        </w:tc>
        <w:tc>
          <w:tcPr>
            <w:tcW w:w="1561" w:type="dxa"/>
            <w:tcBorders>
              <w:top w:val="nil"/>
              <w:left w:val="nil"/>
              <w:bottom w:val="single" w:color="auto" w:sz="4" w:space="0"/>
              <w:right w:val="single" w:color="auto" w:sz="4" w:space="0"/>
            </w:tcBorders>
            <w:noWrap w:val="0"/>
            <w:vAlign w:val="center"/>
          </w:tcPr>
          <w:p w14:paraId="6E561448">
            <w:pPr>
              <w:widowControl/>
              <w:jc w:val="left"/>
              <w:rPr>
                <w:rFonts w:hint="eastAsia" w:ascii="宋体" w:hAnsi="宋体" w:eastAsia="宋体" w:cs="宋体"/>
                <w:sz w:val="18"/>
                <w:szCs w:val="18"/>
              </w:rPr>
            </w:pPr>
            <w:r>
              <w:rPr>
                <w:rFonts w:hint="eastAsia" w:ascii="宋体" w:hAnsi="宋体" w:eastAsia="宋体" w:cs="宋体"/>
                <w:sz w:val="18"/>
                <w:szCs w:val="18"/>
              </w:rPr>
              <w:t>100≤Y＜1000</w:t>
            </w:r>
          </w:p>
        </w:tc>
        <w:tc>
          <w:tcPr>
            <w:tcW w:w="1003" w:type="dxa"/>
            <w:tcBorders>
              <w:top w:val="nil"/>
              <w:left w:val="nil"/>
              <w:bottom w:val="single" w:color="auto" w:sz="4" w:space="0"/>
              <w:right w:val="single" w:color="auto" w:sz="4" w:space="0"/>
            </w:tcBorders>
            <w:noWrap w:val="0"/>
            <w:vAlign w:val="center"/>
          </w:tcPr>
          <w:p w14:paraId="0B896A2D">
            <w:pPr>
              <w:widowControl/>
              <w:jc w:val="left"/>
              <w:rPr>
                <w:rFonts w:hint="eastAsia" w:ascii="宋体" w:hAnsi="宋体" w:eastAsia="宋体" w:cs="宋体"/>
                <w:sz w:val="18"/>
                <w:szCs w:val="18"/>
              </w:rPr>
            </w:pPr>
            <w:r>
              <w:rPr>
                <w:rFonts w:hint="eastAsia" w:ascii="宋体" w:hAnsi="宋体" w:eastAsia="宋体" w:cs="宋体"/>
                <w:sz w:val="18"/>
                <w:szCs w:val="18"/>
              </w:rPr>
              <w:t>Y＜100</w:t>
            </w:r>
          </w:p>
        </w:tc>
      </w:tr>
      <w:tr w14:paraId="2A90C082">
        <w:tblPrEx>
          <w:tblCellMar>
            <w:top w:w="0" w:type="dxa"/>
            <w:left w:w="108" w:type="dxa"/>
            <w:bottom w:w="0" w:type="dxa"/>
            <w:right w:w="108" w:type="dxa"/>
          </w:tblCellMar>
        </w:tblPrEx>
        <w:trPr>
          <w:trHeight w:val="273" w:hRule="atLeast"/>
        </w:trPr>
        <w:tc>
          <w:tcPr>
            <w:tcW w:w="1845" w:type="dxa"/>
            <w:vMerge w:val="restart"/>
            <w:tcBorders>
              <w:top w:val="nil"/>
              <w:left w:val="single" w:color="auto" w:sz="4" w:space="0"/>
              <w:bottom w:val="single" w:color="auto" w:sz="4" w:space="0"/>
              <w:right w:val="single" w:color="auto" w:sz="4" w:space="0"/>
            </w:tcBorders>
            <w:noWrap w:val="0"/>
            <w:vAlign w:val="bottom"/>
          </w:tcPr>
          <w:p w14:paraId="00F29B29">
            <w:pPr>
              <w:widowControl/>
              <w:jc w:val="center"/>
              <w:rPr>
                <w:rFonts w:hint="eastAsia" w:ascii="宋体" w:hAnsi="宋体" w:eastAsia="宋体" w:cs="宋体"/>
                <w:b/>
                <w:bCs/>
                <w:sz w:val="18"/>
                <w:szCs w:val="18"/>
              </w:rPr>
            </w:pPr>
            <w:r>
              <w:rPr>
                <w:rFonts w:hint="eastAsia" w:ascii="宋体" w:hAnsi="宋体" w:eastAsia="宋体" w:cs="宋体"/>
                <w:b/>
                <w:bCs/>
                <w:sz w:val="18"/>
                <w:szCs w:val="18"/>
              </w:rPr>
              <w:t>软件和信息技术服务业</w:t>
            </w:r>
          </w:p>
        </w:tc>
        <w:tc>
          <w:tcPr>
            <w:tcW w:w="1500" w:type="dxa"/>
            <w:tcBorders>
              <w:top w:val="nil"/>
              <w:left w:val="nil"/>
              <w:bottom w:val="single" w:color="auto" w:sz="4" w:space="0"/>
              <w:right w:val="single" w:color="auto" w:sz="4" w:space="0"/>
            </w:tcBorders>
            <w:noWrap w:val="0"/>
            <w:vAlign w:val="center"/>
          </w:tcPr>
          <w:p w14:paraId="0F3F4E01">
            <w:pPr>
              <w:widowControl/>
              <w:jc w:val="left"/>
              <w:rPr>
                <w:rFonts w:hint="eastAsia" w:ascii="宋体" w:hAnsi="宋体" w:eastAsia="宋体" w:cs="宋体"/>
                <w:sz w:val="18"/>
                <w:szCs w:val="18"/>
              </w:rPr>
            </w:pPr>
            <w:r>
              <w:rPr>
                <w:rFonts w:hint="eastAsia" w:ascii="宋体" w:hAnsi="宋体" w:eastAsia="宋体" w:cs="宋体"/>
                <w:sz w:val="18"/>
                <w:szCs w:val="18"/>
              </w:rPr>
              <w:t>从业人员（X）</w:t>
            </w:r>
          </w:p>
        </w:tc>
        <w:tc>
          <w:tcPr>
            <w:tcW w:w="990" w:type="dxa"/>
            <w:tcBorders>
              <w:top w:val="nil"/>
              <w:left w:val="nil"/>
              <w:bottom w:val="single" w:color="auto" w:sz="4" w:space="0"/>
              <w:right w:val="single" w:color="auto" w:sz="4" w:space="0"/>
            </w:tcBorders>
            <w:noWrap w:val="0"/>
            <w:vAlign w:val="center"/>
          </w:tcPr>
          <w:p w14:paraId="4CA1D5E2">
            <w:pPr>
              <w:widowControl/>
              <w:jc w:val="left"/>
              <w:rPr>
                <w:rFonts w:hint="eastAsia" w:ascii="宋体" w:hAnsi="宋体" w:eastAsia="宋体" w:cs="宋体"/>
                <w:sz w:val="18"/>
                <w:szCs w:val="18"/>
              </w:rPr>
            </w:pPr>
            <w:r>
              <w:rPr>
                <w:rFonts w:hint="eastAsia" w:ascii="宋体" w:hAnsi="宋体" w:eastAsia="宋体" w:cs="宋体"/>
                <w:sz w:val="18"/>
                <w:szCs w:val="18"/>
              </w:rPr>
              <w:t>人</w:t>
            </w:r>
          </w:p>
        </w:tc>
        <w:tc>
          <w:tcPr>
            <w:tcW w:w="1756" w:type="dxa"/>
            <w:tcBorders>
              <w:top w:val="nil"/>
              <w:left w:val="nil"/>
              <w:bottom w:val="single" w:color="auto" w:sz="4" w:space="0"/>
              <w:right w:val="single" w:color="auto" w:sz="4" w:space="0"/>
            </w:tcBorders>
            <w:noWrap w:val="0"/>
            <w:vAlign w:val="center"/>
          </w:tcPr>
          <w:p w14:paraId="1EF8ED25">
            <w:pPr>
              <w:widowControl/>
              <w:jc w:val="left"/>
              <w:rPr>
                <w:rFonts w:hint="eastAsia" w:ascii="宋体" w:hAnsi="宋体" w:eastAsia="宋体" w:cs="宋体"/>
                <w:sz w:val="18"/>
                <w:szCs w:val="18"/>
              </w:rPr>
            </w:pPr>
            <w:r>
              <w:rPr>
                <w:rFonts w:hint="eastAsia" w:ascii="宋体" w:hAnsi="宋体" w:eastAsia="宋体" w:cs="宋体"/>
                <w:sz w:val="18"/>
                <w:szCs w:val="18"/>
              </w:rPr>
              <w:t>100≤X＜300</w:t>
            </w:r>
          </w:p>
        </w:tc>
        <w:tc>
          <w:tcPr>
            <w:tcW w:w="1561" w:type="dxa"/>
            <w:tcBorders>
              <w:top w:val="nil"/>
              <w:left w:val="nil"/>
              <w:bottom w:val="single" w:color="auto" w:sz="4" w:space="0"/>
              <w:right w:val="single" w:color="auto" w:sz="4" w:space="0"/>
            </w:tcBorders>
            <w:noWrap w:val="0"/>
            <w:vAlign w:val="center"/>
          </w:tcPr>
          <w:p w14:paraId="6AB1B3BC">
            <w:pPr>
              <w:widowControl/>
              <w:jc w:val="left"/>
              <w:rPr>
                <w:rFonts w:hint="eastAsia" w:ascii="宋体" w:hAnsi="宋体" w:eastAsia="宋体" w:cs="宋体"/>
                <w:sz w:val="18"/>
                <w:szCs w:val="18"/>
              </w:rPr>
            </w:pPr>
            <w:r>
              <w:rPr>
                <w:rFonts w:hint="eastAsia" w:ascii="宋体" w:hAnsi="宋体" w:eastAsia="宋体" w:cs="宋体"/>
                <w:sz w:val="18"/>
                <w:szCs w:val="18"/>
              </w:rPr>
              <w:t>10≤X＜100</w:t>
            </w:r>
          </w:p>
        </w:tc>
        <w:tc>
          <w:tcPr>
            <w:tcW w:w="1003" w:type="dxa"/>
            <w:tcBorders>
              <w:top w:val="nil"/>
              <w:left w:val="nil"/>
              <w:bottom w:val="single" w:color="auto" w:sz="4" w:space="0"/>
              <w:right w:val="single" w:color="auto" w:sz="4" w:space="0"/>
            </w:tcBorders>
            <w:noWrap w:val="0"/>
            <w:vAlign w:val="center"/>
          </w:tcPr>
          <w:p w14:paraId="37C1CE41">
            <w:pPr>
              <w:widowControl/>
              <w:jc w:val="left"/>
              <w:rPr>
                <w:rFonts w:hint="eastAsia" w:ascii="宋体" w:hAnsi="宋体" w:eastAsia="宋体" w:cs="宋体"/>
                <w:sz w:val="18"/>
                <w:szCs w:val="18"/>
              </w:rPr>
            </w:pPr>
            <w:r>
              <w:rPr>
                <w:rFonts w:hint="eastAsia" w:ascii="宋体" w:hAnsi="宋体" w:eastAsia="宋体" w:cs="宋体"/>
                <w:sz w:val="18"/>
                <w:szCs w:val="18"/>
              </w:rPr>
              <w:t>X＜10</w:t>
            </w:r>
          </w:p>
        </w:tc>
      </w:tr>
      <w:tr w14:paraId="48D9EBBD">
        <w:tblPrEx>
          <w:tblCellMar>
            <w:top w:w="0" w:type="dxa"/>
            <w:left w:w="108" w:type="dxa"/>
            <w:bottom w:w="0" w:type="dxa"/>
            <w:right w:w="108" w:type="dxa"/>
          </w:tblCellMar>
        </w:tblPrEx>
        <w:trPr>
          <w:trHeight w:val="273" w:hRule="atLeast"/>
        </w:trPr>
        <w:tc>
          <w:tcPr>
            <w:tcW w:w="1845" w:type="dxa"/>
            <w:vMerge w:val="continue"/>
            <w:tcBorders>
              <w:top w:val="nil"/>
              <w:left w:val="single" w:color="auto" w:sz="4" w:space="0"/>
              <w:bottom w:val="single" w:color="auto" w:sz="4" w:space="0"/>
              <w:right w:val="single" w:color="auto" w:sz="4" w:space="0"/>
            </w:tcBorders>
            <w:noWrap w:val="0"/>
            <w:vAlign w:val="center"/>
          </w:tcPr>
          <w:p w14:paraId="47684CAA">
            <w:pPr>
              <w:widowControl/>
              <w:jc w:val="left"/>
              <w:rPr>
                <w:rFonts w:hint="eastAsia" w:ascii="宋体" w:hAnsi="宋体" w:eastAsia="宋体" w:cs="宋体"/>
                <w:b/>
                <w:bCs/>
                <w:sz w:val="18"/>
                <w:szCs w:val="18"/>
              </w:rPr>
            </w:pPr>
          </w:p>
        </w:tc>
        <w:tc>
          <w:tcPr>
            <w:tcW w:w="1500" w:type="dxa"/>
            <w:tcBorders>
              <w:top w:val="nil"/>
              <w:left w:val="nil"/>
              <w:bottom w:val="single" w:color="auto" w:sz="4" w:space="0"/>
              <w:right w:val="single" w:color="auto" w:sz="4" w:space="0"/>
            </w:tcBorders>
            <w:noWrap w:val="0"/>
            <w:vAlign w:val="center"/>
          </w:tcPr>
          <w:p w14:paraId="6A74193B">
            <w:pPr>
              <w:widowControl/>
              <w:jc w:val="left"/>
              <w:rPr>
                <w:rFonts w:hint="eastAsia" w:ascii="宋体" w:hAnsi="宋体" w:eastAsia="宋体" w:cs="宋体"/>
                <w:sz w:val="18"/>
                <w:szCs w:val="18"/>
              </w:rPr>
            </w:pPr>
            <w:r>
              <w:rPr>
                <w:rFonts w:hint="eastAsia" w:ascii="宋体" w:hAnsi="宋体" w:eastAsia="宋体" w:cs="宋体"/>
                <w:sz w:val="18"/>
                <w:szCs w:val="18"/>
              </w:rPr>
              <w:t>营业收入（Y）</w:t>
            </w:r>
          </w:p>
        </w:tc>
        <w:tc>
          <w:tcPr>
            <w:tcW w:w="990" w:type="dxa"/>
            <w:tcBorders>
              <w:top w:val="nil"/>
              <w:left w:val="nil"/>
              <w:bottom w:val="single" w:color="auto" w:sz="4" w:space="0"/>
              <w:right w:val="single" w:color="auto" w:sz="4" w:space="0"/>
            </w:tcBorders>
            <w:noWrap w:val="0"/>
            <w:vAlign w:val="center"/>
          </w:tcPr>
          <w:p w14:paraId="67F0EE33">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45FB3B68">
            <w:pPr>
              <w:widowControl/>
              <w:jc w:val="left"/>
              <w:rPr>
                <w:rFonts w:hint="eastAsia" w:ascii="宋体" w:hAnsi="宋体" w:eastAsia="宋体" w:cs="宋体"/>
                <w:sz w:val="18"/>
                <w:szCs w:val="18"/>
              </w:rPr>
            </w:pPr>
            <w:r>
              <w:rPr>
                <w:rFonts w:hint="eastAsia" w:ascii="宋体" w:hAnsi="宋体" w:eastAsia="宋体" w:cs="宋体"/>
                <w:sz w:val="18"/>
                <w:szCs w:val="18"/>
              </w:rPr>
              <w:t>1000≤Y＜10000</w:t>
            </w:r>
          </w:p>
        </w:tc>
        <w:tc>
          <w:tcPr>
            <w:tcW w:w="1561" w:type="dxa"/>
            <w:tcBorders>
              <w:top w:val="nil"/>
              <w:left w:val="nil"/>
              <w:bottom w:val="single" w:color="auto" w:sz="4" w:space="0"/>
              <w:right w:val="single" w:color="auto" w:sz="4" w:space="0"/>
            </w:tcBorders>
            <w:noWrap w:val="0"/>
            <w:vAlign w:val="center"/>
          </w:tcPr>
          <w:p w14:paraId="6860A844">
            <w:pPr>
              <w:widowControl/>
              <w:jc w:val="left"/>
              <w:rPr>
                <w:rFonts w:hint="eastAsia" w:ascii="宋体" w:hAnsi="宋体" w:eastAsia="宋体" w:cs="宋体"/>
                <w:sz w:val="18"/>
                <w:szCs w:val="18"/>
              </w:rPr>
            </w:pPr>
            <w:r>
              <w:rPr>
                <w:rFonts w:hint="eastAsia" w:ascii="宋体" w:hAnsi="宋体" w:eastAsia="宋体" w:cs="宋体"/>
                <w:sz w:val="18"/>
                <w:szCs w:val="18"/>
              </w:rPr>
              <w:t>50≤Y＜1000</w:t>
            </w:r>
          </w:p>
        </w:tc>
        <w:tc>
          <w:tcPr>
            <w:tcW w:w="1003" w:type="dxa"/>
            <w:tcBorders>
              <w:top w:val="nil"/>
              <w:left w:val="nil"/>
              <w:bottom w:val="single" w:color="auto" w:sz="4" w:space="0"/>
              <w:right w:val="single" w:color="auto" w:sz="4" w:space="0"/>
            </w:tcBorders>
            <w:noWrap w:val="0"/>
            <w:vAlign w:val="center"/>
          </w:tcPr>
          <w:p w14:paraId="27C9C670">
            <w:pPr>
              <w:widowControl/>
              <w:jc w:val="left"/>
              <w:rPr>
                <w:rFonts w:hint="eastAsia" w:ascii="宋体" w:hAnsi="宋体" w:eastAsia="宋体" w:cs="宋体"/>
                <w:sz w:val="18"/>
                <w:szCs w:val="18"/>
              </w:rPr>
            </w:pPr>
            <w:r>
              <w:rPr>
                <w:rFonts w:hint="eastAsia" w:ascii="宋体" w:hAnsi="宋体" w:eastAsia="宋体" w:cs="宋体"/>
                <w:sz w:val="18"/>
                <w:szCs w:val="18"/>
              </w:rPr>
              <w:t>Y＜50</w:t>
            </w:r>
          </w:p>
        </w:tc>
      </w:tr>
      <w:tr w14:paraId="0BE09CDE">
        <w:tblPrEx>
          <w:tblCellMar>
            <w:top w:w="0" w:type="dxa"/>
            <w:left w:w="108" w:type="dxa"/>
            <w:bottom w:w="0" w:type="dxa"/>
            <w:right w:w="108" w:type="dxa"/>
          </w:tblCellMar>
        </w:tblPrEx>
        <w:trPr>
          <w:trHeight w:val="273" w:hRule="atLeast"/>
        </w:trPr>
        <w:tc>
          <w:tcPr>
            <w:tcW w:w="1845" w:type="dxa"/>
            <w:vMerge w:val="restart"/>
            <w:tcBorders>
              <w:top w:val="nil"/>
              <w:left w:val="single" w:color="auto" w:sz="4" w:space="0"/>
              <w:bottom w:val="single" w:color="auto" w:sz="4" w:space="0"/>
              <w:right w:val="single" w:color="auto" w:sz="4" w:space="0"/>
            </w:tcBorders>
            <w:noWrap w:val="0"/>
            <w:vAlign w:val="bottom"/>
          </w:tcPr>
          <w:p w14:paraId="05F446C4">
            <w:pPr>
              <w:widowControl/>
              <w:jc w:val="center"/>
              <w:rPr>
                <w:rFonts w:hint="eastAsia" w:ascii="宋体" w:hAnsi="宋体" w:eastAsia="宋体" w:cs="宋体"/>
                <w:b/>
                <w:bCs/>
                <w:sz w:val="18"/>
                <w:szCs w:val="18"/>
              </w:rPr>
            </w:pPr>
            <w:r>
              <w:rPr>
                <w:rFonts w:hint="eastAsia" w:ascii="宋体" w:hAnsi="宋体" w:eastAsia="宋体" w:cs="宋体"/>
                <w:b/>
                <w:bCs/>
                <w:sz w:val="18"/>
                <w:szCs w:val="18"/>
              </w:rPr>
              <w:t>房地产开发经营</w:t>
            </w:r>
          </w:p>
        </w:tc>
        <w:tc>
          <w:tcPr>
            <w:tcW w:w="1500" w:type="dxa"/>
            <w:tcBorders>
              <w:top w:val="nil"/>
              <w:left w:val="nil"/>
              <w:bottom w:val="single" w:color="auto" w:sz="4" w:space="0"/>
              <w:right w:val="single" w:color="auto" w:sz="4" w:space="0"/>
            </w:tcBorders>
            <w:noWrap w:val="0"/>
            <w:vAlign w:val="center"/>
          </w:tcPr>
          <w:p w14:paraId="09163EE0">
            <w:pPr>
              <w:widowControl/>
              <w:jc w:val="left"/>
              <w:rPr>
                <w:rFonts w:hint="eastAsia" w:ascii="宋体" w:hAnsi="宋体" w:eastAsia="宋体" w:cs="宋体"/>
                <w:sz w:val="18"/>
                <w:szCs w:val="18"/>
              </w:rPr>
            </w:pPr>
            <w:r>
              <w:rPr>
                <w:rFonts w:hint="eastAsia" w:ascii="宋体" w:hAnsi="宋体" w:eastAsia="宋体" w:cs="宋体"/>
                <w:sz w:val="18"/>
                <w:szCs w:val="18"/>
              </w:rPr>
              <w:t>营业收入（Y）</w:t>
            </w:r>
          </w:p>
        </w:tc>
        <w:tc>
          <w:tcPr>
            <w:tcW w:w="990" w:type="dxa"/>
            <w:tcBorders>
              <w:top w:val="nil"/>
              <w:left w:val="nil"/>
              <w:bottom w:val="single" w:color="auto" w:sz="4" w:space="0"/>
              <w:right w:val="single" w:color="auto" w:sz="4" w:space="0"/>
            </w:tcBorders>
            <w:noWrap w:val="0"/>
            <w:vAlign w:val="center"/>
          </w:tcPr>
          <w:p w14:paraId="0B044803">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1E9D4C30">
            <w:pPr>
              <w:widowControl/>
              <w:jc w:val="left"/>
              <w:rPr>
                <w:rFonts w:hint="eastAsia" w:ascii="宋体" w:hAnsi="宋体" w:eastAsia="宋体" w:cs="宋体"/>
                <w:sz w:val="18"/>
                <w:szCs w:val="18"/>
              </w:rPr>
            </w:pPr>
            <w:r>
              <w:rPr>
                <w:rFonts w:hint="eastAsia" w:ascii="宋体" w:hAnsi="宋体" w:eastAsia="宋体" w:cs="宋体"/>
                <w:sz w:val="18"/>
                <w:szCs w:val="18"/>
              </w:rPr>
              <w:t>1000≤Y＜200000</w:t>
            </w:r>
          </w:p>
        </w:tc>
        <w:tc>
          <w:tcPr>
            <w:tcW w:w="1561" w:type="dxa"/>
            <w:tcBorders>
              <w:top w:val="nil"/>
              <w:left w:val="nil"/>
              <w:bottom w:val="single" w:color="auto" w:sz="4" w:space="0"/>
              <w:right w:val="single" w:color="auto" w:sz="4" w:space="0"/>
            </w:tcBorders>
            <w:noWrap w:val="0"/>
            <w:vAlign w:val="center"/>
          </w:tcPr>
          <w:p w14:paraId="0C8F686A">
            <w:pPr>
              <w:widowControl/>
              <w:jc w:val="left"/>
              <w:rPr>
                <w:rFonts w:hint="eastAsia" w:ascii="宋体" w:hAnsi="宋体" w:eastAsia="宋体" w:cs="宋体"/>
                <w:sz w:val="18"/>
                <w:szCs w:val="18"/>
              </w:rPr>
            </w:pPr>
            <w:r>
              <w:rPr>
                <w:rFonts w:hint="eastAsia" w:ascii="宋体" w:hAnsi="宋体" w:eastAsia="宋体" w:cs="宋体"/>
                <w:sz w:val="18"/>
                <w:szCs w:val="18"/>
              </w:rPr>
              <w:t>100≤X＜1000</w:t>
            </w:r>
          </w:p>
        </w:tc>
        <w:tc>
          <w:tcPr>
            <w:tcW w:w="1003" w:type="dxa"/>
            <w:tcBorders>
              <w:top w:val="nil"/>
              <w:left w:val="nil"/>
              <w:bottom w:val="single" w:color="auto" w:sz="4" w:space="0"/>
              <w:right w:val="single" w:color="auto" w:sz="4" w:space="0"/>
            </w:tcBorders>
            <w:noWrap w:val="0"/>
            <w:vAlign w:val="center"/>
          </w:tcPr>
          <w:p w14:paraId="64D35D6F">
            <w:pPr>
              <w:widowControl/>
              <w:jc w:val="left"/>
              <w:rPr>
                <w:rFonts w:hint="eastAsia" w:ascii="宋体" w:hAnsi="宋体" w:eastAsia="宋体" w:cs="宋体"/>
                <w:sz w:val="18"/>
                <w:szCs w:val="18"/>
              </w:rPr>
            </w:pPr>
            <w:r>
              <w:rPr>
                <w:rFonts w:hint="eastAsia" w:ascii="宋体" w:hAnsi="宋体" w:eastAsia="宋体" w:cs="宋体"/>
                <w:sz w:val="18"/>
                <w:szCs w:val="18"/>
              </w:rPr>
              <w:t>X＜100</w:t>
            </w:r>
          </w:p>
        </w:tc>
      </w:tr>
      <w:tr w14:paraId="0B5D370E">
        <w:tblPrEx>
          <w:tblCellMar>
            <w:top w:w="0" w:type="dxa"/>
            <w:left w:w="108" w:type="dxa"/>
            <w:bottom w:w="0" w:type="dxa"/>
            <w:right w:w="108" w:type="dxa"/>
          </w:tblCellMar>
        </w:tblPrEx>
        <w:trPr>
          <w:trHeight w:val="273" w:hRule="atLeast"/>
        </w:trPr>
        <w:tc>
          <w:tcPr>
            <w:tcW w:w="1845" w:type="dxa"/>
            <w:vMerge w:val="continue"/>
            <w:tcBorders>
              <w:top w:val="nil"/>
              <w:left w:val="single" w:color="auto" w:sz="4" w:space="0"/>
              <w:bottom w:val="single" w:color="auto" w:sz="4" w:space="0"/>
              <w:right w:val="single" w:color="auto" w:sz="4" w:space="0"/>
            </w:tcBorders>
            <w:noWrap w:val="0"/>
            <w:vAlign w:val="center"/>
          </w:tcPr>
          <w:p w14:paraId="3757DA24">
            <w:pPr>
              <w:widowControl/>
              <w:jc w:val="left"/>
              <w:rPr>
                <w:rFonts w:hint="eastAsia" w:ascii="宋体" w:hAnsi="宋体" w:eastAsia="宋体" w:cs="宋体"/>
                <w:b/>
                <w:bCs/>
                <w:sz w:val="18"/>
                <w:szCs w:val="18"/>
              </w:rPr>
            </w:pPr>
          </w:p>
        </w:tc>
        <w:tc>
          <w:tcPr>
            <w:tcW w:w="1500" w:type="dxa"/>
            <w:tcBorders>
              <w:top w:val="nil"/>
              <w:left w:val="nil"/>
              <w:bottom w:val="single" w:color="auto" w:sz="4" w:space="0"/>
              <w:right w:val="single" w:color="auto" w:sz="4" w:space="0"/>
            </w:tcBorders>
            <w:noWrap w:val="0"/>
            <w:vAlign w:val="center"/>
          </w:tcPr>
          <w:p w14:paraId="5B2C5A02">
            <w:pPr>
              <w:widowControl/>
              <w:jc w:val="left"/>
              <w:rPr>
                <w:rFonts w:hint="eastAsia" w:ascii="宋体" w:hAnsi="宋体" w:eastAsia="宋体" w:cs="宋体"/>
                <w:sz w:val="18"/>
                <w:szCs w:val="18"/>
              </w:rPr>
            </w:pPr>
            <w:r>
              <w:rPr>
                <w:rFonts w:hint="eastAsia" w:ascii="宋体" w:hAnsi="宋体" w:eastAsia="宋体" w:cs="宋体"/>
                <w:sz w:val="18"/>
                <w:szCs w:val="18"/>
              </w:rPr>
              <w:t>资产总额（Z）</w:t>
            </w:r>
          </w:p>
        </w:tc>
        <w:tc>
          <w:tcPr>
            <w:tcW w:w="990" w:type="dxa"/>
            <w:tcBorders>
              <w:top w:val="nil"/>
              <w:left w:val="nil"/>
              <w:bottom w:val="single" w:color="auto" w:sz="4" w:space="0"/>
              <w:right w:val="single" w:color="auto" w:sz="4" w:space="0"/>
            </w:tcBorders>
            <w:noWrap w:val="0"/>
            <w:vAlign w:val="center"/>
          </w:tcPr>
          <w:p w14:paraId="499CF188">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4ACB3DA9">
            <w:pPr>
              <w:widowControl/>
              <w:jc w:val="left"/>
              <w:rPr>
                <w:rFonts w:hint="eastAsia" w:ascii="宋体" w:hAnsi="宋体" w:eastAsia="宋体" w:cs="宋体"/>
                <w:sz w:val="18"/>
                <w:szCs w:val="18"/>
              </w:rPr>
            </w:pPr>
            <w:r>
              <w:rPr>
                <w:rFonts w:hint="eastAsia" w:ascii="宋体" w:hAnsi="宋体" w:eastAsia="宋体" w:cs="宋体"/>
                <w:sz w:val="18"/>
                <w:szCs w:val="18"/>
              </w:rPr>
              <w:t>5000≤Z＜10000</w:t>
            </w:r>
          </w:p>
        </w:tc>
        <w:tc>
          <w:tcPr>
            <w:tcW w:w="1561" w:type="dxa"/>
            <w:tcBorders>
              <w:top w:val="nil"/>
              <w:left w:val="nil"/>
              <w:bottom w:val="single" w:color="auto" w:sz="4" w:space="0"/>
              <w:right w:val="single" w:color="auto" w:sz="4" w:space="0"/>
            </w:tcBorders>
            <w:noWrap w:val="0"/>
            <w:vAlign w:val="center"/>
          </w:tcPr>
          <w:p w14:paraId="6730FFB0">
            <w:pPr>
              <w:widowControl/>
              <w:jc w:val="left"/>
              <w:rPr>
                <w:rFonts w:hint="eastAsia" w:ascii="宋体" w:hAnsi="宋体" w:eastAsia="宋体" w:cs="宋体"/>
                <w:sz w:val="18"/>
                <w:szCs w:val="18"/>
              </w:rPr>
            </w:pPr>
            <w:r>
              <w:rPr>
                <w:rFonts w:hint="eastAsia" w:ascii="宋体" w:hAnsi="宋体" w:eastAsia="宋体" w:cs="宋体"/>
                <w:sz w:val="18"/>
                <w:szCs w:val="18"/>
              </w:rPr>
              <w:t>2000≤Y＜5000</w:t>
            </w:r>
          </w:p>
        </w:tc>
        <w:tc>
          <w:tcPr>
            <w:tcW w:w="1003" w:type="dxa"/>
            <w:tcBorders>
              <w:top w:val="nil"/>
              <w:left w:val="nil"/>
              <w:bottom w:val="single" w:color="auto" w:sz="4" w:space="0"/>
              <w:right w:val="single" w:color="auto" w:sz="4" w:space="0"/>
            </w:tcBorders>
            <w:noWrap w:val="0"/>
            <w:vAlign w:val="center"/>
          </w:tcPr>
          <w:p w14:paraId="34071BE9">
            <w:pPr>
              <w:widowControl/>
              <w:jc w:val="left"/>
              <w:rPr>
                <w:rFonts w:hint="eastAsia" w:ascii="宋体" w:hAnsi="宋体" w:eastAsia="宋体" w:cs="宋体"/>
                <w:sz w:val="18"/>
                <w:szCs w:val="18"/>
              </w:rPr>
            </w:pPr>
            <w:r>
              <w:rPr>
                <w:rFonts w:hint="eastAsia" w:ascii="宋体" w:hAnsi="宋体" w:eastAsia="宋体" w:cs="宋体"/>
                <w:sz w:val="18"/>
                <w:szCs w:val="18"/>
              </w:rPr>
              <w:t>Y＜2000</w:t>
            </w:r>
          </w:p>
        </w:tc>
      </w:tr>
      <w:tr w14:paraId="65F09716">
        <w:tblPrEx>
          <w:tblCellMar>
            <w:top w:w="0" w:type="dxa"/>
            <w:left w:w="108" w:type="dxa"/>
            <w:bottom w:w="0" w:type="dxa"/>
            <w:right w:w="108" w:type="dxa"/>
          </w:tblCellMar>
        </w:tblPrEx>
        <w:trPr>
          <w:trHeight w:val="273" w:hRule="atLeast"/>
        </w:trPr>
        <w:tc>
          <w:tcPr>
            <w:tcW w:w="1845" w:type="dxa"/>
            <w:vMerge w:val="restart"/>
            <w:tcBorders>
              <w:top w:val="nil"/>
              <w:left w:val="single" w:color="auto" w:sz="4" w:space="0"/>
              <w:bottom w:val="single" w:color="auto" w:sz="4" w:space="0"/>
              <w:right w:val="single" w:color="auto" w:sz="4" w:space="0"/>
            </w:tcBorders>
            <w:noWrap w:val="0"/>
            <w:vAlign w:val="bottom"/>
          </w:tcPr>
          <w:p w14:paraId="27675208">
            <w:pPr>
              <w:widowControl/>
              <w:jc w:val="center"/>
              <w:rPr>
                <w:rFonts w:hint="eastAsia" w:ascii="宋体" w:hAnsi="宋体" w:eastAsia="宋体" w:cs="宋体"/>
                <w:b/>
                <w:bCs/>
                <w:sz w:val="18"/>
                <w:szCs w:val="18"/>
              </w:rPr>
            </w:pPr>
            <w:r>
              <w:rPr>
                <w:rFonts w:hint="eastAsia" w:ascii="宋体" w:hAnsi="宋体" w:eastAsia="宋体" w:cs="宋体"/>
                <w:b/>
                <w:bCs/>
                <w:sz w:val="18"/>
                <w:szCs w:val="18"/>
              </w:rPr>
              <w:t>物业管理</w:t>
            </w:r>
          </w:p>
        </w:tc>
        <w:tc>
          <w:tcPr>
            <w:tcW w:w="1500" w:type="dxa"/>
            <w:tcBorders>
              <w:top w:val="nil"/>
              <w:left w:val="nil"/>
              <w:bottom w:val="single" w:color="auto" w:sz="4" w:space="0"/>
              <w:right w:val="single" w:color="auto" w:sz="4" w:space="0"/>
            </w:tcBorders>
            <w:noWrap w:val="0"/>
            <w:vAlign w:val="center"/>
          </w:tcPr>
          <w:p w14:paraId="20E57E6E">
            <w:pPr>
              <w:widowControl/>
              <w:jc w:val="left"/>
              <w:rPr>
                <w:rFonts w:hint="eastAsia" w:ascii="宋体" w:hAnsi="宋体" w:eastAsia="宋体" w:cs="宋体"/>
                <w:sz w:val="18"/>
                <w:szCs w:val="18"/>
              </w:rPr>
            </w:pPr>
            <w:r>
              <w:rPr>
                <w:rFonts w:hint="eastAsia" w:ascii="宋体" w:hAnsi="宋体" w:eastAsia="宋体" w:cs="宋体"/>
                <w:sz w:val="18"/>
                <w:szCs w:val="18"/>
              </w:rPr>
              <w:t>从业人员（X）</w:t>
            </w:r>
          </w:p>
        </w:tc>
        <w:tc>
          <w:tcPr>
            <w:tcW w:w="990" w:type="dxa"/>
            <w:tcBorders>
              <w:top w:val="nil"/>
              <w:left w:val="nil"/>
              <w:bottom w:val="single" w:color="auto" w:sz="4" w:space="0"/>
              <w:right w:val="single" w:color="auto" w:sz="4" w:space="0"/>
            </w:tcBorders>
            <w:noWrap w:val="0"/>
            <w:vAlign w:val="center"/>
          </w:tcPr>
          <w:p w14:paraId="1FF7565F">
            <w:pPr>
              <w:widowControl/>
              <w:jc w:val="left"/>
              <w:rPr>
                <w:rFonts w:hint="eastAsia" w:ascii="宋体" w:hAnsi="宋体" w:eastAsia="宋体" w:cs="宋体"/>
                <w:sz w:val="18"/>
                <w:szCs w:val="18"/>
              </w:rPr>
            </w:pPr>
            <w:r>
              <w:rPr>
                <w:rFonts w:hint="eastAsia" w:ascii="宋体" w:hAnsi="宋体" w:eastAsia="宋体" w:cs="宋体"/>
                <w:sz w:val="18"/>
                <w:szCs w:val="18"/>
              </w:rPr>
              <w:t>人</w:t>
            </w:r>
          </w:p>
        </w:tc>
        <w:tc>
          <w:tcPr>
            <w:tcW w:w="1756" w:type="dxa"/>
            <w:tcBorders>
              <w:top w:val="nil"/>
              <w:left w:val="nil"/>
              <w:bottom w:val="single" w:color="auto" w:sz="4" w:space="0"/>
              <w:right w:val="single" w:color="auto" w:sz="4" w:space="0"/>
            </w:tcBorders>
            <w:noWrap w:val="0"/>
            <w:vAlign w:val="center"/>
          </w:tcPr>
          <w:p w14:paraId="7957B99C">
            <w:pPr>
              <w:widowControl/>
              <w:jc w:val="left"/>
              <w:rPr>
                <w:rFonts w:hint="eastAsia" w:ascii="宋体" w:hAnsi="宋体" w:eastAsia="宋体" w:cs="宋体"/>
                <w:sz w:val="18"/>
                <w:szCs w:val="18"/>
              </w:rPr>
            </w:pPr>
            <w:r>
              <w:rPr>
                <w:rFonts w:hint="eastAsia" w:ascii="宋体" w:hAnsi="宋体" w:eastAsia="宋体" w:cs="宋体"/>
                <w:sz w:val="18"/>
                <w:szCs w:val="18"/>
              </w:rPr>
              <w:t>300≤X＜1000</w:t>
            </w:r>
          </w:p>
        </w:tc>
        <w:tc>
          <w:tcPr>
            <w:tcW w:w="1561" w:type="dxa"/>
            <w:tcBorders>
              <w:top w:val="nil"/>
              <w:left w:val="nil"/>
              <w:bottom w:val="single" w:color="auto" w:sz="4" w:space="0"/>
              <w:right w:val="single" w:color="auto" w:sz="4" w:space="0"/>
            </w:tcBorders>
            <w:noWrap w:val="0"/>
            <w:vAlign w:val="center"/>
          </w:tcPr>
          <w:p w14:paraId="744325BA">
            <w:pPr>
              <w:widowControl/>
              <w:jc w:val="left"/>
              <w:rPr>
                <w:rFonts w:hint="eastAsia" w:ascii="宋体" w:hAnsi="宋体" w:eastAsia="宋体" w:cs="宋体"/>
                <w:sz w:val="18"/>
                <w:szCs w:val="18"/>
              </w:rPr>
            </w:pPr>
            <w:r>
              <w:rPr>
                <w:rFonts w:hint="eastAsia" w:ascii="宋体" w:hAnsi="宋体" w:eastAsia="宋体" w:cs="宋体"/>
                <w:sz w:val="18"/>
                <w:szCs w:val="18"/>
              </w:rPr>
              <w:t>100≤X＜300</w:t>
            </w:r>
          </w:p>
        </w:tc>
        <w:tc>
          <w:tcPr>
            <w:tcW w:w="1003" w:type="dxa"/>
            <w:tcBorders>
              <w:top w:val="nil"/>
              <w:left w:val="nil"/>
              <w:bottom w:val="single" w:color="auto" w:sz="4" w:space="0"/>
              <w:right w:val="single" w:color="auto" w:sz="4" w:space="0"/>
            </w:tcBorders>
            <w:noWrap w:val="0"/>
            <w:vAlign w:val="center"/>
          </w:tcPr>
          <w:p w14:paraId="4B71F3FE">
            <w:pPr>
              <w:widowControl/>
              <w:jc w:val="left"/>
              <w:rPr>
                <w:rFonts w:hint="eastAsia" w:ascii="宋体" w:hAnsi="宋体" w:eastAsia="宋体" w:cs="宋体"/>
                <w:sz w:val="18"/>
                <w:szCs w:val="18"/>
              </w:rPr>
            </w:pPr>
            <w:r>
              <w:rPr>
                <w:rFonts w:hint="eastAsia" w:ascii="宋体" w:hAnsi="宋体" w:eastAsia="宋体" w:cs="宋体"/>
                <w:sz w:val="18"/>
                <w:szCs w:val="18"/>
              </w:rPr>
              <w:t>X＜100</w:t>
            </w:r>
          </w:p>
        </w:tc>
      </w:tr>
      <w:tr w14:paraId="652F3B99">
        <w:tblPrEx>
          <w:tblCellMar>
            <w:top w:w="0" w:type="dxa"/>
            <w:left w:w="108" w:type="dxa"/>
            <w:bottom w:w="0" w:type="dxa"/>
            <w:right w:w="108" w:type="dxa"/>
          </w:tblCellMar>
        </w:tblPrEx>
        <w:trPr>
          <w:trHeight w:val="273" w:hRule="atLeast"/>
        </w:trPr>
        <w:tc>
          <w:tcPr>
            <w:tcW w:w="1845" w:type="dxa"/>
            <w:vMerge w:val="continue"/>
            <w:tcBorders>
              <w:top w:val="nil"/>
              <w:left w:val="single" w:color="auto" w:sz="4" w:space="0"/>
              <w:bottom w:val="single" w:color="auto" w:sz="4" w:space="0"/>
              <w:right w:val="single" w:color="auto" w:sz="4" w:space="0"/>
            </w:tcBorders>
            <w:noWrap w:val="0"/>
            <w:vAlign w:val="center"/>
          </w:tcPr>
          <w:p w14:paraId="002FF48D">
            <w:pPr>
              <w:widowControl/>
              <w:jc w:val="left"/>
              <w:rPr>
                <w:rFonts w:hint="eastAsia" w:ascii="宋体" w:hAnsi="宋体" w:eastAsia="宋体" w:cs="宋体"/>
                <w:b/>
                <w:bCs/>
                <w:sz w:val="18"/>
                <w:szCs w:val="18"/>
              </w:rPr>
            </w:pPr>
          </w:p>
        </w:tc>
        <w:tc>
          <w:tcPr>
            <w:tcW w:w="1500" w:type="dxa"/>
            <w:tcBorders>
              <w:top w:val="nil"/>
              <w:left w:val="nil"/>
              <w:bottom w:val="single" w:color="auto" w:sz="4" w:space="0"/>
              <w:right w:val="single" w:color="auto" w:sz="4" w:space="0"/>
            </w:tcBorders>
            <w:noWrap w:val="0"/>
            <w:vAlign w:val="center"/>
          </w:tcPr>
          <w:p w14:paraId="55CE5AD8">
            <w:pPr>
              <w:widowControl/>
              <w:jc w:val="left"/>
              <w:rPr>
                <w:rFonts w:hint="eastAsia" w:ascii="宋体" w:hAnsi="宋体" w:eastAsia="宋体" w:cs="宋体"/>
                <w:sz w:val="18"/>
                <w:szCs w:val="18"/>
              </w:rPr>
            </w:pPr>
            <w:r>
              <w:rPr>
                <w:rFonts w:hint="eastAsia" w:ascii="宋体" w:hAnsi="宋体" w:eastAsia="宋体" w:cs="宋体"/>
                <w:sz w:val="18"/>
                <w:szCs w:val="18"/>
              </w:rPr>
              <w:t>营业收入（Y）</w:t>
            </w:r>
          </w:p>
        </w:tc>
        <w:tc>
          <w:tcPr>
            <w:tcW w:w="990" w:type="dxa"/>
            <w:tcBorders>
              <w:top w:val="nil"/>
              <w:left w:val="nil"/>
              <w:bottom w:val="single" w:color="auto" w:sz="4" w:space="0"/>
              <w:right w:val="single" w:color="auto" w:sz="4" w:space="0"/>
            </w:tcBorders>
            <w:noWrap w:val="0"/>
            <w:vAlign w:val="center"/>
          </w:tcPr>
          <w:p w14:paraId="13B2454A">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6CA520E6">
            <w:pPr>
              <w:widowControl/>
              <w:jc w:val="left"/>
              <w:rPr>
                <w:rFonts w:hint="eastAsia" w:ascii="宋体" w:hAnsi="宋体" w:eastAsia="宋体" w:cs="宋体"/>
                <w:sz w:val="18"/>
                <w:szCs w:val="18"/>
              </w:rPr>
            </w:pPr>
            <w:r>
              <w:rPr>
                <w:rFonts w:hint="eastAsia" w:ascii="宋体" w:hAnsi="宋体" w:eastAsia="宋体" w:cs="宋体"/>
                <w:sz w:val="18"/>
                <w:szCs w:val="18"/>
              </w:rPr>
              <w:t>1000≤Y＜5000</w:t>
            </w:r>
          </w:p>
        </w:tc>
        <w:tc>
          <w:tcPr>
            <w:tcW w:w="1561" w:type="dxa"/>
            <w:tcBorders>
              <w:top w:val="nil"/>
              <w:left w:val="nil"/>
              <w:bottom w:val="single" w:color="auto" w:sz="4" w:space="0"/>
              <w:right w:val="single" w:color="auto" w:sz="4" w:space="0"/>
            </w:tcBorders>
            <w:noWrap w:val="0"/>
            <w:vAlign w:val="center"/>
          </w:tcPr>
          <w:p w14:paraId="3C982D50">
            <w:pPr>
              <w:widowControl/>
              <w:jc w:val="left"/>
              <w:rPr>
                <w:rFonts w:hint="eastAsia" w:ascii="宋体" w:hAnsi="宋体" w:eastAsia="宋体" w:cs="宋体"/>
                <w:sz w:val="18"/>
                <w:szCs w:val="18"/>
              </w:rPr>
            </w:pPr>
            <w:r>
              <w:rPr>
                <w:rFonts w:hint="eastAsia" w:ascii="宋体" w:hAnsi="宋体" w:eastAsia="宋体" w:cs="宋体"/>
                <w:sz w:val="18"/>
                <w:szCs w:val="18"/>
              </w:rPr>
              <w:t>500≤Y＜1000</w:t>
            </w:r>
          </w:p>
        </w:tc>
        <w:tc>
          <w:tcPr>
            <w:tcW w:w="1003" w:type="dxa"/>
            <w:tcBorders>
              <w:top w:val="nil"/>
              <w:left w:val="nil"/>
              <w:bottom w:val="single" w:color="auto" w:sz="4" w:space="0"/>
              <w:right w:val="single" w:color="auto" w:sz="4" w:space="0"/>
            </w:tcBorders>
            <w:noWrap w:val="0"/>
            <w:vAlign w:val="center"/>
          </w:tcPr>
          <w:p w14:paraId="075E4124">
            <w:pPr>
              <w:widowControl/>
              <w:jc w:val="left"/>
              <w:rPr>
                <w:rFonts w:hint="eastAsia" w:ascii="宋体" w:hAnsi="宋体" w:eastAsia="宋体" w:cs="宋体"/>
                <w:sz w:val="18"/>
                <w:szCs w:val="18"/>
              </w:rPr>
            </w:pPr>
            <w:r>
              <w:rPr>
                <w:rFonts w:hint="eastAsia" w:ascii="宋体" w:hAnsi="宋体" w:eastAsia="宋体" w:cs="宋体"/>
                <w:sz w:val="18"/>
                <w:szCs w:val="18"/>
              </w:rPr>
              <w:t>Y＜500</w:t>
            </w:r>
          </w:p>
        </w:tc>
      </w:tr>
      <w:tr w14:paraId="5785542A">
        <w:tblPrEx>
          <w:tblCellMar>
            <w:top w:w="0" w:type="dxa"/>
            <w:left w:w="108" w:type="dxa"/>
            <w:bottom w:w="0" w:type="dxa"/>
            <w:right w:w="108" w:type="dxa"/>
          </w:tblCellMar>
        </w:tblPrEx>
        <w:trPr>
          <w:trHeight w:val="273" w:hRule="atLeast"/>
        </w:trPr>
        <w:tc>
          <w:tcPr>
            <w:tcW w:w="1845" w:type="dxa"/>
            <w:vMerge w:val="restart"/>
            <w:tcBorders>
              <w:top w:val="nil"/>
              <w:left w:val="single" w:color="auto" w:sz="4" w:space="0"/>
              <w:bottom w:val="single" w:color="auto" w:sz="4" w:space="0"/>
              <w:right w:val="single" w:color="auto" w:sz="4" w:space="0"/>
            </w:tcBorders>
            <w:noWrap w:val="0"/>
            <w:vAlign w:val="bottom"/>
          </w:tcPr>
          <w:p w14:paraId="3A3CFDAA">
            <w:pPr>
              <w:widowControl/>
              <w:jc w:val="center"/>
              <w:rPr>
                <w:rFonts w:hint="eastAsia" w:ascii="宋体" w:hAnsi="宋体" w:eastAsia="宋体" w:cs="宋体"/>
                <w:b/>
                <w:bCs/>
                <w:sz w:val="18"/>
                <w:szCs w:val="18"/>
              </w:rPr>
            </w:pPr>
            <w:r>
              <w:rPr>
                <w:rFonts w:hint="eastAsia" w:ascii="宋体" w:hAnsi="宋体" w:eastAsia="宋体" w:cs="宋体"/>
                <w:b/>
                <w:bCs/>
                <w:sz w:val="18"/>
                <w:szCs w:val="18"/>
              </w:rPr>
              <w:t>租赁和商务服务业</w:t>
            </w:r>
          </w:p>
        </w:tc>
        <w:tc>
          <w:tcPr>
            <w:tcW w:w="1500" w:type="dxa"/>
            <w:tcBorders>
              <w:top w:val="nil"/>
              <w:left w:val="nil"/>
              <w:bottom w:val="single" w:color="auto" w:sz="4" w:space="0"/>
              <w:right w:val="single" w:color="auto" w:sz="4" w:space="0"/>
            </w:tcBorders>
            <w:noWrap w:val="0"/>
            <w:vAlign w:val="center"/>
          </w:tcPr>
          <w:p w14:paraId="2110D18F">
            <w:pPr>
              <w:widowControl/>
              <w:jc w:val="left"/>
              <w:rPr>
                <w:rFonts w:hint="eastAsia" w:ascii="宋体" w:hAnsi="宋体" w:eastAsia="宋体" w:cs="宋体"/>
                <w:sz w:val="18"/>
                <w:szCs w:val="18"/>
              </w:rPr>
            </w:pPr>
            <w:r>
              <w:rPr>
                <w:rFonts w:hint="eastAsia" w:ascii="宋体" w:hAnsi="宋体" w:eastAsia="宋体" w:cs="宋体"/>
                <w:sz w:val="18"/>
                <w:szCs w:val="18"/>
              </w:rPr>
              <w:t>从业人员（X）</w:t>
            </w:r>
          </w:p>
        </w:tc>
        <w:tc>
          <w:tcPr>
            <w:tcW w:w="990" w:type="dxa"/>
            <w:tcBorders>
              <w:top w:val="nil"/>
              <w:left w:val="nil"/>
              <w:bottom w:val="single" w:color="auto" w:sz="4" w:space="0"/>
              <w:right w:val="single" w:color="auto" w:sz="4" w:space="0"/>
            </w:tcBorders>
            <w:noWrap w:val="0"/>
            <w:vAlign w:val="center"/>
          </w:tcPr>
          <w:p w14:paraId="67F064ED">
            <w:pPr>
              <w:widowControl/>
              <w:jc w:val="left"/>
              <w:rPr>
                <w:rFonts w:hint="eastAsia" w:ascii="宋体" w:hAnsi="宋体" w:eastAsia="宋体" w:cs="宋体"/>
                <w:sz w:val="18"/>
                <w:szCs w:val="18"/>
              </w:rPr>
            </w:pPr>
            <w:r>
              <w:rPr>
                <w:rFonts w:hint="eastAsia" w:ascii="宋体" w:hAnsi="宋体" w:eastAsia="宋体" w:cs="宋体"/>
                <w:sz w:val="18"/>
                <w:szCs w:val="18"/>
              </w:rPr>
              <w:t>人</w:t>
            </w:r>
          </w:p>
        </w:tc>
        <w:tc>
          <w:tcPr>
            <w:tcW w:w="1756" w:type="dxa"/>
            <w:tcBorders>
              <w:top w:val="nil"/>
              <w:left w:val="nil"/>
              <w:bottom w:val="single" w:color="auto" w:sz="4" w:space="0"/>
              <w:right w:val="single" w:color="auto" w:sz="4" w:space="0"/>
            </w:tcBorders>
            <w:noWrap w:val="0"/>
            <w:vAlign w:val="center"/>
          </w:tcPr>
          <w:p w14:paraId="33FBF8EA">
            <w:pPr>
              <w:widowControl/>
              <w:jc w:val="left"/>
              <w:rPr>
                <w:rFonts w:hint="eastAsia" w:ascii="宋体" w:hAnsi="宋体" w:eastAsia="宋体" w:cs="宋体"/>
                <w:sz w:val="18"/>
                <w:szCs w:val="18"/>
              </w:rPr>
            </w:pPr>
            <w:r>
              <w:rPr>
                <w:rFonts w:hint="eastAsia" w:ascii="宋体" w:hAnsi="宋体" w:eastAsia="宋体" w:cs="宋体"/>
                <w:sz w:val="18"/>
                <w:szCs w:val="18"/>
              </w:rPr>
              <w:t>100≤X＜300</w:t>
            </w:r>
          </w:p>
        </w:tc>
        <w:tc>
          <w:tcPr>
            <w:tcW w:w="1561" w:type="dxa"/>
            <w:tcBorders>
              <w:top w:val="nil"/>
              <w:left w:val="nil"/>
              <w:bottom w:val="single" w:color="auto" w:sz="4" w:space="0"/>
              <w:right w:val="single" w:color="auto" w:sz="4" w:space="0"/>
            </w:tcBorders>
            <w:noWrap w:val="0"/>
            <w:vAlign w:val="center"/>
          </w:tcPr>
          <w:p w14:paraId="503D0EBF">
            <w:pPr>
              <w:widowControl/>
              <w:jc w:val="left"/>
              <w:rPr>
                <w:rFonts w:hint="eastAsia" w:ascii="宋体" w:hAnsi="宋体" w:eastAsia="宋体" w:cs="宋体"/>
                <w:sz w:val="18"/>
                <w:szCs w:val="18"/>
              </w:rPr>
            </w:pPr>
            <w:r>
              <w:rPr>
                <w:rFonts w:hint="eastAsia" w:ascii="宋体" w:hAnsi="宋体" w:eastAsia="宋体" w:cs="宋体"/>
                <w:sz w:val="18"/>
                <w:szCs w:val="18"/>
              </w:rPr>
              <w:t>10≤X＜100</w:t>
            </w:r>
          </w:p>
        </w:tc>
        <w:tc>
          <w:tcPr>
            <w:tcW w:w="1003" w:type="dxa"/>
            <w:tcBorders>
              <w:top w:val="nil"/>
              <w:left w:val="nil"/>
              <w:bottom w:val="single" w:color="auto" w:sz="4" w:space="0"/>
              <w:right w:val="single" w:color="auto" w:sz="4" w:space="0"/>
            </w:tcBorders>
            <w:noWrap w:val="0"/>
            <w:vAlign w:val="center"/>
          </w:tcPr>
          <w:p w14:paraId="5952BB9D">
            <w:pPr>
              <w:widowControl/>
              <w:jc w:val="left"/>
              <w:rPr>
                <w:rFonts w:hint="eastAsia" w:ascii="宋体" w:hAnsi="宋体" w:eastAsia="宋体" w:cs="宋体"/>
                <w:sz w:val="18"/>
                <w:szCs w:val="18"/>
              </w:rPr>
            </w:pPr>
            <w:r>
              <w:rPr>
                <w:rFonts w:hint="eastAsia" w:ascii="宋体" w:hAnsi="宋体" w:eastAsia="宋体" w:cs="宋体"/>
                <w:sz w:val="18"/>
                <w:szCs w:val="18"/>
              </w:rPr>
              <w:t>X＜10</w:t>
            </w:r>
          </w:p>
        </w:tc>
      </w:tr>
      <w:tr w14:paraId="1B4C8871">
        <w:tblPrEx>
          <w:tblCellMar>
            <w:top w:w="0" w:type="dxa"/>
            <w:left w:w="108" w:type="dxa"/>
            <w:bottom w:w="0" w:type="dxa"/>
            <w:right w:w="108" w:type="dxa"/>
          </w:tblCellMar>
        </w:tblPrEx>
        <w:trPr>
          <w:trHeight w:val="273" w:hRule="atLeast"/>
        </w:trPr>
        <w:tc>
          <w:tcPr>
            <w:tcW w:w="1845" w:type="dxa"/>
            <w:vMerge w:val="continue"/>
            <w:tcBorders>
              <w:top w:val="nil"/>
              <w:left w:val="single" w:color="auto" w:sz="4" w:space="0"/>
              <w:bottom w:val="single" w:color="auto" w:sz="4" w:space="0"/>
              <w:right w:val="single" w:color="auto" w:sz="4" w:space="0"/>
            </w:tcBorders>
            <w:noWrap w:val="0"/>
            <w:vAlign w:val="center"/>
          </w:tcPr>
          <w:p w14:paraId="5460631E">
            <w:pPr>
              <w:widowControl/>
              <w:jc w:val="left"/>
              <w:rPr>
                <w:rFonts w:hint="eastAsia" w:ascii="宋体" w:hAnsi="宋体" w:eastAsia="宋体" w:cs="宋体"/>
                <w:b/>
                <w:bCs/>
                <w:sz w:val="18"/>
                <w:szCs w:val="18"/>
              </w:rPr>
            </w:pPr>
          </w:p>
        </w:tc>
        <w:tc>
          <w:tcPr>
            <w:tcW w:w="1500" w:type="dxa"/>
            <w:tcBorders>
              <w:top w:val="nil"/>
              <w:left w:val="nil"/>
              <w:bottom w:val="single" w:color="auto" w:sz="4" w:space="0"/>
              <w:right w:val="single" w:color="auto" w:sz="4" w:space="0"/>
            </w:tcBorders>
            <w:noWrap w:val="0"/>
            <w:vAlign w:val="center"/>
          </w:tcPr>
          <w:p w14:paraId="3C6D78B2">
            <w:pPr>
              <w:widowControl/>
              <w:jc w:val="left"/>
              <w:rPr>
                <w:rFonts w:hint="eastAsia" w:ascii="宋体" w:hAnsi="宋体" w:eastAsia="宋体" w:cs="宋体"/>
                <w:sz w:val="18"/>
                <w:szCs w:val="18"/>
              </w:rPr>
            </w:pPr>
            <w:r>
              <w:rPr>
                <w:rFonts w:hint="eastAsia" w:ascii="宋体" w:hAnsi="宋体" w:eastAsia="宋体" w:cs="宋体"/>
                <w:sz w:val="18"/>
                <w:szCs w:val="18"/>
              </w:rPr>
              <w:t>资产总额（Z）</w:t>
            </w:r>
          </w:p>
        </w:tc>
        <w:tc>
          <w:tcPr>
            <w:tcW w:w="990" w:type="dxa"/>
            <w:tcBorders>
              <w:top w:val="nil"/>
              <w:left w:val="nil"/>
              <w:bottom w:val="single" w:color="auto" w:sz="4" w:space="0"/>
              <w:right w:val="single" w:color="auto" w:sz="4" w:space="0"/>
            </w:tcBorders>
            <w:noWrap w:val="0"/>
            <w:vAlign w:val="center"/>
          </w:tcPr>
          <w:p w14:paraId="0A3C3162">
            <w:pPr>
              <w:widowControl/>
              <w:jc w:val="left"/>
              <w:rPr>
                <w:rFonts w:hint="eastAsia" w:ascii="宋体" w:hAnsi="宋体" w:eastAsia="宋体" w:cs="宋体"/>
                <w:sz w:val="18"/>
                <w:szCs w:val="18"/>
              </w:rPr>
            </w:pPr>
            <w:r>
              <w:rPr>
                <w:rFonts w:hint="eastAsia" w:ascii="宋体" w:hAnsi="宋体" w:eastAsia="宋体" w:cs="宋体"/>
                <w:sz w:val="18"/>
                <w:szCs w:val="18"/>
              </w:rPr>
              <w:t>万元</w:t>
            </w:r>
          </w:p>
        </w:tc>
        <w:tc>
          <w:tcPr>
            <w:tcW w:w="1756" w:type="dxa"/>
            <w:tcBorders>
              <w:top w:val="nil"/>
              <w:left w:val="nil"/>
              <w:bottom w:val="single" w:color="auto" w:sz="4" w:space="0"/>
              <w:right w:val="single" w:color="auto" w:sz="4" w:space="0"/>
            </w:tcBorders>
            <w:noWrap w:val="0"/>
            <w:vAlign w:val="center"/>
          </w:tcPr>
          <w:p w14:paraId="48ACC808">
            <w:pPr>
              <w:widowControl/>
              <w:jc w:val="left"/>
              <w:rPr>
                <w:rFonts w:hint="eastAsia" w:ascii="宋体" w:hAnsi="宋体" w:eastAsia="宋体" w:cs="宋体"/>
                <w:sz w:val="18"/>
                <w:szCs w:val="18"/>
              </w:rPr>
            </w:pPr>
            <w:r>
              <w:rPr>
                <w:rFonts w:hint="eastAsia" w:ascii="宋体" w:hAnsi="宋体" w:eastAsia="宋体" w:cs="宋体"/>
                <w:sz w:val="18"/>
                <w:szCs w:val="18"/>
              </w:rPr>
              <w:t>8000≤Z＜120000</w:t>
            </w:r>
          </w:p>
        </w:tc>
        <w:tc>
          <w:tcPr>
            <w:tcW w:w="1561" w:type="dxa"/>
            <w:tcBorders>
              <w:top w:val="nil"/>
              <w:left w:val="nil"/>
              <w:bottom w:val="single" w:color="auto" w:sz="4" w:space="0"/>
              <w:right w:val="single" w:color="auto" w:sz="4" w:space="0"/>
            </w:tcBorders>
            <w:noWrap w:val="0"/>
            <w:vAlign w:val="center"/>
          </w:tcPr>
          <w:p w14:paraId="2BC8C09B">
            <w:pPr>
              <w:widowControl/>
              <w:jc w:val="left"/>
              <w:rPr>
                <w:rFonts w:hint="eastAsia" w:ascii="宋体" w:hAnsi="宋体" w:eastAsia="宋体" w:cs="宋体"/>
                <w:sz w:val="18"/>
                <w:szCs w:val="18"/>
              </w:rPr>
            </w:pPr>
            <w:r>
              <w:rPr>
                <w:rFonts w:hint="eastAsia" w:ascii="宋体" w:hAnsi="宋体" w:eastAsia="宋体" w:cs="宋体"/>
                <w:sz w:val="18"/>
                <w:szCs w:val="18"/>
              </w:rPr>
              <w:t>100≤Z＜8000</w:t>
            </w:r>
          </w:p>
        </w:tc>
        <w:tc>
          <w:tcPr>
            <w:tcW w:w="1003" w:type="dxa"/>
            <w:tcBorders>
              <w:top w:val="nil"/>
              <w:left w:val="nil"/>
              <w:bottom w:val="single" w:color="auto" w:sz="4" w:space="0"/>
              <w:right w:val="single" w:color="auto" w:sz="4" w:space="0"/>
            </w:tcBorders>
            <w:noWrap w:val="0"/>
            <w:vAlign w:val="center"/>
          </w:tcPr>
          <w:p w14:paraId="51D51EEE">
            <w:pPr>
              <w:widowControl/>
              <w:jc w:val="left"/>
              <w:rPr>
                <w:rFonts w:hint="eastAsia" w:ascii="宋体" w:hAnsi="宋体" w:eastAsia="宋体" w:cs="宋体"/>
                <w:sz w:val="18"/>
                <w:szCs w:val="18"/>
              </w:rPr>
            </w:pPr>
            <w:r>
              <w:rPr>
                <w:rFonts w:hint="eastAsia" w:ascii="宋体" w:hAnsi="宋体" w:eastAsia="宋体" w:cs="宋体"/>
                <w:sz w:val="18"/>
                <w:szCs w:val="18"/>
              </w:rPr>
              <w:t>Y＜100</w:t>
            </w:r>
          </w:p>
        </w:tc>
      </w:tr>
      <w:tr w14:paraId="0D9C632B">
        <w:tblPrEx>
          <w:tblCellMar>
            <w:top w:w="0" w:type="dxa"/>
            <w:left w:w="108" w:type="dxa"/>
            <w:bottom w:w="0" w:type="dxa"/>
            <w:right w:w="108" w:type="dxa"/>
          </w:tblCellMar>
        </w:tblPrEx>
        <w:trPr>
          <w:trHeight w:val="285" w:hRule="atLeast"/>
        </w:trPr>
        <w:tc>
          <w:tcPr>
            <w:tcW w:w="1845" w:type="dxa"/>
            <w:tcBorders>
              <w:top w:val="nil"/>
              <w:left w:val="single" w:color="auto" w:sz="4" w:space="0"/>
              <w:bottom w:val="single" w:color="auto" w:sz="4" w:space="0"/>
              <w:right w:val="single" w:color="auto" w:sz="4" w:space="0"/>
            </w:tcBorders>
            <w:noWrap w:val="0"/>
            <w:vAlign w:val="bottom"/>
          </w:tcPr>
          <w:p w14:paraId="338B4099">
            <w:pPr>
              <w:widowControl/>
              <w:jc w:val="center"/>
              <w:rPr>
                <w:rFonts w:hint="eastAsia" w:ascii="宋体" w:hAnsi="宋体" w:eastAsia="宋体" w:cs="宋体"/>
                <w:b/>
                <w:bCs/>
                <w:sz w:val="18"/>
                <w:szCs w:val="18"/>
              </w:rPr>
            </w:pPr>
            <w:r>
              <w:rPr>
                <w:rFonts w:hint="eastAsia" w:ascii="宋体" w:hAnsi="宋体" w:eastAsia="宋体" w:cs="宋体"/>
                <w:b/>
                <w:bCs/>
                <w:sz w:val="18"/>
                <w:szCs w:val="18"/>
              </w:rPr>
              <w:t>其他未列明行业</w:t>
            </w:r>
          </w:p>
        </w:tc>
        <w:tc>
          <w:tcPr>
            <w:tcW w:w="1500" w:type="dxa"/>
            <w:tcBorders>
              <w:top w:val="nil"/>
              <w:left w:val="nil"/>
              <w:bottom w:val="single" w:color="auto" w:sz="4" w:space="0"/>
              <w:right w:val="single" w:color="auto" w:sz="4" w:space="0"/>
            </w:tcBorders>
            <w:noWrap w:val="0"/>
            <w:vAlign w:val="center"/>
          </w:tcPr>
          <w:p w14:paraId="1F5FF985">
            <w:pPr>
              <w:widowControl/>
              <w:jc w:val="left"/>
              <w:rPr>
                <w:rFonts w:hint="eastAsia" w:ascii="宋体" w:hAnsi="宋体" w:eastAsia="宋体" w:cs="宋体"/>
                <w:sz w:val="18"/>
                <w:szCs w:val="18"/>
              </w:rPr>
            </w:pPr>
            <w:r>
              <w:rPr>
                <w:rFonts w:hint="eastAsia" w:ascii="宋体" w:hAnsi="宋体" w:eastAsia="宋体" w:cs="宋体"/>
                <w:sz w:val="18"/>
                <w:szCs w:val="18"/>
              </w:rPr>
              <w:t>从业人员（X）</w:t>
            </w:r>
          </w:p>
        </w:tc>
        <w:tc>
          <w:tcPr>
            <w:tcW w:w="990" w:type="dxa"/>
            <w:tcBorders>
              <w:top w:val="nil"/>
              <w:left w:val="nil"/>
              <w:bottom w:val="single" w:color="auto" w:sz="4" w:space="0"/>
              <w:right w:val="single" w:color="auto" w:sz="4" w:space="0"/>
            </w:tcBorders>
            <w:noWrap w:val="0"/>
            <w:vAlign w:val="center"/>
          </w:tcPr>
          <w:p w14:paraId="5162DAEB">
            <w:pPr>
              <w:widowControl/>
              <w:jc w:val="left"/>
              <w:rPr>
                <w:rFonts w:hint="eastAsia" w:ascii="宋体" w:hAnsi="宋体" w:eastAsia="宋体" w:cs="宋体"/>
                <w:sz w:val="18"/>
                <w:szCs w:val="18"/>
              </w:rPr>
            </w:pPr>
            <w:r>
              <w:rPr>
                <w:rFonts w:hint="eastAsia" w:ascii="宋体" w:hAnsi="宋体" w:eastAsia="宋体" w:cs="宋体"/>
                <w:sz w:val="18"/>
                <w:szCs w:val="18"/>
              </w:rPr>
              <w:t>人</w:t>
            </w:r>
          </w:p>
        </w:tc>
        <w:tc>
          <w:tcPr>
            <w:tcW w:w="1756" w:type="dxa"/>
            <w:tcBorders>
              <w:top w:val="nil"/>
              <w:left w:val="nil"/>
              <w:bottom w:val="single" w:color="auto" w:sz="4" w:space="0"/>
              <w:right w:val="single" w:color="auto" w:sz="4" w:space="0"/>
            </w:tcBorders>
            <w:noWrap w:val="0"/>
            <w:vAlign w:val="center"/>
          </w:tcPr>
          <w:p w14:paraId="36EAC23D">
            <w:pPr>
              <w:widowControl/>
              <w:jc w:val="left"/>
              <w:rPr>
                <w:rFonts w:hint="eastAsia" w:ascii="宋体" w:hAnsi="宋体" w:eastAsia="宋体" w:cs="宋体"/>
                <w:sz w:val="18"/>
                <w:szCs w:val="18"/>
              </w:rPr>
            </w:pPr>
            <w:r>
              <w:rPr>
                <w:rFonts w:hint="eastAsia" w:ascii="宋体" w:hAnsi="宋体" w:eastAsia="宋体" w:cs="宋体"/>
                <w:sz w:val="18"/>
                <w:szCs w:val="18"/>
              </w:rPr>
              <w:t>100≤X＜300</w:t>
            </w:r>
          </w:p>
        </w:tc>
        <w:tc>
          <w:tcPr>
            <w:tcW w:w="1561" w:type="dxa"/>
            <w:tcBorders>
              <w:top w:val="nil"/>
              <w:left w:val="nil"/>
              <w:bottom w:val="single" w:color="auto" w:sz="4" w:space="0"/>
              <w:right w:val="single" w:color="auto" w:sz="4" w:space="0"/>
            </w:tcBorders>
            <w:noWrap w:val="0"/>
            <w:vAlign w:val="center"/>
          </w:tcPr>
          <w:p w14:paraId="7F178869">
            <w:pPr>
              <w:widowControl/>
              <w:jc w:val="left"/>
              <w:rPr>
                <w:rFonts w:hint="eastAsia" w:ascii="宋体" w:hAnsi="宋体" w:eastAsia="宋体" w:cs="宋体"/>
                <w:sz w:val="18"/>
                <w:szCs w:val="18"/>
              </w:rPr>
            </w:pPr>
            <w:r>
              <w:rPr>
                <w:rFonts w:hint="eastAsia" w:ascii="宋体" w:hAnsi="宋体" w:eastAsia="宋体" w:cs="宋体"/>
                <w:sz w:val="18"/>
                <w:szCs w:val="18"/>
              </w:rPr>
              <w:t>10≤X＜100</w:t>
            </w:r>
          </w:p>
        </w:tc>
        <w:tc>
          <w:tcPr>
            <w:tcW w:w="1003" w:type="dxa"/>
            <w:tcBorders>
              <w:top w:val="nil"/>
              <w:left w:val="nil"/>
              <w:bottom w:val="single" w:color="auto" w:sz="4" w:space="0"/>
              <w:right w:val="single" w:color="auto" w:sz="4" w:space="0"/>
            </w:tcBorders>
            <w:noWrap w:val="0"/>
            <w:vAlign w:val="center"/>
          </w:tcPr>
          <w:p w14:paraId="11D543A9">
            <w:pPr>
              <w:widowControl/>
              <w:jc w:val="left"/>
              <w:rPr>
                <w:rFonts w:hint="eastAsia" w:ascii="宋体" w:hAnsi="宋体" w:eastAsia="宋体" w:cs="宋体"/>
                <w:sz w:val="18"/>
                <w:szCs w:val="18"/>
              </w:rPr>
            </w:pPr>
            <w:r>
              <w:rPr>
                <w:rFonts w:hint="eastAsia" w:ascii="宋体" w:hAnsi="宋体" w:eastAsia="宋体" w:cs="宋体"/>
                <w:sz w:val="18"/>
                <w:szCs w:val="18"/>
              </w:rPr>
              <w:t>X＜10</w:t>
            </w:r>
          </w:p>
        </w:tc>
      </w:tr>
    </w:tbl>
    <w:p w14:paraId="0F9A3986">
      <w:pPr>
        <w:spacing w:line="380" w:lineRule="exact"/>
        <w:ind w:firstLine="411"/>
        <w:jc w:val="left"/>
        <w:rPr>
          <w:rFonts w:hint="eastAsia" w:ascii="宋体" w:hAnsi="宋体" w:eastAsia="宋体" w:cs="宋体"/>
          <w:sz w:val="18"/>
          <w:szCs w:val="18"/>
        </w:rPr>
      </w:pPr>
      <w:r>
        <w:rPr>
          <w:rFonts w:hint="eastAsia" w:ascii="宋体" w:hAnsi="宋体" w:eastAsia="宋体" w:cs="宋体"/>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1BF27385">
      <w:pPr>
        <w:shd w:val="clear" w:color="auto"/>
        <w:spacing w:line="360" w:lineRule="auto"/>
        <w:contextualSpacing/>
        <w:rPr>
          <w:rFonts w:hint="eastAsia" w:ascii="宋体" w:hAnsi="宋体" w:cs="仿宋_GB2312"/>
          <w:color w:val="auto"/>
          <w:sz w:val="24"/>
          <w:highlight w:val="none"/>
        </w:rPr>
      </w:pPr>
    </w:p>
    <w:p w14:paraId="626D3080">
      <w:pPr>
        <w:shd w:val="clear" w:color="auto"/>
        <w:spacing w:line="380" w:lineRule="exact"/>
        <w:ind w:firstLine="831"/>
        <w:jc w:val="left"/>
        <w:rPr>
          <w:rFonts w:hint="eastAsia" w:ascii="宋体" w:hAnsi="宋体"/>
          <w:color w:val="auto"/>
          <w:szCs w:val="21"/>
          <w:highlight w:val="none"/>
        </w:rPr>
      </w:pPr>
    </w:p>
    <w:p w14:paraId="47861373">
      <w:pPr>
        <w:pStyle w:val="25"/>
        <w:shd w:val="clear" w:color="auto"/>
        <w:spacing w:line="500" w:lineRule="exact"/>
        <w:jc w:val="center"/>
        <w:rPr>
          <w:rFonts w:hint="eastAsia" w:hAnsi="宋体"/>
          <w:color w:val="auto"/>
          <w:sz w:val="32"/>
          <w:szCs w:val="32"/>
          <w:highlight w:val="none"/>
        </w:rPr>
      </w:pPr>
      <w:r>
        <w:rPr>
          <w:color w:val="auto"/>
          <w:highlight w:val="none"/>
        </w:rPr>
        <w:br w:type="page" w:clear="all"/>
      </w:r>
    </w:p>
    <w:p w14:paraId="2E4D692C">
      <w:pPr>
        <w:shd w:val="clear" w:color="auto"/>
        <w:spacing w:before="156" w:after="50" w:line="400" w:lineRule="exact"/>
        <w:jc w:val="center"/>
        <w:rPr>
          <w:rFonts w:hint="eastAsia" w:ascii="宋体" w:hAnsi="宋体"/>
          <w:b/>
          <w:color w:val="auto"/>
          <w:sz w:val="32"/>
          <w:szCs w:val="32"/>
          <w:highlight w:val="none"/>
        </w:rPr>
      </w:pPr>
    </w:p>
    <w:p w14:paraId="44DC058B">
      <w:pPr>
        <w:shd w:val="clear" w:color="auto"/>
        <w:spacing w:line="400" w:lineRule="exact"/>
        <w:ind w:left="420" w:hanging="420"/>
        <w:jc w:val="center"/>
        <w:rPr>
          <w:rFonts w:hint="eastAsia" w:ascii="宋体" w:hAnsi="宋体"/>
          <w:b/>
          <w:color w:val="auto"/>
          <w:sz w:val="32"/>
          <w:szCs w:val="32"/>
          <w:highlight w:val="none"/>
        </w:rPr>
      </w:pPr>
    </w:p>
    <w:p w14:paraId="22886E87">
      <w:pPr>
        <w:shd w:val="clear" w:color="auto"/>
        <w:spacing w:line="400" w:lineRule="exact"/>
        <w:ind w:left="420" w:hanging="420"/>
        <w:jc w:val="center"/>
        <w:rPr>
          <w:rFonts w:hint="eastAsia" w:ascii="宋体" w:hAnsi="宋体"/>
          <w:b/>
          <w:color w:val="auto"/>
          <w:sz w:val="32"/>
          <w:szCs w:val="32"/>
          <w:highlight w:val="none"/>
        </w:rPr>
      </w:pPr>
    </w:p>
    <w:p w14:paraId="6BBCF034">
      <w:pPr>
        <w:shd w:val="clear" w:color="auto"/>
        <w:spacing w:line="400" w:lineRule="exact"/>
        <w:ind w:left="420" w:hanging="420"/>
        <w:jc w:val="center"/>
        <w:rPr>
          <w:rFonts w:hint="eastAsia" w:ascii="宋体" w:hAnsi="宋体"/>
          <w:b/>
          <w:color w:val="auto"/>
          <w:sz w:val="32"/>
          <w:szCs w:val="32"/>
          <w:highlight w:val="none"/>
        </w:rPr>
      </w:pPr>
    </w:p>
    <w:p w14:paraId="703CBBC6">
      <w:pPr>
        <w:shd w:val="clear" w:color="auto"/>
        <w:spacing w:line="400" w:lineRule="exact"/>
        <w:ind w:left="420" w:hanging="420"/>
        <w:jc w:val="center"/>
        <w:rPr>
          <w:rFonts w:hint="eastAsia" w:ascii="宋体" w:hAnsi="宋体"/>
          <w:b/>
          <w:color w:val="auto"/>
          <w:sz w:val="32"/>
          <w:szCs w:val="32"/>
          <w:highlight w:val="none"/>
        </w:rPr>
      </w:pPr>
    </w:p>
    <w:p w14:paraId="0BFDA35D">
      <w:pPr>
        <w:shd w:val="clear" w:color="auto"/>
        <w:spacing w:line="400" w:lineRule="exact"/>
        <w:ind w:left="420" w:hanging="420"/>
        <w:jc w:val="center"/>
        <w:rPr>
          <w:rFonts w:hint="eastAsia" w:ascii="宋体" w:hAnsi="宋体"/>
          <w:b/>
          <w:color w:val="auto"/>
          <w:sz w:val="32"/>
          <w:szCs w:val="32"/>
          <w:highlight w:val="none"/>
        </w:rPr>
      </w:pPr>
    </w:p>
    <w:p w14:paraId="3AC12FCD">
      <w:pPr>
        <w:shd w:val="clear" w:color="auto"/>
        <w:spacing w:line="400" w:lineRule="exact"/>
        <w:ind w:left="420" w:hanging="420"/>
        <w:jc w:val="center"/>
        <w:rPr>
          <w:rFonts w:hint="eastAsia" w:ascii="宋体" w:hAnsi="宋体"/>
          <w:b/>
          <w:color w:val="auto"/>
          <w:sz w:val="32"/>
          <w:szCs w:val="32"/>
          <w:highlight w:val="none"/>
        </w:rPr>
      </w:pPr>
    </w:p>
    <w:p w14:paraId="2B595300">
      <w:pPr>
        <w:shd w:val="clear" w:color="auto"/>
        <w:spacing w:line="400" w:lineRule="exact"/>
        <w:ind w:left="420" w:hanging="420"/>
        <w:jc w:val="center"/>
        <w:rPr>
          <w:rFonts w:hint="eastAsia" w:ascii="宋体" w:hAnsi="宋体"/>
          <w:b/>
          <w:color w:val="auto"/>
          <w:sz w:val="32"/>
          <w:szCs w:val="32"/>
          <w:highlight w:val="none"/>
        </w:rPr>
      </w:pPr>
    </w:p>
    <w:p w14:paraId="4EE92CAE">
      <w:pPr>
        <w:shd w:val="clear" w:color="auto"/>
        <w:spacing w:line="400" w:lineRule="exact"/>
        <w:ind w:left="420" w:hanging="420"/>
        <w:jc w:val="center"/>
        <w:rPr>
          <w:rFonts w:hint="eastAsia" w:ascii="宋体" w:hAnsi="宋体"/>
          <w:b/>
          <w:color w:val="auto"/>
          <w:sz w:val="32"/>
          <w:szCs w:val="32"/>
          <w:highlight w:val="none"/>
        </w:rPr>
      </w:pPr>
    </w:p>
    <w:p w14:paraId="7BE8FD0C">
      <w:pPr>
        <w:shd w:val="clear" w:color="auto"/>
        <w:spacing w:line="400" w:lineRule="exact"/>
        <w:ind w:left="420" w:hanging="420"/>
        <w:jc w:val="center"/>
        <w:rPr>
          <w:rFonts w:hint="eastAsia" w:ascii="宋体" w:hAnsi="宋体"/>
          <w:b/>
          <w:color w:val="auto"/>
          <w:sz w:val="32"/>
          <w:szCs w:val="32"/>
          <w:highlight w:val="none"/>
        </w:rPr>
      </w:pPr>
    </w:p>
    <w:p w14:paraId="7464F670">
      <w:pPr>
        <w:shd w:val="clear" w:color="auto"/>
        <w:spacing w:line="400" w:lineRule="exact"/>
        <w:ind w:left="420" w:hanging="420"/>
        <w:jc w:val="center"/>
        <w:rPr>
          <w:rFonts w:hint="eastAsia" w:ascii="宋体" w:hAnsi="宋体"/>
          <w:b/>
          <w:color w:val="auto"/>
          <w:sz w:val="32"/>
          <w:szCs w:val="32"/>
          <w:highlight w:val="none"/>
        </w:rPr>
      </w:pPr>
    </w:p>
    <w:p w14:paraId="50FCA84D">
      <w:pPr>
        <w:shd w:val="clear" w:color="auto"/>
        <w:spacing w:line="400" w:lineRule="exact"/>
        <w:rPr>
          <w:rFonts w:hint="eastAsia" w:ascii="宋体" w:hAnsi="宋体"/>
          <w:b/>
          <w:color w:val="auto"/>
          <w:sz w:val="32"/>
          <w:szCs w:val="32"/>
          <w:highlight w:val="none"/>
        </w:rPr>
      </w:pPr>
    </w:p>
    <w:p w14:paraId="5DB933B9">
      <w:pPr>
        <w:pStyle w:val="45"/>
        <w:shd w:val="clear" w:color="auto"/>
        <w:rPr>
          <w:rFonts w:hint="eastAsia"/>
          <w:color w:val="auto"/>
          <w:sz w:val="44"/>
          <w:szCs w:val="44"/>
          <w:highlight w:val="none"/>
        </w:rPr>
      </w:pPr>
      <w:bookmarkStart w:id="42" w:name="_Toc8999"/>
      <w:bookmarkStart w:id="43" w:name="_Toc476258672"/>
      <w:r>
        <w:rPr>
          <w:rFonts w:hint="eastAsia"/>
          <w:color w:val="auto"/>
          <w:sz w:val="44"/>
          <w:szCs w:val="44"/>
          <w:highlight w:val="none"/>
        </w:rPr>
        <w:t>第五章  合同主要条款</w:t>
      </w:r>
      <w:bookmarkEnd w:id="42"/>
      <w:bookmarkEnd w:id="43"/>
    </w:p>
    <w:p w14:paraId="29B74803">
      <w:pPr>
        <w:rPr>
          <w:rFonts w:hint="eastAsia" w:ascii="宋体" w:hAnsi="宋体" w:eastAsia="宋体" w:cs="宋体"/>
          <w:b/>
          <w:bCs w:val="0"/>
          <w:sz w:val="56"/>
          <w:szCs w:val="56"/>
          <w:lang w:val="en-US" w:eastAsia="zh-CN" w:bidi="ar"/>
        </w:rPr>
      </w:pPr>
      <w:bookmarkStart w:id="44" w:name="_Toc15389063"/>
      <w:r>
        <w:rPr>
          <w:rFonts w:hint="eastAsia" w:ascii="宋体" w:hAnsi="宋体" w:eastAsia="宋体" w:cs="宋体"/>
          <w:b/>
          <w:bCs w:val="0"/>
          <w:sz w:val="56"/>
          <w:szCs w:val="56"/>
          <w:lang w:val="en-US" w:eastAsia="zh-CN" w:bidi="ar"/>
        </w:rPr>
        <w:br w:type="page" w:clear="all"/>
      </w:r>
    </w:p>
    <w:p w14:paraId="1F5FC091">
      <w:pPr>
        <w:keepNext/>
        <w:keepLines/>
        <w:widowControl w:val="0"/>
        <w:spacing w:line="360" w:lineRule="auto"/>
        <w:jc w:val="center"/>
        <w:outlineLvl w:val="0"/>
        <w:rPr>
          <w:rFonts w:ascii="Times New Roman" w:hAnsi="Times New Roman" w:eastAsia="黑体" w:cs="Times New Roman"/>
          <w:b/>
          <w:bCs/>
          <w:color w:val="auto"/>
          <w:sz w:val="28"/>
          <w:szCs w:val="28"/>
          <w:highlight w:val="none"/>
          <w:lang w:val="zh-CN" w:eastAsia="zh-CN" w:bidi="ar-SA"/>
        </w:rPr>
      </w:pPr>
      <w:bookmarkStart w:id="45" w:name="_Toc373227552"/>
      <w:bookmarkStart w:id="46" w:name="_Toc724920571"/>
      <w:bookmarkStart w:id="47" w:name="_Toc389065255"/>
      <w:bookmarkStart w:id="48" w:name="_Toc407135191"/>
      <w:bookmarkStart w:id="49" w:name="_Toc4704"/>
      <w:bookmarkStart w:id="50" w:name="_Toc373478199"/>
      <w:bookmarkStart w:id="51" w:name="_Toc296503025"/>
      <w:bookmarkStart w:id="52" w:name="_Toc78449777"/>
      <w:bookmarkStart w:id="53" w:name="_Toc351203480"/>
      <w:bookmarkStart w:id="54" w:name="_Toc296890982"/>
      <w:r>
        <w:rPr>
          <w:rFonts w:hint="eastAsia" w:ascii="Times New Roman" w:hAnsi="Times New Roman" w:eastAsia="黑体" w:cs="黑体"/>
          <w:b/>
          <w:bCs/>
          <w:color w:val="auto"/>
          <w:sz w:val="28"/>
          <w:szCs w:val="28"/>
          <w:highlight w:val="none"/>
          <w:lang w:val="zh-CN" w:eastAsia="zh-CN" w:bidi="ar-SA"/>
        </w:rPr>
        <w:t>第一部分</w:t>
      </w:r>
      <w:r>
        <w:rPr>
          <w:rFonts w:ascii="Times New Roman" w:hAnsi="Times New Roman" w:eastAsia="黑体" w:cs="Times New Roman"/>
          <w:b/>
          <w:bCs/>
          <w:color w:val="auto"/>
          <w:sz w:val="28"/>
          <w:szCs w:val="28"/>
          <w:highlight w:val="none"/>
          <w:lang w:val="zh-CN" w:eastAsia="zh-CN" w:bidi="ar-SA"/>
        </w:rPr>
        <w:t xml:space="preserve"> </w:t>
      </w:r>
      <w:r>
        <w:rPr>
          <w:rFonts w:hint="eastAsia" w:ascii="Times New Roman" w:hAnsi="Times New Roman" w:eastAsia="黑体" w:cs="黑体"/>
          <w:b/>
          <w:bCs/>
          <w:color w:val="auto"/>
          <w:sz w:val="28"/>
          <w:szCs w:val="28"/>
          <w:highlight w:val="none"/>
          <w:lang w:val="zh-CN" w:eastAsia="zh-CN" w:bidi="ar-SA"/>
        </w:rPr>
        <w:t>合同协议书</w:t>
      </w:r>
      <w:bookmarkEnd w:id="45"/>
      <w:bookmarkEnd w:id="46"/>
      <w:bookmarkEnd w:id="47"/>
      <w:bookmarkEnd w:id="48"/>
      <w:bookmarkEnd w:id="49"/>
      <w:bookmarkEnd w:id="50"/>
      <w:bookmarkEnd w:id="51"/>
      <w:bookmarkEnd w:id="52"/>
      <w:bookmarkEnd w:id="53"/>
      <w:bookmarkEnd w:id="54"/>
    </w:p>
    <w:p w14:paraId="55BFDCA1">
      <w:pPr>
        <w:keepNext w:val="0"/>
        <w:keepLines w:val="0"/>
        <w:pageBreakBefore w:val="0"/>
        <w:widowControl w:val="0"/>
        <w:bidi w:val="0"/>
        <w:spacing w:line="40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发包人（全称）：</w:t>
      </w:r>
      <w:r>
        <w:rPr>
          <w:rFonts w:hint="eastAsia" w:ascii="宋体" w:hAnsi="宋体" w:eastAsia="宋体" w:cs="宋体"/>
          <w:color w:val="auto"/>
          <w:szCs w:val="21"/>
          <w:highlight w:val="none"/>
          <w:u w:val="single"/>
        </w:rPr>
        <w:t xml:space="preserve">                              </w:t>
      </w:r>
    </w:p>
    <w:p w14:paraId="1D745F12">
      <w:pPr>
        <w:keepNext w:val="0"/>
        <w:keepLines w:val="0"/>
        <w:pageBreakBefore w:val="0"/>
        <w:widowControl w:val="0"/>
        <w:bidi w:val="0"/>
        <w:spacing w:line="40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承包人（全称）：</w:t>
      </w:r>
      <w:r>
        <w:rPr>
          <w:rFonts w:hint="eastAsia" w:ascii="宋体" w:hAnsi="宋体" w:eastAsia="宋体" w:cs="宋体"/>
          <w:color w:val="auto"/>
          <w:szCs w:val="21"/>
          <w:highlight w:val="none"/>
          <w:u w:val="single"/>
        </w:rPr>
        <w:t xml:space="preserve">                              </w:t>
      </w:r>
    </w:p>
    <w:p w14:paraId="64998A46">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根据《中华人民共和国民法典</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中华人民共和国建筑法》及有关法律规定，遵循平等、自愿、公平和诚实信用的原则，双方就</w:t>
      </w:r>
      <w:r>
        <w:rPr>
          <w:rFonts w:hint="eastAsia" w:ascii="宋体" w:hAnsi="宋体" w:cs="宋体"/>
          <w:color w:val="auto"/>
          <w:szCs w:val="21"/>
          <w:highlight w:val="none"/>
          <w:u w:val="single"/>
          <w:lang w:eastAsia="zh-CN"/>
        </w:rPr>
        <w:t>101青年创新港施工项目</w:t>
      </w:r>
      <w:r>
        <w:rPr>
          <w:rFonts w:hint="eastAsia" w:ascii="宋体" w:hAnsi="宋体" w:eastAsia="宋体" w:cs="宋体"/>
          <w:color w:val="auto"/>
          <w:szCs w:val="21"/>
          <w:highlight w:val="none"/>
        </w:rPr>
        <w:t>工程施工及有关事项协商一致，共同达成如下协议：</w:t>
      </w:r>
      <w:bookmarkStart w:id="55" w:name="_Toc351203481"/>
    </w:p>
    <w:p w14:paraId="6CA44FB3">
      <w:pPr>
        <w:keepNext w:val="0"/>
        <w:keepLines w:val="0"/>
        <w:pageBreakBefore w:val="0"/>
        <w:widowControl w:val="0"/>
        <w:bidi w:val="0"/>
        <w:spacing w:line="400" w:lineRule="exact"/>
        <w:ind w:firstLine="42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一、工程概况</w:t>
      </w:r>
      <w:bookmarkEnd w:id="55"/>
    </w:p>
    <w:p w14:paraId="6B3988E2">
      <w:pPr>
        <w:keepNext w:val="0"/>
        <w:keepLines w:val="0"/>
        <w:pageBreakBefore w:val="0"/>
        <w:widowControl w:val="0"/>
        <w:bidi w:val="0"/>
        <w:spacing w:line="400" w:lineRule="exact"/>
        <w:ind w:firstLine="411"/>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1. 工程名称：</w:t>
      </w:r>
      <w:r>
        <w:rPr>
          <w:rFonts w:hint="eastAsia" w:ascii="宋体" w:hAnsi="宋体" w:cs="宋体"/>
          <w:color w:val="auto"/>
          <w:szCs w:val="21"/>
          <w:highlight w:val="none"/>
          <w:u w:val="single"/>
          <w:lang w:eastAsia="zh-CN"/>
        </w:rPr>
        <w:t>101青年创新港施工项目</w:t>
      </w:r>
      <w:r>
        <w:rPr>
          <w:rFonts w:hint="eastAsia" w:ascii="宋体" w:hAnsi="宋体" w:eastAsia="宋体" w:cs="宋体"/>
          <w:color w:val="auto"/>
          <w:szCs w:val="21"/>
          <w:highlight w:val="none"/>
        </w:rPr>
        <w:t>。</w:t>
      </w:r>
    </w:p>
    <w:p w14:paraId="117EFF1F">
      <w:pPr>
        <w:keepNext w:val="0"/>
        <w:keepLines w:val="0"/>
        <w:pageBreakBefore w:val="0"/>
        <w:widowControl w:val="0"/>
        <w:bidi w:val="0"/>
        <w:spacing w:line="400" w:lineRule="exact"/>
        <w:ind w:firstLine="411"/>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工程地点：</w:t>
      </w:r>
      <w:r>
        <w:rPr>
          <w:rFonts w:hint="eastAsia" w:ascii="宋体" w:hAnsi="宋体" w:eastAsia="宋体" w:cs="宋体"/>
          <w:color w:val="auto"/>
          <w:szCs w:val="21"/>
          <w:highlight w:val="none"/>
          <w:u w:val="single"/>
        </w:rPr>
        <w:t>广西机电职业技术学院内</w:t>
      </w:r>
      <w:r>
        <w:rPr>
          <w:rFonts w:hint="eastAsia" w:ascii="宋体" w:hAnsi="宋体" w:eastAsia="宋体" w:cs="宋体"/>
          <w:color w:val="auto"/>
          <w:szCs w:val="21"/>
          <w:highlight w:val="none"/>
        </w:rPr>
        <w:t>。</w:t>
      </w:r>
    </w:p>
    <w:p w14:paraId="7078B3A1">
      <w:pPr>
        <w:keepNext w:val="0"/>
        <w:keepLines w:val="0"/>
        <w:pageBreakBefore w:val="0"/>
        <w:widowControl w:val="0"/>
        <w:bidi w:val="0"/>
        <w:spacing w:line="400" w:lineRule="exact"/>
        <w:ind w:firstLine="411"/>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工程立项批准文号：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7AFD1224">
      <w:pPr>
        <w:keepNext w:val="0"/>
        <w:keepLines w:val="0"/>
        <w:pageBreakBefore w:val="0"/>
        <w:widowControl w:val="0"/>
        <w:bidi w:val="0"/>
        <w:spacing w:line="400" w:lineRule="exact"/>
        <w:ind w:firstLine="411"/>
        <w:rPr>
          <w:rFonts w:hint="eastAsia" w:ascii="宋体" w:hAnsi="宋体" w:eastAsia="宋体" w:cs="宋体"/>
          <w:color w:val="auto"/>
          <w:szCs w:val="21"/>
          <w:highlight w:val="none"/>
        </w:rPr>
      </w:pPr>
      <w:r>
        <w:rPr>
          <w:rFonts w:hint="eastAsia" w:ascii="宋体" w:hAnsi="宋体" w:eastAsia="宋体" w:cs="宋体"/>
          <w:color w:val="auto"/>
          <w:szCs w:val="21"/>
          <w:highlight w:val="none"/>
        </w:rPr>
        <w:t>4. 资金来源：</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51784631">
      <w:pPr>
        <w:keepNext w:val="0"/>
        <w:keepLines w:val="0"/>
        <w:pageBreakBefore w:val="0"/>
        <w:widowControl w:val="0"/>
        <w:bidi w:val="0"/>
        <w:spacing w:line="400" w:lineRule="exact"/>
        <w:ind w:firstLine="411"/>
        <w:rPr>
          <w:rFonts w:hint="eastAsia" w:ascii="宋体" w:hAnsi="宋体" w:eastAsia="宋体" w:cs="宋体"/>
          <w:color w:val="auto"/>
          <w:szCs w:val="21"/>
          <w:highlight w:val="none"/>
        </w:rPr>
      </w:pPr>
      <w:r>
        <w:rPr>
          <w:rFonts w:hint="eastAsia" w:ascii="宋体" w:hAnsi="宋体" w:eastAsia="宋体" w:cs="宋体"/>
          <w:color w:val="auto"/>
          <w:szCs w:val="21"/>
          <w:highlight w:val="none"/>
        </w:rPr>
        <w:t>5. 工程内容：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7DA34EA2">
      <w:pPr>
        <w:keepNext w:val="0"/>
        <w:keepLines w:val="0"/>
        <w:pageBreakBefore w:val="0"/>
        <w:widowControl w:val="0"/>
        <w:bidi w:val="0"/>
        <w:spacing w:line="400" w:lineRule="exact"/>
        <w:ind w:firstLine="411"/>
        <w:rPr>
          <w:rFonts w:hint="eastAsia" w:ascii="宋体" w:hAnsi="宋体" w:eastAsia="宋体" w:cs="宋体"/>
          <w:color w:val="auto"/>
          <w:szCs w:val="21"/>
          <w:highlight w:val="none"/>
        </w:rPr>
      </w:pPr>
      <w:r>
        <w:rPr>
          <w:rFonts w:hint="eastAsia" w:ascii="宋体" w:hAnsi="宋体" w:eastAsia="宋体" w:cs="宋体"/>
          <w:color w:val="auto"/>
          <w:szCs w:val="21"/>
          <w:highlight w:val="none"/>
        </w:rPr>
        <w:t>群体工程应附《承包人承揽工程项目一览表》（附件1）。</w:t>
      </w:r>
    </w:p>
    <w:p w14:paraId="6797A92B">
      <w:pPr>
        <w:keepNext w:val="0"/>
        <w:keepLines w:val="0"/>
        <w:pageBreakBefore w:val="0"/>
        <w:widowControl w:val="0"/>
        <w:bidi w:val="0"/>
        <w:spacing w:line="400" w:lineRule="exact"/>
        <w:ind w:firstLine="411"/>
        <w:rPr>
          <w:rFonts w:hint="eastAsia" w:ascii="宋体" w:hAnsi="宋体" w:eastAsia="宋体" w:cs="宋体"/>
          <w:color w:val="auto"/>
          <w:szCs w:val="21"/>
          <w:highlight w:val="none"/>
        </w:rPr>
      </w:pPr>
      <w:r>
        <w:rPr>
          <w:rFonts w:hint="eastAsia" w:ascii="宋体" w:hAnsi="宋体" w:eastAsia="宋体" w:cs="宋体"/>
          <w:color w:val="auto"/>
          <w:szCs w:val="21"/>
          <w:highlight w:val="none"/>
        </w:rPr>
        <w:t>6. 工程承包范围：</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。具体详见施工图纸、工程量清单</w:t>
      </w:r>
      <w:r>
        <w:rPr>
          <w:rFonts w:hint="eastAsia" w:ascii="宋体" w:hAnsi="宋体" w:eastAsia="宋体" w:cs="宋体"/>
          <w:color w:val="auto"/>
          <w:szCs w:val="21"/>
          <w:highlight w:val="none"/>
        </w:rPr>
        <w:t>。</w:t>
      </w:r>
    </w:p>
    <w:p w14:paraId="698F33EC">
      <w:pPr>
        <w:keepNext w:val="0"/>
        <w:keepLines w:val="0"/>
        <w:pageBreakBefore w:val="0"/>
        <w:widowControl w:val="0"/>
        <w:bidi w:val="0"/>
        <w:spacing w:line="400" w:lineRule="exact"/>
        <w:ind w:firstLine="422"/>
        <w:rPr>
          <w:rFonts w:hint="eastAsia" w:ascii="宋体" w:hAnsi="宋体" w:eastAsia="宋体" w:cs="宋体"/>
          <w:b/>
          <w:bCs/>
          <w:color w:val="auto"/>
          <w:szCs w:val="21"/>
          <w:highlight w:val="none"/>
        </w:rPr>
      </w:pPr>
      <w:bookmarkStart w:id="56" w:name="_Toc351203482"/>
      <w:r>
        <w:rPr>
          <w:rFonts w:hint="eastAsia" w:ascii="宋体" w:hAnsi="宋体" w:eastAsia="宋体" w:cs="宋体"/>
          <w:b/>
          <w:bCs/>
          <w:color w:val="auto"/>
          <w:szCs w:val="21"/>
          <w:highlight w:val="none"/>
        </w:rPr>
        <w:t>二、合同工期</w:t>
      </w:r>
      <w:bookmarkEnd w:id="56"/>
    </w:p>
    <w:p w14:paraId="11178971">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计划开工日期：</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日。（具体以发包人书面通知为准）</w:t>
      </w:r>
    </w:p>
    <w:p w14:paraId="75E5F1E8">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计划竣工日期：</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日。</w:t>
      </w:r>
    </w:p>
    <w:p w14:paraId="528105F3">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工期总日历天数：</w:t>
      </w: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天。工期总日历天数与根据前述计划开竣工日期计算的工期天数不一致的，以工期总日历天数为准。</w:t>
      </w:r>
    </w:p>
    <w:p w14:paraId="43E02966">
      <w:pPr>
        <w:keepNext w:val="0"/>
        <w:keepLines w:val="0"/>
        <w:pageBreakBefore w:val="0"/>
        <w:widowControl w:val="0"/>
        <w:bidi w:val="0"/>
        <w:spacing w:line="400" w:lineRule="exact"/>
        <w:ind w:firstLine="422"/>
        <w:rPr>
          <w:rFonts w:hint="eastAsia" w:ascii="宋体" w:hAnsi="宋体" w:eastAsia="宋体" w:cs="宋体"/>
          <w:b/>
          <w:bCs/>
          <w:color w:val="auto"/>
          <w:szCs w:val="21"/>
          <w:highlight w:val="none"/>
        </w:rPr>
      </w:pPr>
      <w:bookmarkStart w:id="57" w:name="_Toc351203483"/>
      <w:r>
        <w:rPr>
          <w:rFonts w:hint="eastAsia" w:ascii="宋体" w:hAnsi="宋体" w:eastAsia="宋体" w:cs="宋体"/>
          <w:b/>
          <w:bCs/>
          <w:color w:val="auto"/>
          <w:szCs w:val="21"/>
          <w:highlight w:val="none"/>
        </w:rPr>
        <w:t>三、质量标准</w:t>
      </w:r>
      <w:bookmarkEnd w:id="57"/>
    </w:p>
    <w:p w14:paraId="2F310A5B">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工程质量符合</w:t>
      </w:r>
      <w:r>
        <w:rPr>
          <w:rFonts w:hint="eastAsia" w:ascii="宋体" w:hAnsi="宋体" w:eastAsia="宋体" w:cs="宋体"/>
          <w:color w:val="auto"/>
          <w:szCs w:val="21"/>
          <w:highlight w:val="none"/>
          <w:u w:val="single"/>
          <w:lang w:val="en-US" w:eastAsia="zh-CN"/>
        </w:rPr>
        <w:t xml:space="preserve"> 合格 </w:t>
      </w:r>
      <w:r>
        <w:rPr>
          <w:rFonts w:hint="eastAsia" w:ascii="宋体" w:hAnsi="宋体" w:eastAsia="宋体" w:cs="宋体"/>
          <w:color w:val="auto"/>
          <w:szCs w:val="21"/>
          <w:highlight w:val="none"/>
        </w:rPr>
        <w:t>标准。</w:t>
      </w:r>
    </w:p>
    <w:p w14:paraId="5947D123">
      <w:pPr>
        <w:keepNext w:val="0"/>
        <w:keepLines w:val="0"/>
        <w:pageBreakBefore w:val="0"/>
        <w:widowControl w:val="0"/>
        <w:bidi w:val="0"/>
        <w:spacing w:line="400" w:lineRule="exact"/>
        <w:ind w:firstLine="422"/>
        <w:rPr>
          <w:rFonts w:hint="eastAsia" w:ascii="宋体" w:hAnsi="宋体" w:eastAsia="宋体" w:cs="宋体"/>
          <w:b/>
          <w:bCs/>
          <w:color w:val="auto"/>
          <w:szCs w:val="21"/>
          <w:highlight w:val="none"/>
        </w:rPr>
      </w:pPr>
      <w:bookmarkStart w:id="58" w:name="_Toc351203484"/>
      <w:r>
        <w:rPr>
          <w:rFonts w:hint="eastAsia" w:ascii="宋体" w:hAnsi="宋体" w:eastAsia="宋体" w:cs="宋体"/>
          <w:b/>
          <w:bCs/>
          <w:color w:val="auto"/>
          <w:szCs w:val="21"/>
          <w:highlight w:val="none"/>
        </w:rPr>
        <w:t>四、签约合同价与合同价格形式</w:t>
      </w:r>
      <w:bookmarkEnd w:id="58"/>
    </w:p>
    <w:p w14:paraId="76CC0D29">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签约合同价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含税）</w:t>
      </w:r>
      <w:r>
        <w:rPr>
          <w:rFonts w:hint="eastAsia" w:ascii="宋体" w:hAnsi="宋体" w:eastAsia="宋体" w:cs="宋体"/>
          <w:color w:val="auto"/>
          <w:szCs w:val="21"/>
          <w:highlight w:val="none"/>
        </w:rPr>
        <w:t>为：</w:t>
      </w:r>
    </w:p>
    <w:p w14:paraId="6AC4A2D8">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建筑安装工程费（含税）：人民币（大写）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元）；增值税税率</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5378E50B">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其中：</w:t>
      </w:r>
    </w:p>
    <w:p w14:paraId="384215DC">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①安全</w:t>
      </w:r>
      <w:r>
        <w:rPr>
          <w:rFonts w:hint="eastAsia" w:ascii="宋体" w:hAnsi="宋体" w:eastAsia="宋体" w:cs="宋体"/>
          <w:color w:val="auto"/>
          <w:szCs w:val="21"/>
          <w:highlight w:val="none"/>
          <w:lang w:val="en-US" w:eastAsia="zh-CN"/>
        </w:rPr>
        <w:t>生产</w:t>
      </w:r>
      <w:r>
        <w:rPr>
          <w:rFonts w:hint="eastAsia" w:ascii="宋体" w:hAnsi="宋体" w:eastAsia="宋体" w:cs="宋体"/>
          <w:color w:val="auto"/>
          <w:szCs w:val="21"/>
          <w:highlight w:val="none"/>
        </w:rPr>
        <w:t>费</w:t>
      </w:r>
      <w:r>
        <w:rPr>
          <w:rFonts w:hint="eastAsia" w:ascii="宋体" w:hAnsi="宋体" w:eastAsia="宋体" w:cs="宋体"/>
          <w:color w:val="auto"/>
          <w:szCs w:val="21"/>
          <w:highlight w:val="none"/>
          <w:lang w:eastAsia="zh-CN"/>
        </w:rPr>
        <w:t>（含税）</w:t>
      </w:r>
      <w:r>
        <w:rPr>
          <w:rFonts w:hint="eastAsia" w:ascii="宋体" w:hAnsi="宋体" w:eastAsia="宋体" w:cs="宋体"/>
          <w:color w:val="auto"/>
          <w:szCs w:val="21"/>
          <w:highlight w:val="none"/>
        </w:rPr>
        <w:t>：</w:t>
      </w:r>
    </w:p>
    <w:p w14:paraId="65F80017">
      <w:pPr>
        <w:keepNext w:val="0"/>
        <w:keepLines w:val="0"/>
        <w:pageBreakBefore w:val="0"/>
        <w:widowControl w:val="0"/>
        <w:bidi w:val="0"/>
        <w:spacing w:line="400" w:lineRule="exact"/>
        <w:ind w:left="420" w:firstLine="525"/>
        <w:rPr>
          <w:rFonts w:hint="eastAsia" w:ascii="宋体" w:hAnsi="宋体" w:eastAsia="宋体" w:cs="宋体"/>
          <w:color w:val="auto"/>
          <w:szCs w:val="21"/>
          <w:highlight w:val="none"/>
        </w:rPr>
      </w:pPr>
      <w:r>
        <w:rPr>
          <w:rFonts w:hint="eastAsia" w:ascii="宋体" w:hAnsi="宋体" w:eastAsia="宋体" w:cs="宋体"/>
          <w:color w:val="auto"/>
          <w:szCs w:val="21"/>
          <w:highlight w:val="none"/>
        </w:rPr>
        <w:t>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p>
    <w:p w14:paraId="5A3B7373">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②材料暂估价金额</w:t>
      </w:r>
      <w:r>
        <w:rPr>
          <w:rFonts w:hint="eastAsia" w:ascii="宋体" w:hAnsi="宋体" w:eastAsia="宋体" w:cs="宋体"/>
          <w:color w:val="auto"/>
          <w:szCs w:val="21"/>
          <w:highlight w:val="none"/>
          <w:lang w:eastAsia="zh-CN"/>
        </w:rPr>
        <w:t>（含税）</w:t>
      </w:r>
      <w:r>
        <w:rPr>
          <w:rFonts w:hint="eastAsia" w:ascii="宋体" w:hAnsi="宋体" w:eastAsia="宋体" w:cs="宋体"/>
          <w:color w:val="auto"/>
          <w:szCs w:val="21"/>
          <w:highlight w:val="none"/>
        </w:rPr>
        <w:t>：</w:t>
      </w:r>
    </w:p>
    <w:p w14:paraId="6235BA42">
      <w:pPr>
        <w:keepNext w:val="0"/>
        <w:keepLines w:val="0"/>
        <w:pageBreakBefore w:val="0"/>
        <w:widowControl w:val="0"/>
        <w:bidi w:val="0"/>
        <w:spacing w:line="400" w:lineRule="exact"/>
        <w:ind w:firstLine="945"/>
        <w:rPr>
          <w:rFonts w:hint="eastAsia" w:ascii="宋体" w:hAnsi="宋体" w:eastAsia="宋体" w:cs="宋体"/>
          <w:color w:val="auto"/>
          <w:szCs w:val="21"/>
          <w:highlight w:val="none"/>
        </w:rPr>
      </w:pPr>
      <w:r>
        <w:rPr>
          <w:rFonts w:hint="eastAsia" w:ascii="宋体" w:hAnsi="宋体" w:eastAsia="宋体" w:cs="宋体"/>
          <w:color w:val="auto"/>
          <w:szCs w:val="21"/>
          <w:highlight w:val="none"/>
        </w:rPr>
        <w:t>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p>
    <w:p w14:paraId="0D8F795E">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③专业工程暂估价金额</w:t>
      </w:r>
      <w:r>
        <w:rPr>
          <w:rFonts w:hint="eastAsia" w:ascii="宋体" w:hAnsi="宋体" w:eastAsia="宋体" w:cs="宋体"/>
          <w:color w:val="auto"/>
          <w:szCs w:val="21"/>
          <w:highlight w:val="none"/>
          <w:lang w:eastAsia="zh-CN"/>
        </w:rPr>
        <w:t>（含税）</w:t>
      </w:r>
      <w:r>
        <w:rPr>
          <w:rFonts w:hint="eastAsia" w:ascii="宋体" w:hAnsi="宋体" w:eastAsia="宋体" w:cs="宋体"/>
          <w:color w:val="auto"/>
          <w:szCs w:val="21"/>
          <w:highlight w:val="none"/>
        </w:rPr>
        <w:t>：</w:t>
      </w:r>
    </w:p>
    <w:p w14:paraId="49DA8D2D">
      <w:pPr>
        <w:keepNext w:val="0"/>
        <w:keepLines w:val="0"/>
        <w:pageBreakBefore w:val="0"/>
        <w:widowControl w:val="0"/>
        <w:bidi w:val="0"/>
        <w:spacing w:line="400" w:lineRule="exact"/>
        <w:ind w:firstLine="945"/>
        <w:rPr>
          <w:rFonts w:hint="eastAsia" w:ascii="宋体" w:hAnsi="宋体" w:eastAsia="宋体" w:cs="宋体"/>
          <w:color w:val="auto"/>
          <w:szCs w:val="21"/>
          <w:highlight w:val="none"/>
        </w:rPr>
      </w:pPr>
      <w:r>
        <w:rPr>
          <w:rFonts w:hint="eastAsia" w:ascii="宋体" w:hAnsi="宋体" w:eastAsia="宋体" w:cs="宋体"/>
          <w:color w:val="auto"/>
          <w:szCs w:val="21"/>
          <w:highlight w:val="none"/>
        </w:rPr>
        <w:t>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p>
    <w:p w14:paraId="17F7B9B3">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④暂列金额</w:t>
      </w:r>
      <w:r>
        <w:rPr>
          <w:rFonts w:hint="eastAsia" w:ascii="宋体" w:hAnsi="宋体" w:eastAsia="宋体" w:cs="宋体"/>
          <w:color w:val="auto"/>
          <w:szCs w:val="21"/>
          <w:highlight w:val="none"/>
          <w:lang w:eastAsia="zh-CN"/>
        </w:rPr>
        <w:t>（含税）</w:t>
      </w:r>
      <w:r>
        <w:rPr>
          <w:rFonts w:hint="eastAsia" w:ascii="宋体" w:hAnsi="宋体" w:eastAsia="宋体" w:cs="宋体"/>
          <w:color w:val="auto"/>
          <w:szCs w:val="21"/>
          <w:highlight w:val="none"/>
        </w:rPr>
        <w:t>：</w:t>
      </w:r>
    </w:p>
    <w:p w14:paraId="0F520B0F">
      <w:pPr>
        <w:keepNext w:val="0"/>
        <w:keepLines w:val="0"/>
        <w:pageBreakBefore w:val="0"/>
        <w:widowControl w:val="0"/>
        <w:bidi w:val="0"/>
        <w:spacing w:line="400" w:lineRule="exact"/>
        <w:ind w:firstLine="945"/>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r>
        <w:rPr>
          <w:rFonts w:hint="eastAsia" w:ascii="宋体" w:hAnsi="宋体" w:eastAsia="宋体" w:cs="宋体"/>
          <w:color w:val="auto"/>
          <w:szCs w:val="21"/>
          <w:highlight w:val="none"/>
          <w:lang w:eastAsia="zh-CN"/>
        </w:rPr>
        <w:t>；</w:t>
      </w:r>
    </w:p>
    <w:p w14:paraId="534C5561">
      <w:pPr>
        <w:keepNext w:val="0"/>
        <w:keepLines w:val="0"/>
        <w:pageBreakBefore w:val="0"/>
        <w:widowControl w:val="0"/>
        <w:bidi w:val="0"/>
        <w:spacing w:line="400" w:lineRule="exact"/>
        <w:ind w:firstLine="420"/>
        <w:rPr>
          <w:rFonts w:hint="eastAsia" w:ascii="宋体" w:hAnsi="宋体" w:eastAsia="宋体" w:cs="宋体"/>
          <w:color w:val="auto"/>
          <w:highlight w:val="none"/>
          <w:lang w:eastAsia="zh-CN"/>
        </w:rPr>
      </w:pPr>
      <w:r>
        <w:rPr>
          <w:rFonts w:hint="eastAsia" w:ascii="宋体" w:hAnsi="宋体" w:eastAsia="宋体" w:cs="宋体"/>
          <w:color w:val="auto"/>
          <w:sz w:val="21"/>
          <w:szCs w:val="24"/>
          <w:highlight w:val="none"/>
          <w:lang w:val="en-US" w:eastAsia="zh-CN" w:bidi="ar-SA"/>
        </w:rPr>
        <w:t>（2）</w:t>
      </w:r>
      <w:r>
        <w:rPr>
          <w:rFonts w:hint="eastAsia" w:ascii="宋体" w:hAnsi="宋体" w:eastAsia="宋体" w:cs="宋体"/>
          <w:color w:val="auto"/>
          <w:highlight w:val="none"/>
          <w:lang w:eastAsia="zh-CN"/>
        </w:rPr>
        <w:t>设备购置费（含税）：</w:t>
      </w:r>
    </w:p>
    <w:p w14:paraId="1F93EA08">
      <w:pPr>
        <w:pStyle w:val="47"/>
        <w:keepNext w:val="0"/>
        <w:keepLines w:val="0"/>
        <w:pageBreakBefore w:val="0"/>
        <w:widowControl w:val="0"/>
        <w:numPr>
          <w:ilvl w:val="0"/>
          <w:numId w:val="0"/>
        </w:numPr>
        <w:bidi w:val="0"/>
        <w:spacing w:after="0" w:line="400" w:lineRule="exact"/>
        <w:rPr>
          <w:rFonts w:hint="eastAsia" w:ascii="宋体" w:hAnsi="宋体" w:eastAsia="宋体" w:cs="宋体"/>
          <w:color w:val="auto"/>
          <w:highlight w:val="none"/>
          <w:lang w:eastAsia="zh-CN"/>
        </w:rPr>
      </w:pPr>
      <w:r>
        <w:rPr>
          <w:rFonts w:hint="eastAsia" w:ascii="宋体" w:hAnsi="宋体" w:eastAsia="宋体" w:cs="宋体"/>
          <w:color w:val="auto"/>
          <w:highlight w:val="none"/>
        </w:rPr>
        <w:t>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增值税税率</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42DE76AC">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合同价格形式：</w:t>
      </w:r>
      <w:r>
        <w:rPr>
          <w:rFonts w:hint="eastAsia" w:ascii="宋体" w:hAnsi="宋体" w:eastAsia="宋体" w:cs="宋体"/>
          <w:color w:val="auto"/>
          <w:szCs w:val="21"/>
          <w:highlight w:val="none"/>
          <w:u w:val="single"/>
          <w:lang w:val="en-US" w:eastAsia="zh-CN"/>
        </w:rPr>
        <w:t>固定综合单价合同</w:t>
      </w:r>
      <w:r>
        <w:rPr>
          <w:rFonts w:hint="eastAsia" w:ascii="宋体" w:hAnsi="宋体" w:eastAsia="宋体" w:cs="宋体"/>
          <w:color w:val="auto"/>
          <w:szCs w:val="21"/>
          <w:highlight w:val="none"/>
        </w:rPr>
        <w:t>。</w:t>
      </w:r>
    </w:p>
    <w:p w14:paraId="2CB6E40D">
      <w:pPr>
        <w:keepNext w:val="0"/>
        <w:keepLines w:val="0"/>
        <w:pageBreakBefore w:val="0"/>
        <w:widowControl w:val="0"/>
        <w:bidi w:val="0"/>
        <w:spacing w:line="400" w:lineRule="exact"/>
        <w:ind w:firstLine="422"/>
        <w:outlineLvl w:val="0"/>
        <w:rPr>
          <w:rFonts w:hint="eastAsia" w:ascii="宋体" w:hAnsi="宋体" w:eastAsia="宋体" w:cs="宋体"/>
          <w:b/>
          <w:bCs/>
          <w:color w:val="auto"/>
          <w:szCs w:val="21"/>
          <w:highlight w:val="none"/>
        </w:rPr>
      </w:pPr>
      <w:bookmarkStart w:id="59" w:name="_Toc351203485"/>
      <w:r>
        <w:rPr>
          <w:rFonts w:hint="eastAsia" w:ascii="宋体" w:hAnsi="宋体" w:eastAsia="宋体" w:cs="宋体"/>
          <w:b/>
          <w:bCs/>
          <w:color w:val="auto"/>
          <w:szCs w:val="21"/>
          <w:highlight w:val="none"/>
        </w:rPr>
        <w:t>五、</w:t>
      </w:r>
      <w:bookmarkEnd w:id="59"/>
      <w:r>
        <w:rPr>
          <w:rFonts w:hint="eastAsia" w:ascii="宋体" w:hAnsi="宋体" w:eastAsia="宋体" w:cs="宋体"/>
          <w:b/>
          <w:bCs/>
          <w:color w:val="auto"/>
          <w:szCs w:val="21"/>
          <w:highlight w:val="none"/>
        </w:rPr>
        <w:t>项目经理</w:t>
      </w:r>
    </w:p>
    <w:p w14:paraId="1A787D90">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承包人项目经理：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10CDE2B">
      <w:pPr>
        <w:keepNext w:val="0"/>
        <w:keepLines w:val="0"/>
        <w:pageBreakBefore w:val="0"/>
        <w:widowControl w:val="0"/>
        <w:bidi w:val="0"/>
        <w:spacing w:line="400" w:lineRule="exact"/>
        <w:ind w:firstLine="422"/>
        <w:outlineLvl w:val="0"/>
        <w:rPr>
          <w:rFonts w:hint="eastAsia" w:ascii="宋体" w:hAnsi="宋体" w:eastAsia="宋体" w:cs="宋体"/>
          <w:b/>
          <w:bCs/>
          <w:color w:val="auto"/>
          <w:szCs w:val="21"/>
          <w:highlight w:val="none"/>
        </w:rPr>
      </w:pPr>
      <w:bookmarkStart w:id="60" w:name="_Toc351203486"/>
      <w:r>
        <w:rPr>
          <w:rFonts w:hint="eastAsia" w:ascii="宋体" w:hAnsi="宋体" w:eastAsia="宋体" w:cs="宋体"/>
          <w:b/>
          <w:bCs/>
          <w:color w:val="auto"/>
          <w:szCs w:val="21"/>
          <w:highlight w:val="none"/>
        </w:rPr>
        <w:t>六、合同文件构成</w:t>
      </w:r>
      <w:bookmarkEnd w:id="60"/>
    </w:p>
    <w:p w14:paraId="79091554">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本协议书与下列文件一起构成合同文件：</w:t>
      </w:r>
    </w:p>
    <w:p w14:paraId="258FA7C0">
      <w:pPr>
        <w:keepNext w:val="0"/>
        <w:keepLines w:val="0"/>
        <w:pageBreakBefore w:val="0"/>
        <w:widowControl w:val="0"/>
        <w:bidi w:val="0"/>
        <w:spacing w:line="400" w:lineRule="exact"/>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（1）中标通知书（如有）；</w:t>
      </w:r>
    </w:p>
    <w:p w14:paraId="1D4DB84D">
      <w:pPr>
        <w:keepNext w:val="0"/>
        <w:keepLines w:val="0"/>
        <w:pageBreakBefore w:val="0"/>
        <w:widowControl w:val="0"/>
        <w:bidi w:val="0"/>
        <w:spacing w:line="400" w:lineRule="exact"/>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（2）投标函及其附录（如有）； </w:t>
      </w:r>
    </w:p>
    <w:p w14:paraId="3CFFD05A">
      <w:pPr>
        <w:keepNext w:val="0"/>
        <w:keepLines w:val="0"/>
        <w:pageBreakBefore w:val="0"/>
        <w:widowControl w:val="0"/>
        <w:bidi w:val="0"/>
        <w:spacing w:line="400" w:lineRule="exact"/>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（3）专用合同条款及其附件；</w:t>
      </w:r>
    </w:p>
    <w:p w14:paraId="560014BB">
      <w:pPr>
        <w:keepNext w:val="0"/>
        <w:keepLines w:val="0"/>
        <w:pageBreakBefore w:val="0"/>
        <w:widowControl w:val="0"/>
        <w:bidi w:val="0"/>
        <w:spacing w:line="400" w:lineRule="exact"/>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（4）通用合同条款；</w:t>
      </w:r>
    </w:p>
    <w:p w14:paraId="54F71F6A">
      <w:pPr>
        <w:keepNext w:val="0"/>
        <w:keepLines w:val="0"/>
        <w:pageBreakBefore w:val="0"/>
        <w:widowControl w:val="0"/>
        <w:bidi w:val="0"/>
        <w:spacing w:line="400" w:lineRule="exact"/>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（5）标准、规范及有关技术文件；</w:t>
      </w:r>
    </w:p>
    <w:p w14:paraId="3F3065DE">
      <w:pPr>
        <w:keepNext w:val="0"/>
        <w:keepLines w:val="0"/>
        <w:pageBreakBefore w:val="0"/>
        <w:widowControl w:val="0"/>
        <w:bidi w:val="0"/>
        <w:spacing w:line="400" w:lineRule="exact"/>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（6）已标价工程量清单；</w:t>
      </w:r>
    </w:p>
    <w:p w14:paraId="1075CF92">
      <w:pPr>
        <w:keepNext w:val="0"/>
        <w:keepLines w:val="0"/>
        <w:pageBreakBefore w:val="0"/>
        <w:widowControl w:val="0"/>
        <w:bidi w:val="0"/>
        <w:spacing w:line="400" w:lineRule="exact"/>
        <w:ind w:firstLine="42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）其他合同文件</w:t>
      </w:r>
      <w:r>
        <w:rPr>
          <w:rFonts w:hint="eastAsia" w:ascii="宋体" w:hAnsi="宋体" w:eastAsia="宋体" w:cs="宋体"/>
          <w:color w:val="auto"/>
          <w:szCs w:val="21"/>
          <w:highlight w:val="none"/>
          <w:lang w:eastAsia="zh-CN"/>
        </w:rPr>
        <w:t>；</w:t>
      </w:r>
    </w:p>
    <w:p w14:paraId="4386A0B1">
      <w:pPr>
        <w:keepNext w:val="0"/>
        <w:keepLines w:val="0"/>
        <w:pageBreakBefore w:val="0"/>
        <w:widowControl w:val="0"/>
        <w:bidi w:val="0"/>
        <w:spacing w:line="400" w:lineRule="exact"/>
        <w:ind w:firstLine="420"/>
        <w:jc w:val="left"/>
        <w:rPr>
          <w:rFonts w:hint="eastAsia" w:ascii="宋体" w:hAnsi="宋体" w:eastAsia="宋体" w:cs="宋体"/>
          <w:color w:val="auto"/>
          <w:szCs w:val="21"/>
          <w:highlight w:val="none"/>
        </w:rPr>
      </w:pPr>
    </w:p>
    <w:p w14:paraId="0A2772C2">
      <w:pPr>
        <w:keepNext w:val="0"/>
        <w:keepLines w:val="0"/>
        <w:pageBreakBefore w:val="0"/>
        <w:widowControl w:val="0"/>
        <w:bidi w:val="0"/>
        <w:spacing w:line="400" w:lineRule="exact"/>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上述各项合同文件包括合同当事人就该项合同文件所作出的补充和修改，属于同一类内容的文件，应以最新签署的为准（违反招标文件实质性内容的约定除外）。专用合同条款及其附件须经合同当事人签字或盖章。</w:t>
      </w:r>
    </w:p>
    <w:p w14:paraId="26A4093F">
      <w:pPr>
        <w:keepNext w:val="0"/>
        <w:keepLines w:val="0"/>
        <w:pageBreakBefore w:val="0"/>
        <w:widowControl w:val="0"/>
        <w:bidi w:val="0"/>
        <w:spacing w:line="400" w:lineRule="exact"/>
        <w:ind w:firstLine="422"/>
        <w:jc w:val="left"/>
        <w:outlineLvl w:val="0"/>
        <w:rPr>
          <w:rFonts w:hint="eastAsia" w:ascii="宋体" w:hAnsi="宋体" w:eastAsia="宋体" w:cs="宋体"/>
          <w:b/>
          <w:bCs/>
          <w:color w:val="auto"/>
          <w:szCs w:val="21"/>
          <w:highlight w:val="none"/>
        </w:rPr>
      </w:pPr>
      <w:bookmarkStart w:id="61" w:name="_Toc351203487"/>
      <w:r>
        <w:rPr>
          <w:rFonts w:hint="eastAsia" w:ascii="宋体" w:hAnsi="宋体" w:eastAsia="宋体" w:cs="宋体"/>
          <w:b/>
          <w:bCs/>
          <w:color w:val="auto"/>
          <w:szCs w:val="21"/>
          <w:highlight w:val="none"/>
        </w:rPr>
        <w:t>七、承诺</w:t>
      </w:r>
      <w:bookmarkEnd w:id="61"/>
    </w:p>
    <w:p w14:paraId="16707393">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发包人承诺按照法律规定履行项目审批手续、筹集工程建设资金并按照合同约定的期限和方式支付合同价款。</w:t>
      </w:r>
    </w:p>
    <w:p w14:paraId="6D249C53">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承包人承诺按照法律规定及合同约定组织完成工程施工，确保工程质量和安全，不进行转包及违法分包，并在缺陷责任期及保修期内承担相应的工程维修责任。</w:t>
      </w:r>
    </w:p>
    <w:p w14:paraId="2D3E9919">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发包人和承包人通过招投标形式签订合同的，双方理解并承诺不再就同一工程另行签订与合同实质性内容相背离的协议。</w:t>
      </w:r>
      <w:bookmarkStart w:id="62" w:name="_Toc351203488"/>
    </w:p>
    <w:p w14:paraId="5AE18035">
      <w:pPr>
        <w:keepNext w:val="0"/>
        <w:keepLines w:val="0"/>
        <w:pageBreakBefore w:val="0"/>
        <w:widowControl w:val="0"/>
        <w:bidi w:val="0"/>
        <w:spacing w:line="400" w:lineRule="exact"/>
        <w:ind w:firstLine="422"/>
        <w:outlineLvl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八、词语含义</w:t>
      </w:r>
      <w:bookmarkEnd w:id="62"/>
    </w:p>
    <w:p w14:paraId="7243FE8D">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本协议书中词语含义与第二部分通用合同条款中赋予的含义相同。</w:t>
      </w:r>
    </w:p>
    <w:p w14:paraId="321FC09E">
      <w:pPr>
        <w:keepNext w:val="0"/>
        <w:keepLines w:val="0"/>
        <w:pageBreakBefore w:val="0"/>
        <w:widowControl w:val="0"/>
        <w:bidi w:val="0"/>
        <w:spacing w:line="400" w:lineRule="exact"/>
        <w:ind w:firstLine="422"/>
        <w:outlineLvl w:val="0"/>
        <w:rPr>
          <w:rFonts w:hint="eastAsia" w:ascii="宋体" w:hAnsi="宋体" w:eastAsia="宋体" w:cs="宋体"/>
          <w:b/>
          <w:bCs/>
          <w:color w:val="auto"/>
          <w:szCs w:val="21"/>
          <w:highlight w:val="none"/>
        </w:rPr>
      </w:pPr>
      <w:bookmarkStart w:id="63" w:name="_Toc351203489"/>
      <w:r>
        <w:rPr>
          <w:rFonts w:hint="eastAsia" w:ascii="宋体" w:hAnsi="宋体" w:eastAsia="宋体" w:cs="宋体"/>
          <w:b/>
          <w:bCs/>
          <w:color w:val="auto"/>
          <w:szCs w:val="21"/>
          <w:highlight w:val="none"/>
        </w:rPr>
        <w:t>九、签订时间</w:t>
      </w:r>
      <w:bookmarkEnd w:id="63"/>
    </w:p>
    <w:p w14:paraId="64B98B93">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日签订。</w:t>
      </w:r>
    </w:p>
    <w:p w14:paraId="12835BA8">
      <w:pPr>
        <w:keepNext w:val="0"/>
        <w:keepLines w:val="0"/>
        <w:pageBreakBefore w:val="0"/>
        <w:widowControl w:val="0"/>
        <w:bidi w:val="0"/>
        <w:spacing w:line="400" w:lineRule="exact"/>
        <w:ind w:firstLine="422"/>
        <w:outlineLvl w:val="0"/>
        <w:rPr>
          <w:rFonts w:hint="eastAsia" w:ascii="宋体" w:hAnsi="宋体" w:eastAsia="宋体" w:cs="宋体"/>
          <w:b/>
          <w:bCs/>
          <w:color w:val="auto"/>
          <w:szCs w:val="21"/>
          <w:highlight w:val="none"/>
        </w:rPr>
      </w:pPr>
      <w:bookmarkStart w:id="64" w:name="_Toc351203490"/>
      <w:r>
        <w:rPr>
          <w:rFonts w:hint="eastAsia" w:ascii="宋体" w:hAnsi="宋体" w:eastAsia="宋体" w:cs="宋体"/>
          <w:b/>
          <w:bCs/>
          <w:color w:val="auto"/>
          <w:szCs w:val="21"/>
          <w:highlight w:val="none"/>
        </w:rPr>
        <w:t>十、签订地点</w:t>
      </w:r>
      <w:bookmarkEnd w:id="64"/>
    </w:p>
    <w:p w14:paraId="432CBAF3">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本合同在</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签订。</w:t>
      </w:r>
    </w:p>
    <w:p w14:paraId="35D2DC48">
      <w:pPr>
        <w:keepNext w:val="0"/>
        <w:keepLines w:val="0"/>
        <w:pageBreakBefore w:val="0"/>
        <w:widowControl w:val="0"/>
        <w:bidi w:val="0"/>
        <w:spacing w:line="400" w:lineRule="exact"/>
        <w:ind w:firstLine="422"/>
        <w:outlineLvl w:val="0"/>
        <w:rPr>
          <w:rFonts w:hint="eastAsia" w:ascii="宋体" w:hAnsi="宋体" w:eastAsia="宋体" w:cs="宋体"/>
          <w:b/>
          <w:bCs/>
          <w:color w:val="auto"/>
          <w:szCs w:val="21"/>
          <w:highlight w:val="none"/>
        </w:rPr>
      </w:pPr>
      <w:bookmarkStart w:id="65" w:name="_Toc351203491"/>
      <w:r>
        <w:rPr>
          <w:rFonts w:hint="eastAsia" w:ascii="宋体" w:hAnsi="宋体" w:eastAsia="宋体" w:cs="宋体"/>
          <w:b/>
          <w:bCs/>
          <w:color w:val="auto"/>
          <w:szCs w:val="21"/>
          <w:highlight w:val="none"/>
        </w:rPr>
        <w:t>十一、补充协议</w:t>
      </w:r>
      <w:bookmarkEnd w:id="65"/>
    </w:p>
    <w:p w14:paraId="139B1BB0">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合同未尽事宜，合同当事人另行签订补充协议，补充协议是合同的组成部分。</w:t>
      </w:r>
    </w:p>
    <w:p w14:paraId="7754CABC">
      <w:pPr>
        <w:keepNext w:val="0"/>
        <w:keepLines w:val="0"/>
        <w:pageBreakBefore w:val="0"/>
        <w:widowControl w:val="0"/>
        <w:bidi w:val="0"/>
        <w:spacing w:line="400" w:lineRule="exact"/>
        <w:ind w:firstLine="422"/>
        <w:outlineLvl w:val="0"/>
        <w:rPr>
          <w:rFonts w:hint="eastAsia" w:ascii="宋体" w:hAnsi="宋体" w:eastAsia="宋体" w:cs="宋体"/>
          <w:b/>
          <w:bCs/>
          <w:color w:val="auto"/>
          <w:szCs w:val="21"/>
          <w:highlight w:val="none"/>
        </w:rPr>
      </w:pPr>
      <w:bookmarkStart w:id="66" w:name="_Toc351203492"/>
      <w:r>
        <w:rPr>
          <w:rFonts w:hint="eastAsia" w:ascii="宋体" w:hAnsi="宋体" w:eastAsia="宋体" w:cs="宋体"/>
          <w:b/>
          <w:bCs/>
          <w:color w:val="auto"/>
          <w:szCs w:val="21"/>
          <w:highlight w:val="none"/>
        </w:rPr>
        <w:t>十二、合同生效</w:t>
      </w:r>
      <w:bookmarkEnd w:id="66"/>
    </w:p>
    <w:p w14:paraId="1961F6C9">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本合同自</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生效。</w:t>
      </w:r>
    </w:p>
    <w:p w14:paraId="1D2EB0A3">
      <w:pPr>
        <w:keepNext w:val="0"/>
        <w:keepLines w:val="0"/>
        <w:pageBreakBefore w:val="0"/>
        <w:widowControl w:val="0"/>
        <w:bidi w:val="0"/>
        <w:spacing w:line="400" w:lineRule="exact"/>
        <w:ind w:firstLine="422"/>
        <w:outlineLvl w:val="0"/>
        <w:rPr>
          <w:rFonts w:hint="eastAsia" w:ascii="宋体" w:hAnsi="宋体" w:eastAsia="宋体" w:cs="宋体"/>
          <w:b/>
          <w:bCs/>
          <w:color w:val="auto"/>
          <w:szCs w:val="21"/>
          <w:highlight w:val="none"/>
        </w:rPr>
      </w:pPr>
      <w:bookmarkStart w:id="67" w:name="_Toc351203493"/>
      <w:r>
        <w:rPr>
          <w:rFonts w:hint="eastAsia" w:ascii="宋体" w:hAnsi="宋体" w:eastAsia="宋体" w:cs="宋体"/>
          <w:b/>
          <w:bCs/>
          <w:color w:val="auto"/>
          <w:szCs w:val="21"/>
          <w:highlight w:val="none"/>
        </w:rPr>
        <w:t>十三、合同份数</w:t>
      </w:r>
      <w:bookmarkEnd w:id="67"/>
    </w:p>
    <w:p w14:paraId="15E49E60">
      <w:pPr>
        <w:keepNext w:val="0"/>
        <w:keepLines w:val="0"/>
        <w:pageBreakBefore w:val="0"/>
        <w:widowControl w:val="0"/>
        <w:bidi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本合同一式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份，均具有同等法律效力，发包人执</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份，承包人执</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w:t>
      </w:r>
    </w:p>
    <w:p w14:paraId="32276988">
      <w:pPr>
        <w:keepNext w:val="0"/>
        <w:keepLines w:val="0"/>
        <w:pageBreakBefore w:val="0"/>
        <w:widowControl w:val="0"/>
        <w:bidi w:val="0"/>
        <w:spacing w:line="400" w:lineRule="exact"/>
        <w:rPr>
          <w:rFonts w:hint="eastAsia" w:ascii="宋体" w:hAnsi="宋体" w:eastAsia="宋体" w:cs="宋体"/>
          <w:color w:val="auto"/>
          <w:szCs w:val="21"/>
          <w:highlight w:val="none"/>
        </w:rPr>
      </w:pPr>
    </w:p>
    <w:p w14:paraId="2B368343">
      <w:pPr>
        <w:keepNext w:val="0"/>
        <w:keepLines w:val="0"/>
        <w:pageBreakBefore w:val="0"/>
        <w:widowControl w:val="0"/>
        <w:bidi w:val="0"/>
        <w:spacing w:line="400" w:lineRule="exact"/>
        <w:rPr>
          <w:rFonts w:hint="eastAsia" w:ascii="宋体" w:hAnsi="宋体" w:eastAsia="宋体" w:cs="宋体"/>
          <w:color w:val="auto"/>
          <w:szCs w:val="21"/>
          <w:highlight w:val="none"/>
        </w:rPr>
      </w:pPr>
    </w:p>
    <w:p w14:paraId="7E0DC0C3">
      <w:pPr>
        <w:keepNext w:val="0"/>
        <w:keepLines w:val="0"/>
        <w:pageBreakBefore w:val="0"/>
        <w:widowControl w:val="0"/>
        <w:bidi w:val="0"/>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  （公章）                              承包人：  （公章）</w:t>
      </w:r>
    </w:p>
    <w:p w14:paraId="33AFB8BC">
      <w:pPr>
        <w:keepNext w:val="0"/>
        <w:keepLines w:val="0"/>
        <w:pageBreakBefore w:val="0"/>
        <w:widowControl w:val="0"/>
        <w:bidi w:val="0"/>
        <w:spacing w:line="40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 xml:space="preserve">                                 </w:t>
      </w:r>
    </w:p>
    <w:p w14:paraId="31C2CAB5">
      <w:pPr>
        <w:keepNext w:val="0"/>
        <w:keepLines w:val="0"/>
        <w:pageBreakBefore w:val="0"/>
        <w:widowControl w:val="0"/>
        <w:bidi w:val="0"/>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                    法定代表人或其委托代理人：</w:t>
      </w:r>
    </w:p>
    <w:p w14:paraId="07D3C276">
      <w:pPr>
        <w:keepNext w:val="0"/>
        <w:keepLines w:val="0"/>
        <w:pageBreakBefore w:val="0"/>
        <w:widowControl w:val="0"/>
        <w:bidi w:val="0"/>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                                     （签字）</w:t>
      </w:r>
    </w:p>
    <w:p w14:paraId="5F7CE2BB">
      <w:pPr>
        <w:keepNext w:val="0"/>
        <w:keepLines w:val="0"/>
        <w:pageBreakBefore w:val="0"/>
        <w:widowControl w:val="0"/>
        <w:bidi w:val="0"/>
        <w:spacing w:line="400" w:lineRule="exact"/>
        <w:rPr>
          <w:rFonts w:hint="eastAsia" w:ascii="宋体" w:hAnsi="宋体" w:eastAsia="宋体" w:cs="宋体"/>
          <w:color w:val="auto"/>
          <w:szCs w:val="21"/>
          <w:highlight w:val="none"/>
          <w:u w:val="single"/>
        </w:rPr>
      </w:pPr>
    </w:p>
    <w:p w14:paraId="7B7A0A21">
      <w:pPr>
        <w:keepNext w:val="0"/>
        <w:keepLines w:val="0"/>
        <w:pageBreakBefore w:val="0"/>
        <w:widowControl w:val="0"/>
        <w:tabs>
          <w:tab w:val="left" w:pos="4410"/>
        </w:tabs>
        <w:bidi w:val="0"/>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统一社会信用代码：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统一社会信用代码：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0D2848CB">
      <w:pPr>
        <w:keepNext w:val="0"/>
        <w:keepLines w:val="0"/>
        <w:pageBreakBefore w:val="0"/>
        <w:widowControl w:val="0"/>
        <w:bidi w:val="0"/>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地  址：</w:t>
      </w:r>
      <w:r>
        <w:rPr>
          <w:rFonts w:hint="eastAsia" w:ascii="宋体" w:hAnsi="宋体" w:eastAsia="宋体" w:cs="宋体"/>
          <w:color w:val="auto"/>
          <w:szCs w:val="21"/>
          <w:highlight w:val="none"/>
          <w:u w:val="single"/>
        </w:rPr>
        <w:t xml:space="preserve">                            </w:t>
      </w:r>
    </w:p>
    <w:p w14:paraId="5CC488B7">
      <w:pPr>
        <w:keepNext w:val="0"/>
        <w:keepLines w:val="0"/>
        <w:pageBreakBefore w:val="0"/>
        <w:widowControl w:val="0"/>
        <w:bidi w:val="0"/>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邮政编码：</w:t>
      </w:r>
      <w:r>
        <w:rPr>
          <w:rFonts w:hint="eastAsia" w:ascii="宋体" w:hAnsi="宋体" w:eastAsia="宋体" w:cs="宋体"/>
          <w:color w:val="auto"/>
          <w:szCs w:val="21"/>
          <w:highlight w:val="none"/>
          <w:u w:val="single"/>
        </w:rPr>
        <w:t xml:space="preserve">                          </w:t>
      </w:r>
    </w:p>
    <w:p w14:paraId="3E393D15">
      <w:pPr>
        <w:keepNext w:val="0"/>
        <w:keepLines w:val="0"/>
        <w:pageBreakBefore w:val="0"/>
        <w:widowControl w:val="0"/>
        <w:bidi w:val="0"/>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法定代表人：</w:t>
      </w:r>
      <w:r>
        <w:rPr>
          <w:rFonts w:hint="eastAsia" w:ascii="宋体" w:hAnsi="宋体" w:eastAsia="宋体" w:cs="宋体"/>
          <w:color w:val="auto"/>
          <w:szCs w:val="21"/>
          <w:highlight w:val="none"/>
          <w:u w:val="single"/>
        </w:rPr>
        <w:t xml:space="preserve">                        </w:t>
      </w:r>
    </w:p>
    <w:p w14:paraId="04478B5E">
      <w:pPr>
        <w:keepNext w:val="0"/>
        <w:keepLines w:val="0"/>
        <w:pageBreakBefore w:val="0"/>
        <w:widowControl w:val="0"/>
        <w:bidi w:val="0"/>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委托代理人：</w:t>
      </w:r>
      <w:r>
        <w:rPr>
          <w:rFonts w:hint="eastAsia" w:ascii="宋体" w:hAnsi="宋体" w:eastAsia="宋体" w:cs="宋体"/>
          <w:color w:val="auto"/>
          <w:szCs w:val="21"/>
          <w:highlight w:val="none"/>
          <w:u w:val="single"/>
        </w:rPr>
        <w:t xml:space="preserve">                         </w:t>
      </w:r>
    </w:p>
    <w:p w14:paraId="6E00322A">
      <w:pPr>
        <w:keepNext w:val="0"/>
        <w:keepLines w:val="0"/>
        <w:pageBreakBefore w:val="0"/>
        <w:widowControl w:val="0"/>
        <w:bidi w:val="0"/>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电  话：</w:t>
      </w:r>
      <w:r>
        <w:rPr>
          <w:rFonts w:hint="eastAsia" w:ascii="宋体" w:hAnsi="宋体" w:eastAsia="宋体" w:cs="宋体"/>
          <w:color w:val="auto"/>
          <w:szCs w:val="21"/>
          <w:highlight w:val="none"/>
          <w:u w:val="single"/>
        </w:rPr>
        <w:t xml:space="preserve">                            </w:t>
      </w:r>
    </w:p>
    <w:p w14:paraId="2CF1D6F2">
      <w:pPr>
        <w:keepNext w:val="0"/>
        <w:keepLines w:val="0"/>
        <w:pageBreakBefore w:val="0"/>
        <w:widowControl w:val="0"/>
        <w:bidi w:val="0"/>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传  真：</w:t>
      </w:r>
      <w:r>
        <w:rPr>
          <w:rFonts w:hint="eastAsia" w:ascii="宋体" w:hAnsi="宋体" w:eastAsia="宋体" w:cs="宋体"/>
          <w:color w:val="auto"/>
          <w:szCs w:val="21"/>
          <w:highlight w:val="none"/>
          <w:u w:val="single"/>
        </w:rPr>
        <w:t xml:space="preserve">                             </w:t>
      </w:r>
    </w:p>
    <w:p w14:paraId="6F1F56F0">
      <w:pPr>
        <w:keepNext w:val="0"/>
        <w:keepLines w:val="0"/>
        <w:pageBreakBefore w:val="0"/>
        <w:widowControl w:val="0"/>
        <w:bidi w:val="0"/>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电子信箱：</w:t>
      </w:r>
      <w:r>
        <w:rPr>
          <w:rFonts w:hint="eastAsia" w:ascii="宋体" w:hAnsi="宋体" w:eastAsia="宋体" w:cs="宋体"/>
          <w:color w:val="auto"/>
          <w:szCs w:val="21"/>
          <w:highlight w:val="none"/>
          <w:u w:val="single"/>
        </w:rPr>
        <w:t xml:space="preserve">                         </w:t>
      </w:r>
    </w:p>
    <w:p w14:paraId="4E1788E4">
      <w:pPr>
        <w:keepNext w:val="0"/>
        <w:keepLines w:val="0"/>
        <w:pageBreakBefore w:val="0"/>
        <w:widowControl w:val="0"/>
        <w:bidi w:val="0"/>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开户银行：</w:t>
      </w:r>
      <w:r>
        <w:rPr>
          <w:rFonts w:hint="eastAsia" w:ascii="宋体" w:hAnsi="宋体" w:eastAsia="宋体" w:cs="宋体"/>
          <w:color w:val="auto"/>
          <w:szCs w:val="21"/>
          <w:highlight w:val="none"/>
          <w:u w:val="single"/>
        </w:rPr>
        <w:t xml:space="preserve">                         </w:t>
      </w:r>
    </w:p>
    <w:p w14:paraId="6276B4C1">
      <w:pPr>
        <w:keepNext w:val="0"/>
        <w:keepLines w:val="0"/>
        <w:pageBreakBefore w:val="0"/>
        <w:widowControl w:val="0"/>
        <w:bidi w:val="0"/>
        <w:spacing w:line="40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账  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账  号：</w:t>
      </w:r>
      <w:r>
        <w:rPr>
          <w:rFonts w:hint="eastAsia" w:ascii="宋体" w:hAnsi="宋体" w:eastAsia="宋体" w:cs="宋体"/>
          <w:color w:val="auto"/>
          <w:szCs w:val="21"/>
          <w:highlight w:val="none"/>
          <w:u w:val="single"/>
        </w:rPr>
        <w:t xml:space="preserve">                           </w:t>
      </w:r>
    </w:p>
    <w:p w14:paraId="30222BB7">
      <w:pPr>
        <w:widowControl/>
        <w:jc w:val="left"/>
        <w:rPr>
          <w:rFonts w:ascii="Times New Roman" w:hAnsi="Times New Roman" w:eastAsia="宋体" w:cs="Times New Roman"/>
          <w:color w:val="auto"/>
          <w:szCs w:val="21"/>
          <w:highlight w:val="none"/>
          <w:u w:val="single"/>
        </w:rPr>
      </w:pPr>
      <w:r>
        <w:rPr>
          <w:rFonts w:ascii="Times New Roman" w:hAnsi="Times New Roman" w:eastAsia="宋体" w:cs="Times New Roman"/>
          <w:color w:val="auto"/>
          <w:szCs w:val="21"/>
          <w:highlight w:val="none"/>
        </w:rPr>
        <w:br w:type="page" w:clear="all"/>
      </w:r>
    </w:p>
    <w:p w14:paraId="0C68BB42">
      <w:pPr>
        <w:keepNext/>
        <w:keepLines/>
        <w:widowControl w:val="0"/>
        <w:spacing w:line="360" w:lineRule="auto"/>
        <w:jc w:val="center"/>
        <w:outlineLvl w:val="0"/>
        <w:rPr>
          <w:rFonts w:hint="eastAsia" w:ascii="Times New Roman" w:hAnsi="Times New Roman" w:eastAsia="黑体" w:cs="黑体"/>
          <w:b/>
          <w:bCs/>
          <w:color w:val="auto"/>
          <w:sz w:val="28"/>
          <w:szCs w:val="28"/>
          <w:highlight w:val="none"/>
          <w:lang w:val="zh-CN" w:eastAsia="zh-CN" w:bidi="ar-SA"/>
        </w:rPr>
      </w:pPr>
      <w:bookmarkStart w:id="68" w:name="_Toc407135192"/>
      <w:bookmarkStart w:id="69" w:name="_Toc389065256"/>
      <w:bookmarkStart w:id="70" w:name="_Toc78449778"/>
      <w:bookmarkStart w:id="71" w:name="_Toc86847323"/>
      <w:bookmarkStart w:id="72" w:name="_Toc7212"/>
      <w:bookmarkStart w:id="73" w:name="_Toc373227691"/>
      <w:bookmarkStart w:id="74" w:name="_Toc373478338"/>
      <w:bookmarkStart w:id="75" w:name="_Toc351203632"/>
      <w:r>
        <w:rPr>
          <w:rFonts w:hint="eastAsia" w:ascii="Times New Roman" w:hAnsi="Times New Roman" w:eastAsia="黑体" w:cs="黑体"/>
          <w:b/>
          <w:bCs/>
          <w:color w:val="auto"/>
          <w:sz w:val="28"/>
          <w:szCs w:val="28"/>
          <w:highlight w:val="none"/>
          <w:lang w:val="zh-CN" w:eastAsia="zh-CN" w:bidi="ar-SA"/>
        </w:rPr>
        <w:t>第二部分 通用合同条款</w:t>
      </w:r>
      <w:bookmarkEnd w:id="68"/>
      <w:bookmarkEnd w:id="69"/>
      <w:bookmarkEnd w:id="70"/>
      <w:bookmarkEnd w:id="71"/>
      <w:bookmarkEnd w:id="72"/>
    </w:p>
    <w:p w14:paraId="2E1F1B7A">
      <w:pPr>
        <w:spacing w:line="360" w:lineRule="auto"/>
        <w:jc w:val="center"/>
        <w:rPr>
          <w:rFonts w:hint="eastAsia" w:ascii="Times New Roman" w:hAnsi="宋体" w:eastAsia="宋体" w:cs="宋体"/>
          <w:b/>
          <w:bCs/>
          <w:color w:val="auto"/>
          <w:szCs w:val="21"/>
          <w:highlight w:val="none"/>
        </w:rPr>
      </w:pPr>
      <w:r>
        <w:rPr>
          <w:rFonts w:hint="eastAsia" w:ascii="Times New Roman" w:hAnsi="宋体" w:eastAsia="宋体" w:cs="宋体"/>
          <w:b/>
          <w:bCs/>
          <w:color w:val="auto"/>
          <w:szCs w:val="21"/>
          <w:highlight w:val="none"/>
        </w:rPr>
        <w:t>采用《建设工程施工合同（示范文本）》（</w:t>
      </w:r>
      <w:r>
        <w:rPr>
          <w:rFonts w:ascii="Times New Roman" w:hAnsi="宋体" w:eastAsia="宋体" w:cs="Times New Roman"/>
          <w:b/>
          <w:bCs/>
          <w:color w:val="auto"/>
          <w:szCs w:val="21"/>
          <w:highlight w:val="none"/>
        </w:rPr>
        <w:t>GF</w:t>
      </w:r>
      <w:r>
        <w:rPr>
          <w:rFonts w:ascii="Times New Roman" w:hAnsi="宋体" w:eastAsia="宋体" w:cs="宋体"/>
          <w:b/>
          <w:bCs/>
          <w:color w:val="auto"/>
          <w:szCs w:val="21"/>
          <w:highlight w:val="none"/>
        </w:rPr>
        <w:t>—</w:t>
      </w:r>
      <w:r>
        <w:rPr>
          <w:rFonts w:ascii="Times New Roman" w:hAnsi="宋体" w:eastAsia="宋体" w:cs="Times New Roman"/>
          <w:b/>
          <w:bCs/>
          <w:color w:val="auto"/>
          <w:szCs w:val="21"/>
          <w:highlight w:val="none"/>
        </w:rPr>
        <w:t>201</w:t>
      </w:r>
      <w:r>
        <w:rPr>
          <w:rFonts w:hint="eastAsia" w:ascii="Times New Roman" w:hAnsi="宋体" w:eastAsia="宋体" w:cs="Times New Roman"/>
          <w:b/>
          <w:bCs/>
          <w:color w:val="auto"/>
          <w:szCs w:val="21"/>
          <w:highlight w:val="none"/>
        </w:rPr>
        <w:t>7</w:t>
      </w:r>
      <w:r>
        <w:rPr>
          <w:rFonts w:ascii="Times New Roman" w:hAnsi="宋体" w:eastAsia="宋体" w:cs="宋体"/>
          <w:b/>
          <w:bCs/>
          <w:color w:val="auto"/>
          <w:szCs w:val="21"/>
          <w:highlight w:val="none"/>
        </w:rPr>
        <w:t>—</w:t>
      </w:r>
      <w:r>
        <w:rPr>
          <w:rFonts w:ascii="Times New Roman" w:hAnsi="宋体" w:eastAsia="宋体" w:cs="Times New Roman"/>
          <w:b/>
          <w:bCs/>
          <w:color w:val="auto"/>
          <w:szCs w:val="21"/>
          <w:highlight w:val="none"/>
        </w:rPr>
        <w:t>0201</w:t>
      </w:r>
      <w:r>
        <w:rPr>
          <w:rFonts w:hint="eastAsia" w:ascii="Times New Roman" w:hAnsi="宋体" w:eastAsia="宋体" w:cs="宋体"/>
          <w:b/>
          <w:bCs/>
          <w:color w:val="auto"/>
          <w:szCs w:val="21"/>
          <w:highlight w:val="none"/>
        </w:rPr>
        <w:t>）。</w:t>
      </w:r>
    </w:p>
    <w:p w14:paraId="0A6B7360">
      <w:pPr>
        <w:pStyle w:val="47"/>
      </w:pPr>
    </w:p>
    <w:p w14:paraId="7D0AC752">
      <w:pPr>
        <w:keepNext/>
        <w:keepLines/>
        <w:widowControl w:val="0"/>
        <w:spacing w:line="360" w:lineRule="auto"/>
        <w:jc w:val="center"/>
        <w:outlineLvl w:val="0"/>
        <w:rPr>
          <w:rFonts w:hint="eastAsia" w:ascii="Times New Roman" w:hAnsi="Times New Roman" w:eastAsia="黑体" w:cs="黑体"/>
          <w:b/>
          <w:bCs/>
          <w:color w:val="auto"/>
          <w:sz w:val="28"/>
          <w:szCs w:val="28"/>
          <w:highlight w:val="none"/>
          <w:lang w:val="zh-CN" w:eastAsia="zh-CN" w:bidi="ar-SA"/>
        </w:rPr>
      </w:pPr>
      <w:bookmarkStart w:id="76" w:name="_Toc15440"/>
      <w:bookmarkStart w:id="77" w:name="_Toc78449779"/>
      <w:bookmarkStart w:id="78" w:name="_Toc389065257"/>
      <w:bookmarkStart w:id="79" w:name="_Toc407135193"/>
      <w:bookmarkStart w:id="80" w:name="_Toc704444909"/>
      <w:r>
        <w:rPr>
          <w:rFonts w:hint="eastAsia" w:ascii="Times New Roman" w:hAnsi="Times New Roman" w:eastAsia="黑体" w:cs="黑体"/>
          <w:b/>
          <w:bCs/>
          <w:color w:val="auto"/>
          <w:sz w:val="28"/>
          <w:szCs w:val="28"/>
          <w:highlight w:val="none"/>
          <w:lang w:val="zh-CN" w:eastAsia="zh-CN" w:bidi="ar-SA"/>
        </w:rPr>
        <w:t>第三部分 专用合同条款</w:t>
      </w:r>
      <w:bookmarkEnd w:id="73"/>
      <w:bookmarkEnd w:id="74"/>
      <w:bookmarkEnd w:id="75"/>
      <w:bookmarkEnd w:id="76"/>
      <w:bookmarkEnd w:id="77"/>
      <w:bookmarkEnd w:id="78"/>
      <w:bookmarkEnd w:id="79"/>
      <w:bookmarkEnd w:id="80"/>
    </w:p>
    <w:p w14:paraId="45B35468">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81" w:name="_Toc389065258"/>
      <w:bookmarkStart w:id="82" w:name="_Toc373227692"/>
      <w:bookmarkStart w:id="83" w:name="_Toc351203633"/>
      <w:bookmarkStart w:id="84" w:name="_Toc373478339"/>
      <w:bookmarkStart w:id="85" w:name="_Toc407135194"/>
      <w:bookmarkStart w:id="86" w:name="_Toc78449780"/>
      <w:bookmarkStart w:id="87" w:name="_Toc7869"/>
      <w:bookmarkStart w:id="88" w:name="_Toc1013968286"/>
      <w:r>
        <w:rPr>
          <w:rFonts w:ascii="Arial" w:hAnsi="Arial" w:eastAsia="黑体" w:cs="Times New Roman"/>
          <w:b/>
          <w:bCs/>
          <w:color w:val="auto"/>
          <w:sz w:val="21"/>
          <w:szCs w:val="21"/>
          <w:highlight w:val="none"/>
          <w:lang w:val="zh-CN" w:eastAsia="zh-CN" w:bidi="ar-SA"/>
        </w:rPr>
        <w:t>1</w:t>
      </w:r>
      <w:bookmarkStart w:id="89" w:name="_Toc296890984"/>
      <w:bookmarkStart w:id="90" w:name="_Toc297120456"/>
      <w:bookmarkStart w:id="91" w:name="_Toc296346657"/>
      <w:bookmarkStart w:id="92" w:name="_Toc296891196"/>
      <w:bookmarkStart w:id="93" w:name="_Toc292559866"/>
      <w:bookmarkStart w:id="94" w:name="_Toc296503156"/>
      <w:bookmarkStart w:id="95" w:name="_Toc296944495"/>
      <w:bookmarkStart w:id="96" w:name="_Toc296347155"/>
      <w:bookmarkStart w:id="97" w:name="_Toc292559361"/>
      <w:bookmarkStart w:id="98" w:name="_Toc297048342"/>
      <w:r>
        <w:rPr>
          <w:rFonts w:ascii="Arial" w:hAnsi="Arial" w:eastAsia="黑体" w:cs="Times New Roman"/>
          <w:b/>
          <w:bCs/>
          <w:color w:val="auto"/>
          <w:sz w:val="21"/>
          <w:szCs w:val="21"/>
          <w:highlight w:val="none"/>
          <w:lang w:val="zh-CN" w:eastAsia="zh-CN" w:bidi="ar-SA"/>
        </w:rPr>
        <w:t xml:space="preserve">. </w:t>
      </w:r>
      <w:r>
        <w:rPr>
          <w:rFonts w:hint="eastAsia" w:ascii="Arial" w:hAnsi="宋体" w:eastAsia="黑体" w:cs="黑体"/>
          <w:b/>
          <w:bCs/>
          <w:color w:val="auto"/>
          <w:sz w:val="21"/>
          <w:szCs w:val="21"/>
          <w:highlight w:val="none"/>
          <w:lang w:val="zh-CN" w:eastAsia="zh-CN" w:bidi="ar-SA"/>
        </w:rPr>
        <w:t>一般约定</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2FB4BB21">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99" w:name="_Toc31903"/>
      <w:bookmarkStart w:id="100" w:name="_Toc17652"/>
      <w:bookmarkStart w:id="101" w:name="_Toc407135195"/>
      <w:bookmarkStart w:id="102" w:name="_Toc373227693"/>
      <w:bookmarkStart w:id="103" w:name="_Toc1618220701"/>
      <w:bookmarkStart w:id="104" w:name="_Toc389065259"/>
      <w:bookmarkStart w:id="105" w:name="_Toc78449781"/>
      <w:bookmarkStart w:id="106" w:name="_Toc373478340"/>
      <w:r>
        <w:rPr>
          <w:rFonts w:ascii="Times New Roman" w:hAnsi="Times New Roman" w:eastAsia="黑体" w:cs="Times New Roman"/>
          <w:b/>
          <w:bCs/>
          <w:color w:val="auto"/>
          <w:sz w:val="21"/>
          <w:szCs w:val="21"/>
          <w:highlight w:val="none"/>
          <w:lang w:val="zh-CN" w:eastAsia="zh-CN" w:bidi="ar-SA"/>
        </w:rPr>
        <w:t xml:space="preserve">1.1 </w:t>
      </w:r>
      <w:r>
        <w:rPr>
          <w:rFonts w:hint="eastAsia" w:ascii="Times New Roman" w:hAnsi="宋体" w:eastAsia="黑体" w:cs="黑体"/>
          <w:b/>
          <w:bCs/>
          <w:color w:val="auto"/>
          <w:sz w:val="21"/>
          <w:szCs w:val="21"/>
          <w:highlight w:val="none"/>
          <w:lang w:val="zh-CN" w:eastAsia="zh-CN" w:bidi="ar-SA"/>
        </w:rPr>
        <w:t>词语定义</w:t>
      </w:r>
      <w:bookmarkEnd w:id="99"/>
      <w:bookmarkEnd w:id="100"/>
      <w:bookmarkEnd w:id="101"/>
      <w:bookmarkEnd w:id="102"/>
      <w:bookmarkEnd w:id="103"/>
      <w:bookmarkEnd w:id="104"/>
      <w:bookmarkEnd w:id="105"/>
      <w:bookmarkEnd w:id="106"/>
    </w:p>
    <w:p w14:paraId="015FD315">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1.1.1 </w:t>
      </w:r>
      <w:r>
        <w:rPr>
          <w:rFonts w:hint="eastAsia" w:ascii="Times New Roman" w:hAnsi="宋体" w:eastAsia="宋体" w:cs="宋体"/>
          <w:color w:val="auto"/>
          <w:sz w:val="21"/>
          <w:szCs w:val="21"/>
          <w:highlight w:val="none"/>
        </w:rPr>
        <w:t>合同</w:t>
      </w:r>
    </w:p>
    <w:p w14:paraId="49CF9BB8">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1.1.1.10 </w:t>
      </w:r>
      <w:r>
        <w:rPr>
          <w:rFonts w:hint="eastAsia" w:ascii="Times New Roman" w:hAnsi="宋体" w:eastAsia="宋体" w:cs="宋体"/>
          <w:color w:val="auto"/>
          <w:sz w:val="21"/>
          <w:szCs w:val="21"/>
          <w:highlight w:val="none"/>
        </w:rPr>
        <w:t>其他合同文件包括：</w:t>
      </w:r>
      <w:r>
        <w:rPr>
          <w:rFonts w:hint="eastAsia" w:ascii="Times New Roman" w:hAnsi="宋体" w:eastAsia="宋体" w:cs="宋体"/>
          <w:color w:val="auto"/>
          <w:sz w:val="21"/>
          <w:szCs w:val="21"/>
          <w:highlight w:val="none"/>
          <w:u w:val="single"/>
        </w:rPr>
        <w:t>自治区建设行政主管部门颁布的建设工程全过程计价规范及多层级工程量清单计算规范，投标文件澄清或说明的文件和回复文件，</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307FC59F">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1.1.2 </w:t>
      </w:r>
      <w:r>
        <w:rPr>
          <w:rFonts w:hint="eastAsia" w:ascii="Times New Roman" w:hAnsi="宋体" w:eastAsia="宋体" w:cs="宋体"/>
          <w:color w:val="auto"/>
          <w:sz w:val="21"/>
          <w:szCs w:val="21"/>
          <w:highlight w:val="none"/>
        </w:rPr>
        <w:t>合同当事人及其他相关方</w:t>
      </w:r>
    </w:p>
    <w:p w14:paraId="043F58E8">
      <w:pPr>
        <w:spacing w:line="360" w:lineRule="auto"/>
        <w:ind w:firstLine="420"/>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1.1.2.4 </w:t>
      </w:r>
      <w:r>
        <w:rPr>
          <w:rFonts w:hint="eastAsia" w:ascii="Times New Roman" w:hAnsi="宋体" w:eastAsia="宋体" w:cs="宋体"/>
          <w:color w:val="auto"/>
          <w:sz w:val="21"/>
          <w:szCs w:val="21"/>
          <w:highlight w:val="none"/>
        </w:rPr>
        <w:t>监理人：</w:t>
      </w:r>
    </w:p>
    <w:p w14:paraId="52B9EEC2">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名</w:t>
      </w:r>
      <w:r>
        <w:rPr>
          <w:rFonts w:ascii="Times New Roman" w:hAnsi="Times New Roman" w:eastAsia="宋体" w:cs="Times New Roman"/>
          <w:color w:val="auto"/>
          <w:sz w:val="21"/>
          <w:szCs w:val="21"/>
          <w:highlight w:val="none"/>
        </w:rPr>
        <w:t xml:space="preserve">    </w:t>
      </w:r>
      <w:r>
        <w:rPr>
          <w:rFonts w:hint="eastAsia" w:ascii="Times New Roman" w:hAnsi="宋体" w:eastAsia="宋体" w:cs="宋体"/>
          <w:color w:val="auto"/>
          <w:sz w:val="21"/>
          <w:szCs w:val="21"/>
          <w:highlight w:val="none"/>
        </w:rPr>
        <w:t>称：</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601A0C2F">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资质类别和等级：</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0CCC731A">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联系电话：</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291617B7">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电子信箱：</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208B18A2">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通信地址：</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777127F4">
      <w:pPr>
        <w:spacing w:line="360" w:lineRule="auto"/>
        <w:ind w:firstLine="420"/>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1.1.2.5 </w:t>
      </w:r>
      <w:r>
        <w:rPr>
          <w:rFonts w:hint="eastAsia" w:ascii="Times New Roman" w:hAnsi="宋体" w:eastAsia="宋体" w:cs="宋体"/>
          <w:color w:val="auto"/>
          <w:sz w:val="21"/>
          <w:szCs w:val="21"/>
          <w:highlight w:val="none"/>
        </w:rPr>
        <w:t>设计人：</w:t>
      </w:r>
    </w:p>
    <w:p w14:paraId="3690A298">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名</w:t>
      </w:r>
      <w:r>
        <w:rPr>
          <w:rFonts w:ascii="Times New Roman" w:hAnsi="Times New Roman" w:eastAsia="宋体" w:cs="Times New Roman"/>
          <w:color w:val="auto"/>
          <w:sz w:val="21"/>
          <w:szCs w:val="21"/>
          <w:highlight w:val="none"/>
        </w:rPr>
        <w:t xml:space="preserve">    </w:t>
      </w:r>
      <w:r>
        <w:rPr>
          <w:rFonts w:hint="eastAsia" w:ascii="Times New Roman" w:hAnsi="宋体" w:eastAsia="宋体" w:cs="宋体"/>
          <w:color w:val="auto"/>
          <w:sz w:val="21"/>
          <w:szCs w:val="21"/>
          <w:highlight w:val="none"/>
        </w:rPr>
        <w:t>称：</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2E8F5D47">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资质类别和等级：</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64B70F21">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联系电话：</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651152E8">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电子信箱：</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5196D537">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通信地址：</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128AF82B">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1.1.3 </w:t>
      </w:r>
      <w:r>
        <w:rPr>
          <w:rFonts w:hint="eastAsia" w:ascii="Times New Roman" w:hAnsi="宋体" w:eastAsia="宋体" w:cs="宋体"/>
          <w:color w:val="auto"/>
          <w:sz w:val="21"/>
          <w:szCs w:val="21"/>
          <w:highlight w:val="none"/>
        </w:rPr>
        <w:t>工程和设备</w:t>
      </w:r>
    </w:p>
    <w:p w14:paraId="48A9A45B">
      <w:pPr>
        <w:spacing w:line="360" w:lineRule="auto"/>
        <w:ind w:firstLine="420"/>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1.1.3.7 </w:t>
      </w:r>
      <w:r>
        <w:rPr>
          <w:rFonts w:hint="eastAsia" w:ascii="Times New Roman" w:hAnsi="宋体" w:eastAsia="宋体" w:cs="宋体"/>
          <w:color w:val="auto"/>
          <w:sz w:val="21"/>
          <w:szCs w:val="21"/>
          <w:highlight w:val="none"/>
        </w:rPr>
        <w:t>作为施工现场组成部分的其他场所包括：</w:t>
      </w:r>
      <w:r>
        <w:rPr>
          <w:rFonts w:hint="eastAsia" w:ascii="Times New Roman" w:hAnsi="Times New Roman" w:eastAsia="宋体" w:cs="Times New Roman"/>
          <w:color w:val="auto"/>
          <w:sz w:val="21"/>
          <w:szCs w:val="21"/>
          <w:highlight w:val="none"/>
          <w:u w:val="single"/>
        </w:rPr>
        <w:t>按现有条件施工</w:t>
      </w:r>
      <w:r>
        <w:rPr>
          <w:rFonts w:hint="eastAsia" w:ascii="Times New Roman" w:hAnsi="宋体" w:eastAsia="宋体" w:cs="宋体"/>
          <w:color w:val="auto"/>
          <w:sz w:val="21"/>
          <w:szCs w:val="21"/>
          <w:highlight w:val="none"/>
        </w:rPr>
        <w:t>。</w:t>
      </w:r>
    </w:p>
    <w:p w14:paraId="6673B172">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1.1.3.9 </w:t>
      </w:r>
      <w:r>
        <w:rPr>
          <w:rFonts w:hint="eastAsia" w:ascii="Times New Roman" w:hAnsi="宋体" w:eastAsia="宋体" w:cs="宋体"/>
          <w:color w:val="auto"/>
          <w:sz w:val="21"/>
          <w:szCs w:val="21"/>
          <w:highlight w:val="none"/>
        </w:rPr>
        <w:t>永久占地包括：</w:t>
      </w:r>
      <w:r>
        <w:rPr>
          <w:rFonts w:hint="eastAsia" w:ascii="Times New Roman" w:hAnsi="Times New Roman" w:eastAsia="宋体" w:cs="Times New Roman"/>
          <w:color w:val="auto"/>
          <w:sz w:val="21"/>
          <w:szCs w:val="21"/>
          <w:highlight w:val="none"/>
          <w:u w:val="single"/>
        </w:rPr>
        <w:t>施工图所示占地线范围，范围、坐标详见施工图</w:t>
      </w:r>
      <w:r>
        <w:rPr>
          <w:rFonts w:hint="eastAsia" w:ascii="Times New Roman" w:hAnsi="宋体" w:eastAsia="宋体" w:cs="宋体"/>
          <w:color w:val="auto"/>
          <w:sz w:val="21"/>
          <w:szCs w:val="21"/>
          <w:highlight w:val="none"/>
        </w:rPr>
        <w:t>。</w:t>
      </w:r>
    </w:p>
    <w:p w14:paraId="71FD1086">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1.1.3.10 </w:t>
      </w:r>
      <w:r>
        <w:rPr>
          <w:rFonts w:hint="eastAsia" w:ascii="Times New Roman" w:hAnsi="宋体" w:eastAsia="宋体" w:cs="宋体"/>
          <w:color w:val="auto"/>
          <w:sz w:val="21"/>
          <w:szCs w:val="21"/>
          <w:highlight w:val="none"/>
        </w:rPr>
        <w:t>临时占地包括：</w:t>
      </w:r>
      <w:r>
        <w:rPr>
          <w:rFonts w:hint="eastAsia" w:ascii="Times New Roman" w:hAnsi="Times New Roman" w:eastAsia="宋体" w:cs="Times New Roman"/>
          <w:color w:val="auto"/>
          <w:sz w:val="21"/>
          <w:szCs w:val="21"/>
          <w:highlight w:val="none"/>
          <w:u w:val="single"/>
        </w:rPr>
        <w:t>发包人用地红线内双方指定的用于承包人堆放施工材料、设备及办公生活等临时用地，超出指定用地范围须不得影响其它项目施工和通行等，且须报经建设单位同意</w:t>
      </w:r>
      <w:r>
        <w:rPr>
          <w:rFonts w:hint="eastAsia" w:ascii="Times New Roman" w:hAnsi="宋体" w:eastAsia="宋体" w:cs="宋体"/>
          <w:color w:val="auto"/>
          <w:sz w:val="21"/>
          <w:szCs w:val="21"/>
          <w:highlight w:val="none"/>
        </w:rPr>
        <w:t>。</w:t>
      </w:r>
    </w:p>
    <w:p w14:paraId="7B91C507">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07" w:name="_Toc373227694"/>
      <w:bookmarkStart w:id="108" w:name="_Toc78449782"/>
      <w:bookmarkStart w:id="109" w:name="_Toc407135196"/>
      <w:bookmarkStart w:id="110" w:name="_Toc373478341"/>
      <w:bookmarkStart w:id="111" w:name="_Toc10861"/>
      <w:bookmarkStart w:id="112" w:name="_Toc16494"/>
      <w:bookmarkStart w:id="113" w:name="_Toc1162259329"/>
      <w:bookmarkStart w:id="114" w:name="_Toc389065260"/>
      <w:r>
        <w:rPr>
          <w:rFonts w:ascii="Times New Roman" w:hAnsi="Times New Roman" w:eastAsia="黑体" w:cs="Times New Roman"/>
          <w:b/>
          <w:bCs/>
          <w:color w:val="auto"/>
          <w:sz w:val="21"/>
          <w:szCs w:val="21"/>
          <w:highlight w:val="none"/>
          <w:lang w:val="zh-CN" w:eastAsia="zh-CN" w:bidi="ar-SA"/>
        </w:rPr>
        <w:t xml:space="preserve">1.3 </w:t>
      </w:r>
      <w:r>
        <w:rPr>
          <w:rFonts w:hint="eastAsia" w:ascii="Times New Roman" w:hAnsi="宋体" w:eastAsia="黑体" w:cs="黑体"/>
          <w:b/>
          <w:bCs/>
          <w:color w:val="auto"/>
          <w:sz w:val="21"/>
          <w:szCs w:val="21"/>
          <w:highlight w:val="none"/>
          <w:lang w:val="zh-CN" w:eastAsia="zh-CN" w:bidi="ar-SA"/>
        </w:rPr>
        <w:t>法律</w:t>
      </w:r>
      <w:bookmarkEnd w:id="107"/>
      <w:bookmarkEnd w:id="108"/>
      <w:bookmarkEnd w:id="109"/>
      <w:bookmarkEnd w:id="110"/>
      <w:bookmarkEnd w:id="111"/>
      <w:bookmarkEnd w:id="112"/>
      <w:bookmarkEnd w:id="113"/>
      <w:bookmarkEnd w:id="114"/>
    </w:p>
    <w:p w14:paraId="20C0A02C">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适用于合同的其他规范性文件：</w:t>
      </w:r>
      <w:r>
        <w:rPr>
          <w:rFonts w:hint="eastAsia" w:ascii="Times New Roman" w:hAnsi="宋体" w:eastAsia="宋体" w:cs="Times New Roman"/>
          <w:color w:val="auto"/>
          <w:sz w:val="21"/>
          <w:szCs w:val="21"/>
          <w:highlight w:val="none"/>
          <w:u w:val="single"/>
        </w:rPr>
        <w:t>按合同签订时国家现行法律、行政法规及工程所在地政府有关法规和规章</w:t>
      </w:r>
      <w:r>
        <w:rPr>
          <w:rFonts w:hint="eastAsia" w:ascii="Times New Roman" w:hAnsi="宋体" w:eastAsia="宋体" w:cs="宋体"/>
          <w:color w:val="auto"/>
          <w:sz w:val="21"/>
          <w:szCs w:val="21"/>
          <w:highlight w:val="none"/>
        </w:rPr>
        <w:t>。</w:t>
      </w:r>
    </w:p>
    <w:p w14:paraId="74A425B1">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15" w:name="_Toc1492"/>
      <w:bookmarkStart w:id="116" w:name="_Toc389065261"/>
      <w:bookmarkStart w:id="117" w:name="_Toc1694357896"/>
      <w:bookmarkStart w:id="118" w:name="_Toc16410"/>
      <w:bookmarkStart w:id="119" w:name="_Toc78449783"/>
      <w:bookmarkStart w:id="120" w:name="_Toc373227695"/>
      <w:bookmarkStart w:id="121" w:name="_Toc407135197"/>
      <w:bookmarkStart w:id="122" w:name="_Toc373478342"/>
      <w:r>
        <w:rPr>
          <w:rFonts w:ascii="Times New Roman" w:hAnsi="Times New Roman" w:eastAsia="黑体" w:cs="Times New Roman"/>
          <w:b/>
          <w:bCs/>
          <w:color w:val="auto"/>
          <w:sz w:val="21"/>
          <w:szCs w:val="21"/>
          <w:highlight w:val="none"/>
          <w:lang w:val="zh-CN" w:eastAsia="zh-CN" w:bidi="ar-SA"/>
        </w:rPr>
        <w:t xml:space="preserve">1.4 </w:t>
      </w:r>
      <w:r>
        <w:rPr>
          <w:rFonts w:hint="eastAsia" w:ascii="Times New Roman" w:hAnsi="宋体" w:eastAsia="黑体" w:cs="黑体"/>
          <w:b/>
          <w:bCs/>
          <w:color w:val="auto"/>
          <w:sz w:val="21"/>
          <w:szCs w:val="21"/>
          <w:highlight w:val="none"/>
          <w:lang w:val="zh-CN" w:eastAsia="zh-CN" w:bidi="ar-SA"/>
        </w:rPr>
        <w:t>标准和规范</w:t>
      </w:r>
      <w:bookmarkEnd w:id="115"/>
      <w:bookmarkEnd w:id="116"/>
      <w:bookmarkEnd w:id="117"/>
      <w:bookmarkEnd w:id="118"/>
      <w:bookmarkEnd w:id="119"/>
      <w:bookmarkEnd w:id="120"/>
      <w:bookmarkEnd w:id="121"/>
      <w:bookmarkEnd w:id="122"/>
    </w:p>
    <w:p w14:paraId="2ACE1426">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1.4.1 </w:t>
      </w:r>
      <w:r>
        <w:rPr>
          <w:rFonts w:hint="eastAsia" w:ascii="Times New Roman" w:hAnsi="宋体" w:eastAsia="宋体" w:cs="宋体"/>
          <w:color w:val="auto"/>
          <w:sz w:val="21"/>
          <w:szCs w:val="21"/>
          <w:highlight w:val="none"/>
        </w:rPr>
        <w:t>适用于工程的标准规范包括：</w:t>
      </w:r>
      <w:r>
        <w:rPr>
          <w:rFonts w:hint="eastAsia" w:ascii="Times New Roman" w:hAnsi="宋体" w:eastAsia="宋体" w:cs="Times New Roman"/>
          <w:color w:val="auto"/>
          <w:sz w:val="21"/>
          <w:szCs w:val="21"/>
          <w:highlight w:val="none"/>
          <w:u w:val="single"/>
        </w:rPr>
        <w:t>《中华人民共和国民法典》《中华人民共和国建筑法》《中华人民共和国安全生产法》《建设工程质量管理条例》及合同签订时国家、行业、地方现行法律、行政法规及工程所在地政府的有关现行法规和规章</w:t>
      </w:r>
      <w:r>
        <w:rPr>
          <w:rFonts w:hint="eastAsia" w:ascii="Times New Roman" w:hAnsi="宋体" w:eastAsia="宋体" w:cs="宋体"/>
          <w:color w:val="auto"/>
          <w:sz w:val="21"/>
          <w:szCs w:val="21"/>
          <w:highlight w:val="none"/>
        </w:rPr>
        <w:t>。</w:t>
      </w:r>
    </w:p>
    <w:p w14:paraId="2AB466FC">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1.4.2 </w:t>
      </w:r>
      <w:r>
        <w:rPr>
          <w:rFonts w:hint="eastAsia" w:ascii="Times New Roman" w:hAnsi="宋体" w:eastAsia="宋体" w:cs="宋体"/>
          <w:color w:val="auto"/>
          <w:sz w:val="21"/>
          <w:szCs w:val="21"/>
          <w:highlight w:val="none"/>
        </w:rPr>
        <w:t>发包人提供国外标准、规范的名称：</w:t>
      </w:r>
      <w:r>
        <w:rPr>
          <w:rFonts w:hint="eastAsia" w:ascii="Times New Roman" w:hAnsi="宋体" w:eastAsia="宋体" w:cs="Times New Roman"/>
          <w:color w:val="auto"/>
          <w:sz w:val="21"/>
          <w:szCs w:val="21"/>
          <w:highlight w:val="none"/>
          <w:u w:val="single"/>
          <w:lang w:val="en-US" w:eastAsia="zh-CN"/>
        </w:rPr>
        <w:t xml:space="preserve"> 无 </w:t>
      </w:r>
      <w:r>
        <w:rPr>
          <w:rFonts w:hint="eastAsia" w:ascii="Times New Roman" w:hAnsi="宋体" w:eastAsia="宋体" w:cs="宋体"/>
          <w:color w:val="auto"/>
          <w:sz w:val="21"/>
          <w:szCs w:val="21"/>
          <w:highlight w:val="none"/>
        </w:rPr>
        <w:t>；</w:t>
      </w:r>
    </w:p>
    <w:p w14:paraId="428D4D58">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发包人提供国外标准、规范的份数：</w:t>
      </w:r>
      <w:r>
        <w:rPr>
          <w:rFonts w:hint="eastAsia" w:ascii="Times New Roman" w:hAnsi="Times New Roman" w:eastAsia="宋体" w:cs="Times New Roman"/>
          <w:color w:val="auto"/>
          <w:sz w:val="21"/>
          <w:szCs w:val="21"/>
          <w:highlight w:val="none"/>
          <w:u w:val="single"/>
        </w:rPr>
        <w:t xml:space="preserve"> 无 </w:t>
      </w:r>
      <w:r>
        <w:rPr>
          <w:rFonts w:hint="eastAsia" w:ascii="Times New Roman" w:hAnsi="宋体" w:eastAsia="宋体" w:cs="宋体"/>
          <w:color w:val="auto"/>
          <w:sz w:val="21"/>
          <w:szCs w:val="21"/>
          <w:highlight w:val="none"/>
        </w:rPr>
        <w:t>；</w:t>
      </w:r>
    </w:p>
    <w:p w14:paraId="3CE93E58">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发包人提供国外标准、规范的名称：</w:t>
      </w:r>
      <w:r>
        <w:rPr>
          <w:rFonts w:hint="eastAsia" w:ascii="Times New Roman" w:hAnsi="Times New Roman" w:eastAsia="宋体" w:cs="Times New Roman"/>
          <w:color w:val="auto"/>
          <w:sz w:val="21"/>
          <w:szCs w:val="21"/>
          <w:highlight w:val="none"/>
          <w:u w:val="single"/>
        </w:rPr>
        <w:t xml:space="preserve"> 无 </w:t>
      </w:r>
      <w:r>
        <w:rPr>
          <w:rFonts w:hint="eastAsia" w:ascii="Times New Roman" w:hAnsi="宋体" w:eastAsia="宋体" w:cs="宋体"/>
          <w:color w:val="auto"/>
          <w:sz w:val="21"/>
          <w:szCs w:val="21"/>
          <w:highlight w:val="none"/>
        </w:rPr>
        <w:t>。</w:t>
      </w:r>
    </w:p>
    <w:p w14:paraId="5DAD7A20">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1.4.3 </w:t>
      </w:r>
      <w:r>
        <w:rPr>
          <w:rFonts w:hint="eastAsia" w:ascii="Times New Roman" w:hAnsi="宋体" w:eastAsia="宋体" w:cs="宋体"/>
          <w:color w:val="auto"/>
          <w:sz w:val="21"/>
          <w:szCs w:val="21"/>
          <w:highlight w:val="none"/>
        </w:rPr>
        <w:t>发包人对工程的技术标准和功能要求的特殊要求：</w:t>
      </w:r>
      <w:r>
        <w:rPr>
          <w:rFonts w:hint="eastAsia" w:ascii="Times New Roman" w:hAnsi="Times New Roman" w:eastAsia="宋体" w:cs="Times New Roman"/>
          <w:color w:val="auto"/>
          <w:sz w:val="21"/>
          <w:szCs w:val="21"/>
          <w:highlight w:val="none"/>
          <w:u w:val="single"/>
        </w:rPr>
        <w:t>以发包人的书面通知为准</w:t>
      </w:r>
      <w:r>
        <w:rPr>
          <w:rFonts w:hint="eastAsia" w:ascii="Times New Roman" w:hAnsi="宋体" w:eastAsia="宋体" w:cs="宋体"/>
          <w:color w:val="auto"/>
          <w:sz w:val="21"/>
          <w:szCs w:val="21"/>
          <w:highlight w:val="none"/>
        </w:rPr>
        <w:t>。</w:t>
      </w:r>
    </w:p>
    <w:p w14:paraId="3F27687B">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23" w:name="_Toc21404"/>
      <w:bookmarkStart w:id="124" w:name="_Toc407135198"/>
      <w:bookmarkStart w:id="125" w:name="_Toc373478343"/>
      <w:bookmarkStart w:id="126" w:name="_Toc24431861"/>
      <w:bookmarkStart w:id="127" w:name="_Toc373227696"/>
      <w:bookmarkStart w:id="128" w:name="_Toc5118"/>
      <w:bookmarkStart w:id="129" w:name="_Toc78449784"/>
      <w:bookmarkStart w:id="130" w:name="_Toc389065262"/>
      <w:r>
        <w:rPr>
          <w:rFonts w:ascii="Times New Roman" w:hAnsi="Times New Roman" w:eastAsia="黑体" w:cs="Times New Roman"/>
          <w:b/>
          <w:bCs/>
          <w:color w:val="auto"/>
          <w:sz w:val="21"/>
          <w:szCs w:val="21"/>
          <w:highlight w:val="none"/>
          <w:lang w:val="zh-CN" w:eastAsia="zh-CN" w:bidi="ar-SA"/>
        </w:rPr>
        <w:t xml:space="preserve">1.5 </w:t>
      </w:r>
      <w:r>
        <w:rPr>
          <w:rFonts w:hint="eastAsia" w:ascii="Times New Roman" w:hAnsi="Times New Roman" w:eastAsia="黑体" w:cs="黑体"/>
          <w:b/>
          <w:bCs/>
          <w:color w:val="auto"/>
          <w:sz w:val="21"/>
          <w:szCs w:val="21"/>
          <w:highlight w:val="none"/>
          <w:lang w:val="zh-CN" w:eastAsia="zh-CN" w:bidi="ar-SA"/>
        </w:rPr>
        <w:t>合同文件的优先顺序</w:t>
      </w:r>
      <w:bookmarkEnd w:id="123"/>
      <w:bookmarkEnd w:id="124"/>
      <w:bookmarkEnd w:id="125"/>
      <w:bookmarkEnd w:id="126"/>
      <w:bookmarkEnd w:id="127"/>
      <w:bookmarkEnd w:id="128"/>
      <w:bookmarkEnd w:id="129"/>
      <w:bookmarkEnd w:id="130"/>
    </w:p>
    <w:p w14:paraId="776A85A1">
      <w:pPr>
        <w:spacing w:line="360" w:lineRule="auto"/>
        <w:ind w:firstLine="420"/>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合同文件组成及优先顺序为：</w:t>
      </w:r>
    </w:p>
    <w:p w14:paraId="54406571">
      <w:pPr>
        <w:spacing w:line="360" w:lineRule="auto"/>
        <w:ind w:firstLine="420"/>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1</w:t>
      </w:r>
      <w:r>
        <w:rPr>
          <w:rFonts w:hint="eastAsia" w:ascii="Times New Roman" w:hAnsi="宋体" w:eastAsia="宋体" w:cs="宋体"/>
          <w:color w:val="auto"/>
          <w:sz w:val="21"/>
          <w:szCs w:val="21"/>
          <w:highlight w:val="none"/>
        </w:rPr>
        <w:t>）合同协议书；</w:t>
      </w:r>
    </w:p>
    <w:p w14:paraId="0F943B74">
      <w:pPr>
        <w:spacing w:line="360" w:lineRule="auto"/>
        <w:ind w:firstLine="420"/>
        <w:rPr>
          <w:rFonts w:hint="eastAsia" w:ascii="Times New Roman" w:hAnsi="宋体" w:eastAsia="宋体" w:cs="宋体"/>
          <w:color w:val="auto"/>
          <w:sz w:val="21"/>
          <w:szCs w:val="21"/>
          <w:highlight w:val="none"/>
        </w:rPr>
      </w:pPr>
      <w:bookmarkStart w:id="131" w:name="bookmark916"/>
      <w:bookmarkEnd w:id="131"/>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2</w:t>
      </w:r>
      <w:r>
        <w:rPr>
          <w:rFonts w:hint="eastAsia" w:ascii="Times New Roman" w:hAnsi="宋体" w:eastAsia="宋体" w:cs="宋体"/>
          <w:color w:val="auto"/>
          <w:sz w:val="21"/>
          <w:szCs w:val="21"/>
          <w:highlight w:val="none"/>
        </w:rPr>
        <w:t>）中标通知书；</w:t>
      </w:r>
    </w:p>
    <w:p w14:paraId="2694AF92">
      <w:pPr>
        <w:spacing w:line="360" w:lineRule="auto"/>
        <w:rPr>
          <w:rFonts w:hint="eastAsia" w:ascii="Times New Roman" w:hAnsi="宋体" w:eastAsia="宋体" w:cs="宋体"/>
          <w:color w:val="auto"/>
          <w:sz w:val="21"/>
          <w:szCs w:val="21"/>
          <w:highlight w:val="none"/>
        </w:rPr>
      </w:pPr>
      <w:bookmarkStart w:id="132" w:name="bookmark917"/>
      <w:bookmarkEnd w:id="132"/>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3</w:t>
      </w:r>
      <w:r>
        <w:rPr>
          <w:rFonts w:hint="eastAsia" w:ascii="Times New Roman" w:hAnsi="宋体" w:eastAsia="宋体" w:cs="宋体"/>
          <w:color w:val="auto"/>
          <w:sz w:val="21"/>
          <w:szCs w:val="21"/>
          <w:highlight w:val="none"/>
        </w:rPr>
        <w:t>）投标函及投标函附录；</w:t>
      </w:r>
    </w:p>
    <w:p w14:paraId="2F38D36E">
      <w:pPr>
        <w:spacing w:line="360" w:lineRule="auto"/>
        <w:rPr>
          <w:rFonts w:hint="eastAsia" w:ascii="Times New Roman" w:hAnsi="宋体" w:eastAsia="宋体" w:cs="宋体"/>
          <w:color w:val="auto"/>
          <w:sz w:val="21"/>
          <w:szCs w:val="21"/>
          <w:highlight w:val="none"/>
        </w:rPr>
      </w:pPr>
      <w:bookmarkStart w:id="133" w:name="bookmark918"/>
      <w:bookmarkEnd w:id="133"/>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4</w:t>
      </w:r>
      <w:r>
        <w:rPr>
          <w:rFonts w:hint="eastAsia" w:ascii="Times New Roman" w:hAnsi="宋体" w:eastAsia="宋体" w:cs="宋体"/>
          <w:color w:val="auto"/>
          <w:sz w:val="21"/>
          <w:szCs w:val="21"/>
          <w:highlight w:val="none"/>
        </w:rPr>
        <w:t>）专用合同条款；</w:t>
      </w:r>
    </w:p>
    <w:p w14:paraId="2A6D0D3B">
      <w:pPr>
        <w:spacing w:line="360" w:lineRule="auto"/>
        <w:rPr>
          <w:rFonts w:hint="eastAsia" w:ascii="Times New Roman" w:hAnsi="宋体" w:eastAsia="宋体" w:cs="宋体"/>
          <w:color w:val="auto"/>
          <w:sz w:val="21"/>
          <w:szCs w:val="21"/>
          <w:highlight w:val="none"/>
        </w:rPr>
      </w:pPr>
      <w:bookmarkStart w:id="134" w:name="bookmark919"/>
      <w:bookmarkEnd w:id="134"/>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5</w:t>
      </w:r>
      <w:r>
        <w:rPr>
          <w:rFonts w:hint="eastAsia" w:ascii="Times New Roman" w:hAnsi="宋体" w:eastAsia="宋体" w:cs="宋体"/>
          <w:color w:val="auto"/>
          <w:sz w:val="21"/>
          <w:szCs w:val="21"/>
          <w:highlight w:val="none"/>
        </w:rPr>
        <w:t>）通用合同条款；</w:t>
      </w:r>
    </w:p>
    <w:p w14:paraId="3FE2234E">
      <w:pPr>
        <w:spacing w:line="360" w:lineRule="auto"/>
        <w:rPr>
          <w:rFonts w:hint="eastAsia" w:ascii="Times New Roman" w:hAnsi="宋体" w:eastAsia="宋体" w:cs="宋体"/>
          <w:color w:val="auto"/>
          <w:sz w:val="21"/>
          <w:szCs w:val="21"/>
          <w:highlight w:val="none"/>
        </w:rPr>
      </w:pPr>
      <w:bookmarkStart w:id="135" w:name="bookmark920"/>
      <w:bookmarkEnd w:id="135"/>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6</w:t>
      </w:r>
      <w:r>
        <w:rPr>
          <w:rFonts w:hint="eastAsia" w:ascii="Times New Roman" w:hAnsi="宋体" w:eastAsia="宋体" w:cs="宋体"/>
          <w:color w:val="auto"/>
          <w:sz w:val="21"/>
          <w:szCs w:val="21"/>
          <w:highlight w:val="none"/>
        </w:rPr>
        <w:t>）技术标准和要求；</w:t>
      </w:r>
    </w:p>
    <w:p w14:paraId="15A08B4B">
      <w:pPr>
        <w:spacing w:line="360" w:lineRule="auto"/>
        <w:rPr>
          <w:rFonts w:hint="eastAsia" w:ascii="Times New Roman" w:hAnsi="宋体" w:eastAsia="宋体" w:cs="宋体"/>
          <w:color w:val="auto"/>
          <w:sz w:val="21"/>
          <w:szCs w:val="21"/>
          <w:highlight w:val="none"/>
        </w:rPr>
      </w:pPr>
      <w:bookmarkStart w:id="136" w:name="bookmark921"/>
      <w:bookmarkEnd w:id="136"/>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7</w:t>
      </w:r>
      <w:r>
        <w:rPr>
          <w:rFonts w:hint="eastAsia" w:ascii="Times New Roman" w:hAnsi="宋体" w:eastAsia="宋体" w:cs="宋体"/>
          <w:color w:val="auto"/>
          <w:sz w:val="21"/>
          <w:szCs w:val="21"/>
          <w:highlight w:val="none"/>
        </w:rPr>
        <w:t>）图纸；</w:t>
      </w:r>
    </w:p>
    <w:p w14:paraId="23C70620">
      <w:pPr>
        <w:spacing w:line="360" w:lineRule="auto"/>
        <w:ind w:firstLine="420"/>
        <w:rPr>
          <w:rFonts w:hint="eastAsia" w:ascii="Times New Roman" w:hAnsi="宋体" w:eastAsia="宋体" w:cs="宋体"/>
          <w:color w:val="auto"/>
          <w:sz w:val="21"/>
          <w:szCs w:val="21"/>
          <w:highlight w:val="none"/>
        </w:rPr>
      </w:pPr>
      <w:bookmarkStart w:id="137" w:name="bookmark922"/>
      <w:bookmarkEnd w:id="137"/>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8</w:t>
      </w:r>
      <w:r>
        <w:rPr>
          <w:rFonts w:hint="eastAsia" w:ascii="Times New Roman" w:hAnsi="宋体" w:eastAsia="宋体" w:cs="宋体"/>
          <w:color w:val="auto"/>
          <w:sz w:val="21"/>
          <w:szCs w:val="21"/>
          <w:highlight w:val="none"/>
        </w:rPr>
        <w:t>）已标价工程量清单；</w:t>
      </w:r>
    </w:p>
    <w:p w14:paraId="113594C5">
      <w:pPr>
        <w:spacing w:line="360" w:lineRule="auto"/>
        <w:ind w:firstLine="420"/>
        <w:jc w:val="left"/>
        <w:rPr>
          <w:rFonts w:hint="eastAsia" w:ascii="Times New Roman" w:hAnsi="宋体" w:eastAsia="宋体" w:cs="宋体"/>
          <w:color w:val="auto"/>
          <w:sz w:val="21"/>
          <w:szCs w:val="21"/>
          <w:highlight w:val="none"/>
          <w:u w:val="none"/>
        </w:rPr>
      </w:pP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9</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u w:val="none"/>
        </w:rPr>
        <w:t>其他合同文件：</w:t>
      </w:r>
    </w:p>
    <w:p w14:paraId="14889F84">
      <w:pPr>
        <w:spacing w:line="360" w:lineRule="auto"/>
        <w:ind w:firstLine="420"/>
        <w:rPr>
          <w:rFonts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上述各项合同文件包括合同当事人就该项合同文件所作出的补充和修改，属于同一类内容的文件，应以最新签署的为准（违反招标文件</w:t>
      </w:r>
      <w:r>
        <w:rPr>
          <w:rFonts w:ascii="Times New Roman" w:hAnsi="宋体" w:eastAsia="宋体" w:cs="宋体"/>
          <w:color w:val="auto"/>
          <w:sz w:val="21"/>
          <w:szCs w:val="21"/>
          <w:highlight w:val="none"/>
        </w:rPr>
        <w:t>实质性内容的约定除外</w:t>
      </w:r>
      <w:r>
        <w:rPr>
          <w:rFonts w:hint="eastAsia" w:ascii="Times New Roman" w:hAnsi="宋体" w:eastAsia="宋体" w:cs="宋体"/>
          <w:color w:val="auto"/>
          <w:sz w:val="21"/>
          <w:szCs w:val="21"/>
          <w:highlight w:val="none"/>
        </w:rPr>
        <w:t>）。专用合同条款及其附件须经合同当事人签字或盖章。</w:t>
      </w:r>
    </w:p>
    <w:p w14:paraId="418972A5">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38" w:name="_Toc25614"/>
      <w:bookmarkStart w:id="139" w:name="_Toc24316"/>
      <w:bookmarkStart w:id="140" w:name="_Toc407135199"/>
      <w:bookmarkStart w:id="141" w:name="_Toc78449785"/>
      <w:bookmarkStart w:id="142" w:name="_Toc373227697"/>
      <w:bookmarkStart w:id="143" w:name="_Toc1531480704"/>
      <w:bookmarkStart w:id="144" w:name="_Toc389065263"/>
      <w:bookmarkStart w:id="145" w:name="_Toc373478344"/>
      <w:r>
        <w:rPr>
          <w:rFonts w:ascii="Times New Roman" w:hAnsi="Times New Roman" w:eastAsia="黑体" w:cs="Times New Roman"/>
          <w:b/>
          <w:bCs/>
          <w:color w:val="auto"/>
          <w:sz w:val="21"/>
          <w:szCs w:val="21"/>
          <w:highlight w:val="none"/>
          <w:lang w:val="zh-CN" w:eastAsia="zh-CN" w:bidi="ar-SA"/>
        </w:rPr>
        <w:t xml:space="preserve">1.6 </w:t>
      </w:r>
      <w:r>
        <w:rPr>
          <w:rFonts w:hint="eastAsia" w:ascii="Times New Roman" w:hAnsi="Times New Roman" w:eastAsia="黑体" w:cs="黑体"/>
          <w:b/>
          <w:bCs/>
          <w:color w:val="auto"/>
          <w:sz w:val="21"/>
          <w:szCs w:val="21"/>
          <w:highlight w:val="none"/>
          <w:lang w:val="zh-CN" w:eastAsia="zh-CN" w:bidi="ar-SA"/>
        </w:rPr>
        <w:t>图纸和承包人文件</w:t>
      </w:r>
      <w:bookmarkEnd w:id="138"/>
      <w:bookmarkEnd w:id="139"/>
      <w:bookmarkEnd w:id="140"/>
      <w:bookmarkEnd w:id="141"/>
      <w:bookmarkEnd w:id="142"/>
      <w:bookmarkEnd w:id="143"/>
      <w:bookmarkEnd w:id="144"/>
      <w:bookmarkEnd w:id="145"/>
      <w:r>
        <w:rPr>
          <w:rFonts w:ascii="Times New Roman" w:hAnsi="Times New Roman" w:eastAsia="黑体" w:cs="Times New Roman"/>
          <w:b/>
          <w:bCs/>
          <w:color w:val="auto"/>
          <w:sz w:val="21"/>
          <w:szCs w:val="21"/>
          <w:highlight w:val="none"/>
          <w:lang w:val="zh-CN" w:eastAsia="zh-CN" w:bidi="ar-SA"/>
        </w:rPr>
        <w:tab/>
      </w:r>
    </w:p>
    <w:p w14:paraId="1946B39E">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1.6.1 </w:t>
      </w:r>
      <w:r>
        <w:rPr>
          <w:rFonts w:hint="eastAsia" w:ascii="Times New Roman" w:hAnsi="宋体" w:eastAsia="宋体" w:cs="宋体"/>
          <w:color w:val="auto"/>
          <w:sz w:val="21"/>
          <w:szCs w:val="21"/>
          <w:highlight w:val="none"/>
        </w:rPr>
        <w:t>图纸的提供</w:t>
      </w:r>
    </w:p>
    <w:p w14:paraId="0F14488D">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发包人向承包人提供图纸的期限：</w:t>
      </w:r>
      <w:r>
        <w:rPr>
          <w:rFonts w:hint="eastAsia" w:ascii="Times New Roman" w:hAnsi="Times New Roman" w:eastAsia="宋体" w:cs="Times New Roman"/>
          <w:color w:val="auto"/>
          <w:sz w:val="21"/>
          <w:szCs w:val="21"/>
          <w:u w:val="single"/>
        </w:rPr>
        <w:t>开工前七日内</w:t>
      </w:r>
      <w:r>
        <w:rPr>
          <w:rFonts w:hint="eastAsia" w:ascii="Times New Roman" w:hAnsi="宋体" w:eastAsia="宋体" w:cs="宋体"/>
          <w:color w:val="auto"/>
          <w:sz w:val="21"/>
          <w:szCs w:val="21"/>
          <w:highlight w:val="none"/>
        </w:rPr>
        <w:t>；</w:t>
      </w:r>
    </w:p>
    <w:p w14:paraId="746F79E2">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发包人向承包人提供图纸的数量：</w:t>
      </w:r>
      <w:r>
        <w:rPr>
          <w:rFonts w:hint="eastAsia" w:ascii="Times New Roman" w:hAnsi="宋体" w:eastAsia="宋体" w:cs="宋体"/>
          <w:color w:val="auto"/>
          <w:sz w:val="21"/>
          <w:szCs w:val="21"/>
          <w:highlight w:val="none"/>
          <w:u w:val="single"/>
        </w:rPr>
        <w:t>壹</w:t>
      </w:r>
      <w:r>
        <w:rPr>
          <w:rFonts w:hint="eastAsia" w:ascii="Times New Roman" w:hAnsi="宋体" w:eastAsia="宋体" w:cs="宋体"/>
          <w:color w:val="auto"/>
          <w:sz w:val="21"/>
          <w:szCs w:val="21"/>
          <w:highlight w:val="none"/>
        </w:rPr>
        <w:t>套（承包人需要增加图纸套数的，发包人应代为复制，复制费用由承包人承担）；</w:t>
      </w:r>
    </w:p>
    <w:p w14:paraId="2AF0024C">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发包人向承包人提供图纸的内容：</w:t>
      </w:r>
      <w:r>
        <w:rPr>
          <w:rFonts w:hint="eastAsia" w:ascii="Times New Roman" w:hAnsi="Times New Roman" w:eastAsia="宋体" w:cs="Times New Roman"/>
          <w:color w:val="auto"/>
          <w:sz w:val="21"/>
          <w:szCs w:val="21"/>
          <w:highlight w:val="none"/>
          <w:u w:val="single"/>
        </w:rPr>
        <w:t>完整并盖有经审图机构审核合格的施工图纸、设计变更后的变更图纸及相关的技术资料</w:t>
      </w:r>
      <w:r>
        <w:rPr>
          <w:rFonts w:hint="eastAsia" w:ascii="Times New Roman" w:hAnsi="宋体" w:eastAsia="宋体" w:cs="宋体"/>
          <w:color w:val="auto"/>
          <w:sz w:val="21"/>
          <w:szCs w:val="21"/>
          <w:highlight w:val="none"/>
        </w:rPr>
        <w:t>。</w:t>
      </w:r>
    </w:p>
    <w:p w14:paraId="69B790A7">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1.6.4 </w:t>
      </w:r>
      <w:r>
        <w:rPr>
          <w:rFonts w:hint="eastAsia" w:ascii="Times New Roman" w:hAnsi="宋体" w:eastAsia="宋体" w:cs="宋体"/>
          <w:color w:val="auto"/>
          <w:sz w:val="21"/>
          <w:szCs w:val="21"/>
          <w:highlight w:val="none"/>
        </w:rPr>
        <w:t>承包人文件</w:t>
      </w:r>
    </w:p>
    <w:p w14:paraId="002C406D">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需要由承包人提供的文件，包括：</w:t>
      </w:r>
      <w:r>
        <w:rPr>
          <w:rFonts w:hint="eastAsia" w:ascii="Times New Roman" w:hAnsi="Times New Roman" w:eastAsia="宋体" w:cs="Times New Roman"/>
          <w:color w:val="auto"/>
          <w:sz w:val="21"/>
          <w:szCs w:val="21"/>
          <w:highlight w:val="none"/>
          <w:u w:val="single"/>
        </w:rPr>
        <w:t>（1）施工组织设计、总平面布置图、施工进度网络计划、项目管理机构等；（2）有关的专项施工方案、二次深化设计文件、必要的加工图和大样图；（3）工程竣工备案资料（含竣工图）、工程结算书及资料等；其他需要由承包人提供的文件由双方另行确定</w:t>
      </w:r>
      <w:r>
        <w:rPr>
          <w:rFonts w:hint="eastAsia" w:ascii="Times New Roman" w:hAnsi="宋体" w:eastAsia="宋体" w:cs="宋体"/>
          <w:color w:val="auto"/>
          <w:sz w:val="21"/>
          <w:szCs w:val="21"/>
          <w:highlight w:val="none"/>
        </w:rPr>
        <w:t>；</w:t>
      </w:r>
    </w:p>
    <w:p w14:paraId="4CD81B16">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承包人提供的文件的期限为：</w:t>
      </w:r>
      <w:r>
        <w:rPr>
          <w:rFonts w:hint="eastAsia" w:ascii="Times New Roman" w:hAnsi="Times New Roman" w:eastAsia="宋体" w:cs="Times New Roman"/>
          <w:color w:val="auto"/>
          <w:sz w:val="21"/>
          <w:szCs w:val="21"/>
          <w:highlight w:val="none"/>
          <w:u w:val="single"/>
        </w:rPr>
        <w:t>（1）以上第（1）部分内容的资料在签订合同之日起1日内；（2）以上第（2）部分内容的资料在项目计划实施前5日内；（3）以上第（3）部分内容的资料在工程竣工验收合格后15日内</w:t>
      </w:r>
      <w:r>
        <w:rPr>
          <w:rFonts w:hint="eastAsia" w:ascii="Times New Roman" w:hAnsi="宋体" w:eastAsia="宋体" w:cs="宋体"/>
          <w:color w:val="auto"/>
          <w:sz w:val="21"/>
          <w:szCs w:val="21"/>
          <w:highlight w:val="none"/>
        </w:rPr>
        <w:t>；</w:t>
      </w:r>
    </w:p>
    <w:p w14:paraId="2E66CBE2">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承包人提供的文件的数量为：</w:t>
      </w:r>
      <w:r>
        <w:rPr>
          <w:rFonts w:hint="eastAsia" w:ascii="Times New Roman" w:hAnsi="Times New Roman" w:eastAsia="宋体" w:cs="Times New Roman"/>
          <w:color w:val="auto"/>
          <w:sz w:val="21"/>
          <w:szCs w:val="21"/>
          <w:highlight w:val="none"/>
          <w:u w:val="single"/>
        </w:rPr>
        <w:t>工程竣工备案资料（含竣工图）2套，其余资料均2套</w:t>
      </w:r>
      <w:r>
        <w:rPr>
          <w:rFonts w:hint="eastAsia" w:ascii="Times New Roman" w:hAnsi="宋体" w:eastAsia="宋体" w:cs="宋体"/>
          <w:color w:val="auto"/>
          <w:sz w:val="21"/>
          <w:szCs w:val="21"/>
          <w:highlight w:val="none"/>
        </w:rPr>
        <w:t>；</w:t>
      </w:r>
    </w:p>
    <w:p w14:paraId="35220182">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承包人提供的文件的形式为：</w:t>
      </w:r>
      <w:r>
        <w:rPr>
          <w:rFonts w:hint="eastAsia" w:ascii="Times New Roman" w:hAnsi="Times New Roman" w:eastAsia="宋体" w:cs="Times New Roman"/>
          <w:color w:val="auto"/>
          <w:sz w:val="21"/>
          <w:szCs w:val="21"/>
          <w:highlight w:val="none"/>
          <w:u w:val="single"/>
        </w:rPr>
        <w:t>书面、电子文档</w:t>
      </w:r>
      <w:r>
        <w:rPr>
          <w:rFonts w:hint="eastAsia" w:ascii="Times New Roman" w:hAnsi="宋体" w:eastAsia="宋体" w:cs="宋体"/>
          <w:color w:val="auto"/>
          <w:sz w:val="21"/>
          <w:szCs w:val="21"/>
          <w:highlight w:val="none"/>
        </w:rPr>
        <w:t>；</w:t>
      </w:r>
    </w:p>
    <w:p w14:paraId="7EC41C95">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发包人审批承包人文件的期限：</w:t>
      </w:r>
      <w:r>
        <w:rPr>
          <w:rFonts w:hint="eastAsia" w:ascii="Times New Roman" w:hAnsi="Times New Roman" w:eastAsia="宋体" w:cs="Times New Roman"/>
          <w:color w:val="auto"/>
          <w:sz w:val="21"/>
          <w:szCs w:val="21"/>
          <w:highlight w:val="none"/>
          <w:u w:val="single"/>
        </w:rPr>
        <w:t>（1）以上第（1）部分内容的资料在收到后3日内；（2）以上第（2）部分内容的资料在收到后3日内；（3）以上第（3）部分内容的资料在收到后20日内</w:t>
      </w:r>
      <w:r>
        <w:rPr>
          <w:rFonts w:hint="eastAsia" w:ascii="Times New Roman" w:hAnsi="宋体" w:eastAsia="宋体" w:cs="宋体"/>
          <w:color w:val="auto"/>
          <w:sz w:val="21"/>
          <w:szCs w:val="21"/>
          <w:highlight w:val="none"/>
        </w:rPr>
        <w:t>。</w:t>
      </w:r>
    </w:p>
    <w:p w14:paraId="5547EDB8">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1.6.5 </w:t>
      </w:r>
      <w:r>
        <w:rPr>
          <w:rFonts w:hint="eastAsia" w:ascii="Times New Roman" w:hAnsi="宋体" w:eastAsia="宋体" w:cs="宋体"/>
          <w:color w:val="auto"/>
          <w:sz w:val="21"/>
          <w:szCs w:val="21"/>
          <w:highlight w:val="none"/>
        </w:rPr>
        <w:t>现场图纸准备</w:t>
      </w:r>
    </w:p>
    <w:p w14:paraId="7CD6E199">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关于现场图纸准备的约定：</w:t>
      </w:r>
      <w:r>
        <w:rPr>
          <w:rFonts w:hint="eastAsia" w:ascii="Times New Roman" w:hAnsi="Times New Roman" w:eastAsia="宋体" w:cs="Times New Roman"/>
          <w:color w:val="auto"/>
          <w:sz w:val="21"/>
          <w:szCs w:val="21"/>
          <w:highlight w:val="none"/>
          <w:u w:val="single"/>
        </w:rPr>
        <w:t>承包人应在施工现场另外保存一套完整的图纸和承包人文件， 供发包人、监理人及有关人员进行工程检查时使用</w:t>
      </w:r>
      <w:r>
        <w:rPr>
          <w:rFonts w:hint="eastAsia" w:ascii="Times New Roman" w:hAnsi="宋体" w:eastAsia="宋体" w:cs="宋体"/>
          <w:color w:val="auto"/>
          <w:sz w:val="21"/>
          <w:szCs w:val="21"/>
          <w:highlight w:val="none"/>
        </w:rPr>
        <w:t>。</w:t>
      </w:r>
    </w:p>
    <w:p w14:paraId="66553B04">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46" w:name="_Toc373227698"/>
      <w:bookmarkStart w:id="147" w:name="_Toc110523719"/>
      <w:bookmarkStart w:id="148" w:name="_Toc854"/>
      <w:bookmarkStart w:id="149" w:name="_Toc389065264"/>
      <w:bookmarkStart w:id="150" w:name="_Toc407135200"/>
      <w:bookmarkStart w:id="151" w:name="_Toc373478345"/>
      <w:bookmarkStart w:id="152" w:name="_Toc24741"/>
      <w:bookmarkStart w:id="153" w:name="_Toc78449786"/>
      <w:r>
        <w:rPr>
          <w:rFonts w:ascii="Times New Roman" w:hAnsi="Times New Roman" w:eastAsia="黑体" w:cs="Times New Roman"/>
          <w:b/>
          <w:bCs/>
          <w:color w:val="auto"/>
          <w:sz w:val="21"/>
          <w:szCs w:val="21"/>
          <w:highlight w:val="none"/>
          <w:lang w:val="zh-CN" w:eastAsia="zh-CN" w:bidi="ar-SA"/>
        </w:rPr>
        <w:t xml:space="preserve">1.7 </w:t>
      </w:r>
      <w:r>
        <w:rPr>
          <w:rFonts w:hint="eastAsia" w:ascii="Times New Roman" w:hAnsi="宋体" w:eastAsia="黑体" w:cs="黑体"/>
          <w:b/>
          <w:bCs/>
          <w:color w:val="auto"/>
          <w:sz w:val="21"/>
          <w:szCs w:val="21"/>
          <w:highlight w:val="none"/>
          <w:lang w:val="zh-CN" w:eastAsia="zh-CN" w:bidi="ar-SA"/>
        </w:rPr>
        <w:t>联络</w:t>
      </w:r>
      <w:bookmarkEnd w:id="146"/>
      <w:bookmarkEnd w:id="147"/>
      <w:bookmarkEnd w:id="148"/>
      <w:bookmarkEnd w:id="149"/>
      <w:bookmarkEnd w:id="150"/>
      <w:bookmarkEnd w:id="151"/>
      <w:bookmarkEnd w:id="152"/>
      <w:bookmarkEnd w:id="153"/>
    </w:p>
    <w:p w14:paraId="47D759BC">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1.7.1</w:t>
      </w:r>
      <w:r>
        <w:rPr>
          <w:rFonts w:hint="eastAsia" w:ascii="Times New Roman" w:hAnsi="宋体" w:eastAsia="宋体" w:cs="宋体"/>
          <w:color w:val="auto"/>
          <w:sz w:val="21"/>
          <w:szCs w:val="21"/>
          <w:highlight w:val="none"/>
        </w:rPr>
        <w:t>发包人和承包人应当在</w:t>
      </w:r>
      <w:r>
        <w:rPr>
          <w:rFonts w:ascii="Times New Roman" w:hAnsi="Times New Roman" w:eastAsia="宋体" w:cs="Times New Roman"/>
          <w:color w:val="auto"/>
          <w:sz w:val="21"/>
          <w:szCs w:val="21"/>
          <w:highlight w:val="none"/>
          <w:u w:val="single"/>
        </w:rPr>
        <w:t xml:space="preserve">  </w:t>
      </w:r>
      <w:r>
        <w:rPr>
          <w:rFonts w:hint="eastAsia" w:ascii="Times New Roman" w:hAnsi="Times New Roman" w:eastAsia="宋体" w:cs="Times New Roman"/>
          <w:color w:val="auto"/>
          <w:sz w:val="21"/>
          <w:szCs w:val="21"/>
          <w:highlight w:val="none"/>
          <w:u w:val="single"/>
          <w:lang w:val="en-US" w:eastAsia="zh-CN"/>
        </w:rPr>
        <w:t>7</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天内将与合同有关的通知、批准、证明、证书、指示、指令、要求、请求、同意、意见、确定和决定等书面函件送达对方当事人。</w:t>
      </w:r>
    </w:p>
    <w:p w14:paraId="3837B927">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1.7.2 </w:t>
      </w:r>
      <w:r>
        <w:rPr>
          <w:rFonts w:hint="eastAsia" w:ascii="Times New Roman" w:hAnsi="宋体" w:eastAsia="宋体" w:cs="宋体"/>
          <w:color w:val="auto"/>
          <w:sz w:val="21"/>
          <w:szCs w:val="21"/>
          <w:highlight w:val="none"/>
        </w:rPr>
        <w:t>发包人接收文件的地点：</w:t>
      </w:r>
      <w:r>
        <w:rPr>
          <w:rFonts w:hint="eastAsia" w:ascii="Times New Roman" w:hAnsi="Times New Roman" w:eastAsia="宋体" w:cs="Times New Roman"/>
          <w:color w:val="auto"/>
          <w:sz w:val="21"/>
          <w:szCs w:val="21"/>
          <w:highlight w:val="none"/>
          <w:u w:val="single"/>
        </w:rPr>
        <w:t>发包人工程管理机构的办公地点</w:t>
      </w:r>
      <w:r>
        <w:rPr>
          <w:rFonts w:hint="eastAsia" w:ascii="Times New Roman" w:hAnsi="宋体" w:eastAsia="宋体" w:cs="宋体"/>
          <w:color w:val="auto"/>
          <w:sz w:val="21"/>
          <w:szCs w:val="21"/>
          <w:highlight w:val="none"/>
        </w:rPr>
        <w:t>；</w:t>
      </w:r>
    </w:p>
    <w:p w14:paraId="72A86D43">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发包人指定的接收人为：</w:t>
      </w:r>
      <w:r>
        <w:rPr>
          <w:rFonts w:hint="eastAsia" w:ascii="Times New Roman" w:hAnsi="Times New Roman" w:eastAsia="宋体" w:cs="Times New Roman"/>
          <w:color w:val="auto"/>
          <w:sz w:val="21"/>
          <w:szCs w:val="21"/>
          <w:highlight w:val="none"/>
          <w:u w:val="single"/>
        </w:rPr>
        <w:t>业主代表</w:t>
      </w:r>
      <w:r>
        <w:rPr>
          <w:rFonts w:hint="eastAsia" w:ascii="Times New Roman" w:hAnsi="宋体" w:eastAsia="宋体" w:cs="宋体"/>
          <w:color w:val="auto"/>
          <w:sz w:val="21"/>
          <w:szCs w:val="21"/>
          <w:highlight w:val="none"/>
        </w:rPr>
        <w:t>。</w:t>
      </w:r>
    </w:p>
    <w:p w14:paraId="616C83FD">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承包人接收文件的地点：</w:t>
      </w:r>
      <w:r>
        <w:rPr>
          <w:rFonts w:hint="eastAsia" w:ascii="Times New Roman" w:hAnsi="Times New Roman" w:eastAsia="宋体" w:cs="Times New Roman"/>
          <w:color w:val="auto"/>
          <w:sz w:val="21"/>
          <w:szCs w:val="21"/>
          <w:highlight w:val="none"/>
          <w:u w:val="single"/>
        </w:rPr>
        <w:t>施工现场</w:t>
      </w:r>
      <w:r>
        <w:rPr>
          <w:rFonts w:hint="eastAsia" w:ascii="Times New Roman" w:hAnsi="宋体" w:eastAsia="宋体" w:cs="宋体"/>
          <w:color w:val="auto"/>
          <w:sz w:val="21"/>
          <w:szCs w:val="21"/>
          <w:highlight w:val="none"/>
        </w:rPr>
        <w:t>；</w:t>
      </w:r>
    </w:p>
    <w:p w14:paraId="2AD51CBC">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承包人指定的接收人为：</w:t>
      </w:r>
      <w:r>
        <w:rPr>
          <w:rFonts w:hint="eastAsia" w:ascii="Times New Roman" w:hAnsi="Times New Roman" w:eastAsia="宋体" w:cs="Times New Roman"/>
          <w:color w:val="auto"/>
          <w:sz w:val="21"/>
          <w:szCs w:val="21"/>
          <w:highlight w:val="none"/>
          <w:u w:val="single"/>
        </w:rPr>
        <w:t>项目经理</w:t>
      </w:r>
      <w:r>
        <w:rPr>
          <w:rFonts w:hint="eastAsia" w:ascii="Times New Roman" w:hAnsi="宋体" w:eastAsia="宋体" w:cs="宋体"/>
          <w:color w:val="auto"/>
          <w:sz w:val="21"/>
          <w:szCs w:val="21"/>
          <w:highlight w:val="none"/>
        </w:rPr>
        <w:t>。</w:t>
      </w:r>
    </w:p>
    <w:p w14:paraId="350BCBD2">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监理人接收文件的地点：</w:t>
      </w:r>
      <w:r>
        <w:rPr>
          <w:rFonts w:hint="eastAsia" w:ascii="Times New Roman" w:hAnsi="Times New Roman" w:eastAsia="宋体" w:cs="Times New Roman"/>
          <w:color w:val="auto"/>
          <w:sz w:val="21"/>
          <w:szCs w:val="21"/>
          <w:highlight w:val="none"/>
          <w:u w:val="single"/>
        </w:rPr>
        <w:t>施工现场</w:t>
      </w:r>
      <w:r>
        <w:rPr>
          <w:rFonts w:hint="eastAsia" w:ascii="Times New Roman" w:hAnsi="宋体" w:eastAsia="宋体" w:cs="宋体"/>
          <w:color w:val="auto"/>
          <w:sz w:val="21"/>
          <w:szCs w:val="21"/>
          <w:highlight w:val="none"/>
        </w:rPr>
        <w:t>；</w:t>
      </w:r>
    </w:p>
    <w:p w14:paraId="09C80131">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监理人指定的接收人为：</w:t>
      </w:r>
      <w:r>
        <w:rPr>
          <w:rFonts w:hint="eastAsia" w:ascii="Times New Roman" w:hAnsi="Times New Roman" w:eastAsia="宋体" w:cs="Times New Roman"/>
          <w:color w:val="auto"/>
          <w:sz w:val="21"/>
          <w:szCs w:val="21"/>
          <w:highlight w:val="none"/>
          <w:u w:val="single"/>
        </w:rPr>
        <w:t>项目总监</w:t>
      </w:r>
      <w:r>
        <w:rPr>
          <w:rFonts w:hint="eastAsia" w:ascii="Times New Roman" w:hAnsi="宋体" w:eastAsia="宋体" w:cs="宋体"/>
          <w:color w:val="auto"/>
          <w:sz w:val="21"/>
          <w:szCs w:val="21"/>
          <w:highlight w:val="none"/>
        </w:rPr>
        <w:t>。</w:t>
      </w:r>
    </w:p>
    <w:p w14:paraId="1BBD5B1F">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54" w:name="_Toc1387231545"/>
      <w:bookmarkStart w:id="155" w:name="_Toc389065265"/>
      <w:bookmarkStart w:id="156" w:name="_Toc407135201"/>
      <w:bookmarkStart w:id="157" w:name="_Toc373478346"/>
      <w:bookmarkStart w:id="158" w:name="_Toc373227699"/>
      <w:bookmarkStart w:id="159" w:name="_Toc24324"/>
      <w:bookmarkStart w:id="160" w:name="_Toc78449787"/>
      <w:bookmarkStart w:id="161" w:name="_Toc10879"/>
      <w:r>
        <w:rPr>
          <w:rFonts w:ascii="Times New Roman" w:hAnsi="Times New Roman" w:eastAsia="黑体" w:cs="Times New Roman"/>
          <w:b/>
          <w:bCs/>
          <w:color w:val="auto"/>
          <w:sz w:val="21"/>
          <w:szCs w:val="21"/>
          <w:highlight w:val="none"/>
          <w:lang w:val="zh-CN" w:eastAsia="zh-CN" w:bidi="ar-SA"/>
        </w:rPr>
        <w:t xml:space="preserve">1.10 </w:t>
      </w:r>
      <w:r>
        <w:rPr>
          <w:rFonts w:hint="eastAsia" w:ascii="Times New Roman" w:hAnsi="宋体" w:eastAsia="黑体" w:cs="黑体"/>
          <w:b/>
          <w:bCs/>
          <w:color w:val="auto"/>
          <w:sz w:val="21"/>
          <w:szCs w:val="21"/>
          <w:highlight w:val="none"/>
          <w:lang w:val="zh-CN" w:eastAsia="zh-CN" w:bidi="ar-SA"/>
        </w:rPr>
        <w:t>交通运输</w:t>
      </w:r>
      <w:bookmarkEnd w:id="154"/>
      <w:bookmarkEnd w:id="155"/>
      <w:bookmarkEnd w:id="156"/>
      <w:bookmarkEnd w:id="157"/>
      <w:bookmarkEnd w:id="158"/>
      <w:bookmarkEnd w:id="159"/>
      <w:bookmarkEnd w:id="160"/>
      <w:bookmarkEnd w:id="161"/>
    </w:p>
    <w:p w14:paraId="272A2113">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bookmarkStart w:id="162" w:name="_Toc312677986"/>
      <w:bookmarkStart w:id="163" w:name="_Toc303539100"/>
      <w:bookmarkStart w:id="164" w:name="_Toc300934943"/>
      <w:bookmarkStart w:id="165" w:name="_Toc318581155"/>
      <w:bookmarkStart w:id="166" w:name="_Toc304295521"/>
      <w:r>
        <w:rPr>
          <w:rFonts w:ascii="Times New Roman" w:hAnsi="Times New Roman" w:eastAsia="宋体" w:cs="Times New Roman"/>
          <w:color w:val="auto"/>
          <w:sz w:val="21"/>
          <w:szCs w:val="21"/>
          <w:highlight w:val="none"/>
        </w:rPr>
        <w:t xml:space="preserve">.10.1 </w:t>
      </w:r>
      <w:r>
        <w:rPr>
          <w:rFonts w:hint="eastAsia" w:ascii="Times New Roman" w:hAnsi="宋体" w:eastAsia="宋体" w:cs="宋体"/>
          <w:color w:val="auto"/>
          <w:sz w:val="21"/>
          <w:szCs w:val="21"/>
          <w:highlight w:val="none"/>
        </w:rPr>
        <w:t>出入现场的权利</w:t>
      </w:r>
    </w:p>
    <w:p w14:paraId="5964B343">
      <w:pPr>
        <w:spacing w:line="360" w:lineRule="auto"/>
        <w:ind w:firstLine="42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关于出入现场的权利的约定：</w:t>
      </w:r>
      <w:r>
        <w:rPr>
          <w:rFonts w:hint="eastAsia" w:ascii="Times New Roman" w:hAnsi="Times New Roman" w:eastAsia="宋体" w:cs="Times New Roman"/>
          <w:color w:val="auto"/>
          <w:sz w:val="21"/>
          <w:szCs w:val="21"/>
          <w:highlight w:val="none"/>
          <w:u w:val="single"/>
        </w:rPr>
        <w:t>由承包人按发包人要求办理出入施工现场所需的批准手续，在发包人确定的路线和活动区域内开展施工，自觉遵守发包人的管理规定。承包人负责施工所需的场内临时道路和交通设施的修建、维护、养护和管理，相关费用由承包人承担。发包人和监理人有权无偿使用承包人修建的临时道路和交通设施，不需要缴纳任何费用</w:t>
      </w:r>
      <w:r>
        <w:rPr>
          <w:rFonts w:hint="eastAsia" w:ascii="Times New Roman" w:hAnsi="宋体" w:eastAsia="宋体" w:cs="宋体"/>
          <w:color w:val="auto"/>
          <w:sz w:val="21"/>
          <w:szCs w:val="21"/>
          <w:highlight w:val="none"/>
        </w:rPr>
        <w:t>。</w:t>
      </w:r>
      <w:bookmarkEnd w:id="162"/>
      <w:bookmarkEnd w:id="163"/>
      <w:bookmarkEnd w:id="164"/>
      <w:bookmarkEnd w:id="165"/>
      <w:bookmarkEnd w:id="166"/>
    </w:p>
    <w:p w14:paraId="59F90DE1">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bookmarkStart w:id="167" w:name="_Toc300934944"/>
      <w:bookmarkStart w:id="168" w:name="_Toc312677987"/>
      <w:bookmarkStart w:id="169" w:name="_Toc303539101"/>
      <w:bookmarkStart w:id="170" w:name="_Toc318581156"/>
      <w:bookmarkStart w:id="171" w:name="_Toc304295522"/>
      <w:r>
        <w:rPr>
          <w:rFonts w:ascii="Times New Roman" w:hAnsi="Times New Roman" w:eastAsia="宋体" w:cs="Times New Roman"/>
          <w:color w:val="auto"/>
          <w:sz w:val="21"/>
          <w:szCs w:val="21"/>
          <w:highlight w:val="none"/>
        </w:rPr>
        <w:t xml:space="preserve">.10.3 </w:t>
      </w:r>
      <w:r>
        <w:rPr>
          <w:rFonts w:hint="eastAsia" w:ascii="Times New Roman" w:hAnsi="宋体" w:eastAsia="宋体" w:cs="宋体"/>
          <w:color w:val="auto"/>
          <w:sz w:val="21"/>
          <w:szCs w:val="21"/>
          <w:highlight w:val="none"/>
        </w:rPr>
        <w:t>场内交通</w:t>
      </w:r>
    </w:p>
    <w:p w14:paraId="49ECF859">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关于场外交通和场内交通的边界的约定：</w:t>
      </w:r>
      <w:r>
        <w:rPr>
          <w:rFonts w:hint="eastAsia" w:ascii="Times New Roman" w:hAnsi="Times New Roman" w:eastAsia="宋体" w:cs="Times New Roman"/>
          <w:color w:val="auto"/>
          <w:sz w:val="21"/>
          <w:szCs w:val="21"/>
          <w:highlight w:val="none"/>
          <w:u w:val="single"/>
        </w:rPr>
        <w:t>以现场实际施工条件为准</w:t>
      </w:r>
      <w:r>
        <w:rPr>
          <w:rFonts w:hint="eastAsia" w:ascii="Times New Roman" w:hAnsi="宋体" w:eastAsia="宋体" w:cs="宋体"/>
          <w:color w:val="auto"/>
          <w:sz w:val="21"/>
          <w:szCs w:val="21"/>
          <w:highlight w:val="none"/>
        </w:rPr>
        <w:t>。</w:t>
      </w:r>
    </w:p>
    <w:p w14:paraId="7D320C28">
      <w:pPr>
        <w:spacing w:line="360" w:lineRule="auto"/>
        <w:ind w:firstLine="420"/>
        <w:jc w:val="left"/>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关于发包人向承包人免费提供满足工程施工需要的场内道路和交通设施的约定：</w:t>
      </w:r>
      <w:r>
        <w:rPr>
          <w:rFonts w:hint="eastAsia" w:ascii="Times New Roman" w:hAnsi="宋体" w:eastAsia="宋体" w:cs="Times New Roman"/>
          <w:color w:val="auto"/>
          <w:sz w:val="21"/>
          <w:szCs w:val="21"/>
          <w:highlight w:val="none"/>
          <w:u w:val="single"/>
          <w:lang w:eastAsia="zh-CN"/>
        </w:rPr>
        <w:t>不提供，承包人自理</w:t>
      </w:r>
      <w:r>
        <w:rPr>
          <w:rFonts w:ascii="Times New Roman" w:hAnsi="宋体" w:eastAsia="宋体" w:cs="Times New Roman"/>
          <w:color w:val="auto"/>
          <w:sz w:val="21"/>
          <w:szCs w:val="21"/>
          <w:highlight w:val="none"/>
        </w:rPr>
        <w:t>。</w:t>
      </w:r>
      <w:bookmarkEnd w:id="167"/>
      <w:bookmarkEnd w:id="168"/>
      <w:bookmarkEnd w:id="169"/>
      <w:bookmarkEnd w:id="170"/>
      <w:bookmarkEnd w:id="171"/>
      <w:bookmarkStart w:id="172" w:name="_Toc318581157"/>
    </w:p>
    <w:p w14:paraId="2C8CDAFC">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1.10.4 </w:t>
      </w:r>
      <w:r>
        <w:rPr>
          <w:rFonts w:hint="eastAsia" w:ascii="Times New Roman" w:hAnsi="宋体" w:eastAsia="宋体" w:cs="宋体"/>
          <w:color w:val="auto"/>
          <w:sz w:val="21"/>
          <w:szCs w:val="21"/>
          <w:highlight w:val="none"/>
        </w:rPr>
        <w:t>超大件和超重件的运输</w:t>
      </w:r>
    </w:p>
    <w:p w14:paraId="2CB14EDE">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运输超大件或超重件所需的道路和桥梁临时加固改造费用和其他有关费用由</w:t>
      </w:r>
      <w:r>
        <w:rPr>
          <w:rFonts w:hint="eastAsia" w:ascii="Times New Roman" w:hAnsi="Times New Roman" w:eastAsia="宋体" w:cs="Times New Roman"/>
          <w:color w:val="auto"/>
          <w:sz w:val="21"/>
          <w:szCs w:val="21"/>
          <w:highlight w:val="none"/>
          <w:u w:val="single"/>
        </w:rPr>
        <w:t>承包人</w:t>
      </w:r>
      <w:r>
        <w:rPr>
          <w:rFonts w:hint="eastAsia" w:ascii="Times New Roman" w:hAnsi="宋体" w:eastAsia="宋体" w:cs="宋体"/>
          <w:color w:val="auto"/>
          <w:sz w:val="21"/>
          <w:szCs w:val="21"/>
          <w:highlight w:val="none"/>
        </w:rPr>
        <w:t>承担。</w:t>
      </w:r>
      <w:bookmarkEnd w:id="172"/>
    </w:p>
    <w:p w14:paraId="7D6A5766">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73" w:name="_Toc407135202"/>
      <w:bookmarkStart w:id="174" w:name="_Toc78449788"/>
      <w:bookmarkStart w:id="175" w:name="_Toc389065266"/>
      <w:bookmarkStart w:id="176" w:name="_Toc373227700"/>
      <w:bookmarkStart w:id="177" w:name="_Toc1495098807"/>
      <w:bookmarkStart w:id="178" w:name="_Toc10139"/>
      <w:bookmarkStart w:id="179" w:name="_Toc373478347"/>
      <w:bookmarkStart w:id="180" w:name="_Toc29152"/>
      <w:r>
        <w:rPr>
          <w:rFonts w:ascii="Times New Roman" w:hAnsi="Times New Roman" w:eastAsia="黑体" w:cs="Times New Roman"/>
          <w:b/>
          <w:bCs/>
          <w:color w:val="auto"/>
          <w:sz w:val="21"/>
          <w:szCs w:val="21"/>
          <w:highlight w:val="none"/>
          <w:lang w:val="zh-CN" w:eastAsia="zh-CN" w:bidi="ar-SA"/>
        </w:rPr>
        <w:t xml:space="preserve">1.11 </w:t>
      </w:r>
      <w:r>
        <w:rPr>
          <w:rFonts w:hint="eastAsia" w:ascii="Times New Roman" w:hAnsi="宋体" w:eastAsia="黑体" w:cs="黑体"/>
          <w:b/>
          <w:bCs/>
          <w:color w:val="auto"/>
          <w:sz w:val="21"/>
          <w:szCs w:val="21"/>
          <w:highlight w:val="none"/>
          <w:lang w:val="zh-CN" w:eastAsia="zh-CN" w:bidi="ar-SA"/>
        </w:rPr>
        <w:t>知识产权</w:t>
      </w:r>
      <w:bookmarkEnd w:id="173"/>
      <w:bookmarkEnd w:id="174"/>
      <w:bookmarkEnd w:id="175"/>
      <w:bookmarkEnd w:id="176"/>
      <w:bookmarkEnd w:id="177"/>
      <w:bookmarkEnd w:id="178"/>
      <w:bookmarkEnd w:id="179"/>
      <w:bookmarkEnd w:id="180"/>
    </w:p>
    <w:p w14:paraId="3EABF015">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1.11.1 </w:t>
      </w:r>
      <w:r>
        <w:rPr>
          <w:rFonts w:hint="eastAsia" w:ascii="Times New Roman" w:hAnsi="宋体" w:eastAsia="宋体" w:cs="宋体"/>
          <w:color w:val="auto"/>
          <w:sz w:val="21"/>
          <w:szCs w:val="21"/>
          <w:highlight w:val="none"/>
        </w:rPr>
        <w:t>关于发包人提供给承包人的图纸、发包人为实施工程自行编制或委托编制的技术规范以及反映发包人关于合同要求或其他类似性质的文件的著作权的归属：</w:t>
      </w:r>
      <w:r>
        <w:rPr>
          <w:rFonts w:hint="eastAsia" w:ascii="Times New Roman" w:hAnsi="Times New Roman" w:eastAsia="宋体" w:cs="Times New Roman"/>
          <w:color w:val="auto"/>
          <w:sz w:val="21"/>
          <w:szCs w:val="21"/>
          <w:highlight w:val="none"/>
          <w:u w:val="single"/>
        </w:rPr>
        <w:t>按通用合同条款1.11条执行</w:t>
      </w:r>
      <w:r>
        <w:rPr>
          <w:rFonts w:hint="eastAsia" w:ascii="Times New Roman" w:hAnsi="宋体" w:eastAsia="宋体" w:cs="宋体"/>
          <w:color w:val="auto"/>
          <w:sz w:val="21"/>
          <w:szCs w:val="21"/>
          <w:highlight w:val="none"/>
        </w:rPr>
        <w:t>。</w:t>
      </w:r>
    </w:p>
    <w:p w14:paraId="694E761D">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关于发包人提供的上述文件的使用限制的要求：</w:t>
      </w:r>
      <w:r>
        <w:rPr>
          <w:rFonts w:hint="eastAsia" w:ascii="Times New Roman" w:hAnsi="Times New Roman" w:eastAsia="宋体" w:cs="Times New Roman"/>
          <w:color w:val="auto"/>
          <w:sz w:val="21"/>
          <w:szCs w:val="21"/>
          <w:highlight w:val="none"/>
          <w:u w:val="single"/>
        </w:rPr>
        <w:t>按通用合同条款1.11条执行</w:t>
      </w:r>
      <w:r>
        <w:rPr>
          <w:rFonts w:hint="eastAsia" w:ascii="Times New Roman" w:hAnsi="宋体" w:eastAsia="宋体" w:cs="宋体"/>
          <w:color w:val="auto"/>
          <w:sz w:val="21"/>
          <w:szCs w:val="21"/>
          <w:highlight w:val="none"/>
        </w:rPr>
        <w:t>。</w:t>
      </w:r>
    </w:p>
    <w:p w14:paraId="684FEC90">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1.11.2 </w:t>
      </w:r>
      <w:r>
        <w:rPr>
          <w:rFonts w:hint="eastAsia" w:ascii="Times New Roman" w:hAnsi="宋体" w:eastAsia="宋体" w:cs="宋体"/>
          <w:color w:val="auto"/>
          <w:sz w:val="21"/>
          <w:szCs w:val="21"/>
          <w:highlight w:val="none"/>
        </w:rPr>
        <w:t>关于承包人为实施工程所编制文件的著作权的归属：</w:t>
      </w:r>
      <w:r>
        <w:rPr>
          <w:rFonts w:hint="eastAsia" w:ascii="Times New Roman" w:hAnsi="Times New Roman" w:eastAsia="宋体" w:cs="Times New Roman"/>
          <w:color w:val="auto"/>
          <w:sz w:val="21"/>
          <w:szCs w:val="21"/>
          <w:highlight w:val="none"/>
          <w:u w:val="single"/>
        </w:rPr>
        <w:t>按通用合同条款1.11条执行</w:t>
      </w:r>
      <w:r>
        <w:rPr>
          <w:rFonts w:hint="eastAsia" w:ascii="Times New Roman" w:hAnsi="宋体" w:eastAsia="宋体" w:cs="宋体"/>
          <w:color w:val="auto"/>
          <w:sz w:val="21"/>
          <w:szCs w:val="21"/>
          <w:highlight w:val="none"/>
        </w:rPr>
        <w:t>。</w:t>
      </w:r>
    </w:p>
    <w:p w14:paraId="338CFC7B">
      <w:pPr>
        <w:spacing w:line="360" w:lineRule="auto"/>
        <w:ind w:firstLine="42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关于承包人提供的上述文件的使用限制的要求：</w:t>
      </w:r>
      <w:r>
        <w:rPr>
          <w:rFonts w:hint="eastAsia" w:ascii="Times New Roman" w:hAnsi="Times New Roman" w:eastAsia="宋体" w:cs="Times New Roman"/>
          <w:color w:val="auto"/>
          <w:sz w:val="21"/>
          <w:szCs w:val="21"/>
          <w:highlight w:val="none"/>
          <w:u w:val="single"/>
        </w:rPr>
        <w:t>按通用合同条款1.11条执行</w:t>
      </w:r>
      <w:r>
        <w:rPr>
          <w:rFonts w:hint="eastAsia" w:ascii="Times New Roman" w:hAnsi="宋体" w:eastAsia="宋体" w:cs="宋体"/>
          <w:color w:val="auto"/>
          <w:sz w:val="21"/>
          <w:szCs w:val="21"/>
          <w:highlight w:val="none"/>
        </w:rPr>
        <w:t>。</w:t>
      </w:r>
    </w:p>
    <w:p w14:paraId="2287468D">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1.11.4 </w:t>
      </w:r>
      <w:r>
        <w:rPr>
          <w:rFonts w:hint="eastAsia" w:ascii="Times New Roman" w:hAnsi="宋体" w:eastAsia="宋体" w:cs="宋体"/>
          <w:color w:val="auto"/>
          <w:sz w:val="21"/>
          <w:szCs w:val="21"/>
          <w:highlight w:val="none"/>
        </w:rPr>
        <w:t>承包人在施工过程中所采用的专利、专有技术、技术秘密的使用费的承担方式：</w:t>
      </w:r>
      <w:r>
        <w:rPr>
          <w:rFonts w:hint="eastAsia" w:ascii="Times New Roman" w:hAnsi="Times New Roman" w:eastAsia="宋体" w:cs="Times New Roman"/>
          <w:color w:val="auto"/>
          <w:sz w:val="21"/>
          <w:szCs w:val="21"/>
          <w:highlight w:val="none"/>
          <w:u w:val="single"/>
        </w:rPr>
        <w:t>按通用合同条款1.11条执行</w:t>
      </w:r>
      <w:r>
        <w:rPr>
          <w:rFonts w:hint="eastAsia" w:ascii="Times New Roman" w:hAnsi="宋体" w:eastAsia="宋体" w:cs="宋体"/>
          <w:color w:val="auto"/>
          <w:sz w:val="21"/>
          <w:szCs w:val="21"/>
          <w:highlight w:val="none"/>
        </w:rPr>
        <w:t>。</w:t>
      </w:r>
    </w:p>
    <w:p w14:paraId="51B9C801">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81" w:name="_Toc373478348"/>
      <w:bookmarkStart w:id="182" w:name="_Toc407135203"/>
      <w:bookmarkStart w:id="183" w:name="_Toc25183"/>
      <w:bookmarkStart w:id="184" w:name="_Toc78449789"/>
      <w:bookmarkStart w:id="185" w:name="_Toc14497"/>
      <w:bookmarkStart w:id="186" w:name="_Toc267680563"/>
      <w:bookmarkStart w:id="187" w:name="_Toc389065267"/>
      <w:bookmarkStart w:id="188" w:name="_Toc373227701"/>
      <w:r>
        <w:rPr>
          <w:rFonts w:ascii="Times New Roman" w:hAnsi="Times New Roman" w:eastAsia="黑体" w:cs="Times New Roman"/>
          <w:b/>
          <w:bCs/>
          <w:color w:val="auto"/>
          <w:sz w:val="21"/>
          <w:szCs w:val="21"/>
          <w:highlight w:val="none"/>
          <w:lang w:val="zh-CN" w:eastAsia="zh-CN" w:bidi="ar-SA"/>
        </w:rPr>
        <w:t>1.13</w:t>
      </w:r>
      <w:r>
        <w:rPr>
          <w:rFonts w:hint="eastAsia" w:ascii="Times New Roman" w:hAnsi="Times New Roman" w:eastAsia="黑体" w:cs="黑体"/>
          <w:b/>
          <w:bCs/>
          <w:color w:val="auto"/>
          <w:sz w:val="21"/>
          <w:szCs w:val="21"/>
          <w:highlight w:val="none"/>
          <w:lang w:val="zh-CN" w:eastAsia="zh-CN" w:bidi="ar-SA"/>
        </w:rPr>
        <w:t>工程量清单错误的修正</w:t>
      </w:r>
      <w:bookmarkEnd w:id="181"/>
      <w:bookmarkEnd w:id="182"/>
      <w:bookmarkEnd w:id="183"/>
      <w:bookmarkEnd w:id="184"/>
      <w:bookmarkEnd w:id="185"/>
      <w:bookmarkEnd w:id="186"/>
      <w:bookmarkEnd w:id="187"/>
      <w:bookmarkEnd w:id="188"/>
    </w:p>
    <w:p w14:paraId="019F6226">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出现工程量清单工程量偏差时，是否调整合同</w:t>
      </w:r>
      <w:r>
        <w:rPr>
          <w:rFonts w:hint="eastAsia" w:ascii="Times New Roman" w:hAnsi="宋体" w:eastAsia="宋体" w:cs="宋体"/>
          <w:color w:val="auto"/>
          <w:sz w:val="21"/>
          <w:szCs w:val="21"/>
          <w:highlight w:val="none"/>
          <w:lang w:eastAsia="zh-CN"/>
        </w:rPr>
        <w:t>单价</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eastAsia="zh-CN"/>
        </w:rPr>
        <w:t>按</w:t>
      </w:r>
      <w:r>
        <w:rPr>
          <w:rFonts w:hint="eastAsia" w:ascii="Times New Roman" w:hAnsi="宋体" w:eastAsia="宋体" w:cs="宋体"/>
          <w:color w:val="auto"/>
          <w:sz w:val="21"/>
          <w:szCs w:val="21"/>
          <w:highlight w:val="none"/>
          <w:lang w:val="en-US" w:eastAsia="zh-CN"/>
        </w:rPr>
        <w:t>10.4.1（9）约定执行</w:t>
      </w:r>
      <w:r>
        <w:rPr>
          <w:rFonts w:hint="eastAsia" w:ascii="Times New Roman" w:hAnsi="宋体" w:eastAsia="宋体" w:cs="宋体"/>
          <w:color w:val="auto"/>
          <w:sz w:val="21"/>
          <w:szCs w:val="21"/>
          <w:highlight w:val="none"/>
        </w:rPr>
        <w:t>。</w:t>
      </w:r>
    </w:p>
    <w:p w14:paraId="525A1B51">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189" w:name="_Toc10918"/>
      <w:bookmarkStart w:id="190" w:name="_Toc143780453"/>
      <w:bookmarkStart w:id="191" w:name="_Toc373227702"/>
      <w:bookmarkStart w:id="192" w:name="_Toc351203634"/>
      <w:bookmarkStart w:id="193" w:name="_Toc389065268"/>
      <w:bookmarkStart w:id="194" w:name="_Toc78449790"/>
      <w:bookmarkStart w:id="195" w:name="_Toc407135204"/>
      <w:bookmarkStart w:id="196" w:name="_Toc373478349"/>
      <w:r>
        <w:rPr>
          <w:rFonts w:ascii="Arial" w:hAnsi="Arial" w:eastAsia="黑体" w:cs="Times New Roman"/>
          <w:b/>
          <w:bCs/>
          <w:color w:val="auto"/>
          <w:sz w:val="21"/>
          <w:szCs w:val="21"/>
          <w:highlight w:val="none"/>
          <w:lang w:val="zh-CN" w:eastAsia="zh-CN" w:bidi="ar-SA"/>
        </w:rPr>
        <w:t>2</w:t>
      </w:r>
      <w:bookmarkStart w:id="197" w:name="_Toc296503157"/>
      <w:bookmarkStart w:id="198" w:name="_Toc297048343"/>
      <w:bookmarkStart w:id="199" w:name="_Toc297120457"/>
      <w:bookmarkStart w:id="200" w:name="_Toc296890985"/>
      <w:bookmarkStart w:id="201" w:name="_Toc296944496"/>
      <w:bookmarkStart w:id="202" w:name="_Toc296347156"/>
      <w:bookmarkStart w:id="203" w:name="_Toc296346658"/>
      <w:bookmarkStart w:id="204" w:name="_Toc292559867"/>
      <w:bookmarkStart w:id="205" w:name="_Toc292559362"/>
      <w:bookmarkStart w:id="206" w:name="_Toc296891197"/>
      <w:r>
        <w:rPr>
          <w:rFonts w:ascii="Arial" w:hAnsi="Arial" w:eastAsia="黑体" w:cs="Times New Roman"/>
          <w:b/>
          <w:bCs/>
          <w:color w:val="auto"/>
          <w:sz w:val="21"/>
          <w:szCs w:val="21"/>
          <w:highlight w:val="none"/>
          <w:lang w:val="zh-CN" w:eastAsia="zh-CN" w:bidi="ar-SA"/>
        </w:rPr>
        <w:t xml:space="preserve">. </w:t>
      </w:r>
      <w:r>
        <w:rPr>
          <w:rFonts w:hint="eastAsia" w:ascii="Arial" w:hAnsi="宋体" w:eastAsia="黑体" w:cs="黑体"/>
          <w:b/>
          <w:bCs/>
          <w:color w:val="auto"/>
          <w:sz w:val="21"/>
          <w:szCs w:val="21"/>
          <w:highlight w:val="none"/>
          <w:lang w:val="zh-CN" w:eastAsia="zh-CN" w:bidi="ar-SA"/>
        </w:rPr>
        <w:t>发包人</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1FDBFBDF">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207" w:name="_Toc78449791"/>
      <w:bookmarkStart w:id="208" w:name="_Toc373478350"/>
      <w:bookmarkStart w:id="209" w:name="_Toc26971"/>
      <w:bookmarkStart w:id="210" w:name="_Toc27372"/>
      <w:bookmarkStart w:id="211" w:name="_Toc373227703"/>
      <w:bookmarkStart w:id="212" w:name="_Toc407135205"/>
      <w:bookmarkStart w:id="213" w:name="_Toc971240048"/>
      <w:bookmarkStart w:id="214" w:name="_Toc389065269"/>
      <w:r>
        <w:rPr>
          <w:rFonts w:ascii="Times New Roman" w:hAnsi="Times New Roman" w:eastAsia="黑体" w:cs="Times New Roman"/>
          <w:b/>
          <w:bCs/>
          <w:color w:val="auto"/>
          <w:sz w:val="21"/>
          <w:szCs w:val="21"/>
          <w:highlight w:val="none"/>
          <w:lang w:val="zh-CN" w:eastAsia="zh-CN" w:bidi="ar-SA"/>
        </w:rPr>
        <w:t xml:space="preserve">2.2 </w:t>
      </w:r>
      <w:r>
        <w:rPr>
          <w:rFonts w:hint="eastAsia" w:ascii="Times New Roman" w:hAnsi="宋体" w:eastAsia="黑体" w:cs="黑体"/>
          <w:b/>
          <w:bCs/>
          <w:color w:val="auto"/>
          <w:sz w:val="21"/>
          <w:szCs w:val="21"/>
          <w:highlight w:val="none"/>
          <w:lang w:val="zh-CN" w:eastAsia="zh-CN" w:bidi="ar-SA"/>
        </w:rPr>
        <w:t>发包人代表</w:t>
      </w:r>
      <w:bookmarkEnd w:id="207"/>
      <w:bookmarkEnd w:id="208"/>
      <w:bookmarkEnd w:id="209"/>
      <w:bookmarkEnd w:id="210"/>
      <w:bookmarkEnd w:id="211"/>
      <w:bookmarkEnd w:id="212"/>
      <w:bookmarkEnd w:id="213"/>
      <w:bookmarkEnd w:id="214"/>
    </w:p>
    <w:p w14:paraId="19264C43">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发包人代表：</w:t>
      </w:r>
    </w:p>
    <w:p w14:paraId="0DB8608D">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姓</w:t>
      </w:r>
      <w:r>
        <w:rPr>
          <w:rFonts w:ascii="Times New Roman" w:hAnsi="Times New Roman" w:eastAsia="宋体" w:cs="Times New Roman"/>
          <w:color w:val="auto"/>
          <w:sz w:val="21"/>
          <w:szCs w:val="21"/>
          <w:highlight w:val="none"/>
        </w:rPr>
        <w:t xml:space="preserve">    </w:t>
      </w:r>
      <w:r>
        <w:rPr>
          <w:rFonts w:ascii="Times New Roman" w:hAnsi="宋体" w:eastAsia="宋体" w:cs="Times New Roman"/>
          <w:color w:val="auto"/>
          <w:sz w:val="21"/>
          <w:szCs w:val="21"/>
          <w:highlight w:val="none"/>
        </w:rPr>
        <w:t>名：</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60850E5C">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身份证号：</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1545AF2E">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职</w:t>
      </w:r>
      <w:r>
        <w:rPr>
          <w:rFonts w:ascii="Times New Roman" w:hAnsi="Times New Roman" w:eastAsia="宋体" w:cs="Times New Roman"/>
          <w:color w:val="auto"/>
          <w:sz w:val="21"/>
          <w:szCs w:val="21"/>
          <w:highlight w:val="none"/>
        </w:rPr>
        <w:t xml:space="preserve">    </w:t>
      </w:r>
      <w:r>
        <w:rPr>
          <w:rFonts w:ascii="Times New Roman" w:hAnsi="宋体" w:eastAsia="宋体" w:cs="Times New Roman"/>
          <w:color w:val="auto"/>
          <w:sz w:val="21"/>
          <w:szCs w:val="21"/>
          <w:highlight w:val="none"/>
        </w:rPr>
        <w:t>务：</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4DDD2244">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联系电话：</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2B28F75C">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电子信箱：</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5CFBE36F">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通信地址：</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0DD24F1E">
      <w:pPr>
        <w:spacing w:line="360" w:lineRule="auto"/>
        <w:ind w:firstLine="42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发包人对发包人代表的授权范围如下：</w:t>
      </w:r>
      <w:r>
        <w:rPr>
          <w:rFonts w:hint="eastAsia" w:ascii="Times New Roman" w:hAnsi="Times New Roman" w:eastAsia="宋体" w:cs="Times New Roman"/>
          <w:color w:val="auto"/>
          <w:sz w:val="21"/>
          <w:szCs w:val="21"/>
          <w:highlight w:val="none"/>
          <w:u w:val="single"/>
        </w:rPr>
        <w:t>督促指导监理工程师行使职权，协调工程参建各方的关系，协调处理工程质量、进度和安全文明施工存在的问题，办理有关设计变更、现场经济技术签证，审核工程进度报表和进度款支付凭据，审核工程结算书等</w:t>
      </w:r>
      <w:r>
        <w:rPr>
          <w:rFonts w:hint="eastAsia" w:ascii="Times New Roman" w:hAnsi="宋体" w:eastAsia="宋体" w:cs="宋体"/>
          <w:color w:val="auto"/>
          <w:sz w:val="21"/>
          <w:szCs w:val="21"/>
          <w:highlight w:val="none"/>
        </w:rPr>
        <w:t>。</w:t>
      </w:r>
    </w:p>
    <w:p w14:paraId="00F27F77">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215" w:name="_Toc78449792"/>
      <w:bookmarkStart w:id="216" w:name="_Toc407135206"/>
      <w:bookmarkStart w:id="217" w:name="_Toc373227704"/>
      <w:bookmarkStart w:id="218" w:name="_Toc2077499244"/>
      <w:bookmarkStart w:id="219" w:name="_Toc389065270"/>
      <w:bookmarkStart w:id="220" w:name="_Toc27528"/>
      <w:bookmarkStart w:id="221" w:name="_Toc17202"/>
      <w:bookmarkStart w:id="222" w:name="_Toc373478351"/>
      <w:r>
        <w:rPr>
          <w:rFonts w:ascii="Times New Roman" w:hAnsi="Times New Roman" w:eastAsia="黑体" w:cs="Times New Roman"/>
          <w:b/>
          <w:bCs/>
          <w:color w:val="auto"/>
          <w:sz w:val="21"/>
          <w:szCs w:val="21"/>
          <w:highlight w:val="none"/>
          <w:lang w:val="zh-CN" w:eastAsia="zh-CN" w:bidi="ar-SA"/>
        </w:rPr>
        <w:t xml:space="preserve">2.4 </w:t>
      </w:r>
      <w:r>
        <w:rPr>
          <w:rFonts w:hint="eastAsia" w:ascii="Times New Roman" w:hAnsi="Times New Roman" w:eastAsia="黑体" w:cs="黑体"/>
          <w:b/>
          <w:bCs/>
          <w:color w:val="auto"/>
          <w:sz w:val="21"/>
          <w:szCs w:val="21"/>
          <w:highlight w:val="none"/>
          <w:lang w:val="zh-CN" w:eastAsia="zh-CN" w:bidi="ar-SA"/>
        </w:rPr>
        <w:t>施工现场、施工条件和基础资料的提供</w:t>
      </w:r>
      <w:bookmarkEnd w:id="215"/>
      <w:bookmarkEnd w:id="216"/>
      <w:bookmarkEnd w:id="217"/>
      <w:bookmarkEnd w:id="218"/>
      <w:bookmarkEnd w:id="219"/>
      <w:bookmarkEnd w:id="220"/>
      <w:bookmarkEnd w:id="221"/>
      <w:bookmarkEnd w:id="222"/>
    </w:p>
    <w:p w14:paraId="073D0841">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2.4.1 </w:t>
      </w:r>
      <w:r>
        <w:rPr>
          <w:rFonts w:hint="eastAsia" w:ascii="Times New Roman" w:hAnsi="宋体" w:eastAsia="宋体" w:cs="宋体"/>
          <w:color w:val="auto"/>
          <w:sz w:val="21"/>
          <w:szCs w:val="21"/>
          <w:highlight w:val="none"/>
        </w:rPr>
        <w:t>提供施工现场</w:t>
      </w:r>
    </w:p>
    <w:p w14:paraId="76075453">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关于发包人移交施工现场的期限要求：</w:t>
      </w:r>
      <w:r>
        <w:t>开工前七日内</w:t>
      </w:r>
      <w:r>
        <w:rPr>
          <w:rFonts w:hint="eastAsia" w:ascii="Times New Roman" w:hAnsi="宋体" w:eastAsia="宋体" w:cs="宋体"/>
          <w:color w:val="auto"/>
          <w:sz w:val="21"/>
          <w:szCs w:val="21"/>
          <w:highlight w:val="none"/>
        </w:rPr>
        <w:t>。</w:t>
      </w:r>
    </w:p>
    <w:p w14:paraId="7B06CAB8">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2.4.2 </w:t>
      </w:r>
      <w:r>
        <w:rPr>
          <w:rFonts w:hint="eastAsia" w:ascii="Times New Roman" w:hAnsi="宋体" w:eastAsia="宋体" w:cs="宋体"/>
          <w:color w:val="auto"/>
          <w:sz w:val="21"/>
          <w:szCs w:val="21"/>
          <w:highlight w:val="none"/>
        </w:rPr>
        <w:t>提供施工条件</w:t>
      </w:r>
    </w:p>
    <w:p w14:paraId="219BB206">
      <w:pPr>
        <w:spacing w:line="360" w:lineRule="auto"/>
        <w:ind w:firstLine="42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关于发包人应负责提供施工所需要的条件，包括：</w:t>
      </w:r>
      <w:r>
        <w:rPr>
          <w:rFonts w:hint="eastAsia" w:ascii="Times New Roman" w:hAnsi="Times New Roman" w:eastAsia="宋体" w:cs="Times New Roman"/>
          <w:color w:val="auto"/>
          <w:sz w:val="21"/>
          <w:szCs w:val="21"/>
          <w:highlight w:val="none"/>
          <w:u w:val="single"/>
        </w:rPr>
        <w:t>施工用水、用电及电讯线路由承包人自行解决，费用由承包人在各项综合单价中自行考虑，水、电由承包人在指定接线位置装表计量、接至现场各施工地点并自行承担相关费用 。若供电部门的原因造成停电，承包人必须自行解决施工用电，费用由承包人负责</w:t>
      </w:r>
      <w:r>
        <w:rPr>
          <w:rFonts w:hint="eastAsia" w:ascii="Times New Roman" w:hAnsi="宋体" w:eastAsia="宋体" w:cs="宋体"/>
          <w:color w:val="auto"/>
          <w:sz w:val="21"/>
          <w:szCs w:val="21"/>
          <w:highlight w:val="none"/>
        </w:rPr>
        <w:t>。</w:t>
      </w:r>
    </w:p>
    <w:p w14:paraId="39EE66A1">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223" w:name="_Toc78449793"/>
      <w:bookmarkStart w:id="224" w:name="_Toc373478352"/>
      <w:bookmarkStart w:id="225" w:name="_Toc407135207"/>
      <w:bookmarkStart w:id="226" w:name="_Toc389065271"/>
      <w:bookmarkStart w:id="227" w:name="_Toc22558"/>
      <w:bookmarkStart w:id="228" w:name="_Toc373227705"/>
      <w:bookmarkStart w:id="229" w:name="_Toc1238195908"/>
      <w:bookmarkStart w:id="230" w:name="_Toc7688"/>
      <w:r>
        <w:rPr>
          <w:rFonts w:ascii="Times New Roman" w:hAnsi="Times New Roman" w:eastAsia="黑体" w:cs="Times New Roman"/>
          <w:b/>
          <w:bCs/>
          <w:color w:val="auto"/>
          <w:sz w:val="21"/>
          <w:szCs w:val="21"/>
          <w:highlight w:val="none"/>
          <w:lang w:val="zh-CN" w:eastAsia="zh-CN" w:bidi="ar-SA"/>
        </w:rPr>
        <w:t xml:space="preserve">2.5 </w:t>
      </w:r>
      <w:r>
        <w:rPr>
          <w:rFonts w:hint="eastAsia" w:ascii="Times New Roman" w:hAnsi="Times New Roman" w:eastAsia="黑体" w:cs="黑体"/>
          <w:b/>
          <w:bCs/>
          <w:color w:val="auto"/>
          <w:sz w:val="21"/>
          <w:szCs w:val="21"/>
          <w:highlight w:val="none"/>
          <w:lang w:val="zh-CN" w:eastAsia="zh-CN" w:bidi="ar-SA"/>
        </w:rPr>
        <w:t>资金来源证明及支付担保</w:t>
      </w:r>
      <w:bookmarkEnd w:id="223"/>
      <w:bookmarkEnd w:id="224"/>
      <w:bookmarkEnd w:id="225"/>
      <w:bookmarkEnd w:id="226"/>
      <w:bookmarkEnd w:id="227"/>
      <w:bookmarkEnd w:id="228"/>
      <w:bookmarkEnd w:id="229"/>
      <w:bookmarkEnd w:id="230"/>
    </w:p>
    <w:p w14:paraId="68CD921F">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发包人提供资金来源证明的期限要求：</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07A43EE6">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发包人是否提供支付担保：</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r>
        <w:rPr>
          <w:rFonts w:hint="eastAsia" w:ascii="Times New Roman" w:hAnsi="宋体" w:eastAsia="宋体" w:cs="宋体"/>
          <w:i w:val="0"/>
          <w:caps w:val="0"/>
          <w:color w:val="auto"/>
          <w:spacing w:val="0"/>
          <w:sz w:val="21"/>
          <w:szCs w:val="21"/>
          <w:highlight w:val="none"/>
          <w:lang w:eastAsia="zh-CN"/>
        </w:rPr>
        <w:t>发包</w:t>
      </w:r>
      <w:r>
        <w:rPr>
          <w:rFonts w:hint="eastAsia" w:ascii="Times New Roman" w:hAnsi="宋体" w:eastAsia="宋体" w:cs="宋体"/>
          <w:i w:val="0"/>
          <w:caps w:val="0"/>
          <w:color w:val="auto"/>
          <w:spacing w:val="0"/>
          <w:sz w:val="21"/>
          <w:szCs w:val="21"/>
          <w:highlight w:val="none"/>
        </w:rPr>
        <w:t>人要求</w:t>
      </w:r>
      <w:r>
        <w:rPr>
          <w:rFonts w:hint="eastAsia" w:ascii="Times New Roman" w:hAnsi="宋体" w:eastAsia="宋体" w:cs="宋体"/>
          <w:i w:val="0"/>
          <w:caps w:val="0"/>
          <w:color w:val="auto"/>
          <w:spacing w:val="0"/>
          <w:sz w:val="21"/>
          <w:szCs w:val="21"/>
          <w:highlight w:val="none"/>
          <w:lang w:eastAsia="zh-CN"/>
        </w:rPr>
        <w:t>承包</w:t>
      </w:r>
      <w:r>
        <w:rPr>
          <w:rFonts w:hint="eastAsia" w:ascii="Times New Roman" w:hAnsi="宋体" w:eastAsia="宋体" w:cs="宋体"/>
          <w:i w:val="0"/>
          <w:caps w:val="0"/>
          <w:color w:val="auto"/>
          <w:spacing w:val="0"/>
          <w:sz w:val="21"/>
          <w:szCs w:val="21"/>
          <w:highlight w:val="none"/>
        </w:rPr>
        <w:t>人提供履约担保的，应当同时向</w:t>
      </w:r>
      <w:r>
        <w:rPr>
          <w:rFonts w:hint="eastAsia" w:ascii="Times New Roman" w:hAnsi="宋体" w:eastAsia="宋体" w:cs="宋体"/>
          <w:i w:val="0"/>
          <w:caps w:val="0"/>
          <w:color w:val="auto"/>
          <w:spacing w:val="0"/>
          <w:sz w:val="21"/>
          <w:szCs w:val="21"/>
          <w:highlight w:val="none"/>
          <w:lang w:eastAsia="zh-CN"/>
        </w:rPr>
        <w:t>承包</w:t>
      </w:r>
      <w:r>
        <w:rPr>
          <w:rFonts w:hint="eastAsia" w:ascii="Times New Roman" w:hAnsi="宋体" w:eastAsia="宋体" w:cs="宋体"/>
          <w:i w:val="0"/>
          <w:caps w:val="0"/>
          <w:color w:val="auto"/>
          <w:spacing w:val="0"/>
          <w:sz w:val="21"/>
          <w:szCs w:val="21"/>
          <w:highlight w:val="none"/>
        </w:rPr>
        <w:t>人提供工程款支付担保。工程款支付担保可以全额担保，也可以分阶段担保。分阶段担保的，除保修金以外的全部款项，完成一个阶段清算后再进入下一阶段，有效期截至工程竣工结算款支付完毕。</w:t>
      </w:r>
      <w:r>
        <w:rPr>
          <w:rFonts w:hint="eastAsia" w:ascii="Times New Roman" w:hAnsi="宋体" w:eastAsia="宋体" w:cs="宋体"/>
          <w:i w:val="0"/>
          <w:caps w:val="0"/>
          <w:color w:val="auto"/>
          <w:spacing w:val="0"/>
          <w:sz w:val="21"/>
          <w:szCs w:val="21"/>
          <w:highlight w:val="none"/>
          <w:lang w:eastAsia="zh-CN"/>
        </w:rPr>
        <w:t>发包</w:t>
      </w:r>
      <w:r>
        <w:rPr>
          <w:rFonts w:hint="eastAsia" w:ascii="Times New Roman" w:hAnsi="宋体" w:eastAsia="宋体" w:cs="宋体"/>
          <w:i w:val="0"/>
          <w:caps w:val="0"/>
          <w:color w:val="auto"/>
          <w:spacing w:val="0"/>
          <w:sz w:val="21"/>
          <w:szCs w:val="21"/>
          <w:highlight w:val="none"/>
        </w:rPr>
        <w:t>人未按合同约定及时支付工程款的，工程担保保证人需承担担保责任。对政府投资项目，由建设单位提供落实财政资金来源的证明文件</w:t>
      </w:r>
      <w:r>
        <w:rPr>
          <w:rFonts w:hint="eastAsia" w:ascii="Times New Roman" w:hAnsi="宋体" w:eastAsia="宋体" w:cs="宋体"/>
          <w:i w:val="0"/>
          <w:caps w:val="0"/>
          <w:color w:val="auto"/>
          <w:spacing w:val="0"/>
          <w:sz w:val="21"/>
          <w:szCs w:val="21"/>
          <w:highlight w:val="none"/>
          <w:lang w:eastAsia="zh-CN"/>
        </w:rPr>
        <w:t>】</w:t>
      </w:r>
    </w:p>
    <w:p w14:paraId="5FCB9CBA">
      <w:pPr>
        <w:spacing w:line="360" w:lineRule="auto"/>
        <w:ind w:firstLine="420"/>
        <w:rPr>
          <w:rFonts w:hint="eastAsia" w:ascii="Times New Roman" w:hAnsi="宋体" w:eastAsia="宋体" w:cs="宋体"/>
          <w:color w:val="auto"/>
          <w:sz w:val="21"/>
          <w:szCs w:val="21"/>
          <w:highlight w:val="none"/>
          <w:lang w:val="en" w:eastAsia="zh-CN"/>
        </w:rPr>
      </w:pPr>
      <w:r>
        <w:rPr>
          <w:rFonts w:hint="eastAsia" w:ascii="Times New Roman" w:hAnsi="宋体" w:eastAsia="宋体" w:cs="宋体"/>
          <w:color w:val="auto"/>
          <w:sz w:val="21"/>
          <w:szCs w:val="21"/>
          <w:highlight w:val="none"/>
        </w:rPr>
        <w:t>发包人提供支付担保的形式：</w:t>
      </w:r>
      <w:r>
        <w:rPr>
          <w:rFonts w:hint="eastAsia" w:ascii="Times New Roman" w:hAnsi="Times New Roman" w:eastAsia="宋体" w:cs="Times New Roman"/>
          <w:color w:val="auto"/>
          <w:sz w:val="21"/>
          <w:szCs w:val="21"/>
          <w:highlight w:val="none"/>
          <w:u w:val="none"/>
          <w:lang w:eastAsia="zh-CN"/>
        </w:rPr>
        <w:t>可以是</w:t>
      </w:r>
      <w:r>
        <w:rPr>
          <w:rFonts w:hint="eastAsia" w:ascii="Times New Roman" w:hAnsi="宋体" w:eastAsia="宋体" w:cs="宋体"/>
          <w:color w:val="auto"/>
          <w:sz w:val="21"/>
          <w:szCs w:val="21"/>
          <w:highlight w:val="none"/>
        </w:rPr>
        <w:t>银行转账、电汇或网上支付、保函（银行保函、电子</w:t>
      </w:r>
      <w:r>
        <w:rPr>
          <w:rFonts w:ascii="Times New Roman" w:hAnsi="宋体" w:eastAsia="宋体" w:cs="宋体"/>
          <w:color w:val="auto"/>
          <w:sz w:val="21"/>
          <w:szCs w:val="21"/>
          <w:highlight w:val="none"/>
        </w:rPr>
        <w:t>保函</w:t>
      </w:r>
      <w:r>
        <w:rPr>
          <w:rFonts w:hint="eastAsia" w:ascii="Times New Roman" w:hAnsi="宋体" w:eastAsia="宋体" w:cs="宋体"/>
          <w:color w:val="auto"/>
          <w:sz w:val="21"/>
          <w:szCs w:val="21"/>
          <w:highlight w:val="none"/>
        </w:rPr>
        <w:t>、保证保险保函、工程担保保函）</w:t>
      </w:r>
      <w:r>
        <w:rPr>
          <w:rFonts w:hint="eastAsia" w:ascii="Times New Roman" w:hAnsi="宋体" w:eastAsia="宋体" w:cs="Times New Roman"/>
          <w:color w:val="auto"/>
          <w:sz w:val="21"/>
          <w:szCs w:val="21"/>
          <w:highlight w:val="none"/>
        </w:rPr>
        <w:t>等</w:t>
      </w:r>
      <w:r>
        <w:rPr>
          <w:rFonts w:hint="eastAsia" w:ascii="Times New Roman" w:hAnsi="宋体" w:eastAsia="宋体" w:cs="宋体"/>
          <w:color w:val="auto"/>
          <w:sz w:val="21"/>
          <w:szCs w:val="21"/>
          <w:highlight w:val="none"/>
        </w:rPr>
        <w:t>形</w:t>
      </w:r>
      <w:r>
        <w:rPr>
          <w:rFonts w:hint="eastAsia" w:ascii="Times New Roman" w:hAnsi="宋体" w:eastAsia="宋体" w:cs="Times New Roman"/>
          <w:color w:val="auto"/>
          <w:sz w:val="21"/>
          <w:szCs w:val="21"/>
          <w:highlight w:val="none"/>
        </w:rPr>
        <w:t>式</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eastAsia="zh-CN"/>
        </w:rPr>
        <w:t>工程担保保证人应将出具的保函相关信息录入“广西建筑市场监管云”平台（https://gxjzsc.gxcic.</w:t>
      </w:r>
      <w:r>
        <w:rPr>
          <w:rFonts w:hint="eastAsia" w:ascii="Times New Roman" w:hAnsi="Times New Roman" w:eastAsia="宋体" w:cs="宋体"/>
          <w:color w:val="auto"/>
          <w:sz w:val="21"/>
          <w:szCs w:val="21"/>
          <w:highlight w:val="none"/>
          <w:lang w:val="en-US" w:eastAsia="zh-CN"/>
        </w:rPr>
        <w:t>cn</w:t>
      </w:r>
      <w:r>
        <w:rPr>
          <w:rFonts w:hint="eastAsia" w:ascii="Times New Roman" w:hAnsi="宋体" w:eastAsia="宋体" w:cs="宋体"/>
          <w:color w:val="auto"/>
          <w:sz w:val="21"/>
          <w:szCs w:val="21"/>
          <w:highlight w:val="none"/>
          <w:lang w:eastAsia="zh-CN"/>
        </w:rPr>
        <w:t>），以实现保函查询及验真功能</w:t>
      </w:r>
      <w:r>
        <w:rPr>
          <w:rFonts w:hint="eastAsia" w:ascii="Times New Roman" w:hAnsi="宋体" w:eastAsia="宋体" w:cs="宋体"/>
          <w:color w:val="auto"/>
          <w:sz w:val="21"/>
          <w:szCs w:val="21"/>
          <w:highlight w:val="none"/>
          <w:lang w:val="en" w:eastAsia="zh-CN"/>
        </w:rPr>
        <w:t>。</w:t>
      </w:r>
    </w:p>
    <w:p w14:paraId="2AD23278">
      <w:pPr>
        <w:spacing w:line="360" w:lineRule="auto"/>
        <w:ind w:firstLine="42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发包人提供的支付担保格式见合同附件</w:t>
      </w:r>
      <w:r>
        <w:rPr>
          <w:rFonts w:hint="eastAsia" w:ascii="Times New Roman" w:hAnsi="宋体" w:eastAsia="宋体" w:cs="Times New Roman"/>
          <w:color w:val="auto"/>
          <w:sz w:val="21"/>
          <w:szCs w:val="21"/>
          <w:highlight w:val="none"/>
        </w:rPr>
        <w:t>9</w:t>
      </w:r>
      <w:r>
        <w:rPr>
          <w:rFonts w:hint="eastAsia" w:ascii="Times New Roman" w:hAnsi="宋体" w:eastAsia="宋体" w:cs="宋体"/>
          <w:color w:val="auto"/>
          <w:sz w:val="21"/>
          <w:szCs w:val="21"/>
          <w:highlight w:val="none"/>
        </w:rPr>
        <w:t>。</w:t>
      </w:r>
    </w:p>
    <w:p w14:paraId="77445020">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231" w:name="_Toc351203635"/>
      <w:bookmarkStart w:id="232" w:name="_Toc373227706"/>
      <w:bookmarkStart w:id="233" w:name="_Toc389065272"/>
      <w:bookmarkStart w:id="234" w:name="_Toc1181400362"/>
      <w:bookmarkStart w:id="235" w:name="_Toc78449794"/>
      <w:bookmarkStart w:id="236" w:name="_Toc373478353"/>
      <w:bookmarkStart w:id="237" w:name="_Toc28432"/>
      <w:bookmarkStart w:id="238" w:name="_Toc407135208"/>
      <w:r>
        <w:rPr>
          <w:rFonts w:ascii="Arial" w:hAnsi="Arial" w:eastAsia="黑体" w:cs="Times New Roman"/>
          <w:b/>
          <w:bCs/>
          <w:color w:val="auto"/>
          <w:sz w:val="21"/>
          <w:szCs w:val="21"/>
          <w:highlight w:val="none"/>
          <w:lang w:val="zh-CN" w:eastAsia="zh-CN" w:bidi="ar-SA"/>
        </w:rPr>
        <w:t>3</w:t>
      </w:r>
      <w:bookmarkStart w:id="239" w:name="_Toc296503158"/>
      <w:bookmarkStart w:id="240" w:name="_Toc296890986"/>
      <w:bookmarkStart w:id="241" w:name="_Toc297048344"/>
      <w:bookmarkStart w:id="242" w:name="_Toc296891198"/>
      <w:bookmarkStart w:id="243" w:name="_Toc297120458"/>
      <w:bookmarkStart w:id="244" w:name="_Toc292559868"/>
      <w:bookmarkStart w:id="245" w:name="_Toc296346659"/>
      <w:bookmarkStart w:id="246" w:name="_Toc292559363"/>
      <w:bookmarkStart w:id="247" w:name="_Toc296944497"/>
      <w:bookmarkStart w:id="248" w:name="_Toc296347157"/>
      <w:r>
        <w:rPr>
          <w:rFonts w:ascii="Arial" w:hAnsi="Arial" w:eastAsia="黑体" w:cs="Times New Roman"/>
          <w:b/>
          <w:bCs/>
          <w:color w:val="auto"/>
          <w:sz w:val="21"/>
          <w:szCs w:val="21"/>
          <w:highlight w:val="none"/>
          <w:lang w:val="zh-CN" w:eastAsia="zh-CN" w:bidi="ar-SA"/>
        </w:rPr>
        <w:t xml:space="preserve">. </w:t>
      </w:r>
      <w:r>
        <w:rPr>
          <w:rFonts w:hint="eastAsia" w:ascii="Arial" w:hAnsi="宋体" w:eastAsia="黑体" w:cs="黑体"/>
          <w:b/>
          <w:bCs/>
          <w:color w:val="auto"/>
          <w:sz w:val="21"/>
          <w:szCs w:val="21"/>
          <w:highlight w:val="none"/>
          <w:lang w:val="zh-CN" w:eastAsia="zh-CN" w:bidi="ar-SA"/>
        </w:rPr>
        <w:t>承包人</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79D31D8B">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249" w:name="_Toc389065273"/>
      <w:bookmarkStart w:id="250" w:name="_Toc962678435"/>
      <w:bookmarkStart w:id="251" w:name="_Toc373478354"/>
      <w:bookmarkStart w:id="252" w:name="_Toc373227707"/>
      <w:bookmarkStart w:id="253" w:name="_Toc23629"/>
      <w:bookmarkStart w:id="254" w:name="_Toc5874"/>
      <w:bookmarkStart w:id="255" w:name="_Toc78449795"/>
      <w:bookmarkStart w:id="256" w:name="_Toc407135209"/>
      <w:r>
        <w:rPr>
          <w:rFonts w:ascii="Times New Roman" w:hAnsi="Times New Roman" w:eastAsia="黑体" w:cs="Times New Roman"/>
          <w:b/>
          <w:bCs/>
          <w:color w:val="auto"/>
          <w:sz w:val="21"/>
          <w:szCs w:val="21"/>
          <w:highlight w:val="none"/>
          <w:lang w:val="zh-CN" w:eastAsia="zh-CN" w:bidi="ar-SA"/>
        </w:rPr>
        <w:t xml:space="preserve">3.1 </w:t>
      </w:r>
      <w:r>
        <w:rPr>
          <w:rFonts w:hint="eastAsia" w:ascii="Times New Roman" w:hAnsi="Times New Roman" w:eastAsia="黑体" w:cs="黑体"/>
          <w:b/>
          <w:bCs/>
          <w:color w:val="auto"/>
          <w:sz w:val="21"/>
          <w:szCs w:val="21"/>
          <w:highlight w:val="none"/>
          <w:lang w:val="zh-CN" w:eastAsia="zh-CN" w:bidi="ar-SA"/>
        </w:rPr>
        <w:t>承包人的一般义务</w:t>
      </w:r>
      <w:bookmarkEnd w:id="249"/>
      <w:bookmarkEnd w:id="250"/>
      <w:bookmarkEnd w:id="251"/>
      <w:bookmarkEnd w:id="252"/>
      <w:bookmarkEnd w:id="253"/>
      <w:bookmarkEnd w:id="254"/>
      <w:bookmarkEnd w:id="255"/>
      <w:bookmarkEnd w:id="256"/>
    </w:p>
    <w:p w14:paraId="00EB4D71">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9</w:t>
      </w:r>
      <w:r>
        <w:rPr>
          <w:rFonts w:hint="eastAsia" w:ascii="Times New Roman" w:hAnsi="宋体" w:eastAsia="宋体" w:cs="宋体"/>
          <w:color w:val="auto"/>
          <w:sz w:val="21"/>
          <w:szCs w:val="21"/>
          <w:highlight w:val="none"/>
        </w:rPr>
        <w:t>）承包人提交的竣工资料的内容：</w:t>
      </w:r>
      <w:r>
        <w:rPr>
          <w:rFonts w:hint="eastAsia" w:ascii="Times New Roman" w:hAnsi="Times New Roman" w:eastAsia="宋体" w:cs="Times New Roman"/>
          <w:color w:val="auto"/>
          <w:sz w:val="21"/>
          <w:szCs w:val="21"/>
          <w:highlight w:val="none"/>
          <w:u w:val="single"/>
        </w:rPr>
        <w:t>施工技术管理文件；施工质量证明文件；检验和检测报告；施工记录；检验批质量验收记录；竣工图（设计变更较多需重新绘制竣工图的，还包含竣工图电子文档）；工程结算书及相关支撑资料；现场影像资料；工程材料的质保资料；工程质量保修书等</w:t>
      </w:r>
      <w:r>
        <w:rPr>
          <w:rFonts w:hint="eastAsia" w:ascii="Times New Roman" w:hAnsi="宋体" w:eastAsia="宋体" w:cs="宋体"/>
          <w:color w:val="auto"/>
          <w:sz w:val="21"/>
          <w:szCs w:val="21"/>
          <w:highlight w:val="none"/>
        </w:rPr>
        <w:t>。</w:t>
      </w:r>
    </w:p>
    <w:p w14:paraId="05294005">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承包人需要提交的竣工资料套数：</w:t>
      </w:r>
      <w:r>
        <w:rPr>
          <w:rFonts w:hint="eastAsia" w:ascii="Times New Roman" w:hAnsi="Times New Roman" w:eastAsia="宋体" w:cs="Times New Roman"/>
          <w:color w:val="auto"/>
          <w:sz w:val="21"/>
          <w:szCs w:val="21"/>
          <w:highlight w:val="none"/>
          <w:u w:val="single"/>
        </w:rPr>
        <w:t>一式两套</w:t>
      </w:r>
      <w:r>
        <w:rPr>
          <w:rFonts w:hint="eastAsia" w:ascii="Times New Roman" w:hAnsi="宋体" w:eastAsia="宋体" w:cs="宋体"/>
          <w:color w:val="auto"/>
          <w:sz w:val="21"/>
          <w:szCs w:val="21"/>
          <w:highlight w:val="none"/>
        </w:rPr>
        <w:t>。</w:t>
      </w:r>
    </w:p>
    <w:p w14:paraId="64E092B2">
      <w:pPr>
        <w:spacing w:line="360" w:lineRule="auto"/>
        <w:ind w:left="424"/>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承包人提交的竣工资料的费用承担：</w:t>
      </w:r>
      <w:r>
        <w:rPr>
          <w:rFonts w:hint="eastAsia" w:ascii="Times New Roman" w:hAnsi="Times New Roman" w:eastAsia="宋体" w:cs="Times New Roman"/>
          <w:color w:val="auto"/>
          <w:sz w:val="21"/>
          <w:szCs w:val="21"/>
          <w:highlight w:val="none"/>
          <w:u w:val="single"/>
        </w:rPr>
        <w:t>由承包人承担</w:t>
      </w:r>
      <w:r>
        <w:rPr>
          <w:rFonts w:hint="eastAsia" w:ascii="Times New Roman" w:hAnsi="宋体" w:eastAsia="宋体" w:cs="宋体"/>
          <w:color w:val="auto"/>
          <w:sz w:val="21"/>
          <w:szCs w:val="21"/>
          <w:highlight w:val="none"/>
        </w:rPr>
        <w:t>。</w:t>
      </w:r>
    </w:p>
    <w:p w14:paraId="3155690A">
      <w:pPr>
        <w:spacing w:line="360" w:lineRule="auto"/>
        <w:ind w:left="424"/>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承包人提交的竣工资料移交时间：</w:t>
      </w:r>
      <w:r>
        <w:rPr>
          <w:rFonts w:hint="eastAsia" w:ascii="Times New Roman" w:hAnsi="Times New Roman" w:eastAsia="宋体" w:cs="Times New Roman"/>
          <w:color w:val="auto"/>
          <w:sz w:val="21"/>
          <w:szCs w:val="21"/>
          <w:highlight w:val="none"/>
          <w:u w:val="single"/>
        </w:rPr>
        <w:t>承包人应在竣工验收合格后28天内向发包人移交竣工资料</w:t>
      </w:r>
      <w:r>
        <w:rPr>
          <w:rFonts w:hint="eastAsia" w:ascii="Times New Roman" w:hAnsi="宋体" w:eastAsia="宋体" w:cs="宋体"/>
          <w:color w:val="auto"/>
          <w:sz w:val="21"/>
          <w:szCs w:val="21"/>
          <w:highlight w:val="none"/>
        </w:rPr>
        <w:t>。</w:t>
      </w:r>
    </w:p>
    <w:p w14:paraId="7DFF91E0">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承包人提交的竣工资料形式要求：</w:t>
      </w:r>
      <w:r>
        <w:rPr>
          <w:rFonts w:hint="eastAsia" w:ascii="Times New Roman" w:hAnsi="Times New Roman" w:eastAsia="宋体" w:cs="Times New Roman"/>
          <w:color w:val="auto"/>
          <w:sz w:val="21"/>
          <w:szCs w:val="21"/>
          <w:highlight w:val="none"/>
          <w:u w:val="single"/>
        </w:rPr>
        <w:t>除提供纸质文件外，还应提供相关信息电子文件及影像文件</w:t>
      </w:r>
      <w:r>
        <w:rPr>
          <w:rFonts w:hint="eastAsia" w:ascii="Times New Roman" w:hAnsi="宋体" w:eastAsia="宋体" w:cs="宋体"/>
          <w:color w:val="auto"/>
          <w:sz w:val="21"/>
          <w:szCs w:val="21"/>
          <w:highlight w:val="none"/>
        </w:rPr>
        <w:t>。</w:t>
      </w:r>
    </w:p>
    <w:p w14:paraId="3B9E9520">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10</w:t>
      </w:r>
      <w:r>
        <w:rPr>
          <w:rFonts w:hint="eastAsia" w:ascii="Times New Roman" w:hAnsi="宋体" w:eastAsia="宋体" w:cs="宋体"/>
          <w:color w:val="auto"/>
          <w:sz w:val="21"/>
          <w:szCs w:val="21"/>
          <w:highlight w:val="none"/>
        </w:rPr>
        <w:t>）承包人应履行的其他义务：</w:t>
      </w:r>
      <w:r>
        <w:rPr>
          <w:rFonts w:hint="eastAsia" w:ascii="Times New Roman" w:hAnsi="宋体" w:eastAsia="宋体" w:cs="宋体"/>
          <w:color w:val="auto"/>
          <w:sz w:val="21"/>
          <w:szCs w:val="21"/>
          <w:highlight w:val="none"/>
          <w:u w:val="single"/>
        </w:rPr>
        <w:t>施工现场建筑工人持证率应达到</w:t>
      </w:r>
      <w:r>
        <w:rPr>
          <w:rFonts w:hint="eastAsia" w:ascii="Times New Roman" w:hAnsi="宋体" w:eastAsia="宋体" w:cs="宋体"/>
          <w:color w:val="auto"/>
          <w:sz w:val="21"/>
          <w:szCs w:val="21"/>
          <w:highlight w:val="none"/>
          <w:u w:val="single"/>
          <w:lang w:val="en-US" w:eastAsia="zh-CN"/>
        </w:rPr>
        <w:t>15</w:t>
      </w:r>
      <w:r>
        <w:rPr>
          <w:rFonts w:hint="eastAsia" w:ascii="Times New Roman" w:hAnsi="宋体" w:eastAsia="宋体" w:cs="宋体"/>
          <w:color w:val="auto"/>
          <w:sz w:val="21"/>
          <w:szCs w:val="21"/>
          <w:highlight w:val="none"/>
          <w:u w:val="single"/>
        </w:rPr>
        <w:t>%。（建议≥15%）</w:t>
      </w:r>
      <w:r>
        <w:rPr>
          <w:rFonts w:hint="eastAsia" w:ascii="Times New Roman" w:hAnsi="宋体" w:eastAsia="宋体" w:cs="宋体"/>
          <w:color w:val="auto"/>
          <w:sz w:val="21"/>
          <w:szCs w:val="21"/>
          <w:highlight w:val="none"/>
          <w:u w:val="single"/>
          <w:lang w:val="en-US" w:eastAsia="zh-CN"/>
        </w:rPr>
        <w:t>持证人员是指持有</w:t>
      </w:r>
      <w:r>
        <w:rPr>
          <w:rFonts w:hint="eastAsia" w:ascii="Times New Roman" w:hAnsi="宋体" w:eastAsia="宋体" w:cs="宋体"/>
          <w:color w:val="auto"/>
          <w:sz w:val="21"/>
          <w:szCs w:val="21"/>
          <w:highlight w:val="none"/>
          <w:u w:val="single"/>
        </w:rPr>
        <w:t>国家、行业或地方主管部门颁发或认可的职业资格证书或技能等级证书的作业人员。建筑工人持证率=有考勤记录的工人中持有技能证书的人数÷有考勤记录的工人总人数×100%</w:t>
      </w:r>
      <w:r>
        <w:rPr>
          <w:rFonts w:hint="eastAsia" w:ascii="Times New Roman" w:hAnsi="宋体" w:eastAsia="宋体" w:cs="宋体"/>
          <w:color w:val="auto"/>
          <w:sz w:val="21"/>
          <w:szCs w:val="21"/>
          <w:highlight w:val="none"/>
        </w:rPr>
        <w:t>。</w:t>
      </w:r>
    </w:p>
    <w:p w14:paraId="20CA7AE9">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257" w:name="_Toc389065274"/>
      <w:bookmarkStart w:id="258" w:name="_Toc407135210"/>
      <w:bookmarkStart w:id="259" w:name="_Toc596"/>
      <w:bookmarkStart w:id="260" w:name="_Toc26059"/>
      <w:bookmarkStart w:id="261" w:name="_Toc78449796"/>
      <w:bookmarkStart w:id="262" w:name="_Toc373227708"/>
      <w:bookmarkStart w:id="263" w:name="_Toc501741485"/>
      <w:bookmarkStart w:id="264" w:name="_Toc373478355"/>
      <w:r>
        <w:rPr>
          <w:rFonts w:ascii="Times New Roman" w:hAnsi="Times New Roman" w:eastAsia="黑体" w:cs="Times New Roman"/>
          <w:b/>
          <w:bCs/>
          <w:color w:val="auto"/>
          <w:sz w:val="21"/>
          <w:szCs w:val="21"/>
          <w:highlight w:val="none"/>
          <w:lang w:val="zh-CN" w:eastAsia="zh-CN" w:bidi="ar-SA"/>
        </w:rPr>
        <w:t xml:space="preserve">3.2 </w:t>
      </w:r>
      <w:r>
        <w:rPr>
          <w:rFonts w:hint="eastAsia" w:ascii="Times New Roman" w:hAnsi="宋体" w:eastAsia="黑体" w:cs="黑体"/>
          <w:b/>
          <w:bCs/>
          <w:color w:val="auto"/>
          <w:sz w:val="21"/>
          <w:szCs w:val="21"/>
          <w:highlight w:val="none"/>
          <w:lang w:val="zh-CN" w:eastAsia="zh-CN" w:bidi="ar-SA"/>
        </w:rPr>
        <w:t>项目经理</w:t>
      </w:r>
      <w:bookmarkEnd w:id="257"/>
      <w:bookmarkEnd w:id="258"/>
      <w:bookmarkEnd w:id="259"/>
      <w:bookmarkEnd w:id="260"/>
      <w:bookmarkEnd w:id="261"/>
      <w:bookmarkEnd w:id="262"/>
      <w:bookmarkEnd w:id="263"/>
      <w:bookmarkEnd w:id="264"/>
    </w:p>
    <w:p w14:paraId="44864AB5">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3.2.1 </w:t>
      </w:r>
      <w:r>
        <w:rPr>
          <w:rFonts w:hint="eastAsia" w:ascii="Times New Roman" w:hAnsi="宋体" w:eastAsia="宋体" w:cs="宋体"/>
          <w:color w:val="auto"/>
          <w:sz w:val="21"/>
          <w:szCs w:val="21"/>
          <w:highlight w:val="none"/>
        </w:rPr>
        <w:t>项目经理：</w:t>
      </w:r>
    </w:p>
    <w:p w14:paraId="35BE2CE1">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姓</w:t>
      </w:r>
      <w:r>
        <w:rPr>
          <w:rFonts w:ascii="Times New Roman" w:hAnsi="Times New Roman" w:eastAsia="宋体" w:cs="Times New Roman"/>
          <w:color w:val="auto"/>
          <w:sz w:val="21"/>
          <w:szCs w:val="21"/>
          <w:highlight w:val="none"/>
        </w:rPr>
        <w:t xml:space="preserve">    </w:t>
      </w:r>
      <w:r>
        <w:rPr>
          <w:rFonts w:ascii="Times New Roman" w:hAnsi="宋体" w:eastAsia="宋体" w:cs="Times New Roman"/>
          <w:color w:val="auto"/>
          <w:sz w:val="21"/>
          <w:szCs w:val="21"/>
          <w:highlight w:val="none"/>
        </w:rPr>
        <w:t>名：</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4D737862">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身份证号：</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1C978FF2">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建造师执业资格等级：</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01B2CC99">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建造师注册证书号：</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4E091554">
      <w:pPr>
        <w:spacing w:line="360" w:lineRule="auto"/>
        <w:ind w:firstLine="420"/>
        <w:rPr>
          <w:rFonts w:ascii="Times New Roman" w:hAnsi="宋体" w:eastAsia="宋体" w:cs="Times New Roman"/>
          <w:color w:val="auto"/>
          <w:sz w:val="21"/>
          <w:szCs w:val="21"/>
          <w:highlight w:val="none"/>
        </w:rPr>
      </w:pPr>
      <w:r>
        <w:rPr>
          <w:rFonts w:ascii="Times New Roman" w:hAnsi="宋体" w:eastAsia="宋体" w:cs="Times New Roman"/>
          <w:color w:val="auto"/>
          <w:sz w:val="21"/>
          <w:szCs w:val="21"/>
          <w:highlight w:val="none"/>
        </w:rPr>
        <w:t>安全生产考核合格证书号：</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00F06620">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联系电话：</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18A1EF27">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电子信箱：</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03317868">
      <w:pPr>
        <w:spacing w:line="360" w:lineRule="auto"/>
        <w:ind w:firstLine="420"/>
        <w:rPr>
          <w:rFonts w:hint="eastAsia" w:ascii="Times New Roman" w:hAnsi="宋体" w:eastAsia="宋体" w:cs="Times New Roman"/>
          <w:color w:val="auto"/>
          <w:sz w:val="21"/>
          <w:szCs w:val="21"/>
          <w:highlight w:val="none"/>
        </w:rPr>
      </w:pPr>
      <w:r>
        <w:rPr>
          <w:rFonts w:ascii="Times New Roman" w:hAnsi="宋体" w:eastAsia="宋体" w:cs="Times New Roman"/>
          <w:color w:val="auto"/>
          <w:sz w:val="21"/>
          <w:szCs w:val="21"/>
          <w:highlight w:val="none"/>
        </w:rPr>
        <w:t>通信地址：</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22706761">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承包人对项目经理的授权范围如下：</w:t>
      </w:r>
      <w:r>
        <w:rPr>
          <w:rFonts w:hint="eastAsia" w:ascii="Times New Roman" w:hAnsi="Times New Roman" w:eastAsia="宋体" w:cs="Times New Roman"/>
          <w:color w:val="auto"/>
          <w:sz w:val="21"/>
          <w:szCs w:val="21"/>
          <w:highlight w:val="none"/>
          <w:u w:val="single"/>
        </w:rPr>
        <w:t>（1）对本工程的施工进行全面管理，包括对工程质量、进度、安全、成本等进行管理，行使施工合同约定的权利，履行施工合同约定的义务；（2）经发包人同意分包的专业工程，项目经理参与选择并使用具有相应资质的分包人（由发包人指定分包的除外）；（3）施工合同约定由承包人采购的材料、工程设备，项目经理参与选择物资供应单位；（4）代表承包人对工程施工中的相关事务（本授权第一项约定的事务）进行协商，代表承包人参加发包人组织的与本工程有关的会议；（5）负责与发包人、监理人办理设计变更、现场签证等手续，及时办理本工程相关索赔；（6）负责签收发包人、监理人往来函件，承包人的要求、通知均应以书面形式由承包人项目经理签字并加盖承包人公司公章后递交发包人；（7）代表承包人接受监理工程师或发包人现场代表发出的指示和指令</w:t>
      </w:r>
      <w:r>
        <w:rPr>
          <w:rFonts w:hint="eastAsia" w:ascii="Times New Roman" w:hAnsi="宋体" w:eastAsia="宋体" w:cs="宋体"/>
          <w:color w:val="auto"/>
          <w:sz w:val="21"/>
          <w:szCs w:val="21"/>
          <w:highlight w:val="none"/>
        </w:rPr>
        <w:t>。</w:t>
      </w:r>
    </w:p>
    <w:p w14:paraId="7DBDA4F6">
      <w:pPr>
        <w:spacing w:line="360" w:lineRule="auto"/>
        <w:ind w:firstLine="420"/>
        <w:jc w:val="left"/>
        <w:rPr>
          <w:rFonts w:hint="eastAsia"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关于项目经理每月在施工现场的时间要求：</w:t>
      </w:r>
      <w:r>
        <w:rPr>
          <w:rFonts w:hint="eastAsia" w:ascii="Times New Roman" w:hAnsi="Times New Roman" w:eastAsia="宋体" w:cs="Times New Roman"/>
          <w:color w:val="auto"/>
          <w:sz w:val="21"/>
          <w:szCs w:val="21"/>
          <w:highlight w:val="none"/>
          <w:u w:val="single"/>
        </w:rPr>
        <w:t>项目经理应常驻施工现场，且每月在岗带班时间不得少于当月施工时间的</w:t>
      </w:r>
      <w:r>
        <w:rPr>
          <w:rFonts w:hint="eastAsia" w:ascii="Times New Roman" w:hAnsi="Times New Roman" w:eastAsia="宋体" w:cs="Times New Roman"/>
          <w:color w:val="auto"/>
          <w:sz w:val="21"/>
          <w:szCs w:val="21"/>
          <w:highlight w:val="none"/>
          <w:u w:val="single"/>
          <w:lang w:val="en-US" w:eastAsia="zh-CN"/>
        </w:rPr>
        <w:t>80</w:t>
      </w:r>
      <w:r>
        <w:rPr>
          <w:rFonts w:hint="eastAsia" w:ascii="Times New Roman" w:hAnsi="Times New Roman" w:eastAsia="宋体" w:cs="Times New Roman"/>
          <w:color w:val="auto"/>
          <w:sz w:val="21"/>
          <w:szCs w:val="21"/>
          <w:highlight w:val="none"/>
          <w:u w:val="single"/>
        </w:rPr>
        <w:t>%。（</w:t>
      </w:r>
      <w:r>
        <w:rPr>
          <w:rFonts w:hint="eastAsia" w:ascii="Times New Roman" w:hAnsi="Times New Roman" w:eastAsia="宋体" w:cs="Times New Roman"/>
          <w:color w:val="auto"/>
          <w:sz w:val="21"/>
          <w:szCs w:val="21"/>
          <w:highlight w:val="none"/>
          <w:u w:val="single"/>
          <w:lang w:eastAsia="zh-CN"/>
        </w:rPr>
        <w:t>住房和城乡建设部</w:t>
      </w:r>
      <w:r>
        <w:rPr>
          <w:rFonts w:hint="eastAsia" w:ascii="Times New Roman" w:hAnsi="Times New Roman" w:eastAsia="宋体" w:cs="Times New Roman"/>
          <w:color w:val="auto"/>
          <w:sz w:val="21"/>
          <w:szCs w:val="21"/>
          <w:highlight w:val="none"/>
          <w:u w:val="single"/>
        </w:rPr>
        <w:t>《建筑施工企业负责人及项目负责人施工现场带班暂行办法》（建质〔2011〕111号）规定：项目负责人每月带班生产时间不得少于本月施工时间的80%）</w:t>
      </w:r>
    </w:p>
    <w:p w14:paraId="2DF36DC8">
      <w:pPr>
        <w:spacing w:line="360" w:lineRule="auto"/>
        <w:ind w:firstLine="420"/>
        <w:jc w:val="left"/>
        <w:rPr>
          <w:rFonts w:hint="eastAsia"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项目经理未达到到岗时间要求违约责任：项目经理每月到岗时间达不到合同约定时，每少1天，承包人须承担违约金</w:t>
      </w:r>
      <w:r>
        <w:rPr>
          <w:rFonts w:hint="eastAsia" w:ascii="Times New Roman" w:hAnsi="Times New Roman" w:eastAsia="宋体" w:cs="Times New Roman"/>
          <w:color w:val="auto"/>
          <w:sz w:val="21"/>
          <w:szCs w:val="21"/>
          <w:highlight w:val="none"/>
          <w:u w:val="single"/>
          <w:lang w:val="en-US" w:eastAsia="zh-CN"/>
        </w:rPr>
        <w:t>1000</w:t>
      </w:r>
      <w:r>
        <w:rPr>
          <w:rFonts w:hint="eastAsia" w:ascii="Times New Roman" w:hAnsi="Times New Roman" w:eastAsia="宋体" w:cs="Times New Roman"/>
          <w:color w:val="auto"/>
          <w:sz w:val="21"/>
          <w:szCs w:val="21"/>
          <w:highlight w:val="none"/>
          <w:u w:val="single"/>
        </w:rPr>
        <w:t>元/天（人民币）</w:t>
      </w:r>
      <w:r>
        <w:rPr>
          <w:rFonts w:hint="eastAsia" w:ascii="Times New Roman" w:hAnsi="Times New Roman" w:cs="Times New Roman"/>
          <w:color w:val="auto"/>
          <w:sz w:val="21"/>
          <w:szCs w:val="21"/>
          <w:highlight w:val="none"/>
          <w:u w:val="single"/>
          <w:lang w:eastAsia="zh-CN"/>
        </w:rPr>
        <w:t>，</w:t>
      </w:r>
      <w:r>
        <w:rPr>
          <w:rFonts w:hint="eastAsia" w:ascii="Times New Roman" w:hAnsi="Times New Roman" w:cs="Times New Roman"/>
          <w:color w:val="auto"/>
          <w:sz w:val="21"/>
          <w:szCs w:val="21"/>
          <w:highlight w:val="none"/>
          <w:u w:val="single"/>
          <w:lang w:val="en-US" w:eastAsia="zh-CN"/>
        </w:rPr>
        <w:t>考勤以在发包人处签到或发包人规定的其他形式为准</w:t>
      </w:r>
      <w:r>
        <w:rPr>
          <w:rFonts w:hint="eastAsia" w:ascii="Times New Roman" w:hAnsi="Times New Roman" w:eastAsia="宋体" w:cs="Times New Roman"/>
          <w:color w:val="auto"/>
          <w:sz w:val="21"/>
          <w:szCs w:val="21"/>
          <w:highlight w:val="none"/>
          <w:u w:val="single"/>
        </w:rPr>
        <w:t>。</w:t>
      </w:r>
    </w:p>
    <w:p w14:paraId="2B2440BE">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u w:val="single"/>
        </w:rPr>
        <w:t>项目经理未经批准，擅自离开施工现场的违约责任：承包人须承担违约金</w:t>
      </w:r>
      <w:r>
        <w:rPr>
          <w:rFonts w:hint="eastAsia" w:ascii="Times New Roman" w:hAnsi="Times New Roman" w:eastAsia="宋体" w:cs="Times New Roman"/>
          <w:color w:val="auto"/>
          <w:sz w:val="21"/>
          <w:szCs w:val="21"/>
          <w:highlight w:val="none"/>
          <w:u w:val="single"/>
          <w:lang w:val="en-US" w:eastAsia="zh-CN"/>
        </w:rPr>
        <w:t>2000</w:t>
      </w:r>
      <w:r>
        <w:rPr>
          <w:rFonts w:hint="eastAsia" w:ascii="Times New Roman" w:hAnsi="Times New Roman" w:eastAsia="宋体" w:cs="Times New Roman"/>
          <w:color w:val="auto"/>
          <w:sz w:val="21"/>
          <w:szCs w:val="21"/>
          <w:highlight w:val="none"/>
          <w:u w:val="single"/>
        </w:rPr>
        <w:t>元/天（人民币），并由承包人承担因上述违约行为给发包人造成的一切损失</w:t>
      </w:r>
      <w:r>
        <w:rPr>
          <w:rFonts w:hint="eastAsia" w:ascii="Times New Roman" w:hAnsi="Times New Roman" w:eastAsia="宋体" w:cs="Times New Roman"/>
          <w:color w:val="auto"/>
          <w:sz w:val="21"/>
          <w:szCs w:val="21"/>
          <w:highlight w:val="none"/>
          <w:u w:val="single"/>
          <w:lang w:eastAsia="zh-CN"/>
        </w:rPr>
        <w:t>。</w:t>
      </w:r>
    </w:p>
    <w:p w14:paraId="47A51353">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u w:val="none"/>
        </w:rPr>
        <w:t>承包人</w:t>
      </w:r>
      <w:r>
        <w:rPr>
          <w:rFonts w:hint="eastAsia" w:ascii="Times New Roman" w:hAnsi="宋体" w:eastAsia="宋体" w:cs="宋体"/>
          <w:color w:val="auto"/>
          <w:sz w:val="21"/>
          <w:szCs w:val="21"/>
          <w:highlight w:val="none"/>
        </w:rPr>
        <w:t>未提交劳动合同，以及没有为项目经理缴纳社会保险证明的违约责任：</w:t>
      </w:r>
      <w:r>
        <w:rPr>
          <w:rFonts w:hint="eastAsia" w:ascii="Times New Roman" w:hAnsi="Times New Roman" w:eastAsia="宋体" w:cs="Times New Roman"/>
          <w:color w:val="auto"/>
          <w:sz w:val="21"/>
          <w:szCs w:val="21"/>
          <w:highlight w:val="none"/>
          <w:u w:val="single"/>
        </w:rPr>
        <w:t>承包人须向发包人支付2000元违约金，并限期提交劳动合同并补缴社会保险</w:t>
      </w:r>
      <w:r>
        <w:rPr>
          <w:rFonts w:hint="eastAsia" w:ascii="Times New Roman" w:hAnsi="宋体" w:eastAsia="宋体" w:cs="宋体"/>
          <w:color w:val="auto"/>
          <w:sz w:val="21"/>
          <w:szCs w:val="21"/>
          <w:highlight w:val="none"/>
        </w:rPr>
        <w:t>。</w:t>
      </w:r>
    </w:p>
    <w:p w14:paraId="21BD8638">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3.2.3 </w:t>
      </w:r>
      <w:r>
        <w:rPr>
          <w:rFonts w:hint="eastAsia" w:ascii="Times New Roman" w:hAnsi="宋体" w:eastAsia="宋体" w:cs="宋体"/>
          <w:color w:val="auto"/>
          <w:sz w:val="21"/>
          <w:szCs w:val="21"/>
          <w:highlight w:val="none"/>
        </w:rPr>
        <w:t>承包人擅自更换项目经理的违约责任：</w:t>
      </w:r>
      <w:r>
        <w:rPr>
          <w:rFonts w:hint="eastAsia" w:ascii="Times New Roman" w:hAnsi="宋体" w:eastAsia="宋体" w:cs="宋体"/>
          <w:color w:val="auto"/>
          <w:sz w:val="21"/>
          <w:szCs w:val="21"/>
          <w:highlight w:val="none"/>
          <w:u w:val="none"/>
        </w:rPr>
        <w:t>承包人项目经理必须与承包人投标时所承诺的人员一致，并在</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u w:val="single"/>
        </w:rPr>
        <w:t>（开工日期）</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u w:val="none"/>
        </w:rPr>
        <w:t>前到</w:t>
      </w:r>
      <w:r>
        <w:rPr>
          <w:rFonts w:hint="default" w:ascii="Times New Roman" w:hAnsi="Times New Roman" w:eastAsia="宋体" w:cs="Times New Roman"/>
          <w:color w:val="auto"/>
          <w:sz w:val="21"/>
          <w:szCs w:val="21"/>
          <w:highlight w:val="none"/>
          <w:u w:val="none"/>
        </w:rPr>
        <w:t>任。在监理人向承包人颁发</w:t>
      </w:r>
      <w:r>
        <w:rPr>
          <w:rFonts w:ascii="Times New Roman" w:hAnsi="Times New Roman" w:eastAsia="宋体" w:cs="Times New Roman"/>
          <w:color w:val="auto"/>
          <w:sz w:val="21"/>
          <w:szCs w:val="21"/>
          <w:highlight w:val="none"/>
          <w:u w:val="none"/>
        </w:rPr>
        <w:t xml:space="preserve"> </w:t>
      </w:r>
      <w:r>
        <w:rPr>
          <w:rFonts w:ascii="Times New Roman" w:hAnsi="Times New Roman" w:eastAsia="宋体" w:cs="Times New Roman"/>
          <w:color w:val="auto"/>
          <w:sz w:val="21"/>
          <w:szCs w:val="21"/>
          <w:highlight w:val="none"/>
          <w:u w:val="single"/>
        </w:rPr>
        <w:t xml:space="preserve">   </w:t>
      </w:r>
      <w:r>
        <w:rPr>
          <w:rFonts w:hint="default" w:ascii="Times New Roman" w:hAnsi="Times New Roman" w:eastAsia="宋体" w:cs="Times New Roman"/>
          <w:color w:val="auto"/>
          <w:sz w:val="21"/>
          <w:szCs w:val="21"/>
          <w:highlight w:val="none"/>
          <w:u w:val="single"/>
        </w:rPr>
        <w:t>（竣工证明材料名称）</w:t>
      </w:r>
      <w:r>
        <w:rPr>
          <w:rFonts w:ascii="Times New Roman" w:hAnsi="Times New Roman" w:eastAsia="宋体" w:cs="Times New Roman"/>
          <w:color w:val="auto"/>
          <w:sz w:val="21"/>
          <w:szCs w:val="21"/>
          <w:highlight w:val="none"/>
          <w:u w:val="single"/>
        </w:rPr>
        <w:t xml:space="preserve">   </w:t>
      </w:r>
      <w:r>
        <w:rPr>
          <w:rFonts w:ascii="Times New Roman" w:hAnsi="Times New Roman" w:eastAsia="宋体" w:cs="Times New Roman"/>
          <w:color w:val="auto"/>
          <w:sz w:val="21"/>
          <w:szCs w:val="21"/>
          <w:highlight w:val="none"/>
          <w:u w:val="none"/>
        </w:rPr>
        <w:t xml:space="preserve"> </w:t>
      </w:r>
      <w:r>
        <w:rPr>
          <w:rFonts w:hint="default" w:ascii="Times New Roman" w:hAnsi="Times New Roman" w:eastAsia="宋体" w:cs="Times New Roman"/>
          <w:color w:val="auto"/>
          <w:sz w:val="21"/>
          <w:szCs w:val="21"/>
          <w:highlight w:val="none"/>
          <w:u w:val="none"/>
        </w:rPr>
        <w:t>前，项目经理不得同时兼任其他任何项目的项目经理（</w:t>
      </w:r>
      <w:r>
        <w:rPr>
          <w:rFonts w:hint="default" w:ascii="Times New Roman" w:hAnsi="Times New Roman" w:eastAsia="宋体" w:cs="Times New Roman"/>
          <w:color w:val="auto"/>
          <w:sz w:val="21"/>
          <w:szCs w:val="21"/>
          <w:highlight w:val="none"/>
          <w:u w:val="none"/>
          <w:lang w:eastAsia="zh-CN"/>
        </w:rPr>
        <w:t>符合</w:t>
      </w:r>
      <w:r>
        <w:rPr>
          <w:rFonts w:hint="default" w:ascii="Times New Roman" w:hAnsi="Times New Roman" w:eastAsia="宋体" w:cs="Times New Roman"/>
          <w:color w:val="auto"/>
          <w:sz w:val="21"/>
          <w:szCs w:val="21"/>
          <w:highlight w:val="none"/>
        </w:rPr>
        <w:t>《广西壮族自治区建筑市场诚信卡管理暂行办法》第十六条第一款及桂建管</w:t>
      </w:r>
      <w:r>
        <w:rPr>
          <w:rFonts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rPr>
        <w:t>2016</w:t>
      </w:r>
      <w:r>
        <w:rPr>
          <w:rFonts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rPr>
        <w:t>70号</w:t>
      </w:r>
      <w:r>
        <w:rPr>
          <w:rFonts w:hint="default" w:ascii="Times New Roman" w:hAnsi="Times New Roman" w:eastAsia="宋体" w:cs="Times New Roman"/>
          <w:color w:val="auto"/>
          <w:sz w:val="21"/>
          <w:szCs w:val="21"/>
          <w:highlight w:val="none"/>
          <w:u w:val="none"/>
          <w:lang w:eastAsia="zh-CN"/>
        </w:rPr>
        <w:t>、</w:t>
      </w:r>
      <w:r>
        <w:rPr>
          <w:rFonts w:hint="default" w:ascii="Times New Roman" w:hAnsi="Times New Roman" w:eastAsia="宋体" w:cs="Times New Roman"/>
          <w:color w:val="auto"/>
          <w:sz w:val="21"/>
          <w:szCs w:val="21"/>
          <w:highlight w:val="none"/>
          <w:u w:val="none"/>
        </w:rPr>
        <w:t>桂建管〔2020〕11号文除外）。未经发包人书面同意，承包人擅自更换项目经理的视为违约，违约金处</w:t>
      </w:r>
      <w:r>
        <w:rPr>
          <w:rFonts w:hint="eastAsia" w:ascii="Times New Roman" w:hAnsi="Times New Roman" w:eastAsia="宋体" w:cs="Times New Roman"/>
          <w:color w:val="auto"/>
          <w:sz w:val="21"/>
          <w:szCs w:val="21"/>
          <w:highlight w:val="none"/>
          <w:u w:val="single"/>
          <w:lang w:val="en-US" w:eastAsia="zh-CN"/>
        </w:rPr>
        <w:t>5000</w:t>
      </w:r>
      <w:r>
        <w:rPr>
          <w:rFonts w:hint="default" w:ascii="Times New Roman" w:hAnsi="Times New Roman" w:eastAsia="宋体" w:cs="Times New Roman"/>
          <w:color w:val="auto"/>
          <w:sz w:val="21"/>
          <w:szCs w:val="21"/>
          <w:highlight w:val="none"/>
          <w:u w:val="none"/>
        </w:rPr>
        <w:t>元</w:t>
      </w:r>
      <w:r>
        <w:rPr>
          <w:rFonts w:ascii="Times New Roman" w:hAnsi="Times New Roman" w:eastAsia="宋体" w:cs="Times New Roman"/>
          <w:color w:val="auto"/>
          <w:sz w:val="21"/>
          <w:szCs w:val="21"/>
          <w:highlight w:val="none"/>
          <w:u w:val="none"/>
        </w:rPr>
        <w:t>/</w:t>
      </w:r>
      <w:r>
        <w:rPr>
          <w:rFonts w:hint="default" w:ascii="Times New Roman" w:hAnsi="Times New Roman" w:eastAsia="宋体" w:cs="Times New Roman"/>
          <w:color w:val="auto"/>
          <w:sz w:val="21"/>
          <w:szCs w:val="21"/>
          <w:highlight w:val="none"/>
          <w:u w:val="none"/>
        </w:rPr>
        <w:t>人</w:t>
      </w:r>
      <w:r>
        <w:rPr>
          <w:rFonts w:ascii="Times New Roman" w:hAnsi="Times New Roman" w:eastAsia="宋体" w:cs="Times New Roman"/>
          <w:color w:val="auto"/>
          <w:sz w:val="21"/>
          <w:szCs w:val="21"/>
          <w:highlight w:val="none"/>
          <w:u w:val="none"/>
        </w:rPr>
        <w:t>•</w:t>
      </w:r>
      <w:r>
        <w:rPr>
          <w:rFonts w:hint="default" w:ascii="Times New Roman" w:hAnsi="Times New Roman" w:eastAsia="宋体" w:cs="Times New Roman"/>
          <w:color w:val="auto"/>
          <w:sz w:val="21"/>
          <w:szCs w:val="21"/>
          <w:highlight w:val="none"/>
          <w:u w:val="none"/>
        </w:rPr>
        <w:t>次（人民币）</w:t>
      </w:r>
      <w:r>
        <w:rPr>
          <w:rFonts w:hint="default" w:ascii="Times New Roman" w:hAnsi="Times New Roman" w:eastAsia="宋体" w:cs="Times New Roman"/>
          <w:color w:val="auto"/>
          <w:sz w:val="21"/>
          <w:szCs w:val="21"/>
          <w:highlight w:val="none"/>
        </w:rPr>
        <w:t>。</w:t>
      </w:r>
    </w:p>
    <w:p w14:paraId="0DEC07BE">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3.2.4 </w:t>
      </w:r>
      <w:r>
        <w:rPr>
          <w:rFonts w:hint="eastAsia" w:ascii="Times New Roman" w:hAnsi="宋体" w:eastAsia="宋体" w:cs="宋体"/>
          <w:color w:val="auto"/>
          <w:sz w:val="21"/>
          <w:szCs w:val="21"/>
          <w:highlight w:val="none"/>
        </w:rPr>
        <w:t>承包人无正当理由拒绝更换项目经理的违约责任：</w:t>
      </w:r>
      <w:r>
        <w:rPr>
          <w:rFonts w:hint="eastAsia" w:ascii="Times New Roman" w:hAnsi="宋体" w:eastAsia="宋体" w:cs="宋体"/>
          <w:color w:val="auto"/>
          <w:sz w:val="21"/>
          <w:szCs w:val="21"/>
          <w:u w:val="single"/>
        </w:rPr>
        <w:t>因承包人项目经理不称职，发包人要求调换而未及时调换的，视为承包人违约，必须向发包人交纳</w:t>
      </w:r>
      <w:r>
        <w:rPr>
          <w:rFonts w:hint="eastAsia" w:ascii="Times New Roman" w:hAnsi="宋体" w:eastAsia="宋体" w:cs="宋体"/>
          <w:color w:val="auto"/>
          <w:sz w:val="21"/>
          <w:szCs w:val="21"/>
          <w:u w:val="single"/>
          <w:lang w:val="en-US" w:eastAsia="zh-CN"/>
        </w:rPr>
        <w:t>违约</w:t>
      </w:r>
      <w:r>
        <w:rPr>
          <w:rFonts w:hint="eastAsia" w:ascii="Times New Roman" w:hAnsi="宋体" w:eastAsia="宋体" w:cs="宋体"/>
          <w:color w:val="auto"/>
          <w:sz w:val="21"/>
          <w:szCs w:val="21"/>
          <w:u w:val="single"/>
        </w:rPr>
        <w:t>金</w:t>
      </w:r>
      <w:r>
        <w:rPr>
          <w:rFonts w:hint="eastAsia" w:ascii="Times New Roman" w:hAnsi="Times New Roman" w:eastAsia="宋体" w:cs="Times New Roman"/>
          <w:color w:val="auto"/>
          <w:sz w:val="21"/>
          <w:szCs w:val="21"/>
          <w:u w:val="single"/>
          <w:lang w:val="en-US" w:eastAsia="zh-CN"/>
        </w:rPr>
        <w:t>5000</w:t>
      </w:r>
      <w:r>
        <w:rPr>
          <w:rFonts w:hint="eastAsia" w:ascii="Times New Roman" w:hAnsi="宋体" w:eastAsia="宋体" w:cs="宋体"/>
          <w:color w:val="auto"/>
          <w:sz w:val="21"/>
          <w:szCs w:val="21"/>
          <w:u w:val="single"/>
        </w:rPr>
        <w:t>元</w:t>
      </w:r>
      <w:r>
        <w:rPr>
          <w:rFonts w:ascii="Times New Roman" w:hAnsi="Times New Roman" w:eastAsia="宋体" w:cs="Times New Roman"/>
          <w:color w:val="auto"/>
          <w:sz w:val="21"/>
          <w:szCs w:val="21"/>
          <w:u w:val="single"/>
        </w:rPr>
        <w:t>/</w:t>
      </w:r>
      <w:r>
        <w:rPr>
          <w:rFonts w:hint="eastAsia" w:ascii="Times New Roman" w:hAnsi="宋体" w:eastAsia="宋体" w:cs="宋体"/>
          <w:color w:val="auto"/>
          <w:sz w:val="21"/>
          <w:szCs w:val="21"/>
          <w:u w:val="single"/>
        </w:rPr>
        <w:t>人</w:t>
      </w:r>
      <w:r>
        <w:rPr>
          <w:rFonts w:ascii="Times New Roman" w:hAnsi="Times New Roman" w:eastAsia="宋体" w:cs="Times New Roman"/>
          <w:color w:val="auto"/>
          <w:sz w:val="21"/>
          <w:szCs w:val="21"/>
          <w:u w:val="single"/>
        </w:rPr>
        <w:t>•</w:t>
      </w:r>
      <w:r>
        <w:rPr>
          <w:rFonts w:hint="eastAsia" w:ascii="Times New Roman" w:hAnsi="宋体" w:eastAsia="宋体" w:cs="宋体"/>
          <w:color w:val="auto"/>
          <w:sz w:val="21"/>
          <w:szCs w:val="21"/>
          <w:u w:val="single"/>
        </w:rPr>
        <w:t>次</w:t>
      </w:r>
      <w:r>
        <w:rPr>
          <w:rFonts w:hint="eastAsia" w:ascii="Times New Roman" w:hAnsi="Times New Roman" w:eastAsia="宋体" w:cs="宋体"/>
          <w:color w:val="auto"/>
          <w:sz w:val="21"/>
          <w:szCs w:val="21"/>
          <w:u w:val="single"/>
        </w:rPr>
        <w:t>（</w:t>
      </w:r>
      <w:r>
        <w:rPr>
          <w:rFonts w:hint="eastAsia" w:ascii="Times New Roman" w:hAnsi="宋体" w:eastAsia="宋体" w:cs="宋体"/>
          <w:color w:val="auto"/>
          <w:sz w:val="21"/>
          <w:szCs w:val="21"/>
          <w:u w:val="single"/>
        </w:rPr>
        <w:t>人民币</w:t>
      </w:r>
      <w:r>
        <w:rPr>
          <w:rFonts w:hint="eastAsia" w:ascii="Times New Roman" w:hAnsi="Times New Roman" w:eastAsia="宋体" w:cs="宋体"/>
          <w:color w:val="auto"/>
          <w:sz w:val="21"/>
          <w:szCs w:val="21"/>
          <w:u w:val="single"/>
        </w:rPr>
        <w:t>）</w:t>
      </w:r>
      <w:r>
        <w:rPr>
          <w:rFonts w:hint="eastAsia" w:ascii="Times New Roman" w:hAnsi="宋体" w:eastAsia="宋体" w:cs="宋体"/>
          <w:color w:val="auto"/>
          <w:sz w:val="21"/>
          <w:szCs w:val="21"/>
          <w:highlight w:val="none"/>
        </w:rPr>
        <w:t>。</w:t>
      </w:r>
    </w:p>
    <w:p w14:paraId="7E25E2CF">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265" w:name="_Toc78449797"/>
      <w:bookmarkStart w:id="266" w:name="_Toc373478356"/>
      <w:bookmarkStart w:id="267" w:name="_Toc15147"/>
      <w:bookmarkStart w:id="268" w:name="_Toc373227709"/>
      <w:bookmarkStart w:id="269" w:name="_Toc24414"/>
      <w:bookmarkStart w:id="270" w:name="_Toc389065275"/>
      <w:bookmarkStart w:id="271" w:name="_Toc407135211"/>
      <w:bookmarkStart w:id="272" w:name="_Toc1443830486"/>
      <w:r>
        <w:rPr>
          <w:rFonts w:ascii="Times New Roman" w:hAnsi="Times New Roman" w:eastAsia="黑体" w:cs="Times New Roman"/>
          <w:b/>
          <w:bCs/>
          <w:color w:val="auto"/>
          <w:sz w:val="21"/>
          <w:szCs w:val="21"/>
          <w:highlight w:val="none"/>
          <w:lang w:val="zh-CN" w:eastAsia="zh-CN" w:bidi="ar-SA"/>
        </w:rPr>
        <w:t xml:space="preserve">3.3 </w:t>
      </w:r>
      <w:r>
        <w:rPr>
          <w:rFonts w:hint="eastAsia" w:ascii="Times New Roman" w:hAnsi="宋体" w:eastAsia="黑体" w:cs="黑体"/>
          <w:b/>
          <w:bCs/>
          <w:color w:val="auto"/>
          <w:sz w:val="21"/>
          <w:szCs w:val="21"/>
          <w:highlight w:val="none"/>
          <w:lang w:val="zh-CN" w:eastAsia="zh-CN" w:bidi="ar-SA"/>
        </w:rPr>
        <w:t>承包人人员</w:t>
      </w:r>
      <w:bookmarkEnd w:id="265"/>
      <w:bookmarkEnd w:id="266"/>
      <w:bookmarkEnd w:id="267"/>
      <w:bookmarkEnd w:id="268"/>
      <w:bookmarkEnd w:id="269"/>
      <w:bookmarkEnd w:id="270"/>
      <w:bookmarkEnd w:id="271"/>
      <w:bookmarkEnd w:id="272"/>
    </w:p>
    <w:p w14:paraId="3D8402F7">
      <w:pPr>
        <w:keepNext w:val="0"/>
        <w:keepLines w:val="0"/>
        <w:pageBreakBefore w:val="0"/>
        <w:widowControl w:val="0"/>
        <w:bidi w:val="0"/>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3.3.1 </w:t>
      </w:r>
      <w:r>
        <w:rPr>
          <w:rFonts w:hint="eastAsia" w:ascii="Times New Roman" w:hAnsi="宋体" w:eastAsia="宋体" w:cs="宋体"/>
          <w:color w:val="auto"/>
          <w:sz w:val="21"/>
          <w:szCs w:val="21"/>
          <w:highlight w:val="none"/>
        </w:rPr>
        <w:t>承包人提交项目管理机构及施工现场管理人员安排报告（格式见合同附件</w:t>
      </w:r>
      <w:r>
        <w:rPr>
          <w:rFonts w:hint="eastAsia" w:ascii="Times New Roman" w:hAnsi="宋体" w:eastAsia="宋体" w:cs="Times New Roman"/>
          <w:color w:val="auto"/>
          <w:sz w:val="21"/>
          <w:szCs w:val="21"/>
          <w:highlight w:val="none"/>
        </w:rPr>
        <w:t>5</w:t>
      </w:r>
      <w:r>
        <w:rPr>
          <w:rFonts w:hint="eastAsia" w:ascii="Times New Roman" w:hAnsi="宋体" w:eastAsia="宋体" w:cs="宋体"/>
          <w:color w:val="auto"/>
          <w:sz w:val="21"/>
          <w:szCs w:val="21"/>
          <w:highlight w:val="none"/>
        </w:rPr>
        <w:t>）的期限：</w:t>
      </w:r>
      <w:r>
        <w:rPr>
          <w:rFonts w:hint="eastAsia" w:ascii="Times New Roman" w:hAnsi="Times New Roman" w:eastAsia="宋体" w:cs="Times New Roman"/>
          <w:color w:val="auto"/>
          <w:sz w:val="21"/>
          <w:szCs w:val="21"/>
          <w:u w:val="single"/>
        </w:rPr>
        <w:t>接到开工通知后 7 天内</w:t>
      </w:r>
      <w:r>
        <w:rPr>
          <w:rFonts w:hint="eastAsia" w:ascii="Times New Roman" w:hAnsi="宋体" w:eastAsia="宋体" w:cs="宋体"/>
          <w:color w:val="auto"/>
          <w:sz w:val="21"/>
          <w:szCs w:val="21"/>
          <w:highlight w:val="none"/>
        </w:rPr>
        <w:t>。</w:t>
      </w:r>
    </w:p>
    <w:p w14:paraId="64C62BC4">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3.3.3 </w:t>
      </w:r>
      <w:r>
        <w:rPr>
          <w:rFonts w:hint="eastAsia" w:ascii="Times New Roman" w:hAnsi="宋体" w:eastAsia="宋体" w:cs="宋体"/>
          <w:color w:val="auto"/>
          <w:sz w:val="21"/>
          <w:szCs w:val="21"/>
          <w:highlight w:val="none"/>
        </w:rPr>
        <w:t>承包人无正当理由拒绝撤换主要施工管理人员的违约责任：</w:t>
      </w:r>
      <w:r>
        <w:rPr>
          <w:rFonts w:hint="eastAsia" w:ascii="Times New Roman" w:hAnsi="宋体" w:eastAsia="宋体" w:cs="宋体"/>
          <w:color w:val="auto"/>
          <w:sz w:val="21"/>
          <w:szCs w:val="21"/>
          <w:highlight w:val="none"/>
          <w:u w:val="single"/>
        </w:rPr>
        <w:t>因承包人主要施工管理人员不称职，发包人要求调换而无正当理由拒绝撤换或未及时调换的，视为承包人违约，必须向发包人交纳</w:t>
      </w:r>
      <w:r>
        <w:rPr>
          <w:rFonts w:hint="eastAsia" w:ascii="Times New Roman" w:hAnsi="宋体" w:eastAsia="宋体" w:cs="宋体"/>
          <w:color w:val="auto"/>
          <w:sz w:val="21"/>
          <w:szCs w:val="21"/>
          <w:highlight w:val="none"/>
          <w:u w:val="single"/>
          <w:lang w:val="en-US" w:eastAsia="zh-CN"/>
        </w:rPr>
        <w:t>违约金</w:t>
      </w:r>
      <w:r>
        <w:rPr>
          <w:rFonts w:hint="eastAsia" w:ascii="Times New Roman" w:hAnsi="宋体"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lang w:val="en-US" w:eastAsia="zh-CN"/>
        </w:rPr>
        <w:t>交纳</w:t>
      </w:r>
      <w:r>
        <w:rPr>
          <w:rFonts w:hint="eastAsia" w:ascii="Times New Roman" w:hAnsi="宋体" w:eastAsia="宋体" w:cs="宋体"/>
          <w:color w:val="auto"/>
          <w:sz w:val="21"/>
          <w:szCs w:val="21"/>
          <w:highlight w:val="none"/>
          <w:u w:val="single"/>
        </w:rPr>
        <w:t>标准：技术负责人</w:t>
      </w:r>
      <w:r>
        <w:rPr>
          <w:rFonts w:hint="eastAsia" w:ascii="Times New Roman" w:hAnsi="Times New Roman" w:eastAsia="宋体" w:cs="Times New Roman"/>
          <w:color w:val="auto"/>
          <w:sz w:val="21"/>
          <w:szCs w:val="21"/>
          <w:highlight w:val="none"/>
          <w:u w:val="single"/>
          <w:lang w:val="en-US" w:eastAsia="zh-CN"/>
        </w:rPr>
        <w:t>8000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；专业工程师</w:t>
      </w:r>
      <w:r>
        <w:rPr>
          <w:rFonts w:hint="eastAsia" w:ascii="Times New Roman" w:hAnsi="Times New Roman" w:eastAsia="宋体" w:cs="Times New Roman"/>
          <w:color w:val="auto"/>
          <w:sz w:val="21"/>
          <w:szCs w:val="21"/>
          <w:highlight w:val="none"/>
          <w:u w:val="single"/>
          <w:lang w:val="en-US" w:eastAsia="zh-CN"/>
        </w:rPr>
        <w:t>6000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rPr>
        <w:t>。</w:t>
      </w:r>
    </w:p>
    <w:p w14:paraId="0EE193A3">
      <w:pPr>
        <w:spacing w:line="360" w:lineRule="auto"/>
        <w:ind w:firstLine="420"/>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 xml:space="preserve">3.3.4 </w:t>
      </w:r>
      <w:r>
        <w:rPr>
          <w:rFonts w:hint="eastAsia" w:ascii="Times New Roman" w:hAnsi="宋体" w:eastAsia="宋体" w:cs="宋体"/>
          <w:color w:val="auto"/>
          <w:sz w:val="21"/>
          <w:szCs w:val="21"/>
          <w:highlight w:val="none"/>
        </w:rPr>
        <w:t>承包人主要施工管理人员离开施工现场的批准要求：</w:t>
      </w:r>
      <w:r>
        <w:rPr>
          <w:rFonts w:hint="eastAsia" w:ascii="Times New Roman" w:hAnsi="Times New Roman" w:eastAsia="宋体" w:cs="Times New Roman"/>
          <w:color w:val="auto"/>
          <w:sz w:val="21"/>
          <w:szCs w:val="21"/>
          <w:highlight w:val="none"/>
          <w:u w:val="single"/>
        </w:rPr>
        <w:t>由总监理工程师批准，经发包人书面认可后方可离开</w:t>
      </w:r>
      <w:r>
        <w:rPr>
          <w:rFonts w:hint="eastAsia" w:ascii="Times New Roman" w:hAnsi="宋体" w:eastAsia="宋体" w:cs="宋体"/>
          <w:color w:val="auto"/>
          <w:sz w:val="21"/>
          <w:szCs w:val="21"/>
          <w:highlight w:val="none"/>
        </w:rPr>
        <w:t>。</w:t>
      </w:r>
    </w:p>
    <w:p w14:paraId="3E4FC919">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3.3.5 </w:t>
      </w:r>
      <w:r>
        <w:rPr>
          <w:rFonts w:hint="eastAsia" w:ascii="Times New Roman" w:hAnsi="宋体" w:eastAsia="宋体" w:cs="宋体"/>
          <w:color w:val="auto"/>
          <w:sz w:val="21"/>
          <w:szCs w:val="21"/>
          <w:highlight w:val="none"/>
        </w:rPr>
        <w:t>承包人擅自更换主要施工管理人员的违约责任：</w:t>
      </w:r>
      <w:r>
        <w:rPr>
          <w:rFonts w:hint="eastAsia" w:ascii="Times New Roman" w:hAnsi="宋体" w:eastAsia="宋体" w:cs="宋体"/>
          <w:color w:val="auto"/>
          <w:sz w:val="21"/>
          <w:szCs w:val="21"/>
          <w:highlight w:val="none"/>
          <w:u w:val="single"/>
        </w:rPr>
        <w:t>项目技术负责人、专职安全生产管理人员及其承诺的其它在场管理人员未经发包人书面同意不准擅自更换，擅自更换项目技术负责人处</w:t>
      </w:r>
      <w:r>
        <w:rPr>
          <w:rFonts w:hint="eastAsia" w:ascii="Times New Roman" w:hAnsi="Times New Roman" w:eastAsia="宋体" w:cs="Times New Roman"/>
          <w:color w:val="auto"/>
          <w:sz w:val="21"/>
          <w:szCs w:val="21"/>
          <w:highlight w:val="none"/>
          <w:u w:val="single"/>
          <w:lang w:val="en-US" w:eastAsia="zh-CN"/>
        </w:rPr>
        <w:t>6000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违约金；擅自更换专职安全生产管理人员处</w:t>
      </w:r>
      <w:r>
        <w:rPr>
          <w:rFonts w:hint="eastAsia" w:ascii="Times New Roman" w:hAnsi="Times New Roman" w:eastAsia="宋体" w:cs="Times New Roman"/>
          <w:color w:val="auto"/>
          <w:sz w:val="21"/>
          <w:szCs w:val="21"/>
          <w:highlight w:val="none"/>
          <w:u w:val="single"/>
          <w:lang w:val="en-US" w:eastAsia="zh-CN"/>
        </w:rPr>
        <w:t>3000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违约金；擅自更换其它在场管理人员处</w:t>
      </w:r>
      <w:r>
        <w:rPr>
          <w:rFonts w:hint="eastAsia" w:ascii="Times New Roman" w:hAnsi="Times New Roman" w:eastAsia="宋体" w:cs="Times New Roman"/>
          <w:color w:val="auto"/>
          <w:sz w:val="21"/>
          <w:szCs w:val="21"/>
          <w:highlight w:val="none"/>
          <w:u w:val="single"/>
          <w:lang w:val="en-US" w:eastAsia="zh-CN"/>
        </w:rPr>
        <w:t>500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违约金</w:t>
      </w:r>
      <w:r>
        <w:rPr>
          <w:rFonts w:hint="eastAsia" w:ascii="Times New Roman" w:hAnsi="宋体" w:eastAsia="宋体" w:cs="宋体"/>
          <w:color w:val="auto"/>
          <w:sz w:val="21"/>
          <w:szCs w:val="21"/>
          <w:highlight w:val="none"/>
        </w:rPr>
        <w:t>。</w:t>
      </w:r>
    </w:p>
    <w:p w14:paraId="2F60774D">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承包人主要施工管理人员擅自离开施工现场的违约责任：</w:t>
      </w:r>
      <w:r>
        <w:rPr>
          <w:rFonts w:hint="eastAsia" w:ascii="Times New Roman" w:hAnsi="宋体" w:eastAsia="宋体" w:cs="宋体"/>
          <w:color w:val="auto"/>
          <w:sz w:val="21"/>
          <w:szCs w:val="21"/>
          <w:u w:val="single"/>
        </w:rPr>
        <w:t>未经发包人同意，项目技术负责人擅自离岗的，视为承包人违约，发包人有权处违约金</w:t>
      </w:r>
      <w:r>
        <w:rPr>
          <w:rFonts w:hint="eastAsia" w:ascii="Times New Roman" w:hAnsi="Times New Roman" w:eastAsia="宋体" w:cs="Times New Roman"/>
          <w:color w:val="auto"/>
          <w:sz w:val="21"/>
          <w:szCs w:val="21"/>
          <w:u w:val="single"/>
          <w:lang w:val="en-US" w:eastAsia="zh-CN"/>
        </w:rPr>
        <w:t>5000</w:t>
      </w:r>
      <w:r>
        <w:rPr>
          <w:rFonts w:hint="eastAsia" w:ascii="Times New Roman" w:hAnsi="宋体" w:eastAsia="宋体" w:cs="宋体"/>
          <w:color w:val="auto"/>
          <w:sz w:val="21"/>
          <w:szCs w:val="21"/>
          <w:u w:val="single"/>
        </w:rPr>
        <w:t>元</w:t>
      </w:r>
      <w:r>
        <w:rPr>
          <w:rFonts w:ascii="Times New Roman" w:hAnsi="Times New Roman" w:eastAsia="宋体" w:cs="Times New Roman"/>
          <w:color w:val="auto"/>
          <w:sz w:val="21"/>
          <w:szCs w:val="21"/>
          <w:u w:val="single"/>
        </w:rPr>
        <w:t>/</w:t>
      </w:r>
      <w:r>
        <w:rPr>
          <w:rFonts w:hint="eastAsia" w:ascii="Times New Roman" w:hAnsi="宋体" w:eastAsia="宋体" w:cs="宋体"/>
          <w:color w:val="auto"/>
          <w:sz w:val="21"/>
          <w:szCs w:val="21"/>
          <w:u w:val="single"/>
        </w:rPr>
        <w:t>人</w:t>
      </w:r>
      <w:r>
        <w:rPr>
          <w:rFonts w:ascii="Times New Roman" w:hAnsi="Times New Roman" w:eastAsia="宋体" w:cs="Times New Roman"/>
          <w:color w:val="auto"/>
          <w:sz w:val="21"/>
          <w:szCs w:val="21"/>
          <w:u w:val="single"/>
        </w:rPr>
        <w:t>•</w:t>
      </w:r>
      <w:r>
        <w:rPr>
          <w:rFonts w:hint="eastAsia" w:ascii="Times New Roman" w:hAnsi="宋体" w:eastAsia="宋体" w:cs="宋体"/>
          <w:color w:val="auto"/>
          <w:sz w:val="21"/>
          <w:szCs w:val="21"/>
          <w:u w:val="single"/>
        </w:rPr>
        <w:t>次</w:t>
      </w:r>
      <w:r>
        <w:rPr>
          <w:rFonts w:hint="eastAsia" w:ascii="Times New Roman" w:hAnsi="Times New Roman" w:eastAsia="宋体" w:cs="宋体"/>
          <w:color w:val="auto"/>
          <w:sz w:val="21"/>
          <w:szCs w:val="21"/>
          <w:u w:val="single"/>
        </w:rPr>
        <w:t>（</w:t>
      </w:r>
      <w:r>
        <w:rPr>
          <w:rFonts w:hint="eastAsia" w:ascii="Times New Roman" w:hAnsi="宋体" w:eastAsia="宋体" w:cs="宋体"/>
          <w:color w:val="auto"/>
          <w:sz w:val="21"/>
          <w:szCs w:val="21"/>
          <w:u w:val="single"/>
        </w:rPr>
        <w:t>人民币</w:t>
      </w:r>
      <w:r>
        <w:rPr>
          <w:rFonts w:hint="eastAsia" w:ascii="Times New Roman" w:hAnsi="Times New Roman" w:eastAsia="宋体" w:cs="宋体"/>
          <w:color w:val="auto"/>
          <w:sz w:val="21"/>
          <w:szCs w:val="21"/>
          <w:u w:val="single"/>
        </w:rPr>
        <w:t>）</w:t>
      </w:r>
      <w:r>
        <w:rPr>
          <w:rFonts w:hint="eastAsia" w:ascii="Times New Roman" w:hAnsi="宋体" w:eastAsia="宋体" w:cs="宋体"/>
          <w:color w:val="auto"/>
          <w:sz w:val="21"/>
          <w:szCs w:val="21"/>
          <w:highlight w:val="none"/>
          <w:u w:val="single"/>
        </w:rPr>
        <w:t>；未经发包人同意，专职安全生产管理人员擅自离岗的，视为承包人违约，发包人有权处违约金</w:t>
      </w:r>
      <w:r>
        <w:rPr>
          <w:rFonts w:hint="eastAsia" w:ascii="Times New Roman" w:hAnsi="Times New Roman" w:eastAsia="宋体" w:cs="Times New Roman"/>
          <w:color w:val="auto"/>
          <w:sz w:val="21"/>
          <w:szCs w:val="21"/>
          <w:highlight w:val="none"/>
          <w:u w:val="single"/>
          <w:lang w:val="en-US" w:eastAsia="zh-CN"/>
        </w:rPr>
        <w:t>3000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；其它在场管理人员擅自离岗的，视为承包人违约，发包人有权处违约金</w:t>
      </w:r>
      <w:r>
        <w:rPr>
          <w:rFonts w:hint="eastAsia" w:ascii="Times New Roman" w:hAnsi="Times New Roman" w:eastAsia="宋体" w:cs="Times New Roman"/>
          <w:color w:val="auto"/>
          <w:sz w:val="21"/>
          <w:szCs w:val="21"/>
          <w:highlight w:val="none"/>
          <w:u w:val="single"/>
          <w:lang w:val="en-US" w:eastAsia="zh-CN"/>
        </w:rPr>
        <w:t>1000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rPr>
        <w:t>。</w:t>
      </w:r>
    </w:p>
    <w:p w14:paraId="7269BB92">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273" w:name="_Toc78449798"/>
      <w:bookmarkStart w:id="274" w:name="_Toc407135212"/>
      <w:bookmarkStart w:id="275" w:name="_Toc2025600126"/>
      <w:bookmarkStart w:id="276" w:name="_Toc373227710"/>
      <w:bookmarkStart w:id="277" w:name="_Toc389065276"/>
      <w:bookmarkStart w:id="278" w:name="_Toc21361"/>
      <w:bookmarkStart w:id="279" w:name="_Toc373478357"/>
      <w:bookmarkStart w:id="280" w:name="_Toc10076"/>
      <w:r>
        <w:rPr>
          <w:rFonts w:ascii="Times New Roman" w:hAnsi="Times New Roman" w:eastAsia="黑体" w:cs="Times New Roman"/>
          <w:b/>
          <w:bCs/>
          <w:color w:val="auto"/>
          <w:sz w:val="21"/>
          <w:szCs w:val="21"/>
          <w:highlight w:val="none"/>
          <w:lang w:val="zh-CN" w:eastAsia="zh-CN" w:bidi="ar-SA"/>
        </w:rPr>
        <w:t>3</w:t>
      </w:r>
      <w:bookmarkStart w:id="281" w:name="_Toc297123492"/>
      <w:bookmarkStart w:id="282" w:name="_Toc303539102"/>
      <w:bookmarkStart w:id="283" w:name="_Toc296346660"/>
      <w:bookmarkStart w:id="284" w:name="_Toc297216151"/>
      <w:bookmarkStart w:id="285" w:name="_Toc296891199"/>
      <w:bookmarkStart w:id="286" w:name="_Toc297048345"/>
      <w:bookmarkStart w:id="287" w:name="_Toc312677988"/>
      <w:bookmarkStart w:id="288" w:name="_Toc296890987"/>
      <w:bookmarkStart w:id="289" w:name="_Toc300934945"/>
      <w:bookmarkStart w:id="290" w:name="_Toc296944498"/>
      <w:bookmarkStart w:id="291" w:name="_Toc292559869"/>
      <w:bookmarkStart w:id="292" w:name="_Toc304295523"/>
      <w:bookmarkStart w:id="293" w:name="_Toc296347158"/>
      <w:bookmarkStart w:id="294" w:name="_Toc292559364"/>
      <w:bookmarkStart w:id="295" w:name="_Toc296503159"/>
      <w:bookmarkStart w:id="296" w:name="_Toc297120459"/>
      <w:r>
        <w:rPr>
          <w:rFonts w:ascii="Times New Roman" w:hAnsi="Times New Roman" w:eastAsia="黑体" w:cs="Times New Roman"/>
          <w:b/>
          <w:bCs/>
          <w:color w:val="auto"/>
          <w:sz w:val="21"/>
          <w:szCs w:val="21"/>
          <w:highlight w:val="none"/>
          <w:lang w:val="zh-CN" w:eastAsia="zh-CN" w:bidi="ar-SA"/>
        </w:rPr>
        <w:t xml:space="preserve">.5 </w:t>
      </w:r>
      <w:r>
        <w:rPr>
          <w:rFonts w:hint="eastAsia" w:ascii="Times New Roman" w:hAnsi="宋体" w:eastAsia="黑体" w:cs="黑体"/>
          <w:b/>
          <w:bCs/>
          <w:color w:val="auto"/>
          <w:sz w:val="21"/>
          <w:szCs w:val="21"/>
          <w:highlight w:val="none"/>
          <w:lang w:val="zh-CN" w:eastAsia="zh-CN" w:bidi="ar-SA"/>
        </w:rPr>
        <w:t>分包</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14:paraId="633BD6CE">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3</w:t>
      </w:r>
      <w:bookmarkStart w:id="297" w:name="_Toc292559365"/>
      <w:bookmarkStart w:id="298" w:name="_Toc300934946"/>
      <w:bookmarkStart w:id="299" w:name="_Toc312677989"/>
      <w:bookmarkStart w:id="300" w:name="_Toc297216152"/>
      <w:bookmarkStart w:id="301" w:name="_Toc297123493"/>
      <w:bookmarkStart w:id="302" w:name="_Toc304295524"/>
      <w:bookmarkStart w:id="303" w:name="_Toc296503160"/>
      <w:bookmarkStart w:id="304" w:name="_Toc296944499"/>
      <w:bookmarkStart w:id="305" w:name="_Toc297048346"/>
      <w:bookmarkStart w:id="306" w:name="_Toc296346661"/>
      <w:bookmarkStart w:id="307" w:name="_Toc303539103"/>
      <w:bookmarkStart w:id="308" w:name="_Toc292559870"/>
      <w:bookmarkStart w:id="309" w:name="_Toc296890988"/>
      <w:bookmarkStart w:id="310" w:name="_Toc318581158"/>
      <w:bookmarkStart w:id="311" w:name="_Toc296347159"/>
      <w:bookmarkStart w:id="312" w:name="_Toc296891200"/>
      <w:bookmarkStart w:id="313" w:name="_Toc297120460"/>
      <w:r>
        <w:rPr>
          <w:rFonts w:ascii="Times New Roman" w:hAnsi="Times New Roman" w:eastAsia="宋体" w:cs="Times New Roman"/>
          <w:color w:val="auto"/>
          <w:sz w:val="21"/>
          <w:szCs w:val="21"/>
          <w:highlight w:val="none"/>
        </w:rPr>
        <w:t xml:space="preserve">.5.1 </w:t>
      </w:r>
      <w:r>
        <w:rPr>
          <w:rFonts w:hint="eastAsia" w:ascii="Times New Roman" w:hAnsi="宋体" w:eastAsia="宋体" w:cs="宋体"/>
          <w:color w:val="auto"/>
          <w:sz w:val="21"/>
          <w:szCs w:val="21"/>
          <w:highlight w:val="none"/>
        </w:rPr>
        <w:t>分包的一般约定</w:t>
      </w:r>
    </w:p>
    <w:p w14:paraId="3FA8E3A9">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禁止分包的工程包括：</w:t>
      </w:r>
      <w:r>
        <w:rPr>
          <w:rFonts w:hint="eastAsia" w:ascii="Times New Roman" w:hAnsi="Times New Roman" w:eastAsia="宋体" w:cs="Times New Roman"/>
          <w:color w:val="auto"/>
          <w:sz w:val="21"/>
          <w:szCs w:val="21"/>
          <w:highlight w:val="none"/>
          <w:u w:val="single"/>
        </w:rPr>
        <w:t>本工程不允许分包</w:t>
      </w:r>
      <w:r>
        <w:rPr>
          <w:rFonts w:hint="eastAsia" w:ascii="Times New Roman" w:hAnsi="宋体" w:eastAsia="宋体" w:cs="宋体"/>
          <w:color w:val="auto"/>
          <w:sz w:val="21"/>
          <w:szCs w:val="21"/>
          <w:highlight w:val="none"/>
        </w:rPr>
        <w:t>。</w:t>
      </w:r>
    </w:p>
    <w:p w14:paraId="656FBBE2">
      <w:pPr>
        <w:spacing w:line="360" w:lineRule="auto"/>
        <w:ind w:firstLine="420"/>
        <w:jc w:val="left"/>
        <w:rPr>
          <w:rFonts w:ascii="Times New Roman" w:hAnsi="宋体" w:eastAsia="宋体" w:cs="Times New Roman"/>
          <w:color w:val="auto"/>
          <w:sz w:val="21"/>
          <w:szCs w:val="21"/>
          <w:highlight w:val="none"/>
        </w:rPr>
      </w:pPr>
      <w:r>
        <w:rPr>
          <w:rFonts w:hint="eastAsia" w:ascii="Times New Roman" w:hAnsi="宋体" w:eastAsia="宋体" w:cs="宋体"/>
          <w:color w:val="auto"/>
          <w:sz w:val="21"/>
          <w:szCs w:val="21"/>
          <w:highlight w:val="none"/>
        </w:rPr>
        <w:t>主体结构、关键性工作的范围：</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38B80AAD">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3</w:t>
      </w:r>
      <w:bookmarkStart w:id="314" w:name="_Toc318581159"/>
      <w:bookmarkStart w:id="315" w:name="_Toc312677990"/>
      <w:r>
        <w:rPr>
          <w:rFonts w:ascii="Times New Roman" w:hAnsi="Times New Roman" w:eastAsia="宋体" w:cs="Times New Roman"/>
          <w:color w:val="auto"/>
          <w:sz w:val="21"/>
          <w:szCs w:val="21"/>
          <w:highlight w:val="none"/>
        </w:rPr>
        <w:t xml:space="preserve">.5.2 </w:t>
      </w:r>
      <w:r>
        <w:rPr>
          <w:rFonts w:hint="eastAsia" w:ascii="Times New Roman" w:hAnsi="宋体" w:eastAsia="宋体" w:cs="宋体"/>
          <w:color w:val="auto"/>
          <w:sz w:val="21"/>
          <w:szCs w:val="21"/>
          <w:highlight w:val="none"/>
        </w:rPr>
        <w:t>分包的确定</w:t>
      </w:r>
    </w:p>
    <w:p w14:paraId="3469D0DB">
      <w:pPr>
        <w:spacing w:line="360" w:lineRule="auto"/>
        <w:ind w:firstLine="42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允许分包的专业工程包括：</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32AC6306">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其他关于分包的约定：</w:t>
      </w:r>
    </w:p>
    <w:p w14:paraId="00A33B24">
      <w:pPr>
        <w:spacing w:line="360" w:lineRule="auto"/>
        <w:ind w:firstLine="420"/>
        <w:rPr>
          <w:rFonts w:ascii="Times New Roman" w:hAnsi="Times New Roman" w:eastAsia="宋体" w:cs="Times New Roman"/>
          <w:color w:val="auto"/>
          <w:sz w:val="21"/>
          <w:szCs w:val="21"/>
          <w:highlight w:val="none"/>
        </w:rPr>
      </w:pPr>
      <w:r>
        <w:rPr>
          <w:rFonts w:hint="eastAsia" w:ascii="Times New Roman" w:hAnsi="Times New Roman" w:eastAsia="宋体" w:cs="宋体"/>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Times New Roman" w:eastAsia="宋体" w:cs="宋体"/>
          <w:color w:val="auto"/>
          <w:sz w:val="21"/>
          <w:szCs w:val="21"/>
          <w:highlight w:val="none"/>
        </w:rPr>
        <w:t>）</w:t>
      </w:r>
      <w:r>
        <w:rPr>
          <w:rFonts w:hint="eastAsia" w:ascii="Times New Roman" w:hAnsi="宋体" w:eastAsia="宋体" w:cs="宋体"/>
          <w:color w:val="auto"/>
          <w:sz w:val="21"/>
          <w:szCs w:val="21"/>
          <w:highlight w:val="none"/>
        </w:rPr>
        <w:t>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w:t>
      </w:r>
      <w:r>
        <w:rPr>
          <w:rFonts w:hint="eastAsia" w:ascii="Times New Roman" w:hAnsi="宋体" w:eastAsia="宋体" w:cs="Times New Roman"/>
          <w:color w:val="auto"/>
          <w:sz w:val="21"/>
          <w:szCs w:val="21"/>
          <w:highlight w:val="none"/>
        </w:rPr>
        <w:t>6</w:t>
      </w:r>
      <w:r>
        <w:rPr>
          <w:rFonts w:hint="eastAsia" w:ascii="Times New Roman" w:hAnsi="宋体" w:eastAsia="宋体" w:cs="宋体"/>
          <w:color w:val="auto"/>
          <w:sz w:val="21"/>
          <w:szCs w:val="21"/>
          <w:highlight w:val="none"/>
        </w:rPr>
        <w:t>。</w:t>
      </w:r>
    </w:p>
    <w:p w14:paraId="72FC9C1E">
      <w:pPr>
        <w:spacing w:line="360" w:lineRule="auto"/>
        <w:ind w:firstLine="420"/>
        <w:rPr>
          <w:rFonts w:ascii="Times New Roman" w:hAnsi="Times New Roman" w:eastAsia="宋体" w:cs="Times New Roman"/>
          <w:color w:val="auto"/>
          <w:sz w:val="21"/>
          <w:szCs w:val="21"/>
          <w:highlight w:val="none"/>
          <w:u w:val="single"/>
        </w:rPr>
      </w:pPr>
      <w:r>
        <w:rPr>
          <w:rFonts w:hint="eastAsia" w:ascii="Times New Roman" w:hAnsi="Times New Roman"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Times New Roman" w:eastAsia="宋体" w:cs="宋体"/>
          <w:color w:val="auto"/>
          <w:sz w:val="21"/>
          <w:szCs w:val="21"/>
          <w:highlight w:val="none"/>
        </w:rPr>
        <w:t>）</w:t>
      </w:r>
      <w:r>
        <w:rPr>
          <w:rFonts w:hint="eastAsia" w:ascii="Times New Roman" w:hAnsi="宋体" w:eastAsia="宋体" w:cs="宋体"/>
          <w:color w:val="auto"/>
          <w:sz w:val="21"/>
          <w:szCs w:val="21"/>
          <w:highlight w:val="none"/>
        </w:rPr>
        <w:t>在相关分包合同签订并报送有关建设行政主管部门备案后</w:t>
      </w:r>
      <w:r>
        <w:rPr>
          <w:rFonts w:ascii="Times New Roman" w:hAnsi="Times New Roman" w:eastAsia="宋体" w:cs="Times New Roman"/>
          <w:color w:val="auto"/>
          <w:sz w:val="21"/>
          <w:szCs w:val="21"/>
          <w:highlight w:val="none"/>
        </w:rPr>
        <w:t>7</w:t>
      </w:r>
      <w:r>
        <w:rPr>
          <w:rFonts w:hint="eastAsia" w:ascii="Times New Roman" w:hAnsi="宋体" w:eastAsia="宋体" w:cs="宋体"/>
          <w:color w:val="auto"/>
          <w:sz w:val="21"/>
          <w:szCs w:val="21"/>
          <w:highlight w:val="none"/>
        </w:rPr>
        <w:t>天内，承包人应当将一份副本提交给监理人，承包人应保障分包工作不得再次分包。</w:t>
      </w:r>
    </w:p>
    <w:p w14:paraId="5173E816">
      <w:pPr>
        <w:spacing w:line="360" w:lineRule="auto"/>
        <w:ind w:firstLine="420"/>
        <w:rPr>
          <w:rFonts w:ascii="Times New Roman" w:hAnsi="Times New Roman" w:eastAsia="宋体" w:cs="Times New Roman"/>
          <w:color w:val="auto"/>
          <w:sz w:val="21"/>
          <w:szCs w:val="21"/>
          <w:highlight w:val="none"/>
        </w:rPr>
      </w:pPr>
      <w:r>
        <w:rPr>
          <w:rFonts w:hint="eastAsia" w:ascii="Times New Roman" w:hAnsi="Times New Roman" w:eastAsia="宋体" w:cs="宋体"/>
          <w:color w:val="auto"/>
          <w:sz w:val="21"/>
          <w:szCs w:val="21"/>
          <w:highlight w:val="none"/>
        </w:rPr>
        <w:t>（</w:t>
      </w:r>
      <w:r>
        <w:rPr>
          <w:rFonts w:ascii="Times New Roman" w:hAnsi="Times New Roman" w:eastAsia="宋体" w:cs="Times New Roman"/>
          <w:color w:val="auto"/>
          <w:sz w:val="21"/>
          <w:szCs w:val="21"/>
          <w:highlight w:val="none"/>
        </w:rPr>
        <w:t>3</w:t>
      </w:r>
      <w:r>
        <w:rPr>
          <w:rFonts w:hint="eastAsia" w:ascii="Times New Roman" w:hAnsi="Times New Roman" w:eastAsia="宋体" w:cs="宋体"/>
          <w:color w:val="auto"/>
          <w:sz w:val="21"/>
          <w:szCs w:val="21"/>
          <w:highlight w:val="none"/>
        </w:rPr>
        <w:t>）</w:t>
      </w:r>
      <w:r>
        <w:rPr>
          <w:rFonts w:hint="eastAsia" w:ascii="Times New Roman" w:hAnsi="宋体" w:eastAsia="宋体" w:cs="宋体"/>
          <w:color w:val="auto"/>
          <w:sz w:val="21"/>
          <w:szCs w:val="21"/>
          <w:highlight w:val="none"/>
        </w:rPr>
        <w:t>未经承包人和监理人审批同意的分包工程和分包人，承包人有权拒绝验收分包工程和支付相应款项，由此引起的发包人费用增加和</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或</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延误的工期由发包人承担。</w:t>
      </w:r>
    </w:p>
    <w:p w14:paraId="763AD527">
      <w:pPr>
        <w:widowControl w:val="0"/>
        <w:spacing w:line="360" w:lineRule="auto"/>
        <w:ind w:firstLine="420"/>
        <w:jc w:val="both"/>
        <w:rPr>
          <w:rFonts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t>（</w:t>
      </w:r>
      <w:r>
        <w:rPr>
          <w:rFonts w:ascii="Times New Roman" w:hAnsi="Times New Roman" w:eastAsia="宋体" w:cs="Times New Roman"/>
          <w:color w:val="auto"/>
          <w:sz w:val="21"/>
          <w:szCs w:val="21"/>
          <w:highlight w:val="none"/>
          <w:lang w:val="en-US" w:eastAsia="zh-CN" w:bidi="ar-SA"/>
        </w:rPr>
        <w:t>4</w:t>
      </w:r>
      <w:r>
        <w:rPr>
          <w:rFonts w:hint="eastAsia" w:ascii="Times New Roman" w:hAnsi="Times New Roman" w:eastAsia="宋体" w:cs="Times New Roman"/>
          <w:color w:val="auto"/>
          <w:sz w:val="21"/>
          <w:szCs w:val="21"/>
          <w:highlight w:val="none"/>
          <w:lang w:val="en-US" w:eastAsia="zh-CN" w:bidi="ar-SA"/>
        </w:rPr>
        <w:t>）</w:t>
      </w:r>
      <w:r>
        <w:rPr>
          <w:rFonts w:hint="eastAsia" w:ascii="Times New Roman" w:hAnsi="宋体" w:eastAsia="宋体" w:cs="Times New Roman"/>
          <w:color w:val="auto"/>
          <w:sz w:val="21"/>
          <w:szCs w:val="21"/>
          <w:highlight w:val="none"/>
          <w:lang w:val="en-US" w:eastAsia="zh-CN" w:bidi="ar-SA"/>
        </w:rPr>
        <w:t>承包人有以下情况之一者，发包人有权解除合同，并视情况扣除其履约保证金：</w:t>
      </w:r>
    </w:p>
    <w:p w14:paraId="6CA33612">
      <w:pPr>
        <w:widowControl w:val="0"/>
        <w:spacing w:line="360" w:lineRule="auto"/>
        <w:ind w:firstLine="441"/>
        <w:jc w:val="both"/>
        <w:rPr>
          <w:rFonts w:ascii="Times New Roman" w:hAnsi="Times New Roman" w:eastAsia="宋体" w:cs="Times New Roman"/>
          <w:color w:val="auto"/>
          <w:sz w:val="21"/>
          <w:szCs w:val="21"/>
          <w:highlight w:val="none"/>
          <w:lang w:val="en-US" w:eastAsia="zh-CN" w:bidi="ar-SA"/>
        </w:rPr>
      </w:pPr>
      <w:r>
        <w:rPr>
          <w:rFonts w:hint="eastAsia" w:ascii="Times New Roman" w:hAnsi="宋体" w:eastAsia="宋体" w:cs="Times New Roman"/>
          <w:color w:val="auto"/>
          <w:sz w:val="21"/>
          <w:szCs w:val="21"/>
          <w:highlight w:val="none"/>
          <w:lang w:val="en-US" w:eastAsia="zh-CN" w:bidi="ar-SA"/>
        </w:rPr>
        <w:t>①个人承包工程，包括本人单位及外单位人员承包，发包人不承认其个人拥有任何资质等级及营业许可资格。没收全部履约保证金。</w:t>
      </w:r>
    </w:p>
    <w:p w14:paraId="07776105">
      <w:pPr>
        <w:widowControl w:val="0"/>
        <w:spacing w:line="360" w:lineRule="auto"/>
        <w:ind w:firstLine="441"/>
        <w:jc w:val="both"/>
        <w:rPr>
          <w:rFonts w:ascii="Times New Roman" w:hAnsi="Times New Roman" w:eastAsia="宋体" w:cs="Times New Roman"/>
          <w:color w:val="auto"/>
          <w:sz w:val="21"/>
          <w:szCs w:val="21"/>
          <w:highlight w:val="none"/>
          <w:lang w:val="en-US" w:eastAsia="zh-CN" w:bidi="ar-SA"/>
        </w:rPr>
      </w:pPr>
      <w:r>
        <w:rPr>
          <w:rFonts w:hint="eastAsia" w:ascii="Times New Roman" w:hAnsi="宋体" w:eastAsia="宋体" w:cs="Times New Roman"/>
          <w:color w:val="auto"/>
          <w:sz w:val="21"/>
          <w:szCs w:val="21"/>
          <w:highlight w:val="none"/>
          <w:lang w:val="en-US" w:eastAsia="zh-CN" w:bidi="ar-SA"/>
        </w:rPr>
        <w:t>②几个人联合承包工程，就地组织暗分包队伍，不具备完成本工程的技术、机械能力，被发包人判定为没有能力履行的承包人。没收全部履约保证金。</w:t>
      </w:r>
    </w:p>
    <w:p w14:paraId="0EB415B4">
      <w:pPr>
        <w:widowControl w:val="0"/>
        <w:spacing w:line="360" w:lineRule="auto"/>
        <w:ind w:firstLine="441"/>
        <w:jc w:val="both"/>
        <w:rPr>
          <w:rFonts w:ascii="Times New Roman" w:hAnsi="Times New Roman" w:eastAsia="宋体" w:cs="Times New Roman"/>
          <w:color w:val="auto"/>
          <w:sz w:val="21"/>
          <w:szCs w:val="21"/>
          <w:highlight w:val="none"/>
          <w:lang w:val="en-US" w:eastAsia="zh-CN" w:bidi="ar-SA"/>
        </w:rPr>
      </w:pPr>
      <w:r>
        <w:rPr>
          <w:rFonts w:hint="eastAsia" w:ascii="Times New Roman" w:hAnsi="宋体" w:eastAsia="宋体" w:cs="Times New Roman"/>
          <w:color w:val="auto"/>
          <w:sz w:val="21"/>
          <w:szCs w:val="21"/>
          <w:highlight w:val="none"/>
          <w:lang w:val="en-US" w:eastAsia="zh-CN" w:bidi="ar-SA"/>
        </w:rPr>
        <w:t>③就地转包全部的工程，以谋取高额转让费、管理费的承包人。没收全部履约保证金。</w:t>
      </w:r>
    </w:p>
    <w:p w14:paraId="4D426EBC">
      <w:pPr>
        <w:spacing w:line="360" w:lineRule="auto"/>
        <w:ind w:firstLine="42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④承包人有部分分包现象（其中包括冒充承包人下属单位的</w:t>
      </w:r>
      <w:r>
        <w:rPr>
          <w:rFonts w:hint="eastAsia" w:ascii="Times New Roman" w:hAnsi="宋体" w:eastAsia="宋体" w:cs="宋体"/>
          <w:color w:val="auto"/>
          <w:sz w:val="21"/>
          <w:szCs w:val="21"/>
          <w:highlight w:val="none"/>
          <w:lang w:eastAsia="zh-CN"/>
        </w:rPr>
        <w:t>挂钩</w:t>
      </w:r>
      <w:r>
        <w:rPr>
          <w:rFonts w:hint="eastAsia" w:ascii="Times New Roman" w:hAnsi="宋体" w:eastAsia="宋体" w:cs="宋体"/>
          <w:color w:val="auto"/>
          <w:sz w:val="21"/>
          <w:szCs w:val="21"/>
          <w:highlight w:val="none"/>
        </w:rPr>
        <w:t>单位，凭口头协议参与施工的分包人及其他暗分包个体户），一经发现核实，发包人将采取驱逐该暗分包人措施。没收全部履约保证金。</w:t>
      </w:r>
    </w:p>
    <w:p w14:paraId="2F3AF426">
      <w:pPr>
        <w:spacing w:line="360" w:lineRule="auto"/>
        <w:ind w:firstLine="42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3.5.4 </w:t>
      </w:r>
      <w:r>
        <w:rPr>
          <w:rFonts w:hint="eastAsia" w:ascii="Times New Roman" w:hAnsi="宋体" w:eastAsia="宋体" w:cs="宋体"/>
          <w:color w:val="auto"/>
          <w:sz w:val="21"/>
          <w:szCs w:val="21"/>
          <w:highlight w:val="none"/>
        </w:rPr>
        <w:t>分包合同价款</w:t>
      </w:r>
      <w:bookmarkEnd w:id="314"/>
      <w:bookmarkEnd w:id="315"/>
    </w:p>
    <w:p w14:paraId="1E57CDCD">
      <w:pPr>
        <w:spacing w:line="360" w:lineRule="auto"/>
        <w:ind w:firstLine="420"/>
        <w:rPr>
          <w:rFonts w:ascii="Times New Roman" w:hAnsi="Times New Roman" w:eastAsia="宋体" w:cs="Times New Roman"/>
          <w:color w:val="auto"/>
          <w:sz w:val="21"/>
          <w:szCs w:val="21"/>
          <w:highlight w:val="none"/>
        </w:rPr>
      </w:pPr>
      <w:bookmarkStart w:id="316" w:name="_Toc373478358"/>
      <w:bookmarkStart w:id="317" w:name="_Toc389065277"/>
      <w:bookmarkStart w:id="318" w:name="_Toc373227711"/>
      <w:r>
        <w:rPr>
          <w:rFonts w:hint="eastAsia" w:ascii="Times New Roman" w:hAnsi="宋体" w:eastAsia="宋体" w:cs="宋体"/>
          <w:color w:val="auto"/>
          <w:sz w:val="21"/>
          <w:szCs w:val="21"/>
          <w:highlight w:val="none"/>
        </w:rPr>
        <w:t>关于分包合同价款支付的约定：</w:t>
      </w:r>
      <w:r>
        <w:rPr>
          <w:rFonts w:hint="eastAsia" w:ascii="Times New Roman" w:hAnsi="宋体" w:eastAsia="宋体" w:cs="宋体"/>
          <w:color w:val="auto"/>
          <w:sz w:val="21"/>
          <w:szCs w:val="21"/>
          <w:highlight w:val="none"/>
          <w:u w:val="single"/>
        </w:rPr>
        <w:t>分包工程价款由承包人与分包人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包括专业分包人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结算。发包人未经承包人同意不得以任何形式向分包人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包括专业分包人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支付相关分包合同项下的任何工程款项。因发包人未经承包人同意直接向分包人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包括专业分包人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支付相关分包合同项下的任何工程款项而影响承包人工作的，所造成的承包人费用增加和</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或</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延误的工期由发包人承担。</w:t>
      </w:r>
    </w:p>
    <w:p w14:paraId="5F514B0E">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319" w:name="_Toc11266"/>
      <w:bookmarkStart w:id="320" w:name="_Toc407135213"/>
      <w:bookmarkStart w:id="321" w:name="_Toc78449799"/>
      <w:bookmarkStart w:id="322" w:name="_Toc57329529"/>
      <w:bookmarkStart w:id="323" w:name="_Toc18329"/>
      <w:r>
        <w:rPr>
          <w:rFonts w:ascii="Times New Roman" w:hAnsi="Times New Roman" w:eastAsia="黑体" w:cs="Times New Roman"/>
          <w:b/>
          <w:bCs/>
          <w:color w:val="auto"/>
          <w:sz w:val="21"/>
          <w:szCs w:val="21"/>
          <w:highlight w:val="none"/>
          <w:lang w:val="zh-CN" w:eastAsia="zh-CN" w:bidi="ar-SA"/>
        </w:rPr>
        <w:t xml:space="preserve">3.6 </w:t>
      </w:r>
      <w:r>
        <w:rPr>
          <w:rFonts w:hint="eastAsia" w:ascii="Times New Roman" w:hAnsi="Times New Roman" w:eastAsia="黑体" w:cs="黑体"/>
          <w:b/>
          <w:bCs/>
          <w:color w:val="auto"/>
          <w:sz w:val="21"/>
          <w:szCs w:val="21"/>
          <w:highlight w:val="none"/>
          <w:lang w:val="zh-CN" w:eastAsia="zh-CN" w:bidi="ar-SA"/>
        </w:rPr>
        <w:t>工程照管与成品、半成品保护</w:t>
      </w:r>
      <w:bookmarkEnd w:id="316"/>
      <w:bookmarkEnd w:id="317"/>
      <w:bookmarkEnd w:id="318"/>
      <w:bookmarkEnd w:id="319"/>
      <w:bookmarkEnd w:id="320"/>
      <w:bookmarkEnd w:id="321"/>
      <w:bookmarkEnd w:id="322"/>
      <w:bookmarkEnd w:id="323"/>
    </w:p>
    <w:p w14:paraId="3D1D62F2">
      <w:pPr>
        <w:spacing w:line="360" w:lineRule="auto"/>
        <w:ind w:firstLine="42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承包人负责照管工程及工程相关的材料、工程设备的起始时间：</w:t>
      </w:r>
      <w:r>
        <w:rPr>
          <w:rFonts w:hint="eastAsia" w:ascii="Times New Roman" w:hAnsi="Times New Roman" w:eastAsia="宋体" w:cs="Times New Roman"/>
          <w:color w:val="auto"/>
          <w:sz w:val="21"/>
          <w:szCs w:val="21"/>
          <w:highlight w:val="none"/>
          <w:u w:val="single"/>
        </w:rPr>
        <w:t>从监理人（若无监理人，按发包人）发出开工通知中载明的开工日期之日起由承包人承担照管责任</w:t>
      </w:r>
      <w:r>
        <w:rPr>
          <w:rFonts w:hint="eastAsia" w:ascii="Times New Roman" w:hAnsi="宋体" w:eastAsia="宋体" w:cs="宋体"/>
          <w:color w:val="auto"/>
          <w:sz w:val="21"/>
          <w:szCs w:val="21"/>
          <w:highlight w:val="none"/>
        </w:rPr>
        <w:t>。</w:t>
      </w:r>
    </w:p>
    <w:p w14:paraId="4A452B0D">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324" w:name="_Toc389065278"/>
      <w:bookmarkStart w:id="325" w:name="_Toc373478359"/>
      <w:bookmarkStart w:id="326" w:name="_Toc373227712"/>
      <w:bookmarkStart w:id="327" w:name="_Toc78449800"/>
      <w:bookmarkStart w:id="328" w:name="_Toc32164"/>
      <w:bookmarkStart w:id="329" w:name="_Toc15964"/>
      <w:bookmarkStart w:id="330" w:name="_Toc1042049436"/>
      <w:bookmarkStart w:id="331" w:name="_Toc407135214"/>
      <w:r>
        <w:rPr>
          <w:rFonts w:ascii="Times New Roman" w:hAnsi="Times New Roman" w:eastAsia="黑体" w:cs="Times New Roman"/>
          <w:b/>
          <w:bCs/>
          <w:color w:val="auto"/>
          <w:sz w:val="21"/>
          <w:szCs w:val="21"/>
          <w:highlight w:val="none"/>
          <w:lang w:val="zh-CN" w:eastAsia="zh-CN" w:bidi="ar-SA"/>
        </w:rPr>
        <w:t xml:space="preserve">3.7 </w:t>
      </w:r>
      <w:r>
        <w:rPr>
          <w:rFonts w:hint="eastAsia" w:ascii="Times New Roman" w:hAnsi="宋体" w:eastAsia="黑体" w:cs="黑体"/>
          <w:b/>
          <w:bCs/>
          <w:color w:val="auto"/>
          <w:sz w:val="21"/>
          <w:szCs w:val="21"/>
          <w:highlight w:val="none"/>
          <w:lang w:val="zh-CN" w:eastAsia="zh-CN" w:bidi="ar-SA"/>
        </w:rPr>
        <w:t>履约</w:t>
      </w:r>
      <w:bookmarkEnd w:id="324"/>
      <w:bookmarkEnd w:id="325"/>
      <w:bookmarkEnd w:id="326"/>
      <w:r>
        <w:rPr>
          <w:rFonts w:hint="eastAsia" w:ascii="Times New Roman" w:hAnsi="宋体" w:eastAsia="黑体" w:cs="黑体"/>
          <w:b/>
          <w:bCs/>
          <w:color w:val="auto"/>
          <w:sz w:val="21"/>
          <w:szCs w:val="21"/>
          <w:highlight w:val="none"/>
          <w:lang w:val="zh-CN" w:eastAsia="zh-CN" w:bidi="ar-SA"/>
        </w:rPr>
        <w:t>保证金</w:t>
      </w:r>
      <w:bookmarkEnd w:id="327"/>
      <w:bookmarkEnd w:id="328"/>
      <w:bookmarkEnd w:id="329"/>
      <w:bookmarkEnd w:id="330"/>
      <w:bookmarkEnd w:id="331"/>
    </w:p>
    <w:p w14:paraId="377769B6">
      <w:pPr>
        <w:spacing w:line="360" w:lineRule="auto"/>
        <w:ind w:firstLine="420"/>
        <w:jc w:val="left"/>
        <w:rPr>
          <w:rFonts w:hint="eastAsia" w:ascii="Times New Roman" w:hAnsi="宋体" w:eastAsia="宋体" w:cs="宋体"/>
          <w:color w:val="auto"/>
          <w:sz w:val="21"/>
          <w:szCs w:val="21"/>
          <w:highlight w:val="none"/>
          <w:u w:val="single"/>
        </w:rPr>
      </w:pPr>
      <w:bookmarkStart w:id="332" w:name="_Toc373478360"/>
      <w:bookmarkStart w:id="333" w:name="_Toc389065279"/>
      <w:bookmarkStart w:id="334" w:name="_Toc351203636"/>
      <w:bookmarkStart w:id="335" w:name="_Toc373227713"/>
      <w:r>
        <w:rPr>
          <w:rFonts w:hint="eastAsia" w:ascii="Times New Roman" w:hAnsi="宋体" w:eastAsia="宋体" w:cs="宋体"/>
          <w:color w:val="auto"/>
          <w:sz w:val="21"/>
          <w:szCs w:val="21"/>
          <w:highlight w:val="none"/>
        </w:rPr>
        <w:t>承包人提供履约担保的形式、金额及期限的：</w:t>
      </w:r>
      <w:r>
        <w:rPr>
          <w:rFonts w:hint="eastAsia" w:ascii="Times New Roman" w:hAnsi="宋体" w:eastAsia="宋体" w:cs="宋体"/>
          <w:color w:val="auto"/>
          <w:sz w:val="21"/>
          <w:szCs w:val="21"/>
          <w:highlight w:val="none"/>
          <w:u w:val="single"/>
        </w:rPr>
        <w:t>承包人在收到</w:t>
      </w:r>
      <w:r>
        <w:rPr>
          <w:rFonts w:hint="eastAsia" w:ascii="Times New Roman" w:hAnsi="宋体" w:eastAsia="宋体" w:cs="宋体"/>
          <w:color w:val="auto"/>
          <w:sz w:val="21"/>
          <w:szCs w:val="21"/>
          <w:u w:val="single"/>
        </w:rPr>
        <w:t>中标通知书</w:t>
      </w:r>
      <w:r>
        <w:rPr>
          <w:rFonts w:hint="eastAsia" w:ascii="Times New Roman" w:hAnsi="宋体" w:eastAsia="宋体" w:cs="宋体"/>
          <w:color w:val="auto"/>
          <w:sz w:val="21"/>
          <w:szCs w:val="21"/>
          <w:highlight w:val="none"/>
          <w:u w:val="single"/>
        </w:rPr>
        <w:t>后，须在</w:t>
      </w:r>
      <w:r>
        <w:rPr>
          <w:rFonts w:hint="eastAsia" w:ascii="Times New Roman" w:hAnsi="Times New Roman" w:eastAsia="宋体" w:cs="Times New Roman"/>
          <w:color w:val="auto"/>
          <w:sz w:val="21"/>
          <w:szCs w:val="21"/>
          <w:highlight w:val="none"/>
          <w:u w:val="single"/>
          <w:lang w:val="en-US" w:eastAsia="zh-CN"/>
        </w:rPr>
        <w:t>10个工作</w:t>
      </w:r>
      <w:r>
        <w:rPr>
          <w:rFonts w:hint="eastAsia" w:ascii="Times New Roman" w:hAnsi="宋体" w:eastAsia="宋体" w:cs="宋体"/>
          <w:color w:val="auto"/>
          <w:sz w:val="21"/>
          <w:szCs w:val="21"/>
          <w:highlight w:val="none"/>
          <w:u w:val="single"/>
        </w:rPr>
        <w:t>日内向发包人提交</w:t>
      </w:r>
      <w:r>
        <w:rPr>
          <w:rFonts w:hint="eastAsia" w:ascii="Times New Roman" w:hAnsi="宋体" w:eastAsia="宋体" w:cs="宋体"/>
          <w:color w:val="auto"/>
          <w:sz w:val="21"/>
          <w:szCs w:val="21"/>
          <w:u w:val="single"/>
        </w:rPr>
        <w:t>合同价款</w:t>
      </w:r>
      <w:r>
        <w:rPr>
          <w:rFonts w:hint="eastAsia" w:ascii="Times New Roman" w:hAnsi="Times New Roman" w:cs="Times New Roman"/>
          <w:color w:val="auto"/>
          <w:sz w:val="21"/>
          <w:szCs w:val="21"/>
          <w:u w:val="single"/>
          <w:lang w:val="en-US" w:eastAsia="zh-CN"/>
        </w:rPr>
        <w:t>2</w:t>
      </w:r>
      <w:r>
        <w:rPr>
          <w:rFonts w:ascii="Times New Roman" w:hAnsi="Times New Roman" w:eastAsia="宋体" w:cs="Times New Roman"/>
          <w:color w:val="auto"/>
          <w:sz w:val="21"/>
          <w:szCs w:val="21"/>
          <w:u w:val="single"/>
        </w:rPr>
        <w:t>%</w:t>
      </w:r>
      <w:r>
        <w:rPr>
          <w:rFonts w:hint="eastAsia" w:ascii="Times New Roman" w:hAnsi="宋体" w:eastAsia="宋体" w:cs="宋体"/>
          <w:color w:val="auto"/>
          <w:sz w:val="21"/>
          <w:szCs w:val="21"/>
          <w:u w:val="single"/>
        </w:rPr>
        <w:t>的履约担保</w:t>
      </w:r>
      <w:r>
        <w:rPr>
          <w:rFonts w:hint="eastAsia" w:ascii="Times New Roman" w:hAnsi="宋体" w:eastAsia="宋体" w:cs="宋体"/>
          <w:color w:val="auto"/>
          <w:sz w:val="21"/>
          <w:szCs w:val="21"/>
          <w:highlight w:val="none"/>
          <w:u w:val="single"/>
        </w:rPr>
        <w:t>（格式见合同附件</w:t>
      </w:r>
      <w:r>
        <w:rPr>
          <w:rFonts w:hint="eastAsia" w:ascii="Times New Roman" w:hAnsi="宋体" w:eastAsia="宋体" w:cs="Times New Roman"/>
          <w:color w:val="auto"/>
          <w:sz w:val="21"/>
          <w:szCs w:val="21"/>
          <w:highlight w:val="none"/>
          <w:u w:val="single"/>
        </w:rPr>
        <w:t>7</w:t>
      </w:r>
      <w:r>
        <w:rPr>
          <w:rFonts w:hint="eastAsia" w:ascii="Times New Roman" w:hAnsi="宋体" w:eastAsia="宋体" w:cs="宋体"/>
          <w:color w:val="auto"/>
          <w:sz w:val="21"/>
          <w:szCs w:val="21"/>
          <w:highlight w:val="none"/>
          <w:u w:val="single"/>
        </w:rPr>
        <w:t>）。履约担保的有效期应当自本合同生效之日起至发包人签认并由监理人向承包人</w:t>
      </w:r>
      <w:r>
        <w:rPr>
          <w:rFonts w:hint="eastAsia" w:ascii="Times New Roman" w:hAnsi="宋体" w:eastAsia="宋体" w:cs="宋体"/>
          <w:color w:val="auto"/>
          <w:sz w:val="21"/>
          <w:szCs w:val="21"/>
          <w:u w:val="single"/>
        </w:rPr>
        <w:t>出具竣工证明材料之日止</w:t>
      </w:r>
      <w:r>
        <w:rPr>
          <w:rFonts w:hint="eastAsia" w:ascii="Times New Roman" w:hAnsi="宋体" w:eastAsia="宋体" w:cs="宋体"/>
          <w:color w:val="auto"/>
          <w:sz w:val="21"/>
          <w:szCs w:val="21"/>
          <w:highlight w:val="none"/>
          <w:u w:val="single"/>
        </w:rPr>
        <w:t>。如果承包人无法获得一份不带具体截止日期的担保，履约担保中应当有</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宋体" w:eastAsia="宋体" w:cs="宋体"/>
          <w:color w:val="auto"/>
          <w:sz w:val="21"/>
          <w:szCs w:val="21"/>
          <w:highlight w:val="none"/>
          <w:u w:val="single"/>
        </w:rPr>
        <w:t>变更工程竣工日期的，保证期间按照变更后的竣工日期做相应调整</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宋体" w:eastAsia="宋体" w:cs="宋体"/>
          <w:color w:val="auto"/>
          <w:sz w:val="21"/>
          <w:szCs w:val="21"/>
          <w:highlight w:val="none"/>
          <w:u w:val="single"/>
        </w:rPr>
        <w:t>或类似约定的条款。</w:t>
      </w:r>
    </w:p>
    <w:p w14:paraId="480525A2">
      <w:pPr>
        <w:spacing w:line="360" w:lineRule="auto"/>
        <w:ind w:firstLine="42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lang w:eastAsia="zh-CN"/>
        </w:rPr>
        <w:t>承包人</w:t>
      </w:r>
      <w:r>
        <w:rPr>
          <w:rFonts w:hint="eastAsia" w:ascii="Times New Roman" w:hAnsi="宋体" w:eastAsia="宋体" w:cs="宋体"/>
          <w:color w:val="auto"/>
          <w:sz w:val="21"/>
          <w:szCs w:val="21"/>
        </w:rPr>
        <w:t>提供</w:t>
      </w:r>
      <w:r>
        <w:rPr>
          <w:rFonts w:hint="eastAsia" w:ascii="Times New Roman" w:hAnsi="宋体" w:eastAsia="宋体" w:cs="宋体"/>
          <w:color w:val="auto"/>
          <w:sz w:val="21"/>
          <w:szCs w:val="21"/>
          <w:lang w:eastAsia="zh-CN"/>
        </w:rPr>
        <w:t>履约</w:t>
      </w:r>
      <w:r>
        <w:rPr>
          <w:rFonts w:hint="eastAsia" w:ascii="Times New Roman" w:hAnsi="宋体" w:eastAsia="宋体" w:cs="宋体"/>
          <w:color w:val="auto"/>
          <w:sz w:val="21"/>
          <w:szCs w:val="21"/>
        </w:rPr>
        <w:t>担保的形式：</w:t>
      </w:r>
      <w:r>
        <w:rPr>
          <w:rFonts w:hint="eastAsia" w:ascii="Times New Roman" w:hAnsi="Times New Roman" w:eastAsia="宋体" w:cs="Times New Roman"/>
          <w:color w:val="auto"/>
          <w:sz w:val="21"/>
          <w:szCs w:val="21"/>
          <w:u w:val="single"/>
          <w:lang w:eastAsia="zh-CN"/>
        </w:rPr>
        <w:t>可以是</w:t>
      </w:r>
      <w:r>
        <w:rPr>
          <w:rFonts w:hint="eastAsia" w:ascii="Calibri" w:hAnsi="Calibri" w:eastAsia="宋体" w:cs="宋体"/>
          <w:color w:val="auto"/>
          <w:sz w:val="21"/>
          <w:szCs w:val="21"/>
        </w:rPr>
        <w:t>现金、银行保函、工程担保、</w:t>
      </w:r>
      <w:r>
        <w:rPr>
          <w:rFonts w:hint="default" w:ascii="Calibri" w:hAnsi="Calibri" w:eastAsia="宋体" w:cs="宋体"/>
          <w:color w:val="auto"/>
          <w:sz w:val="21"/>
          <w:szCs w:val="21"/>
        </w:rPr>
        <w:t>电子保函</w:t>
      </w:r>
      <w:r>
        <w:rPr>
          <w:rFonts w:hint="eastAsia" w:ascii="Calibri" w:hAnsi="Calibri" w:eastAsia="宋体" w:cs="宋体"/>
          <w:color w:val="auto"/>
          <w:sz w:val="21"/>
          <w:szCs w:val="21"/>
        </w:rPr>
        <w:t>或保证保险</w:t>
      </w:r>
      <w:r>
        <w:rPr>
          <w:rFonts w:hint="eastAsia" w:ascii="Times New Roman" w:hAnsi="宋体" w:eastAsia="宋体" w:cs="Times New Roman"/>
          <w:color w:val="auto"/>
          <w:sz w:val="21"/>
          <w:szCs w:val="21"/>
        </w:rPr>
        <w:t>等</w:t>
      </w:r>
      <w:r>
        <w:rPr>
          <w:rFonts w:hint="eastAsia" w:ascii="Times New Roman" w:hAnsi="宋体" w:eastAsia="宋体" w:cs="宋体"/>
          <w:color w:val="auto"/>
          <w:sz w:val="21"/>
          <w:szCs w:val="21"/>
        </w:rPr>
        <w:t>形</w:t>
      </w:r>
      <w:r>
        <w:rPr>
          <w:rFonts w:hint="eastAsia" w:ascii="Times New Roman" w:hAnsi="宋体" w:eastAsia="宋体" w:cs="Times New Roman"/>
          <w:color w:val="auto"/>
          <w:sz w:val="21"/>
          <w:szCs w:val="21"/>
        </w:rPr>
        <w:t>式</w:t>
      </w:r>
      <w:r>
        <w:rPr>
          <w:rFonts w:hint="eastAsia" w:ascii="Times New Roman" w:hAnsi="宋体" w:eastAsia="宋体" w:cs="宋体"/>
          <w:color w:val="auto"/>
          <w:sz w:val="21"/>
          <w:szCs w:val="21"/>
        </w:rPr>
        <w:t>。</w:t>
      </w:r>
    </w:p>
    <w:p w14:paraId="31C520C5">
      <w:pPr>
        <w:spacing w:line="360" w:lineRule="auto"/>
        <w:ind w:firstLine="42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u w:val="single"/>
        </w:rPr>
        <w:t>工程竣工验收合格后，承包人向发包人提供《采购项目合同验收书》、《采购项目履约保证金退付意见书》，</w:t>
      </w:r>
      <w:r>
        <w:rPr>
          <w:rFonts w:hint="eastAsia" w:ascii="Times New Roman" w:hAnsi="宋体" w:cs="宋体"/>
          <w:color w:val="auto"/>
          <w:sz w:val="21"/>
          <w:szCs w:val="21"/>
          <w:highlight w:val="none"/>
          <w:u w:val="single"/>
          <w:lang w:val="en-US" w:eastAsia="zh-CN"/>
        </w:rPr>
        <w:t>发包人</w:t>
      </w:r>
      <w:r>
        <w:rPr>
          <w:rFonts w:hint="eastAsia" w:ascii="Times New Roman" w:hAnsi="宋体" w:eastAsia="宋体" w:cs="宋体"/>
          <w:color w:val="auto"/>
          <w:sz w:val="21"/>
          <w:szCs w:val="21"/>
          <w:highlight w:val="none"/>
          <w:u w:val="single"/>
        </w:rPr>
        <w:t>在收到合格材料后，根据</w:t>
      </w:r>
      <w:r>
        <w:rPr>
          <w:rFonts w:hint="eastAsia" w:ascii="Times New Roman" w:hAnsi="宋体" w:cs="宋体"/>
          <w:color w:val="auto"/>
          <w:sz w:val="21"/>
          <w:szCs w:val="21"/>
          <w:highlight w:val="none"/>
          <w:u w:val="single"/>
          <w:lang w:val="en-US" w:eastAsia="zh-CN"/>
        </w:rPr>
        <w:t>承包人</w:t>
      </w:r>
      <w:r>
        <w:rPr>
          <w:rFonts w:hint="eastAsia" w:ascii="Times New Roman" w:hAnsi="宋体" w:eastAsia="宋体" w:cs="宋体"/>
          <w:color w:val="auto"/>
          <w:sz w:val="21"/>
          <w:szCs w:val="21"/>
          <w:highlight w:val="none"/>
          <w:u w:val="single"/>
        </w:rPr>
        <w:t>相关违约处罚扣款后的实际数额在5个工作日内办理退还手续（不计利息）。</w:t>
      </w:r>
    </w:p>
    <w:p w14:paraId="43BBDC86">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336" w:name="_Toc17369"/>
      <w:bookmarkStart w:id="337" w:name="_Toc907912356"/>
      <w:bookmarkStart w:id="338" w:name="_Toc78449801"/>
      <w:bookmarkStart w:id="339" w:name="_Toc407135215"/>
      <w:r>
        <w:rPr>
          <w:rFonts w:ascii="Arial" w:hAnsi="Arial" w:eastAsia="黑体" w:cs="Times New Roman"/>
          <w:b/>
          <w:bCs/>
          <w:color w:val="auto"/>
          <w:sz w:val="21"/>
          <w:szCs w:val="21"/>
          <w:highlight w:val="none"/>
          <w:lang w:val="zh-CN" w:eastAsia="zh-CN" w:bidi="ar-SA"/>
        </w:rPr>
        <w:t>4</w:t>
      </w:r>
      <w:bookmarkStart w:id="340" w:name="_Toc297120462"/>
      <w:bookmarkStart w:id="341" w:name="_Toc297048348"/>
      <w:bookmarkStart w:id="342" w:name="_Toc292559871"/>
      <w:bookmarkStart w:id="343" w:name="_Toc296944501"/>
      <w:bookmarkStart w:id="344" w:name="_Toc296891202"/>
      <w:bookmarkStart w:id="345" w:name="_Toc296503162"/>
      <w:bookmarkStart w:id="346" w:name="_Toc296346663"/>
      <w:bookmarkStart w:id="347" w:name="_Toc296890990"/>
      <w:bookmarkStart w:id="348" w:name="_Toc296347161"/>
      <w:bookmarkStart w:id="349" w:name="_Toc292559366"/>
      <w:bookmarkStart w:id="350" w:name="_Toc267251413"/>
      <w:r>
        <w:rPr>
          <w:rFonts w:ascii="Arial" w:hAnsi="Arial" w:eastAsia="黑体" w:cs="Times New Roman"/>
          <w:b/>
          <w:bCs/>
          <w:color w:val="auto"/>
          <w:sz w:val="21"/>
          <w:szCs w:val="21"/>
          <w:highlight w:val="none"/>
          <w:lang w:val="zh-CN" w:eastAsia="zh-CN" w:bidi="ar-SA"/>
        </w:rPr>
        <w:t xml:space="preserve">. </w:t>
      </w:r>
      <w:r>
        <w:rPr>
          <w:rFonts w:hint="eastAsia" w:ascii="Arial" w:hAnsi="宋体" w:eastAsia="黑体" w:cs="黑体"/>
          <w:b/>
          <w:bCs/>
          <w:color w:val="auto"/>
          <w:sz w:val="21"/>
          <w:szCs w:val="21"/>
          <w:highlight w:val="none"/>
          <w:lang w:val="zh-CN" w:eastAsia="zh-CN" w:bidi="ar-SA"/>
        </w:rPr>
        <w:t>监</w:t>
      </w:r>
      <w:bookmarkEnd w:id="340"/>
      <w:bookmarkEnd w:id="341"/>
      <w:bookmarkEnd w:id="342"/>
      <w:bookmarkEnd w:id="343"/>
      <w:bookmarkEnd w:id="344"/>
      <w:bookmarkEnd w:id="345"/>
      <w:bookmarkEnd w:id="346"/>
      <w:bookmarkEnd w:id="347"/>
      <w:bookmarkEnd w:id="348"/>
      <w:bookmarkEnd w:id="349"/>
      <w:bookmarkEnd w:id="350"/>
      <w:r>
        <w:rPr>
          <w:rFonts w:hint="eastAsia" w:ascii="Arial" w:hAnsi="宋体" w:eastAsia="黑体" w:cs="黑体"/>
          <w:b/>
          <w:bCs/>
          <w:color w:val="auto"/>
          <w:sz w:val="21"/>
          <w:szCs w:val="21"/>
          <w:highlight w:val="none"/>
          <w:lang w:val="zh-CN" w:eastAsia="zh-CN" w:bidi="ar-SA"/>
        </w:rPr>
        <w:t>理人</w:t>
      </w:r>
      <w:bookmarkEnd w:id="332"/>
      <w:bookmarkEnd w:id="333"/>
      <w:bookmarkEnd w:id="334"/>
      <w:bookmarkEnd w:id="335"/>
      <w:bookmarkEnd w:id="336"/>
      <w:bookmarkEnd w:id="337"/>
      <w:bookmarkEnd w:id="338"/>
      <w:bookmarkEnd w:id="339"/>
    </w:p>
    <w:p w14:paraId="2F11AC79">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351" w:name="_Toc2993"/>
      <w:bookmarkStart w:id="352" w:name="_Toc78449802"/>
      <w:bookmarkStart w:id="353" w:name="_Toc1595043148"/>
      <w:bookmarkStart w:id="354" w:name="_Toc373478361"/>
      <w:bookmarkStart w:id="355" w:name="_Toc373227714"/>
      <w:bookmarkStart w:id="356" w:name="_Toc389065280"/>
      <w:bookmarkStart w:id="357" w:name="_Toc407135216"/>
      <w:bookmarkStart w:id="358" w:name="_Toc21437"/>
      <w:r>
        <w:rPr>
          <w:rFonts w:ascii="Times New Roman" w:hAnsi="Times New Roman" w:eastAsia="黑体" w:cs="Times New Roman"/>
          <w:b/>
          <w:bCs/>
          <w:color w:val="auto"/>
          <w:sz w:val="21"/>
          <w:szCs w:val="21"/>
          <w:highlight w:val="none"/>
          <w:lang w:val="zh-CN" w:eastAsia="zh-CN" w:bidi="ar-SA"/>
        </w:rPr>
        <w:t xml:space="preserve">4.1 </w:t>
      </w:r>
      <w:r>
        <w:rPr>
          <w:rFonts w:hint="eastAsia" w:ascii="Times New Roman" w:hAnsi="Times New Roman" w:eastAsia="黑体" w:cs="黑体"/>
          <w:b/>
          <w:bCs/>
          <w:color w:val="auto"/>
          <w:sz w:val="21"/>
          <w:szCs w:val="21"/>
          <w:highlight w:val="none"/>
          <w:lang w:val="zh-CN" w:eastAsia="zh-CN" w:bidi="ar-SA"/>
        </w:rPr>
        <w:t>监理人的一般规定</w:t>
      </w:r>
      <w:bookmarkEnd w:id="351"/>
      <w:bookmarkEnd w:id="352"/>
      <w:bookmarkEnd w:id="353"/>
      <w:bookmarkEnd w:id="354"/>
      <w:bookmarkEnd w:id="355"/>
      <w:bookmarkEnd w:id="356"/>
      <w:bookmarkEnd w:id="357"/>
      <w:bookmarkEnd w:id="358"/>
    </w:p>
    <w:p w14:paraId="38F30E62">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rPr>
        <w:t>关于监理人的监理内容：</w:t>
      </w:r>
      <w:r>
        <w:rPr>
          <w:rFonts w:hint="eastAsia" w:ascii="Times New Roman" w:hAnsi="Times New Roman" w:eastAsia="宋体" w:cs="Times New Roman"/>
          <w:color w:val="auto"/>
          <w:sz w:val="21"/>
          <w:szCs w:val="21"/>
          <w:highlight w:val="none"/>
          <w:u w:val="single"/>
        </w:rPr>
        <w:t>审查施工承包人提交的施工组织设计，专项施工方案与工程建设强制性标准的符合性；检查施工承包人工程质量、安全、施工进度；审查施工承包人报送的工程材料、构配件、设备质量证明文件的有效性和符合性；签发工程暂停令和复工令；验收隐蔽工程、分部分项工程；参与工程变更的审查签认，协助发包人核签现场发生的签证，最终须经发包人认可后作为结算的依据，审核月进度报表并报发包人审批；审核工程款支付申请；参加工程竣工验收。（除应符合双方合同约定外，还应符合国家现行的有关强制性标准、规范的规定）</w:t>
      </w:r>
      <w:r>
        <w:rPr>
          <w:rFonts w:hint="eastAsia" w:ascii="Times New Roman" w:hAnsi="宋体" w:eastAsia="宋体" w:cs="宋体"/>
          <w:color w:val="auto"/>
          <w:sz w:val="21"/>
          <w:szCs w:val="21"/>
          <w:highlight w:val="none"/>
        </w:rPr>
        <w:t>。</w:t>
      </w:r>
    </w:p>
    <w:p w14:paraId="6AB1B122">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rPr>
        <w:t>关于监理人的监理权限：</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1</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在发出有关能引起工程费用实际增加（减少）或延长工期的指令前，应得到发包人的书面批准。</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2</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监理工程师在向承包人发出有关技术规范的重大变更或有关变更合同条款的任何指令前均应获得发包人书面批准。</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3</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工程实际竣工日期提前或超过工程承包合同规定的竣工期限的签证之前应得到发包人的书面批准。</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4</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签证单监理只有证明权，无确认权。（详见发包人与监理单位签订的监理合同）。</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5</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工程内容和材料变更确认应得到发包人的书面批准 。</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6</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审核月进度工作报表以及审核工程款支付申请</w:t>
      </w: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 xml:space="preserve"> </w:t>
      </w:r>
    </w:p>
    <w:p w14:paraId="757F4FE3">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关于监理人在施工现场的办公场所、生活场所的提供和费用承担的约定：</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71F8D7AF">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359" w:name="_Toc373227715"/>
      <w:bookmarkStart w:id="360" w:name="_Toc9467"/>
      <w:bookmarkStart w:id="361" w:name="_Toc16747"/>
      <w:bookmarkStart w:id="362" w:name="_Toc386397261"/>
      <w:bookmarkStart w:id="363" w:name="_Toc407135217"/>
      <w:bookmarkStart w:id="364" w:name="_Toc389065281"/>
      <w:bookmarkStart w:id="365" w:name="_Toc373478362"/>
      <w:bookmarkStart w:id="366" w:name="_Toc78449803"/>
      <w:r>
        <w:rPr>
          <w:rFonts w:ascii="Times New Roman" w:hAnsi="Times New Roman" w:eastAsia="黑体" w:cs="Times New Roman"/>
          <w:b/>
          <w:bCs/>
          <w:color w:val="auto"/>
          <w:sz w:val="21"/>
          <w:szCs w:val="21"/>
          <w:highlight w:val="none"/>
          <w:lang w:val="zh-CN" w:eastAsia="zh-CN" w:bidi="ar-SA"/>
        </w:rPr>
        <w:t xml:space="preserve">4.2 </w:t>
      </w:r>
      <w:r>
        <w:rPr>
          <w:rFonts w:hint="eastAsia" w:ascii="Times New Roman" w:hAnsi="宋体" w:eastAsia="黑体" w:cs="黑体"/>
          <w:b/>
          <w:bCs/>
          <w:color w:val="auto"/>
          <w:sz w:val="21"/>
          <w:szCs w:val="21"/>
          <w:highlight w:val="none"/>
          <w:lang w:val="zh-CN" w:eastAsia="zh-CN" w:bidi="ar-SA"/>
        </w:rPr>
        <w:t>监理人员</w:t>
      </w:r>
      <w:bookmarkEnd w:id="359"/>
      <w:bookmarkEnd w:id="360"/>
      <w:bookmarkEnd w:id="361"/>
      <w:bookmarkEnd w:id="362"/>
      <w:bookmarkEnd w:id="363"/>
      <w:bookmarkEnd w:id="364"/>
      <w:bookmarkEnd w:id="365"/>
      <w:bookmarkEnd w:id="366"/>
    </w:p>
    <w:p w14:paraId="32A417CC">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总监理工程师：</w:t>
      </w:r>
    </w:p>
    <w:p w14:paraId="5027576C">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姓</w:t>
      </w:r>
      <w:r>
        <w:rPr>
          <w:rFonts w:ascii="Times New Roman" w:hAnsi="Times New Roman" w:eastAsia="宋体" w:cs="Times New Roman"/>
          <w:color w:val="auto"/>
          <w:sz w:val="21"/>
          <w:szCs w:val="21"/>
          <w:highlight w:val="none"/>
        </w:rPr>
        <w:t xml:space="preserve">    </w:t>
      </w:r>
      <w:r>
        <w:rPr>
          <w:rFonts w:ascii="Times New Roman" w:hAnsi="宋体" w:eastAsia="宋体" w:cs="Times New Roman"/>
          <w:color w:val="auto"/>
          <w:sz w:val="21"/>
          <w:szCs w:val="21"/>
          <w:highlight w:val="none"/>
        </w:rPr>
        <w:t>名：</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1CDDC41F">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职</w:t>
      </w:r>
      <w:r>
        <w:rPr>
          <w:rFonts w:ascii="Times New Roman" w:hAnsi="Times New Roman" w:eastAsia="宋体" w:cs="Times New Roman"/>
          <w:color w:val="auto"/>
          <w:sz w:val="21"/>
          <w:szCs w:val="21"/>
          <w:highlight w:val="none"/>
        </w:rPr>
        <w:t xml:space="preserve">    </w:t>
      </w:r>
      <w:r>
        <w:rPr>
          <w:rFonts w:ascii="Times New Roman" w:hAnsi="宋体" w:eastAsia="宋体" w:cs="Times New Roman"/>
          <w:color w:val="auto"/>
          <w:sz w:val="21"/>
          <w:szCs w:val="21"/>
          <w:highlight w:val="none"/>
        </w:rPr>
        <w:t>务：</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47B26383">
      <w:pPr>
        <w:spacing w:line="360" w:lineRule="auto"/>
        <w:ind w:firstLine="420"/>
        <w:rPr>
          <w:rFonts w:ascii="Times New Roman" w:hAnsi="宋体" w:eastAsia="宋体" w:cs="Times New Roman"/>
          <w:color w:val="auto"/>
          <w:sz w:val="21"/>
          <w:szCs w:val="21"/>
          <w:highlight w:val="none"/>
        </w:rPr>
      </w:pPr>
      <w:r>
        <w:rPr>
          <w:rFonts w:ascii="Times New Roman" w:hAnsi="宋体" w:eastAsia="宋体" w:cs="Times New Roman"/>
          <w:color w:val="auto"/>
          <w:sz w:val="21"/>
          <w:szCs w:val="21"/>
          <w:highlight w:val="none"/>
        </w:rPr>
        <w:t>监理工程师注册证书号：</w:t>
      </w:r>
      <w:r>
        <w:rPr>
          <w:rFonts w:hint="eastAsia" w:ascii="Times New Roman" w:hAnsi="宋体" w:eastAsia="宋体" w:cs="Times New Roman"/>
          <w:color w:val="auto"/>
          <w:sz w:val="21"/>
          <w:szCs w:val="21"/>
          <w:highlight w:val="none"/>
          <w:u w:val="single"/>
          <w:lang w:eastAsia="zh-CN"/>
        </w:rPr>
        <w:t xml:space="preserve">    </w:t>
      </w:r>
      <w:r>
        <w:rPr>
          <w:rFonts w:hint="eastAsia" w:ascii="Times New Roman" w:hAnsi="宋体"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0688A3FD">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联系电话：</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7C165950">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电子信箱：</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108D3675">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通信地址：</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0A678490">
      <w:pPr>
        <w:spacing w:line="360" w:lineRule="auto"/>
        <w:ind w:firstLine="42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关于监理人的其他约定：</w:t>
      </w:r>
      <w:r>
        <w:rPr>
          <w:rFonts w:hint="eastAsia" w:ascii="Times New Roman" w:hAnsi="宋体" w:eastAsia="宋体" w:cs="Times New Roman"/>
          <w:color w:val="auto"/>
          <w:sz w:val="21"/>
          <w:szCs w:val="21"/>
          <w:highlight w:val="none"/>
          <w:u w:val="single"/>
          <w:lang w:eastAsia="zh-CN"/>
        </w:rPr>
        <w:t>监理人在执行下列职责前应事先得到发包人的特别认可：（1）下达开工、停工指令或通知；（2）认可工程任何部分的分包确认或同意分包人；（3）批准任何工期顺延；（4）对工期、工程造价有任何影响的变更指示；（5）确定变更估价；（6）发出接收证书或通过工程竣工验收；（7）认可承包人的任何费用索赔。一切有关上述事宜而没有发包人签认的指令或行动将被视为无效。尽管有如上诉需征求特别许可的义务，但如果工程监理认为事故的发生会影响人员生命、工程或附近财产的安全，工程监理可以在不减轻承包人任何合同规定的责任和义务的情况下，指示承包人采取工程监理认为必要有效的措施及办法排除及减低危险。尽管没有得到发包人的认可，承包人应立即执行该等有关指令，此类指令承包人必须在发出后24小时内得到发包人的认可。除上述的紧急指令外，承包人因遵守经发包人特别认可的而又未经发包人认可的指令而引致的索赔都不会获得接受</w:t>
      </w:r>
      <w:r>
        <w:rPr>
          <w:rFonts w:ascii="Times New Roman" w:hAnsi="宋体" w:eastAsia="宋体" w:cs="Times New Roman"/>
          <w:color w:val="auto"/>
          <w:sz w:val="21"/>
          <w:szCs w:val="21"/>
          <w:highlight w:val="none"/>
        </w:rPr>
        <w:t>。</w:t>
      </w:r>
    </w:p>
    <w:p w14:paraId="2371D246">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367" w:name="_Toc373227716"/>
      <w:bookmarkStart w:id="368" w:name="_Toc30189"/>
      <w:bookmarkStart w:id="369" w:name="_Toc539923186"/>
      <w:bookmarkStart w:id="370" w:name="_Toc407135218"/>
      <w:bookmarkStart w:id="371" w:name="_Toc389065282"/>
      <w:bookmarkStart w:id="372" w:name="_Toc373478363"/>
      <w:bookmarkStart w:id="373" w:name="_Toc29998"/>
      <w:bookmarkStart w:id="374" w:name="_Toc78449804"/>
      <w:r>
        <w:rPr>
          <w:rFonts w:ascii="Times New Roman" w:hAnsi="Times New Roman" w:eastAsia="黑体" w:cs="Times New Roman"/>
          <w:b/>
          <w:bCs/>
          <w:color w:val="auto"/>
          <w:sz w:val="21"/>
          <w:szCs w:val="21"/>
          <w:highlight w:val="none"/>
          <w:lang w:val="zh-CN" w:eastAsia="zh-CN" w:bidi="ar-SA"/>
        </w:rPr>
        <w:t xml:space="preserve">4.4 </w:t>
      </w:r>
      <w:r>
        <w:rPr>
          <w:rFonts w:hint="eastAsia" w:ascii="Times New Roman" w:hAnsi="宋体" w:eastAsia="黑体" w:cs="黑体"/>
          <w:b/>
          <w:bCs/>
          <w:color w:val="auto"/>
          <w:sz w:val="21"/>
          <w:szCs w:val="21"/>
          <w:highlight w:val="none"/>
          <w:lang w:val="zh-CN" w:eastAsia="zh-CN" w:bidi="ar-SA"/>
        </w:rPr>
        <w:t>商定或确定</w:t>
      </w:r>
      <w:bookmarkEnd w:id="367"/>
      <w:bookmarkEnd w:id="368"/>
      <w:bookmarkEnd w:id="369"/>
      <w:bookmarkEnd w:id="370"/>
      <w:bookmarkEnd w:id="371"/>
      <w:bookmarkEnd w:id="372"/>
      <w:bookmarkEnd w:id="373"/>
      <w:bookmarkEnd w:id="374"/>
    </w:p>
    <w:p w14:paraId="42C33EFD">
      <w:pPr>
        <w:spacing w:line="360" w:lineRule="auto"/>
        <w:ind w:firstLine="420"/>
        <w:rPr>
          <w:rFonts w:ascii="Times New Roman" w:hAnsi="Times New Roman" w:eastAsia="宋体" w:cs="Times New Roman"/>
          <w:color w:val="auto"/>
          <w:sz w:val="21"/>
          <w:szCs w:val="21"/>
          <w:highlight w:val="none"/>
        </w:rPr>
      </w:pPr>
      <w:bookmarkStart w:id="375" w:name="_Toc267251418"/>
      <w:r>
        <w:rPr>
          <w:rFonts w:hint="eastAsia" w:ascii="Times New Roman" w:hAnsi="宋体" w:eastAsia="宋体" w:cs="宋体"/>
          <w:color w:val="auto"/>
          <w:sz w:val="21"/>
          <w:szCs w:val="21"/>
          <w:highlight w:val="none"/>
        </w:rPr>
        <w:t>在发包人和承包人不能通过协商达成一致意见时，发包人授权监理人对以下事项进行确定：</w:t>
      </w:r>
    </w:p>
    <w:p w14:paraId="6B97C0BC">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rPr>
        <w:t>按通用条款执行</w:t>
      </w:r>
      <w:r>
        <w:rPr>
          <w:rFonts w:hint="eastAsia" w:ascii="宋体" w:hAnsi="宋体" w:eastAsia="宋体" w:cs="宋体"/>
          <w:color w:val="auto"/>
          <w:sz w:val="21"/>
          <w:szCs w:val="21"/>
          <w:highlight w:val="none"/>
          <w:u w:val="none"/>
          <w:lang w:eastAsia="zh-CN"/>
        </w:rPr>
        <w:t>；</w:t>
      </w:r>
    </w:p>
    <w:p w14:paraId="1178E392">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  </w:t>
      </w:r>
      <w:r>
        <w:rPr>
          <w:rFonts w:hint="eastAsia" w:ascii="宋体" w:hAnsi="宋体" w:eastAsia="宋体" w:cs="宋体"/>
          <w:color w:val="auto"/>
          <w:sz w:val="21"/>
          <w:szCs w:val="21"/>
          <w:highlight w:val="none"/>
          <w:u w:val="none"/>
          <w:lang w:eastAsia="zh-CN"/>
        </w:rPr>
        <w:t>；</w:t>
      </w:r>
    </w:p>
    <w:p w14:paraId="6FC63D12">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u w:val="none"/>
          <w:lang w:eastAsia="zh-CN"/>
        </w:rPr>
        <w:t>。</w:t>
      </w:r>
    </w:p>
    <w:p w14:paraId="0A21D812">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376" w:name="_Toc7948"/>
      <w:bookmarkStart w:id="377" w:name="_Toc407135219"/>
      <w:bookmarkStart w:id="378" w:name="_Toc351203637"/>
      <w:bookmarkStart w:id="379" w:name="_Toc1603077308"/>
      <w:bookmarkStart w:id="380" w:name="_Toc78449805"/>
      <w:bookmarkStart w:id="381" w:name="_Toc373478364"/>
      <w:bookmarkStart w:id="382" w:name="_Toc373227717"/>
      <w:bookmarkStart w:id="383" w:name="_Toc389065283"/>
      <w:r>
        <w:rPr>
          <w:rFonts w:ascii="Arial" w:hAnsi="Arial" w:eastAsia="黑体" w:cs="Times New Roman"/>
          <w:b/>
          <w:bCs/>
          <w:color w:val="auto"/>
          <w:sz w:val="21"/>
          <w:szCs w:val="21"/>
          <w:highlight w:val="none"/>
          <w:lang w:val="zh-CN" w:eastAsia="zh-CN" w:bidi="ar-SA"/>
        </w:rPr>
        <w:t>5</w:t>
      </w:r>
      <w:bookmarkEnd w:id="375"/>
      <w:bookmarkStart w:id="384" w:name="_Toc296503163"/>
      <w:bookmarkStart w:id="385" w:name="_Toc297120463"/>
      <w:bookmarkStart w:id="386" w:name="_Toc296347162"/>
      <w:bookmarkStart w:id="387" w:name="_Toc296891203"/>
      <w:bookmarkStart w:id="388" w:name="_Toc297048349"/>
      <w:bookmarkStart w:id="389" w:name="_Toc296346664"/>
      <w:bookmarkStart w:id="390" w:name="_Toc296890991"/>
      <w:bookmarkStart w:id="391" w:name="_Toc292559872"/>
      <w:bookmarkStart w:id="392" w:name="_Toc296944502"/>
      <w:bookmarkStart w:id="393" w:name="_Toc292559367"/>
      <w:r>
        <w:rPr>
          <w:rFonts w:ascii="Arial" w:hAnsi="Arial" w:eastAsia="黑体" w:cs="Times New Roman"/>
          <w:b/>
          <w:bCs/>
          <w:color w:val="auto"/>
          <w:sz w:val="21"/>
          <w:szCs w:val="21"/>
          <w:highlight w:val="none"/>
          <w:lang w:val="zh-CN" w:eastAsia="zh-CN" w:bidi="ar-SA"/>
        </w:rPr>
        <w:t xml:space="preserve">. </w:t>
      </w:r>
      <w:r>
        <w:rPr>
          <w:rFonts w:hint="eastAsia" w:ascii="Arial" w:hAnsi="宋体" w:eastAsia="黑体" w:cs="黑体"/>
          <w:b/>
          <w:bCs/>
          <w:color w:val="auto"/>
          <w:sz w:val="21"/>
          <w:szCs w:val="21"/>
          <w:highlight w:val="none"/>
          <w:lang w:val="zh-CN" w:eastAsia="zh-CN" w:bidi="ar-SA"/>
        </w:rPr>
        <w:t>工程质量</w:t>
      </w:r>
      <w:bookmarkEnd w:id="376"/>
      <w:bookmarkEnd w:id="377"/>
      <w:bookmarkEnd w:id="378"/>
      <w:bookmarkEnd w:id="379"/>
      <w:bookmarkEnd w:id="380"/>
      <w:bookmarkEnd w:id="381"/>
      <w:bookmarkEnd w:id="382"/>
      <w:bookmarkEnd w:id="383"/>
    </w:p>
    <w:p w14:paraId="7246ECF9">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394" w:name="_Toc30160"/>
      <w:bookmarkStart w:id="395" w:name="_Toc78449806"/>
      <w:bookmarkStart w:id="396" w:name="_Toc373227718"/>
      <w:bookmarkStart w:id="397" w:name="_Toc407135220"/>
      <w:bookmarkStart w:id="398" w:name="_Toc373478365"/>
      <w:bookmarkStart w:id="399" w:name="_Toc14510"/>
      <w:bookmarkStart w:id="400" w:name="_Toc1835421345"/>
      <w:bookmarkStart w:id="401" w:name="_Toc389065284"/>
      <w:r>
        <w:rPr>
          <w:rFonts w:ascii="Times New Roman" w:hAnsi="Times New Roman" w:eastAsia="黑体" w:cs="Times New Roman"/>
          <w:b/>
          <w:bCs/>
          <w:color w:val="auto"/>
          <w:sz w:val="21"/>
          <w:szCs w:val="21"/>
          <w:highlight w:val="none"/>
          <w:lang w:val="zh-CN" w:eastAsia="zh-CN" w:bidi="ar-SA"/>
        </w:rPr>
        <w:t xml:space="preserve">5.1 </w:t>
      </w:r>
      <w:r>
        <w:rPr>
          <w:rFonts w:hint="eastAsia" w:ascii="Times New Roman" w:hAnsi="宋体" w:eastAsia="黑体" w:cs="黑体"/>
          <w:b/>
          <w:bCs/>
          <w:color w:val="auto"/>
          <w:sz w:val="21"/>
          <w:szCs w:val="21"/>
          <w:highlight w:val="none"/>
          <w:lang w:val="zh-CN" w:eastAsia="zh-CN" w:bidi="ar-SA"/>
        </w:rPr>
        <w:t>质量要求</w:t>
      </w:r>
      <w:bookmarkEnd w:id="394"/>
      <w:bookmarkEnd w:id="395"/>
      <w:bookmarkEnd w:id="396"/>
      <w:bookmarkEnd w:id="397"/>
      <w:bookmarkEnd w:id="398"/>
      <w:bookmarkEnd w:id="399"/>
      <w:bookmarkEnd w:id="400"/>
      <w:bookmarkEnd w:id="401"/>
    </w:p>
    <w:p w14:paraId="5D3161A6">
      <w:pPr>
        <w:spacing w:line="360" w:lineRule="auto"/>
        <w:ind w:firstLine="420"/>
        <w:jc w:val="left"/>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5</w:t>
      </w:r>
      <w:bookmarkStart w:id="402" w:name="_Toc300934949"/>
      <w:bookmarkStart w:id="403" w:name="_Toc297123496"/>
      <w:bookmarkStart w:id="404" w:name="_Toc304295527"/>
      <w:bookmarkStart w:id="405" w:name="_Toc297216155"/>
      <w:bookmarkStart w:id="406" w:name="_Toc312677997"/>
      <w:bookmarkStart w:id="407" w:name="_Toc303539106"/>
      <w:bookmarkStart w:id="408" w:name="_Toc318581164"/>
      <w:r>
        <w:rPr>
          <w:rFonts w:ascii="Times New Roman" w:hAnsi="Times New Roman" w:eastAsia="宋体" w:cs="Times New Roman"/>
          <w:color w:val="auto"/>
          <w:sz w:val="21"/>
          <w:szCs w:val="21"/>
          <w:highlight w:val="none"/>
        </w:rPr>
        <w:t xml:space="preserve">.1.1 </w:t>
      </w:r>
      <w:r>
        <w:rPr>
          <w:rFonts w:hint="eastAsia" w:ascii="Times New Roman" w:hAnsi="宋体" w:eastAsia="宋体" w:cs="宋体"/>
          <w:color w:val="auto"/>
          <w:sz w:val="21"/>
          <w:szCs w:val="21"/>
          <w:highlight w:val="none"/>
        </w:rPr>
        <w:t>特殊质量标准和要求：</w:t>
      </w:r>
      <w:r>
        <w:rPr>
          <w:rFonts w:hint="eastAsia" w:ascii="Times New Roman" w:hAnsi="Times New Roman" w:eastAsia="宋体" w:cs="Times New Roman"/>
          <w:color w:val="auto"/>
          <w:sz w:val="21"/>
          <w:szCs w:val="21"/>
          <w:highlight w:val="none"/>
          <w:u w:val="single"/>
        </w:rPr>
        <w:t>满足现行国家验收规范及消防验收规范，达到合格标准。严格执行广西壮族自治区住房和城乡建设厅《关于严格实行房屋建筑和市政基础设施工程质量终身责任承诺、永久性质量责任标牌、终身责任信息档案等制度的通知》（桂建管〔2014〕96号）要求，落实建设工程质量终身责任</w:t>
      </w:r>
      <w:r>
        <w:rPr>
          <w:rFonts w:hint="eastAsia" w:ascii="Times New Roman" w:hAnsi="宋体" w:eastAsia="宋体" w:cs="宋体"/>
          <w:color w:val="auto"/>
          <w:sz w:val="21"/>
          <w:szCs w:val="21"/>
          <w:highlight w:val="none"/>
        </w:rPr>
        <w:t>。</w:t>
      </w:r>
    </w:p>
    <w:p w14:paraId="14571DE2">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关于工程奖项的约定：</w:t>
      </w:r>
      <w:r>
        <w:rPr>
          <w:rFonts w:ascii="Times New Roman" w:hAnsi="Times New Roman" w:eastAsia="宋体" w:cs="Times New Roman"/>
          <w:color w:val="auto"/>
          <w:sz w:val="21"/>
          <w:szCs w:val="21"/>
          <w:highlight w:val="none"/>
        </w:rPr>
        <w:t xml:space="preserve"> </w:t>
      </w:r>
      <w:r>
        <w:rPr>
          <w:rFonts w:hint="eastAsia" w:ascii="Times New Roman" w:hAnsi="Times New Roman" w:eastAsia="宋体" w:cs="Times New Roman"/>
          <w:color w:val="auto"/>
          <w:sz w:val="21"/>
          <w:szCs w:val="21"/>
          <w:highlight w:val="none"/>
        </w:rPr>
        <w:t>如果</w:t>
      </w:r>
      <w:r>
        <w:rPr>
          <w:rFonts w:ascii="Times New Roman" w:hAnsi="Times New Roman" w:eastAsia="宋体" w:cs="Times New Roman"/>
          <w:color w:val="auto"/>
          <w:sz w:val="21"/>
          <w:szCs w:val="21"/>
          <w:highlight w:val="none"/>
        </w:rPr>
        <w:t>工程获得</w:t>
      </w:r>
      <w:r>
        <w:rPr>
          <w:rFonts w:hint="eastAsia" w:ascii="Times New Roman" w:hAnsi="Times New Roman" w:eastAsia="宋体" w:cs="Times New Roman"/>
          <w:color w:val="auto"/>
          <w:sz w:val="21"/>
          <w:szCs w:val="21"/>
          <w:highlight w:val="none"/>
          <w:u w:val="single"/>
        </w:rPr>
        <w:t>无（奖项名称）</w:t>
      </w:r>
      <w:r>
        <w:rPr>
          <w:rFonts w:hint="eastAsia"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eastAsia="zh-CN"/>
        </w:rPr>
        <w:t>结算时按工程量清单</w:t>
      </w:r>
      <w:r>
        <w:rPr>
          <w:rFonts w:hint="eastAsia" w:ascii="Times New Roman" w:hAnsi="宋体" w:eastAsia="宋体" w:cs="宋体"/>
          <w:color w:val="auto"/>
          <w:sz w:val="21"/>
          <w:szCs w:val="21"/>
          <w:highlight w:val="none"/>
          <w:lang w:eastAsia="zh-CN"/>
        </w:rPr>
        <w:t>暂列金额表中的优良工程增加费计取</w:t>
      </w:r>
      <w:r>
        <w:rPr>
          <w:rFonts w:hint="eastAsia" w:ascii="Times New Roman" w:hAnsi="宋体" w:eastAsia="宋体" w:cs="宋体"/>
          <w:color w:val="auto"/>
          <w:sz w:val="21"/>
          <w:szCs w:val="21"/>
          <w:highlight w:val="none"/>
        </w:rPr>
        <w:t>。</w:t>
      </w:r>
    </w:p>
    <w:p w14:paraId="3C818AFD">
      <w:pPr>
        <w:keepNext/>
        <w:keepLines/>
        <w:widowControl w:val="0"/>
        <w:spacing w:line="360" w:lineRule="auto"/>
        <w:jc w:val="both"/>
        <w:outlineLvl w:val="2"/>
        <w:rPr>
          <w:rFonts w:hint="eastAsia" w:ascii="Times New Roman" w:hAnsi="宋体" w:eastAsia="黑体" w:cs="黑体"/>
          <w:b/>
          <w:bCs/>
          <w:color w:val="auto"/>
          <w:sz w:val="21"/>
          <w:szCs w:val="21"/>
          <w:highlight w:val="none"/>
          <w:lang w:val="zh-CN" w:eastAsia="zh-CN" w:bidi="ar-SA"/>
        </w:rPr>
      </w:pPr>
      <w:r>
        <w:rPr>
          <w:rFonts w:hint="eastAsia" w:ascii="Times New Roman" w:hAnsi="宋体" w:eastAsia="黑体" w:cs="黑体"/>
          <w:b/>
          <w:bCs/>
          <w:color w:val="auto"/>
          <w:sz w:val="21"/>
          <w:szCs w:val="21"/>
          <w:highlight w:val="none"/>
          <w:lang w:val="zh-CN" w:eastAsia="zh-CN" w:bidi="ar-SA"/>
        </w:rPr>
        <w:t>5.3 隐蔽工程检查</w:t>
      </w:r>
    </w:p>
    <w:p w14:paraId="62A6896B">
      <w:pPr>
        <w:spacing w:line="360" w:lineRule="auto"/>
        <w:ind w:firstLine="420"/>
        <w:jc w:val="left"/>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5.3.2</w:t>
      </w:r>
      <w:r>
        <w:rPr>
          <w:rFonts w:hint="eastAsia" w:ascii="Times New Roman" w:hAnsi="宋体" w:eastAsia="宋体" w:cs="宋体"/>
          <w:color w:val="auto"/>
          <w:sz w:val="21"/>
          <w:szCs w:val="21"/>
          <w:highlight w:val="none"/>
        </w:rPr>
        <w:t>承包人提前通知监理人隐蔽工程检查的期限的约定：工程隐蔽或中间验收前</w:t>
      </w:r>
      <w:r>
        <w:rPr>
          <w:rFonts w:ascii="Times New Roman" w:hAnsi="Times New Roman" w:eastAsia="宋体" w:cs="Times New Roman"/>
          <w:color w:val="auto"/>
          <w:sz w:val="21"/>
          <w:szCs w:val="21"/>
          <w:highlight w:val="none"/>
        </w:rPr>
        <w:t>12</w:t>
      </w:r>
      <w:r>
        <w:rPr>
          <w:rFonts w:hint="eastAsia" w:ascii="Times New Roman" w:hAnsi="宋体" w:eastAsia="宋体" w:cs="宋体"/>
          <w:color w:val="auto"/>
          <w:sz w:val="21"/>
          <w:szCs w:val="21"/>
          <w:highlight w:val="none"/>
        </w:rPr>
        <w:t>小时以书面形式通知发包人和监理工程师验收的内容、时间、地点，承包人准备验收记录单（最好是印制的表格）由双方签证。验收合格，承包人可进行隐蔽和继续施工；验收不合格，双方</w:t>
      </w:r>
      <w:r>
        <w:rPr>
          <w:rFonts w:hint="eastAsia" w:ascii="Times New Roman" w:hAnsi="宋体" w:eastAsia="宋体" w:cs="宋体"/>
          <w:color w:val="auto"/>
          <w:sz w:val="21"/>
          <w:szCs w:val="21"/>
          <w:highlight w:val="none"/>
          <w:lang w:eastAsia="zh-CN"/>
        </w:rPr>
        <w:t>商定</w:t>
      </w:r>
      <w:r>
        <w:rPr>
          <w:rFonts w:hint="eastAsia" w:ascii="Times New Roman" w:hAnsi="宋体" w:eastAsia="宋体" w:cs="宋体"/>
          <w:color w:val="auto"/>
          <w:sz w:val="21"/>
          <w:szCs w:val="21"/>
          <w:highlight w:val="none"/>
        </w:rPr>
        <w:t>时限内修改后按上述</w:t>
      </w:r>
      <w:r>
        <w:rPr>
          <w:rFonts w:hint="eastAsia" w:ascii="Times New Roman" w:hAnsi="宋体" w:eastAsia="宋体" w:cs="宋体"/>
          <w:color w:val="auto"/>
          <w:sz w:val="21"/>
          <w:szCs w:val="21"/>
          <w:highlight w:val="none"/>
          <w:lang w:eastAsia="zh-CN"/>
        </w:rPr>
        <w:t>顺序</w:t>
      </w:r>
      <w:r>
        <w:rPr>
          <w:rFonts w:hint="eastAsia" w:ascii="Times New Roman" w:hAnsi="宋体" w:eastAsia="宋体" w:cs="宋体"/>
          <w:color w:val="auto"/>
          <w:sz w:val="21"/>
          <w:szCs w:val="21"/>
          <w:highlight w:val="none"/>
        </w:rPr>
        <w:t>重新验收。</w:t>
      </w:r>
    </w:p>
    <w:p w14:paraId="4F110655">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监理人不能按时进行检查时，应提前</w:t>
      </w:r>
      <w:r>
        <w:rPr>
          <w:rFonts w:hint="eastAsia" w:ascii="Times New Roman" w:hAnsi="Times New Roman" w:eastAsia="宋体" w:cs="Times New Roman"/>
          <w:color w:val="auto"/>
          <w:sz w:val="21"/>
          <w:szCs w:val="21"/>
          <w:highlight w:val="none"/>
          <w:u w:val="single"/>
          <w:lang w:val="en-US" w:eastAsia="zh-CN"/>
        </w:rPr>
        <w:t>24</w:t>
      </w:r>
      <w:r>
        <w:rPr>
          <w:rFonts w:hint="eastAsia" w:ascii="Times New Roman" w:hAnsi="宋体" w:eastAsia="宋体" w:cs="宋体"/>
          <w:color w:val="auto"/>
          <w:sz w:val="21"/>
          <w:szCs w:val="21"/>
          <w:highlight w:val="none"/>
        </w:rPr>
        <w:t>小时提交书面延期要求。</w:t>
      </w:r>
    </w:p>
    <w:p w14:paraId="06450A80">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关于延期最长不得超过：</w:t>
      </w:r>
      <w:r>
        <w:rPr>
          <w:rFonts w:hint="eastAsia" w:ascii="Times New Roman" w:hAnsi="Times New Roman" w:eastAsia="宋体" w:cs="Times New Roman"/>
          <w:color w:val="auto"/>
          <w:sz w:val="21"/>
          <w:szCs w:val="21"/>
          <w:highlight w:val="none"/>
          <w:u w:val="single"/>
          <w:lang w:val="en-US" w:eastAsia="zh-CN"/>
        </w:rPr>
        <w:t>48</w:t>
      </w:r>
      <w:r>
        <w:rPr>
          <w:rFonts w:hint="eastAsia" w:ascii="Times New Roman" w:hAnsi="宋体" w:eastAsia="宋体" w:cs="宋体"/>
          <w:color w:val="auto"/>
          <w:sz w:val="21"/>
          <w:szCs w:val="21"/>
          <w:highlight w:val="none"/>
        </w:rPr>
        <w:t>小时。</w:t>
      </w:r>
    </w:p>
    <w:p w14:paraId="28C0F925">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409" w:name="_Toc389065285"/>
      <w:bookmarkStart w:id="410" w:name="_Toc373478366"/>
      <w:bookmarkStart w:id="411" w:name="_Toc78449807"/>
      <w:bookmarkStart w:id="412" w:name="_Toc373227719"/>
      <w:bookmarkStart w:id="413" w:name="_Toc407135221"/>
      <w:bookmarkStart w:id="414" w:name="_Toc351203638"/>
      <w:bookmarkStart w:id="415" w:name="_Toc12794"/>
      <w:bookmarkStart w:id="416" w:name="_Toc703841976"/>
      <w:r>
        <w:rPr>
          <w:rFonts w:ascii="Arial" w:hAnsi="Arial" w:eastAsia="黑体" w:cs="Times New Roman"/>
          <w:b/>
          <w:bCs/>
          <w:color w:val="auto"/>
          <w:sz w:val="21"/>
          <w:szCs w:val="21"/>
          <w:highlight w:val="none"/>
          <w:lang w:val="zh-CN" w:eastAsia="zh-CN" w:bidi="ar-SA"/>
        </w:rPr>
        <w:t xml:space="preserve">6. </w:t>
      </w:r>
      <w:r>
        <w:rPr>
          <w:rFonts w:hint="eastAsia" w:ascii="Arial" w:hAnsi="Arial" w:eastAsia="黑体" w:cs="黑体"/>
          <w:b/>
          <w:bCs/>
          <w:color w:val="auto"/>
          <w:sz w:val="21"/>
          <w:szCs w:val="21"/>
          <w:highlight w:val="none"/>
          <w:lang w:val="zh-CN" w:eastAsia="zh-CN" w:bidi="ar-SA"/>
        </w:rPr>
        <w:t>安全文明施工与环境保护</w:t>
      </w:r>
      <w:bookmarkEnd w:id="409"/>
      <w:bookmarkEnd w:id="410"/>
      <w:bookmarkEnd w:id="411"/>
      <w:bookmarkEnd w:id="412"/>
      <w:bookmarkEnd w:id="413"/>
      <w:bookmarkEnd w:id="414"/>
      <w:bookmarkEnd w:id="415"/>
      <w:bookmarkEnd w:id="416"/>
    </w:p>
    <w:p w14:paraId="4F0670ED">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417" w:name="_Toc29946"/>
      <w:bookmarkStart w:id="418" w:name="_Toc373227720"/>
      <w:bookmarkStart w:id="419" w:name="_Toc78449808"/>
      <w:bookmarkStart w:id="420" w:name="_Toc373478367"/>
      <w:bookmarkStart w:id="421" w:name="_Toc180514231"/>
      <w:bookmarkStart w:id="422" w:name="_Toc389065286"/>
      <w:bookmarkStart w:id="423" w:name="_Toc9202"/>
      <w:bookmarkStart w:id="424" w:name="_Toc407135222"/>
      <w:r>
        <w:rPr>
          <w:rFonts w:ascii="Times New Roman" w:hAnsi="Times New Roman" w:eastAsia="黑体" w:cs="Times New Roman"/>
          <w:b/>
          <w:bCs/>
          <w:color w:val="auto"/>
          <w:sz w:val="21"/>
          <w:szCs w:val="21"/>
          <w:highlight w:val="none"/>
          <w:lang w:val="zh-CN" w:eastAsia="zh-CN" w:bidi="ar-SA"/>
        </w:rPr>
        <w:t xml:space="preserve">6.1 </w:t>
      </w:r>
      <w:r>
        <w:rPr>
          <w:rFonts w:hint="eastAsia" w:ascii="Times New Roman" w:hAnsi="Times New Roman" w:eastAsia="黑体" w:cs="黑体"/>
          <w:b/>
          <w:bCs/>
          <w:color w:val="auto"/>
          <w:sz w:val="21"/>
          <w:szCs w:val="21"/>
          <w:highlight w:val="none"/>
          <w:lang w:val="zh-CN" w:eastAsia="zh-CN" w:bidi="ar-SA"/>
        </w:rPr>
        <w:t>安全文明施工</w:t>
      </w:r>
      <w:bookmarkEnd w:id="417"/>
      <w:bookmarkEnd w:id="418"/>
      <w:bookmarkEnd w:id="419"/>
      <w:bookmarkEnd w:id="420"/>
      <w:bookmarkEnd w:id="421"/>
      <w:bookmarkEnd w:id="422"/>
      <w:bookmarkEnd w:id="423"/>
      <w:bookmarkEnd w:id="424"/>
    </w:p>
    <w:p w14:paraId="12E00D51">
      <w:pPr>
        <w:spacing w:line="360" w:lineRule="auto"/>
        <w:ind w:firstLine="420"/>
        <w:jc w:val="left"/>
        <w:rPr>
          <w:rFonts w:ascii="Times New Roman" w:hAnsi="宋体"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6.1.1 </w:t>
      </w:r>
      <w:r>
        <w:rPr>
          <w:rFonts w:hint="eastAsia" w:ascii="Times New Roman" w:hAnsi="宋体" w:eastAsia="宋体" w:cs="宋体"/>
          <w:color w:val="auto"/>
          <w:sz w:val="21"/>
          <w:szCs w:val="21"/>
          <w:highlight w:val="none"/>
        </w:rPr>
        <w:t>项目安全生产的达标目标及相应事项的约定：</w:t>
      </w:r>
      <w:r>
        <w:rPr>
          <w:rFonts w:hint="eastAsia" w:ascii="Times New Roman" w:hAnsi="Times New Roman" w:eastAsia="宋体" w:cs="Times New Roman"/>
          <w:color w:val="auto"/>
          <w:sz w:val="21"/>
          <w:szCs w:val="21"/>
          <w:highlight w:val="none"/>
          <w:u w:val="single"/>
        </w:rPr>
        <w:t>承包人应遵守工程建设安全生产有关管理规定、规范，严格按《建筑施工安全检查标准》（JGJ59-2011）安全标准组织施工，符合《广西壮族自治区建设工程安全文明施工费使用管理细则》（桂建质〔2015〕16号文）的要求，并随时接受发包人或行业安全检查人员依法实施的监督检查，采取可靠的安全防护措施，杜绝重大伤亡事故，重伤事故；达到安全文明工地合格要求</w:t>
      </w:r>
      <w:r>
        <w:rPr>
          <w:rFonts w:hint="eastAsia" w:ascii="Times New Roman" w:hAnsi="宋体" w:eastAsia="宋体" w:cs="宋体"/>
          <w:color w:val="auto"/>
          <w:sz w:val="21"/>
          <w:szCs w:val="21"/>
          <w:highlight w:val="none"/>
        </w:rPr>
        <w:t>。</w:t>
      </w:r>
    </w:p>
    <w:p w14:paraId="49537476">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关于安全文明施工奖项的约定：</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0FB4C255">
      <w:pPr>
        <w:spacing w:line="360" w:lineRule="auto"/>
        <w:ind w:firstLine="420"/>
        <w:jc w:val="left"/>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 xml:space="preserve">6.1.4 </w:t>
      </w:r>
      <w:r>
        <w:rPr>
          <w:rFonts w:hint="eastAsia" w:ascii="Times New Roman" w:hAnsi="宋体" w:eastAsia="宋体" w:cs="宋体"/>
          <w:color w:val="auto"/>
          <w:sz w:val="21"/>
          <w:szCs w:val="21"/>
          <w:highlight w:val="none"/>
        </w:rPr>
        <w:t>关于治安保卫的特别约定：</w:t>
      </w:r>
      <w:r>
        <w:rPr>
          <w:rFonts w:hint="eastAsia" w:ascii="Times New Roman" w:hAnsi="宋体" w:eastAsia="宋体" w:cs="宋体"/>
          <w:color w:val="auto"/>
          <w:sz w:val="21"/>
          <w:szCs w:val="21"/>
          <w:highlight w:val="none"/>
          <w:u w:val="single"/>
        </w:rPr>
        <w:t>承包人应承担施工安全保卫工作及非夜间施工照明的责任，承包人应采取一切合理的预防措施，防止人员伤亡、财产损失事故，费用由承包人承担。承包人生活设施及施</w:t>
      </w:r>
      <w:r>
        <w:rPr>
          <w:rFonts w:hint="eastAsia" w:ascii="Times New Roman" w:hAnsi="宋体" w:eastAsia="宋体" w:cs="宋体"/>
          <w:color w:val="auto"/>
          <w:sz w:val="21"/>
          <w:szCs w:val="21"/>
          <w:highlight w:val="none"/>
          <w:u w:val="single"/>
          <w:lang w:eastAsia="zh-CN"/>
        </w:rPr>
        <w:t>工现</w:t>
      </w:r>
      <w:r>
        <w:rPr>
          <w:rFonts w:hint="eastAsia" w:ascii="Times New Roman" w:hAnsi="宋体" w:eastAsia="宋体" w:cs="宋体"/>
          <w:color w:val="auto"/>
          <w:sz w:val="21"/>
          <w:szCs w:val="21"/>
          <w:highlight w:val="none"/>
          <w:u w:val="single"/>
        </w:rPr>
        <w:t>场应自费配备消防设备，防止火灾发生。</w:t>
      </w:r>
    </w:p>
    <w:p w14:paraId="21AA34B2">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关于编制施工场地治安管理计划的约定：</w:t>
      </w:r>
      <w:r>
        <w:rPr>
          <w:rFonts w:hint="eastAsia" w:ascii="Times New Roman" w:hAnsi="Times New Roman" w:eastAsia="宋体" w:cs="Times New Roman"/>
          <w:color w:val="auto"/>
          <w:sz w:val="21"/>
          <w:szCs w:val="21"/>
          <w:highlight w:val="none"/>
          <w:u w:val="single"/>
        </w:rPr>
        <w:t>由承包人编制</w:t>
      </w:r>
      <w:r>
        <w:rPr>
          <w:rFonts w:hint="eastAsia" w:ascii="Times New Roman" w:hAnsi="宋体" w:eastAsia="宋体" w:cs="宋体"/>
          <w:color w:val="auto"/>
          <w:sz w:val="21"/>
          <w:szCs w:val="21"/>
          <w:highlight w:val="none"/>
        </w:rPr>
        <w:t>。</w:t>
      </w:r>
    </w:p>
    <w:p w14:paraId="328B5025">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6.1.5 </w:t>
      </w:r>
      <w:r>
        <w:rPr>
          <w:rFonts w:hint="eastAsia" w:ascii="Times New Roman" w:hAnsi="宋体" w:eastAsia="宋体" w:cs="宋体"/>
          <w:color w:val="auto"/>
          <w:sz w:val="21"/>
          <w:szCs w:val="21"/>
          <w:highlight w:val="none"/>
        </w:rPr>
        <w:t>文明施工</w:t>
      </w:r>
    </w:p>
    <w:p w14:paraId="33CFF964">
      <w:pPr>
        <w:spacing w:line="360" w:lineRule="auto"/>
        <w:ind w:firstLine="420"/>
        <w:jc w:val="left"/>
        <w:rPr>
          <w:rFonts w:hint="eastAsia" w:ascii="Times New Roman" w:hAnsi="Times New Roman" w:eastAsia="宋体" w:cs="Times New Roman"/>
          <w:color w:val="auto"/>
          <w:sz w:val="21"/>
          <w:szCs w:val="21"/>
          <w:highlight w:val="none"/>
          <w:u w:val="single"/>
          <w:lang w:eastAsia="zh-CN"/>
        </w:rPr>
      </w:pPr>
      <w:r>
        <w:rPr>
          <w:rFonts w:hint="eastAsia" w:ascii="Times New Roman" w:hAnsi="宋体" w:eastAsia="宋体" w:cs="宋体"/>
          <w:color w:val="auto"/>
          <w:sz w:val="21"/>
          <w:szCs w:val="21"/>
          <w:highlight w:val="none"/>
        </w:rPr>
        <w:t>合同当事人对文明施工的要求：</w:t>
      </w:r>
      <w:r>
        <w:rPr>
          <w:rFonts w:ascii="Times New Roman" w:hAnsi="Times New Roman" w:eastAsia="宋体" w:cs="Times New Roman"/>
          <w:color w:val="auto"/>
          <w:sz w:val="21"/>
          <w:szCs w:val="21"/>
          <w:highlight w:val="none"/>
          <w:u w:val="single"/>
        </w:rPr>
        <w:t xml:space="preserve"> </w:t>
      </w:r>
      <w:r>
        <w:rPr>
          <w:rFonts w:hint="eastAsia" w:ascii="Times New Roman" w:hAnsi="Times New Roman" w:eastAsia="宋体" w:cs="Times New Roman"/>
          <w:color w:val="auto"/>
          <w:sz w:val="21"/>
          <w:szCs w:val="21"/>
          <w:highlight w:val="none"/>
          <w:u w:val="single"/>
        </w:rPr>
        <w:t>建筑垃圾排放量达到行政区域内要求</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严格执行《中华人民共和国大气污染防治法》（主席令第三十一号）、《南宁市建设工程质量和安全生产管理办法》（南宁市政府令第46号）、《关于推进建筑业改革发展提升工程治理水平的若干意见》（南府规〔2016〕24号）、《南宁市土方作业文明施工工作导则》《南宁市建设工程质量安全标准化图集》《广西壮族自治区建设工程安全文明施工费使用管理细则》（桂建质〔2015〕16号）、《南宁市建设工程安全防护、文明施工措施费用管理规定》的有关规定，必须与合法运输企业签订运输合同使用符合密闭规定的合法车辆进行散体物料（建筑渣土、垃圾、砂石等）的运输，同时与辖区卫生防疫、环卫管理部门或有合法资质资格的企业签订病媒生物消杀协议、生活垃圾清运协议、在线远程监控扬尘监测协议，采取道路硬化、裸土覆盖、洗车出门、保洁路口、在线监测、抑尘喷淋等有效措施，确保建设工程各项安全防护、文明施工措施及其费用在工地一线按标准落实到位</w:t>
      </w:r>
      <w:r>
        <w:rPr>
          <w:rFonts w:hint="eastAsia" w:ascii="Times New Roman" w:hAnsi="Times New Roman" w:eastAsia="宋体" w:cs="Times New Roman"/>
          <w:color w:val="auto"/>
          <w:sz w:val="21"/>
          <w:szCs w:val="21"/>
          <w:highlight w:val="none"/>
          <w:u w:val="single"/>
          <w:lang w:eastAsia="zh-CN"/>
        </w:rPr>
        <w:t>。</w:t>
      </w:r>
    </w:p>
    <w:p w14:paraId="322C7696">
      <w:pPr>
        <w:spacing w:line="360" w:lineRule="auto"/>
        <w:ind w:firstLine="42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1）施工现场须符合有关文明卫生要求；承包人须在施工过程中严格按施工方案和有关规定做好安全文明工作，如本工程承包人因工程质量、安全文明等问题受到发包人、军队质监机构通报或简报批评，发包人将视情节严重程度对承包人每次处以罚金2000元（在工程款中扣除）；情节严重的，将追究刑事责任 。</w:t>
      </w:r>
    </w:p>
    <w:p w14:paraId="23D00E67">
      <w:pPr>
        <w:spacing w:line="360" w:lineRule="auto"/>
        <w:ind w:firstLine="42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2）凡进入施工工地现场均须戴安全帽，高空作业必须佩戴安全带，不戴安全帽、带，每发现一人次向承包人罚款人民币500元；屡教不改将其个人清理出场，主管人员处500元罚款；</w:t>
      </w:r>
    </w:p>
    <w:p w14:paraId="091B9810">
      <w:pPr>
        <w:spacing w:line="360" w:lineRule="auto"/>
        <w:ind w:firstLine="42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3）凡进入施工工地现场均不得喝酒，每发现一人次向承包人罚款人民币500元；</w:t>
      </w:r>
    </w:p>
    <w:p w14:paraId="018773FD">
      <w:pPr>
        <w:spacing w:line="360" w:lineRule="auto"/>
        <w:ind w:firstLine="42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4）承包人应加强对劳务人员安全文明卫生教育和管理，工地现场不得随地乱倒脏物、脏水和大小便，每发现一人次向承包人罚款人民币500元；</w:t>
      </w:r>
    </w:p>
    <w:p w14:paraId="3DB2B536">
      <w:pPr>
        <w:spacing w:line="360" w:lineRule="auto"/>
        <w:ind w:firstLine="42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5）工地现场材料、设备堆放应根据现场布局要求，整洁、整齐、规范堆放和保存；工地现场不得乱堆乱放，每发现一次向承包人罚款人民币500元；</w:t>
      </w:r>
    </w:p>
    <w:p w14:paraId="39680CE2">
      <w:pPr>
        <w:spacing w:line="360" w:lineRule="auto"/>
        <w:ind w:firstLine="42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6）承包人须加强对劳务人员经常性法律法规教育和正常化正规化管理，防止劳务人员之间纠纷、矛盾、打架斗殴等现象发生，每发现一次向承包人罚款人民币1000元；</w:t>
      </w:r>
    </w:p>
    <w:p w14:paraId="496C63D4">
      <w:pPr>
        <w:spacing w:line="360" w:lineRule="auto"/>
        <w:ind w:firstLine="42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7）建筑垃圾应在指定区域集中堆放并及时清理外运，不得乱堆乱放或久不清理，每发现一次向承包人罚款人民币500元；</w:t>
      </w:r>
    </w:p>
    <w:p w14:paraId="05B8F285">
      <w:pPr>
        <w:spacing w:line="360" w:lineRule="auto"/>
        <w:ind w:firstLine="42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8）安全员、电工、机械等技术组人员须持证上岗，且先报监理及发包人审核，通过后方可进场施工，如发现有违规人员进行施工，处以1000元/人每次罚款。</w:t>
      </w:r>
    </w:p>
    <w:p w14:paraId="7EC17F55">
      <w:pPr>
        <w:spacing w:line="360" w:lineRule="auto"/>
        <w:ind w:firstLine="420"/>
        <w:jc w:val="left"/>
        <w:rPr>
          <w:rFonts w:hint="eastAsia" w:ascii="Times New Roman" w:hAnsi="宋体" w:eastAsia="宋体" w:cs="宋体"/>
          <w:color w:val="auto"/>
          <w:sz w:val="21"/>
          <w:szCs w:val="21"/>
          <w:highlight w:val="none"/>
          <w:u w:val="none"/>
          <w:lang w:eastAsia="zh-CN"/>
        </w:rPr>
      </w:pPr>
      <w:r>
        <w:rPr>
          <w:rFonts w:hint="eastAsia" w:ascii="Times New Roman" w:hAnsi="宋体" w:eastAsia="宋体" w:cs="宋体"/>
          <w:color w:val="auto"/>
          <w:sz w:val="21"/>
          <w:szCs w:val="21"/>
          <w:highlight w:val="none"/>
          <w:u w:val="single"/>
          <w:lang w:eastAsia="zh-CN"/>
        </w:rPr>
        <w:t>9）承包人并教育劳务人员应服从和配合监理人员和发包人现场管理等人员的管理，不得顶撞、辱骂、抵制监理人员和发包人现场管理等人员的管理，不得与监理人员和发包人现场管理等人员发生矛盾、纠纷或更恶劣的行为，每发现一次向承包人罚款人民币1000元</w:t>
      </w:r>
      <w:r>
        <w:rPr>
          <w:rFonts w:hint="eastAsia" w:ascii="Times New Roman" w:hAnsi="宋体" w:eastAsia="宋体" w:cs="宋体"/>
          <w:color w:val="auto"/>
          <w:sz w:val="21"/>
          <w:szCs w:val="21"/>
          <w:highlight w:val="none"/>
          <w:u w:val="none"/>
          <w:lang w:eastAsia="zh-CN"/>
        </w:rPr>
        <w:t>。</w:t>
      </w:r>
    </w:p>
    <w:p w14:paraId="71A63261">
      <w:pPr>
        <w:spacing w:line="360" w:lineRule="auto"/>
        <w:ind w:firstLine="420"/>
        <w:jc w:val="left"/>
        <w:rPr>
          <w:rFonts w:ascii="Times New Roman" w:hAnsi="宋体" w:eastAsia="宋体" w:cs="Times New Roman"/>
          <w:color w:val="auto"/>
          <w:sz w:val="21"/>
          <w:szCs w:val="21"/>
          <w:highlight w:val="none"/>
        </w:rPr>
      </w:pPr>
      <w:r>
        <w:rPr>
          <w:rFonts w:ascii="Times New Roman" w:hAnsi="Times New Roman" w:eastAsia="宋体" w:cs="Times New Roman"/>
          <w:color w:val="auto"/>
          <w:sz w:val="21"/>
          <w:szCs w:val="21"/>
          <w:highlight w:val="none"/>
        </w:rPr>
        <w:t>6.1.6</w:t>
      </w:r>
      <w:r>
        <w:rPr>
          <w:rFonts w:ascii="Times New Roman" w:hAnsi="宋体" w:eastAsia="宋体" w:cs="宋体"/>
          <w:color w:val="auto"/>
          <w:sz w:val="21"/>
          <w:szCs w:val="21"/>
          <w:highlight w:val="none"/>
        </w:rPr>
        <w:t>关于安全</w:t>
      </w:r>
      <w:r>
        <w:rPr>
          <w:rFonts w:hint="eastAsia" w:ascii="Times New Roman" w:hAnsi="宋体" w:eastAsia="宋体" w:cs="宋体"/>
          <w:color w:val="auto"/>
          <w:sz w:val="21"/>
          <w:szCs w:val="21"/>
          <w:highlight w:val="none"/>
        </w:rPr>
        <w:t>生产</w:t>
      </w:r>
      <w:r>
        <w:rPr>
          <w:rFonts w:ascii="Times New Roman" w:hAnsi="宋体" w:eastAsia="宋体" w:cs="宋体"/>
          <w:color w:val="auto"/>
          <w:sz w:val="21"/>
          <w:szCs w:val="21"/>
          <w:highlight w:val="none"/>
        </w:rPr>
        <w:t>费</w:t>
      </w:r>
      <w:r>
        <w:rPr>
          <w:rFonts w:hint="eastAsia" w:ascii="Times New Roman" w:hAnsi="宋体" w:eastAsia="宋体" w:cs="宋体"/>
          <w:color w:val="auto"/>
          <w:sz w:val="21"/>
          <w:szCs w:val="21"/>
          <w:highlight w:val="none"/>
        </w:rPr>
        <w:t>总额、</w:t>
      </w:r>
      <w:r>
        <w:rPr>
          <w:rFonts w:ascii="Times New Roman" w:hAnsi="宋体" w:eastAsia="宋体" w:cs="宋体"/>
          <w:color w:val="auto"/>
          <w:sz w:val="21"/>
          <w:szCs w:val="21"/>
          <w:highlight w:val="none"/>
        </w:rPr>
        <w:t>支付比例</w:t>
      </w:r>
      <w:r>
        <w:rPr>
          <w:rFonts w:hint="eastAsia" w:ascii="Times New Roman" w:hAnsi="宋体" w:eastAsia="宋体" w:cs="宋体"/>
          <w:color w:val="auto"/>
          <w:sz w:val="21"/>
          <w:szCs w:val="21"/>
          <w:highlight w:val="none"/>
        </w:rPr>
        <w:t>、</w:t>
      </w:r>
      <w:r>
        <w:rPr>
          <w:rFonts w:ascii="Times New Roman" w:hAnsi="宋体" w:eastAsia="宋体" w:cs="宋体"/>
          <w:color w:val="auto"/>
          <w:sz w:val="21"/>
          <w:szCs w:val="21"/>
          <w:highlight w:val="none"/>
        </w:rPr>
        <w:t>支付期限</w:t>
      </w:r>
      <w:r>
        <w:rPr>
          <w:rFonts w:hint="eastAsia" w:ascii="Times New Roman" w:hAnsi="宋体" w:eastAsia="宋体" w:cs="宋体"/>
          <w:color w:val="auto"/>
          <w:sz w:val="21"/>
          <w:szCs w:val="21"/>
          <w:highlight w:val="none"/>
        </w:rPr>
        <w:t>、转入和结余收回</w:t>
      </w:r>
      <w:r>
        <w:rPr>
          <w:rFonts w:ascii="Times New Roman" w:hAnsi="宋体" w:eastAsia="宋体" w:cs="宋体"/>
          <w:color w:val="auto"/>
          <w:sz w:val="21"/>
          <w:szCs w:val="21"/>
          <w:highlight w:val="none"/>
        </w:rPr>
        <w:t>的约定：</w:t>
      </w:r>
    </w:p>
    <w:p w14:paraId="700602D0">
      <w:pPr>
        <w:spacing w:line="360" w:lineRule="auto"/>
        <w:ind w:firstLine="420"/>
        <w:jc w:val="left"/>
        <w:rPr>
          <w:rFonts w:ascii="Times New Roman" w:hAnsi="宋体"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宋体" w:eastAsia="宋体" w:cs="Times New Roman"/>
          <w:color w:val="auto"/>
          <w:sz w:val="21"/>
          <w:szCs w:val="21"/>
          <w:highlight w:val="none"/>
        </w:rPr>
        <w:t>1</w:t>
      </w:r>
      <w:r>
        <w:rPr>
          <w:rFonts w:hint="eastAsia" w:ascii="Times New Roman" w:hAnsi="宋体" w:eastAsia="宋体" w:cs="宋体"/>
          <w:color w:val="auto"/>
          <w:sz w:val="21"/>
          <w:szCs w:val="21"/>
          <w:highlight w:val="none"/>
        </w:rPr>
        <w:t>）本合同价款已包含</w:t>
      </w:r>
      <w:r>
        <w:rPr>
          <w:rFonts w:hint="eastAsia" w:ascii="Times New Roman" w:hAnsi="宋体" w:eastAsia="宋体" w:cs="宋体"/>
          <w:color w:val="auto"/>
          <w:sz w:val="21"/>
          <w:szCs w:val="21"/>
          <w:highlight w:val="none"/>
          <w:lang w:eastAsia="zh-CN"/>
        </w:rPr>
        <w:t>安全生产费</w:t>
      </w:r>
      <w:r>
        <w:rPr>
          <w:rFonts w:ascii="Times New Roman" w:hAnsi="宋体"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元。</w:t>
      </w:r>
    </w:p>
    <w:p w14:paraId="4C8458A7">
      <w:pPr>
        <w:spacing w:line="360" w:lineRule="auto"/>
        <w:ind w:firstLine="420"/>
        <w:jc w:val="left"/>
        <w:rPr>
          <w:rFonts w:ascii="Times New Roman" w:hAnsi="宋体"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宋体" w:eastAsia="宋体" w:cs="Times New Roman"/>
          <w:color w:val="auto"/>
          <w:sz w:val="21"/>
          <w:szCs w:val="21"/>
          <w:highlight w:val="none"/>
        </w:rPr>
        <w:t>2</w:t>
      </w:r>
      <w:r>
        <w:rPr>
          <w:rFonts w:hint="eastAsia" w:ascii="Times New Roman" w:hAnsi="宋体" w:eastAsia="宋体" w:cs="宋体"/>
          <w:color w:val="auto"/>
          <w:sz w:val="21"/>
          <w:szCs w:val="21"/>
          <w:highlight w:val="none"/>
        </w:rPr>
        <w:t>）使用要求：专款专用。具体按</w:t>
      </w:r>
      <w:r>
        <w:rPr>
          <w:rFonts w:hint="eastAsia" w:ascii="Times New Roman" w:hAnsi="宋体" w:eastAsia="宋体" w:cs="宋体"/>
          <w:color w:val="auto"/>
          <w:sz w:val="21"/>
          <w:szCs w:val="21"/>
          <w:highlight w:val="none"/>
          <w:u w:val="single"/>
        </w:rPr>
        <w:t>《广西壮族自治区建设工程安全文明施工费使用管理细则》（桂建质〔</w:t>
      </w:r>
      <w:r>
        <w:rPr>
          <w:rFonts w:ascii="Times New Roman" w:hAnsi="宋体" w:eastAsia="宋体" w:cs="Times New Roman"/>
          <w:color w:val="auto"/>
          <w:sz w:val="21"/>
          <w:szCs w:val="21"/>
          <w:highlight w:val="none"/>
          <w:u w:val="single"/>
        </w:rPr>
        <w:t>2015</w:t>
      </w:r>
      <w:r>
        <w:rPr>
          <w:rFonts w:hint="eastAsia" w:ascii="Times New Roman" w:hAnsi="宋体" w:eastAsia="宋体" w:cs="宋体"/>
          <w:color w:val="auto"/>
          <w:sz w:val="21"/>
          <w:szCs w:val="21"/>
          <w:highlight w:val="none"/>
          <w:u w:val="single"/>
        </w:rPr>
        <w:t>〕</w:t>
      </w:r>
      <w:r>
        <w:rPr>
          <w:rFonts w:ascii="Times New Roman" w:hAnsi="宋体" w:eastAsia="宋体" w:cs="Times New Roman"/>
          <w:color w:val="auto"/>
          <w:sz w:val="21"/>
          <w:szCs w:val="21"/>
          <w:highlight w:val="none"/>
          <w:u w:val="single"/>
        </w:rPr>
        <w:t>16</w:t>
      </w:r>
      <w:r>
        <w:rPr>
          <w:rFonts w:hint="eastAsia" w:ascii="Times New Roman" w:hAnsi="宋体" w:eastAsia="宋体" w:cs="宋体"/>
          <w:color w:val="auto"/>
          <w:sz w:val="21"/>
          <w:szCs w:val="21"/>
          <w:highlight w:val="none"/>
          <w:u w:val="single"/>
        </w:rPr>
        <w:t>号）</w:t>
      </w:r>
      <w:r>
        <w:rPr>
          <w:rFonts w:hint="eastAsia" w:ascii="Times New Roman" w:hAnsi="宋体" w:eastAsia="宋体" w:cs="宋体"/>
          <w:color w:val="auto"/>
          <w:sz w:val="21"/>
          <w:szCs w:val="21"/>
          <w:highlight w:val="none"/>
        </w:rPr>
        <w:t>和</w:t>
      </w:r>
      <w:r>
        <w:rPr>
          <w:rFonts w:hint="eastAsia" w:ascii="Times New Roman" w:hAnsi="宋体" w:eastAsia="宋体" w:cs="Times New Roman"/>
          <w:color w:val="auto"/>
          <w:sz w:val="21"/>
          <w:szCs w:val="21"/>
          <w:highlight w:val="none"/>
          <w:u w:val="single"/>
          <w:lang w:val="en-US" w:eastAsia="zh-CN"/>
        </w:rPr>
        <w:t>南宁</w:t>
      </w:r>
      <w:r>
        <w:rPr>
          <w:rFonts w:hint="eastAsia" w:ascii="Times New Roman" w:hAnsi="宋体" w:eastAsia="宋体" w:cs="宋体"/>
          <w:color w:val="auto"/>
          <w:sz w:val="21"/>
          <w:szCs w:val="21"/>
          <w:highlight w:val="none"/>
        </w:rPr>
        <w:t>市相关规定执行。</w:t>
      </w:r>
    </w:p>
    <w:p w14:paraId="54618C07">
      <w:pPr>
        <w:spacing w:line="400" w:lineRule="exact"/>
        <w:ind w:firstLine="420"/>
        <w:jc w:val="left"/>
        <w:outlineLvl w:val="9"/>
        <w:rPr>
          <w:rFonts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w:t>
      </w:r>
      <w:r>
        <w:rPr>
          <w:rFonts w:ascii="Times New Roman" w:hAnsi="宋体" w:eastAsia="宋体" w:cs="Times New Roman"/>
          <w:color w:val="auto"/>
          <w:sz w:val="21"/>
          <w:szCs w:val="21"/>
          <w:highlight w:val="none"/>
        </w:rPr>
        <w:t>3</w:t>
      </w:r>
      <w:r>
        <w:rPr>
          <w:rFonts w:hint="eastAsia" w:ascii="Times New Roman" w:hAnsi="宋体" w:eastAsia="宋体" w:cs="宋体"/>
          <w:color w:val="auto"/>
          <w:sz w:val="21"/>
          <w:szCs w:val="21"/>
          <w:highlight w:val="none"/>
        </w:rPr>
        <w:t>）支付约定：</w:t>
      </w:r>
      <w:r>
        <w:rPr>
          <w:rFonts w:hint="eastAsia" w:ascii="Times New Roman" w:hAnsi="Times New Roman" w:eastAsia="宋体" w:cs="宋体"/>
          <w:color w:val="auto"/>
          <w:sz w:val="21"/>
          <w:szCs w:val="21"/>
          <w:highlight w:val="none"/>
        </w:rPr>
        <w:t>在本合同签订后</w:t>
      </w:r>
      <w:r>
        <w:rPr>
          <w:rFonts w:hint="eastAsia" w:ascii="Times New Roman" w:hAnsi="Times New Roman" w:eastAsia="宋体" w:cs="Times New Roman"/>
          <w:color w:val="auto"/>
          <w:sz w:val="21"/>
          <w:szCs w:val="21"/>
          <w:highlight w:val="none"/>
          <w:u w:val="single"/>
          <w:lang w:val="en-US" w:eastAsia="zh-CN"/>
        </w:rPr>
        <w:t>10</w:t>
      </w:r>
      <w:r>
        <w:rPr>
          <w:rFonts w:hint="eastAsia" w:ascii="Times New Roman" w:hAnsi="Times New Roman" w:eastAsia="宋体" w:cs="宋体"/>
          <w:color w:val="auto"/>
          <w:sz w:val="21"/>
          <w:szCs w:val="21"/>
          <w:highlight w:val="none"/>
        </w:rPr>
        <w:t>个工作日内，预付安全</w:t>
      </w:r>
      <w:r>
        <w:rPr>
          <w:rFonts w:hint="default" w:ascii="Times New Roman" w:hAnsi="Times New Roman" w:eastAsia="宋体" w:cs="宋体"/>
          <w:color w:val="auto"/>
          <w:sz w:val="21"/>
          <w:szCs w:val="21"/>
          <w:highlight w:val="none"/>
          <w:lang w:val="en"/>
        </w:rPr>
        <w:t>生产费</w:t>
      </w:r>
      <w:r>
        <w:rPr>
          <w:rFonts w:hint="eastAsia" w:ascii="Times New Roman" w:hAnsi="Times New Roman" w:eastAsia="宋体" w:cs="宋体"/>
          <w:color w:val="auto"/>
          <w:sz w:val="21"/>
          <w:szCs w:val="21"/>
          <w:highlight w:val="none"/>
        </w:rPr>
        <w:t>总额的</w:t>
      </w:r>
      <w:r>
        <w:rPr>
          <w:rFonts w:hint="eastAsia" w:ascii="Times New Roman" w:hAnsi="Times New Roman" w:eastAsia="宋体" w:cs="宋体"/>
          <w:color w:val="auto"/>
          <w:sz w:val="21"/>
          <w:szCs w:val="21"/>
          <w:highlight w:val="none"/>
          <w:u w:val="single"/>
          <w:lang w:val="en-US" w:eastAsia="zh-CN"/>
        </w:rPr>
        <w:t>50</w:t>
      </w:r>
      <w:r>
        <w:rPr>
          <w:rFonts w:hint="eastAsia" w:ascii="Times New Roman" w:hAnsi="Times New Roman" w:eastAsia="宋体" w:cs="宋体"/>
          <w:color w:val="auto"/>
          <w:sz w:val="21"/>
          <w:szCs w:val="21"/>
          <w:highlight w:val="none"/>
        </w:rPr>
        <w:t>%</w:t>
      </w:r>
      <w:r>
        <w:rPr>
          <w:rFonts w:hint="eastAsia" w:ascii="Times New Roman" w:hAnsi="Times New Roman" w:eastAsia="宋体" w:cs="宋体"/>
          <w:color w:val="auto"/>
          <w:sz w:val="21"/>
          <w:szCs w:val="21"/>
          <w:highlight w:val="none"/>
          <w:lang w:eastAsia="zh-CN"/>
        </w:rPr>
        <w:t>。实际投入安全生产费超过安全生产</w:t>
      </w:r>
      <w:r>
        <w:rPr>
          <w:rFonts w:hint="eastAsia" w:ascii="Times New Roman" w:hAnsi="Times New Roman" w:eastAsia="宋体" w:cs="宋体"/>
          <w:color w:val="auto"/>
          <w:sz w:val="21"/>
          <w:szCs w:val="21"/>
          <w:highlight w:val="none"/>
        </w:rPr>
        <w:t>费预付款</w:t>
      </w:r>
      <w:r>
        <w:rPr>
          <w:rFonts w:hint="eastAsia" w:ascii="Times New Roman" w:hAnsi="Times New Roman" w:eastAsia="宋体" w:cs="宋体"/>
          <w:color w:val="auto"/>
          <w:sz w:val="21"/>
          <w:szCs w:val="21"/>
          <w:highlight w:val="none"/>
          <w:lang w:eastAsia="zh-CN"/>
        </w:rPr>
        <w:t>后</w:t>
      </w:r>
      <w:r>
        <w:rPr>
          <w:rFonts w:hint="default" w:ascii="Times New Roman" w:hAnsi="Times New Roman" w:eastAsia="宋体" w:cs="宋体"/>
          <w:color w:val="auto"/>
          <w:sz w:val="21"/>
          <w:szCs w:val="21"/>
          <w:highlight w:val="none"/>
          <w:lang w:val="en" w:eastAsia="zh-CN"/>
        </w:rPr>
        <w:t>，</w:t>
      </w:r>
      <w:r>
        <w:rPr>
          <w:rFonts w:hint="eastAsia" w:ascii="Times New Roman" w:hAnsi="Times New Roman" w:eastAsia="宋体" w:cs="宋体"/>
          <w:color w:val="auto"/>
          <w:sz w:val="21"/>
          <w:szCs w:val="21"/>
          <w:highlight w:val="none"/>
          <w:lang w:eastAsia="zh-CN"/>
        </w:rPr>
        <w:t>承包人把实际发生的安全生产费（附相关凭证）报发包人和监理人审核，安全生产费与工程进度款同期支付。</w:t>
      </w:r>
      <w:r>
        <w:rPr>
          <w:rFonts w:hint="default" w:ascii="Times New Roman" w:hAnsi="Times New Roman" w:eastAsia="宋体" w:cs="Times New Roman"/>
          <w:color w:val="auto"/>
          <w:sz w:val="21"/>
          <w:szCs w:val="21"/>
          <w:highlight w:val="none"/>
          <w:shd w:val="clear" w:color="auto" w:fill="FFFFFF"/>
        </w:rPr>
        <w:t>工程施工完成后安全生产费尚有结余的，结余部分由建设单位收回。施工单位将安全生产费用使用情况定期报告建设单位和监理单位，并提供相应的材料接受建设行政主管部门对此事项监管。</w:t>
      </w:r>
      <w:r>
        <w:rPr>
          <w:rFonts w:hint="eastAsia" w:ascii="Times New Roman" w:hAnsi="Times New Roman" w:eastAsia="宋体" w:cs="宋体"/>
          <w:color w:val="auto"/>
          <w:sz w:val="21"/>
          <w:szCs w:val="21"/>
          <w:highlight w:val="none"/>
          <w:lang w:eastAsia="zh-CN"/>
        </w:rPr>
        <w:t>《安全生产费支付申请（核准）表》详见附件</w:t>
      </w:r>
      <w:r>
        <w:rPr>
          <w:rFonts w:hint="eastAsia" w:ascii="Times New Roman" w:hAnsi="Times New Roman" w:eastAsia="宋体" w:cs="宋体"/>
          <w:color w:val="auto"/>
          <w:sz w:val="21"/>
          <w:szCs w:val="21"/>
          <w:highlight w:val="none"/>
          <w:lang w:val="en-US" w:eastAsia="zh-CN"/>
        </w:rPr>
        <w:t>18</w:t>
      </w:r>
      <w:r>
        <w:rPr>
          <w:rFonts w:hint="eastAsia" w:ascii="Times New Roman" w:hAnsi="宋体" w:eastAsia="宋体" w:cs="宋体"/>
          <w:color w:val="auto"/>
          <w:sz w:val="21"/>
          <w:szCs w:val="21"/>
          <w:highlight w:val="none"/>
        </w:rPr>
        <w:t>。</w:t>
      </w:r>
    </w:p>
    <w:p w14:paraId="0EF1EEB8">
      <w:pPr>
        <w:spacing w:line="360" w:lineRule="auto"/>
        <w:ind w:firstLine="420"/>
        <w:jc w:val="left"/>
        <w:rPr>
          <w:rFonts w:ascii="Times New Roman" w:hAnsi="宋体" w:eastAsia="宋体" w:cs="宋体"/>
          <w:color w:val="auto"/>
          <w:sz w:val="21"/>
          <w:szCs w:val="21"/>
          <w:highlight w:val="none"/>
        </w:rPr>
      </w:pPr>
    </w:p>
    <w:p w14:paraId="00214E72">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（4）建设单位按规定将安全生产费转入施工单位设立的安全生产费用专户。</w:t>
      </w:r>
    </w:p>
    <w:p w14:paraId="6C7311F0">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（5）工程施工完成后安全生产费尚有结余的，结余部分由建设单位收回。</w:t>
      </w:r>
    </w:p>
    <w:p w14:paraId="575636D5">
      <w:pPr>
        <w:spacing w:line="360" w:lineRule="auto"/>
        <w:ind w:firstLine="420"/>
        <w:jc w:val="left"/>
        <w:rPr>
          <w:rFonts w:hint="eastAsia" w:ascii="Times New Roman" w:hAnsi="宋体" w:eastAsia="宋体" w:cs="Times New Roman"/>
          <w:color w:val="auto"/>
          <w:sz w:val="21"/>
          <w:szCs w:val="21"/>
          <w:highlight w:val="none"/>
        </w:rPr>
      </w:pPr>
      <w:r>
        <w:rPr>
          <w:rFonts w:hint="eastAsia" w:ascii="Times New Roman" w:hAnsi="宋体" w:eastAsia="宋体" w:cs="宋体"/>
          <w:color w:val="auto"/>
          <w:sz w:val="21"/>
          <w:szCs w:val="21"/>
          <w:highlight w:val="none"/>
        </w:rPr>
        <w:t>（6）安全生产费用专户：</w:t>
      </w:r>
      <w:r>
        <w:rPr>
          <w:rFonts w:hint="eastAsia" w:ascii="Times New Roman" w:hAnsi="宋体" w:eastAsia="宋体" w:cs="宋体"/>
          <w:color w:val="auto"/>
          <w:sz w:val="21"/>
          <w:szCs w:val="21"/>
          <w:highlight w:val="none"/>
          <w:u w:val="single"/>
          <w:lang w:eastAsia="zh-CN"/>
        </w:rPr>
        <w:t xml:space="preserve"> </w:t>
      </w:r>
      <w:r>
        <w:rPr>
          <w:rFonts w:hint="eastAsia" w:ascii="Times New Roman" w:hAnsi="宋体" w:eastAsia="宋体" w:cs="宋体"/>
          <w:color w:val="auto"/>
          <w:sz w:val="21"/>
          <w:szCs w:val="21"/>
          <w:highlight w:val="none"/>
          <w:u w:val="single"/>
          <w:lang w:val="en-US" w:eastAsia="zh-CN"/>
        </w:rPr>
        <w:t xml:space="preserve">             </w:t>
      </w:r>
      <w:r>
        <w:rPr>
          <w:rFonts w:hint="eastAsia" w:ascii="Times New Roman" w:hAnsi="宋体" w:eastAsia="宋体" w:cs="宋体"/>
          <w:color w:val="auto"/>
          <w:sz w:val="21"/>
          <w:szCs w:val="21"/>
          <w:highlight w:val="none"/>
        </w:rPr>
        <w:t>公司安全生产费用专户。账号：</w:t>
      </w:r>
      <w:r>
        <w:rPr>
          <w:rFonts w:hint="eastAsia" w:ascii="Times New Roman" w:hAnsi="宋体" w:eastAsia="宋体" w:cs="宋体"/>
          <w:color w:val="auto"/>
          <w:sz w:val="21"/>
          <w:szCs w:val="21"/>
          <w:highlight w:val="none"/>
          <w:u w:val="single"/>
          <w:lang w:eastAsia="zh-CN"/>
        </w:rPr>
        <w:t xml:space="preserve"> </w:t>
      </w:r>
      <w:r>
        <w:rPr>
          <w:rFonts w:hint="eastAsia" w:ascii="Times New Roman" w:hAnsi="宋体" w:eastAsia="宋体" w:cs="宋体"/>
          <w:color w:val="auto"/>
          <w:sz w:val="21"/>
          <w:szCs w:val="21"/>
          <w:highlight w:val="none"/>
          <w:u w:val="single"/>
          <w:lang w:val="en-US" w:eastAsia="zh-CN"/>
        </w:rPr>
        <w:t xml:space="preserve">             </w:t>
      </w:r>
      <w:r>
        <w:rPr>
          <w:rFonts w:hint="eastAsia" w:ascii="Times New Roman" w:hAnsi="宋体" w:eastAsia="宋体" w:cs="宋体"/>
          <w:color w:val="auto"/>
          <w:sz w:val="21"/>
          <w:szCs w:val="21"/>
          <w:highlight w:val="none"/>
        </w:rPr>
        <w:t>。</w:t>
      </w:r>
    </w:p>
    <w:p w14:paraId="43E9F480">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425" w:name="_Toc389065287"/>
      <w:bookmarkStart w:id="426" w:name="_Toc78449809"/>
      <w:bookmarkStart w:id="427" w:name="_Toc1922268668"/>
      <w:bookmarkStart w:id="428" w:name="_Toc25382"/>
      <w:bookmarkStart w:id="429" w:name="_Toc373478368"/>
      <w:bookmarkStart w:id="430" w:name="_Toc11917"/>
      <w:bookmarkStart w:id="431" w:name="_Toc373227721"/>
      <w:bookmarkStart w:id="432" w:name="_Toc407135223"/>
      <w:r>
        <w:rPr>
          <w:rFonts w:ascii="Times New Roman" w:hAnsi="Times New Roman" w:eastAsia="黑体" w:cs="Times New Roman"/>
          <w:b/>
          <w:bCs/>
          <w:color w:val="auto"/>
          <w:sz w:val="21"/>
          <w:szCs w:val="21"/>
          <w:highlight w:val="none"/>
          <w:lang w:val="zh-CN" w:eastAsia="zh-CN" w:bidi="ar-SA"/>
        </w:rPr>
        <w:t xml:space="preserve">6.3 </w:t>
      </w:r>
      <w:r>
        <w:rPr>
          <w:rFonts w:hint="eastAsia" w:ascii="Times New Roman" w:hAnsi="宋体" w:eastAsia="黑体" w:cs="黑体"/>
          <w:b/>
          <w:bCs/>
          <w:color w:val="auto"/>
          <w:sz w:val="21"/>
          <w:szCs w:val="21"/>
          <w:highlight w:val="none"/>
          <w:lang w:val="zh-CN" w:eastAsia="zh-CN" w:bidi="ar-SA"/>
        </w:rPr>
        <w:t>环境保护</w:t>
      </w:r>
      <w:bookmarkEnd w:id="425"/>
      <w:bookmarkEnd w:id="426"/>
      <w:bookmarkEnd w:id="427"/>
      <w:bookmarkEnd w:id="428"/>
      <w:bookmarkEnd w:id="429"/>
      <w:bookmarkEnd w:id="430"/>
      <w:bookmarkEnd w:id="431"/>
      <w:bookmarkEnd w:id="432"/>
    </w:p>
    <w:p w14:paraId="3A8EFD06">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u w:val="single"/>
        </w:rPr>
        <w:t>因施工需要，经发包人批准，由承包人办理有关施工场地交通、环卫和施工噪音管理等手续，费用由承包人负责。</w:t>
      </w:r>
    </w:p>
    <w:p w14:paraId="54CDAFB6">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u w:val="single"/>
        </w:rPr>
        <w:t>经过城市道路的施工车辆，必须按交警、城管、运输等部门相关规定执行。由于施工车辆造成的道路、环境等污染，其责任和费用均由承包人承担。</w:t>
      </w:r>
      <w:bookmarkEnd w:id="402"/>
      <w:bookmarkEnd w:id="403"/>
      <w:bookmarkEnd w:id="404"/>
      <w:bookmarkEnd w:id="405"/>
      <w:bookmarkEnd w:id="406"/>
      <w:bookmarkEnd w:id="407"/>
      <w:bookmarkEnd w:id="408"/>
    </w:p>
    <w:p w14:paraId="61E6B3CD">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433" w:name="_Toc373478369"/>
      <w:bookmarkStart w:id="434" w:name="_Toc6691"/>
      <w:bookmarkStart w:id="435" w:name="_Toc389065288"/>
      <w:bookmarkStart w:id="436" w:name="_Toc78449810"/>
      <w:bookmarkStart w:id="437" w:name="_Toc1408286886"/>
      <w:bookmarkStart w:id="438" w:name="_Toc373227722"/>
      <w:bookmarkStart w:id="439" w:name="_Toc407135224"/>
      <w:bookmarkStart w:id="440" w:name="_Toc351203639"/>
      <w:r>
        <w:rPr>
          <w:rFonts w:ascii="Arial" w:hAnsi="Arial" w:eastAsia="黑体" w:cs="Times New Roman"/>
          <w:b/>
          <w:bCs/>
          <w:color w:val="auto"/>
          <w:sz w:val="21"/>
          <w:szCs w:val="21"/>
          <w:highlight w:val="none"/>
          <w:lang w:val="zh-CN" w:eastAsia="zh-CN" w:bidi="ar-SA"/>
        </w:rPr>
        <w:t xml:space="preserve">7. </w:t>
      </w:r>
      <w:r>
        <w:rPr>
          <w:rFonts w:hint="eastAsia" w:ascii="Arial" w:hAnsi="Arial" w:eastAsia="黑体" w:cs="黑体"/>
          <w:b/>
          <w:bCs/>
          <w:color w:val="auto"/>
          <w:sz w:val="21"/>
          <w:szCs w:val="21"/>
          <w:highlight w:val="none"/>
          <w:lang w:val="zh-CN" w:eastAsia="zh-CN" w:bidi="ar-SA"/>
        </w:rPr>
        <w:t>工期和进度</w:t>
      </w:r>
      <w:bookmarkEnd w:id="433"/>
      <w:bookmarkEnd w:id="434"/>
      <w:bookmarkEnd w:id="435"/>
      <w:bookmarkEnd w:id="436"/>
      <w:bookmarkEnd w:id="437"/>
      <w:bookmarkEnd w:id="438"/>
      <w:bookmarkEnd w:id="439"/>
      <w:bookmarkEnd w:id="440"/>
    </w:p>
    <w:p w14:paraId="0E8E6DF3">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441" w:name="_Toc28686"/>
      <w:bookmarkStart w:id="442" w:name="_Toc373478370"/>
      <w:bookmarkStart w:id="443" w:name="_Toc1194482517"/>
      <w:bookmarkStart w:id="444" w:name="_Toc15244"/>
      <w:bookmarkStart w:id="445" w:name="_Toc373227723"/>
      <w:bookmarkStart w:id="446" w:name="_Toc78449811"/>
      <w:bookmarkStart w:id="447" w:name="_Toc389065289"/>
      <w:bookmarkStart w:id="448" w:name="_Toc407135225"/>
      <w:r>
        <w:rPr>
          <w:rFonts w:ascii="Times New Roman" w:hAnsi="Times New Roman" w:eastAsia="黑体" w:cs="Times New Roman"/>
          <w:b/>
          <w:bCs/>
          <w:color w:val="auto"/>
          <w:sz w:val="21"/>
          <w:szCs w:val="21"/>
          <w:highlight w:val="none"/>
          <w:lang w:val="zh-CN" w:eastAsia="zh-CN" w:bidi="ar-SA"/>
        </w:rPr>
        <w:t xml:space="preserve">7.1 </w:t>
      </w:r>
      <w:r>
        <w:rPr>
          <w:rFonts w:hint="eastAsia" w:ascii="Times New Roman" w:hAnsi="Times New Roman" w:eastAsia="黑体" w:cs="黑体"/>
          <w:b/>
          <w:bCs/>
          <w:color w:val="auto"/>
          <w:sz w:val="21"/>
          <w:szCs w:val="21"/>
          <w:highlight w:val="none"/>
          <w:lang w:val="zh-CN" w:eastAsia="zh-CN" w:bidi="ar-SA"/>
        </w:rPr>
        <w:t>施工组织设计</w:t>
      </w:r>
      <w:bookmarkEnd w:id="441"/>
      <w:bookmarkEnd w:id="442"/>
      <w:bookmarkEnd w:id="443"/>
      <w:bookmarkEnd w:id="444"/>
      <w:bookmarkEnd w:id="445"/>
      <w:bookmarkEnd w:id="446"/>
      <w:bookmarkEnd w:id="447"/>
      <w:bookmarkEnd w:id="448"/>
    </w:p>
    <w:p w14:paraId="54262FEE">
      <w:pPr>
        <w:spacing w:line="360" w:lineRule="auto"/>
        <w:ind w:firstLine="420"/>
        <w:jc w:val="left"/>
        <w:rPr>
          <w:rFonts w:hint="eastAsia"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 xml:space="preserve">7.1.1 </w:t>
      </w:r>
      <w:r>
        <w:rPr>
          <w:rFonts w:hint="eastAsia" w:ascii="Times New Roman" w:hAnsi="宋体" w:eastAsia="宋体" w:cs="宋体"/>
          <w:color w:val="auto"/>
          <w:sz w:val="21"/>
          <w:szCs w:val="21"/>
          <w:highlight w:val="none"/>
        </w:rPr>
        <w:t>合同当事人约定的施工组织设计应包括的其他内容：</w:t>
      </w:r>
      <w:r>
        <w:rPr>
          <w:rFonts w:hint="eastAsia" w:ascii="Times New Roman" w:hAnsi="Times New Roman" w:eastAsia="宋体" w:cs="Times New Roman"/>
          <w:color w:val="auto"/>
          <w:sz w:val="21"/>
          <w:szCs w:val="21"/>
          <w:highlight w:val="none"/>
          <w:u w:val="single"/>
        </w:rPr>
        <w:t>（1）施工组织设计还应包括全部设备、材料、成品、半成品等需求供应进场计划，施工管理机构及劳动力组织，以及施工现场优化布置，危险性较大的分部分项工程的专项施工方案等。</w:t>
      </w:r>
    </w:p>
    <w:p w14:paraId="51250B02">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（2）遇有特殊工艺或施工规范要求需要编制专项施工方案的，承包人还需编制专项施工方案并提交发包人及监理人审核书面确认后方能实施。施工组织设计仅作为施工指导文件，不作为工程款结算依据</w:t>
      </w:r>
      <w:r>
        <w:rPr>
          <w:rFonts w:hint="eastAsia" w:ascii="Times New Roman" w:hAnsi="宋体" w:eastAsia="宋体" w:cs="宋体"/>
          <w:color w:val="auto"/>
          <w:sz w:val="21"/>
          <w:szCs w:val="21"/>
          <w:highlight w:val="none"/>
        </w:rPr>
        <w:t>。</w:t>
      </w:r>
    </w:p>
    <w:p w14:paraId="1B5ED591">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7.1.2 </w:t>
      </w:r>
      <w:r>
        <w:rPr>
          <w:rFonts w:hint="eastAsia" w:ascii="Times New Roman" w:hAnsi="宋体" w:eastAsia="宋体" w:cs="宋体"/>
          <w:color w:val="auto"/>
          <w:sz w:val="21"/>
          <w:szCs w:val="21"/>
          <w:highlight w:val="none"/>
        </w:rPr>
        <w:t>施工组织设计的提交和修改</w:t>
      </w:r>
    </w:p>
    <w:p w14:paraId="3C033D93">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承包人提交详细施工组织设计的期限的约定：</w:t>
      </w:r>
      <w:r>
        <w:rPr>
          <w:rFonts w:hint="eastAsia" w:ascii="Times New Roman" w:hAnsi="Times New Roman" w:eastAsia="宋体" w:cs="Times New Roman"/>
          <w:color w:val="auto"/>
          <w:sz w:val="21"/>
          <w:szCs w:val="21"/>
          <w:highlight w:val="none"/>
          <w:u w:val="single"/>
        </w:rPr>
        <w:t>合同签订后七天内，承包人应提交详细的施工组织设计，报发包人及监理人审批；承包人不按时送审符合要求的施工组织设计，造成发包人无法判断工程进展顺利与否，发包人可拒付相应部分工程进度款，责任由承包人承担</w:t>
      </w:r>
      <w:r>
        <w:rPr>
          <w:rFonts w:hint="eastAsia" w:ascii="Times New Roman" w:hAnsi="宋体" w:eastAsia="宋体" w:cs="宋体"/>
          <w:color w:val="auto"/>
          <w:sz w:val="21"/>
          <w:szCs w:val="21"/>
          <w:highlight w:val="none"/>
        </w:rPr>
        <w:t>。</w:t>
      </w:r>
    </w:p>
    <w:p w14:paraId="56635621">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发包人和监理人在收到详细的施工组织设计后确认或提出修改意见的期限：</w:t>
      </w:r>
      <w:r>
        <w:rPr>
          <w:rFonts w:hint="eastAsia" w:ascii="Times New Roman" w:hAnsi="Times New Roman" w:eastAsia="宋体" w:cs="Times New Roman"/>
          <w:color w:val="auto"/>
          <w:sz w:val="21"/>
          <w:szCs w:val="21"/>
          <w:highlight w:val="none"/>
          <w:u w:val="single"/>
        </w:rPr>
        <w:t>发包人接到监理报来的详细施工组织设计（各工期接点不得迟于合同工期接点规定）后7日内组织审核批准或提出修改意见</w:t>
      </w:r>
      <w:r>
        <w:rPr>
          <w:rFonts w:hint="eastAsia" w:ascii="Times New Roman" w:hAnsi="宋体" w:eastAsia="宋体" w:cs="宋体"/>
          <w:color w:val="auto"/>
          <w:sz w:val="21"/>
          <w:szCs w:val="21"/>
          <w:highlight w:val="none"/>
        </w:rPr>
        <w:t>。</w:t>
      </w:r>
    </w:p>
    <w:p w14:paraId="053DA0D9">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449" w:name="_Toc373478371"/>
      <w:bookmarkStart w:id="450" w:name="_Toc10208"/>
      <w:bookmarkStart w:id="451" w:name="_Toc78449812"/>
      <w:bookmarkStart w:id="452" w:name="_Toc373227724"/>
      <w:bookmarkStart w:id="453" w:name="_Toc389065290"/>
      <w:bookmarkStart w:id="454" w:name="_Toc1393005721"/>
      <w:bookmarkStart w:id="455" w:name="_Toc407135226"/>
      <w:bookmarkStart w:id="456" w:name="_Toc22439"/>
      <w:r>
        <w:rPr>
          <w:rFonts w:ascii="Times New Roman" w:hAnsi="Times New Roman" w:eastAsia="黑体" w:cs="Times New Roman"/>
          <w:b/>
          <w:bCs/>
          <w:color w:val="auto"/>
          <w:sz w:val="21"/>
          <w:szCs w:val="21"/>
          <w:highlight w:val="none"/>
          <w:lang w:val="zh-CN" w:eastAsia="zh-CN" w:bidi="ar-SA"/>
        </w:rPr>
        <w:t>7</w:t>
      </w:r>
      <w:bookmarkStart w:id="457" w:name="_Toc297216173"/>
      <w:bookmarkStart w:id="458" w:name="_Toc304295541"/>
      <w:bookmarkStart w:id="459" w:name="_Toc303539123"/>
      <w:bookmarkStart w:id="460" w:name="_Toc312678005"/>
      <w:bookmarkStart w:id="461" w:name="_Toc312677479"/>
      <w:bookmarkStart w:id="462" w:name="_Toc297123514"/>
      <w:bookmarkStart w:id="463" w:name="_Toc300934966"/>
      <w:r>
        <w:rPr>
          <w:rFonts w:ascii="Times New Roman" w:hAnsi="Times New Roman" w:eastAsia="黑体" w:cs="Times New Roman"/>
          <w:b/>
          <w:bCs/>
          <w:color w:val="auto"/>
          <w:sz w:val="21"/>
          <w:szCs w:val="21"/>
          <w:highlight w:val="none"/>
          <w:lang w:val="zh-CN" w:eastAsia="zh-CN" w:bidi="ar-SA"/>
        </w:rPr>
        <w:t xml:space="preserve">.2 </w:t>
      </w:r>
      <w:r>
        <w:rPr>
          <w:rFonts w:hint="eastAsia" w:ascii="Times New Roman" w:hAnsi="Times New Roman" w:eastAsia="黑体" w:cs="黑体"/>
          <w:b/>
          <w:bCs/>
          <w:color w:val="auto"/>
          <w:sz w:val="21"/>
          <w:szCs w:val="21"/>
          <w:highlight w:val="none"/>
          <w:lang w:val="zh-CN" w:eastAsia="zh-CN" w:bidi="ar-SA"/>
        </w:rPr>
        <w:t>施工进度计划</w:t>
      </w:r>
      <w:bookmarkEnd w:id="449"/>
      <w:bookmarkEnd w:id="450"/>
      <w:bookmarkEnd w:id="451"/>
      <w:bookmarkEnd w:id="452"/>
      <w:bookmarkEnd w:id="453"/>
      <w:bookmarkEnd w:id="454"/>
      <w:bookmarkEnd w:id="455"/>
      <w:bookmarkEnd w:id="456"/>
    </w:p>
    <w:p w14:paraId="76A565CD">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7.2.2 </w:t>
      </w:r>
      <w:r>
        <w:rPr>
          <w:rFonts w:hint="eastAsia" w:ascii="Times New Roman" w:hAnsi="宋体" w:eastAsia="宋体" w:cs="宋体"/>
          <w:color w:val="auto"/>
          <w:sz w:val="21"/>
          <w:szCs w:val="21"/>
          <w:highlight w:val="none"/>
        </w:rPr>
        <w:t>施工进度计划的修订</w:t>
      </w:r>
    </w:p>
    <w:p w14:paraId="13FA0A33">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发包人和监理人在收到修订的施工进度计划后确认或提出修改意见的期限：</w:t>
      </w:r>
      <w:r>
        <w:rPr>
          <w:rFonts w:hint="eastAsia" w:ascii="Times New Roman" w:hAnsi="Times New Roman" w:eastAsia="宋体" w:cs="Times New Roman"/>
          <w:color w:val="auto"/>
          <w:sz w:val="21"/>
          <w:szCs w:val="21"/>
          <w:u w:val="single"/>
        </w:rPr>
        <w:t>收到后7天内，逾期视为已认可</w:t>
      </w:r>
      <w:r>
        <w:rPr>
          <w:rFonts w:hint="eastAsia" w:ascii="Times New Roman" w:hAnsi="宋体" w:eastAsia="宋体" w:cs="宋体"/>
          <w:color w:val="auto"/>
          <w:sz w:val="21"/>
          <w:szCs w:val="21"/>
          <w:highlight w:val="none"/>
        </w:rPr>
        <w:t>。</w:t>
      </w:r>
    </w:p>
    <w:p w14:paraId="23AF877E">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464" w:name="_Toc389065291"/>
      <w:bookmarkStart w:id="465" w:name="_Toc423062567"/>
      <w:bookmarkStart w:id="466" w:name="_Toc2280"/>
      <w:bookmarkStart w:id="467" w:name="_Toc373478372"/>
      <w:bookmarkStart w:id="468" w:name="_Toc373227725"/>
      <w:bookmarkStart w:id="469" w:name="_Toc407135227"/>
      <w:bookmarkStart w:id="470" w:name="_Toc78449813"/>
      <w:bookmarkStart w:id="471" w:name="_Toc18437"/>
      <w:r>
        <w:rPr>
          <w:rFonts w:ascii="Times New Roman" w:hAnsi="Times New Roman" w:eastAsia="黑体" w:cs="Times New Roman"/>
          <w:b/>
          <w:bCs/>
          <w:color w:val="auto"/>
          <w:sz w:val="21"/>
          <w:szCs w:val="21"/>
          <w:highlight w:val="none"/>
          <w:lang w:val="zh-CN" w:eastAsia="zh-CN" w:bidi="ar-SA"/>
        </w:rPr>
        <w:t xml:space="preserve">7.3 </w:t>
      </w:r>
      <w:r>
        <w:rPr>
          <w:rFonts w:hint="eastAsia" w:ascii="Times New Roman" w:hAnsi="Times New Roman" w:eastAsia="黑体" w:cs="黑体"/>
          <w:b/>
          <w:bCs/>
          <w:color w:val="auto"/>
          <w:sz w:val="21"/>
          <w:szCs w:val="21"/>
          <w:highlight w:val="none"/>
          <w:lang w:val="zh-CN" w:eastAsia="zh-CN" w:bidi="ar-SA"/>
        </w:rPr>
        <w:t>开工</w:t>
      </w:r>
      <w:bookmarkEnd w:id="464"/>
      <w:bookmarkEnd w:id="465"/>
      <w:bookmarkEnd w:id="466"/>
      <w:bookmarkEnd w:id="467"/>
      <w:bookmarkEnd w:id="468"/>
      <w:bookmarkEnd w:id="469"/>
      <w:bookmarkEnd w:id="470"/>
      <w:bookmarkEnd w:id="471"/>
    </w:p>
    <w:p w14:paraId="0894ADB5">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7.3.1 </w:t>
      </w:r>
      <w:r>
        <w:rPr>
          <w:rFonts w:hint="eastAsia" w:ascii="Times New Roman" w:hAnsi="宋体" w:eastAsia="宋体" w:cs="宋体"/>
          <w:color w:val="auto"/>
          <w:sz w:val="21"/>
          <w:szCs w:val="21"/>
          <w:highlight w:val="none"/>
        </w:rPr>
        <w:t>开工准备</w:t>
      </w:r>
    </w:p>
    <w:p w14:paraId="50676F7B">
      <w:pPr>
        <w:spacing w:line="360" w:lineRule="auto"/>
        <w:ind w:firstLine="426"/>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关于承包人提交工程开工报审表的期限：</w:t>
      </w:r>
      <w:r>
        <w:rPr>
          <w:rFonts w:hint="eastAsia" w:ascii="Times New Roman" w:hAnsi="Times New Roman" w:eastAsia="宋体" w:cs="Times New Roman"/>
          <w:color w:val="auto"/>
          <w:sz w:val="21"/>
          <w:szCs w:val="21"/>
          <w:u w:val="single"/>
        </w:rPr>
        <w:t>开工前7天内</w:t>
      </w:r>
      <w:r>
        <w:rPr>
          <w:rFonts w:hint="eastAsia" w:ascii="Times New Roman" w:hAnsi="宋体" w:eastAsia="宋体" w:cs="宋体"/>
          <w:color w:val="auto"/>
          <w:sz w:val="21"/>
          <w:szCs w:val="21"/>
          <w:highlight w:val="none"/>
        </w:rPr>
        <w:t>。</w:t>
      </w:r>
    </w:p>
    <w:p w14:paraId="4B60FFEF">
      <w:pPr>
        <w:spacing w:line="360" w:lineRule="auto"/>
        <w:ind w:firstLine="426"/>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关于发包人应完成的其他开工准备工作及期限：</w:t>
      </w:r>
      <w:r>
        <w:rPr>
          <w:rFonts w:hint="eastAsia" w:ascii="Times New Roman" w:hAnsi="Times New Roman" w:eastAsia="宋体" w:cs="Times New Roman"/>
          <w:color w:val="auto"/>
          <w:sz w:val="21"/>
          <w:szCs w:val="21"/>
          <w:highlight w:val="none"/>
          <w:u w:val="single"/>
        </w:rPr>
        <w:t>①</w:t>
      </w:r>
      <w:r>
        <w:rPr>
          <w:rFonts w:hint="eastAsia" w:ascii="Times New Roman" w:hAnsi="Times New Roman" w:eastAsia="宋体" w:cs="Times New Roman"/>
          <w:color w:val="auto"/>
          <w:sz w:val="21"/>
          <w:szCs w:val="21"/>
          <w:u w:val="single"/>
        </w:rPr>
        <w:t>开工前14天完成施工现场 “三通一平”工作</w:t>
      </w:r>
      <w:r>
        <w:rPr>
          <w:rFonts w:hint="eastAsia" w:ascii="Times New Roman" w:hAnsi="Times New Roman" w:eastAsia="宋体" w:cs="Times New Roman"/>
          <w:color w:val="auto"/>
          <w:sz w:val="21"/>
          <w:szCs w:val="21"/>
          <w:highlight w:val="none"/>
          <w:u w:val="single"/>
        </w:rPr>
        <w:t>，并满足施工要求；②开工前7天内发包人确定施工用水、用电接入点； ③按监理核批的施工组织设计，开工前7天内由承包方完成施工临时道路的修建，并承担修建费用；④开工前7天内将工程管线的资料提供给承包人并确保图纸的准确性、有效性及完整性，如因图纸有误造成的损失由发包人承担及由此产生的相关费用；⑤开工前7天内由发包人办理的施工所需证件、批件，因发包人证件资料不齐全，无法办理导致工程无法顺利进行，工期相应顺延；⑥开工前组织承包人和设计单位进行图纸会审，并由设计单位向承包人进行设计交底</w:t>
      </w:r>
      <w:r>
        <w:rPr>
          <w:rFonts w:hint="eastAsia" w:ascii="Times New Roman" w:hAnsi="宋体" w:eastAsia="宋体" w:cs="宋体"/>
          <w:color w:val="auto"/>
          <w:sz w:val="21"/>
          <w:szCs w:val="21"/>
          <w:highlight w:val="none"/>
        </w:rPr>
        <w:t>。</w:t>
      </w:r>
    </w:p>
    <w:p w14:paraId="78247AC3">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关于承包人应完成的其他开工准备工作及期限：</w:t>
      </w:r>
      <w:r>
        <w:rPr>
          <w:rFonts w:hint="eastAsia" w:ascii="Times New Roman" w:hAnsi="Times New Roman" w:eastAsia="宋体" w:cs="Times New Roman"/>
          <w:color w:val="auto"/>
          <w:sz w:val="21"/>
          <w:szCs w:val="21"/>
          <w:highlight w:val="none"/>
          <w:u w:val="single"/>
        </w:rPr>
        <w:t xml:space="preserve"> ①按监理核批的施工组织设计，开工前7天内由承包方完成施工临时道路的修建，并承担修建费用；②施工机械设备、材料进场、人员配备、测量定点放线等工作在开工前7天完成</w:t>
      </w:r>
      <w:r>
        <w:rPr>
          <w:rFonts w:hint="eastAsia" w:ascii="Times New Roman" w:hAnsi="宋体" w:eastAsia="宋体" w:cs="宋体"/>
          <w:color w:val="auto"/>
          <w:sz w:val="21"/>
          <w:szCs w:val="21"/>
          <w:highlight w:val="none"/>
        </w:rPr>
        <w:t>。</w:t>
      </w:r>
    </w:p>
    <w:p w14:paraId="2B3F6177">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7.3.2 </w:t>
      </w:r>
      <w:r>
        <w:rPr>
          <w:rFonts w:hint="eastAsia" w:ascii="Times New Roman" w:hAnsi="宋体" w:eastAsia="宋体" w:cs="宋体"/>
          <w:color w:val="auto"/>
          <w:sz w:val="21"/>
          <w:szCs w:val="21"/>
          <w:highlight w:val="none"/>
        </w:rPr>
        <w:t>开工通知</w:t>
      </w:r>
    </w:p>
    <w:p w14:paraId="5FE9CAF8">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因发包人原因造成监理人未能在计划开工日期之日起</w:t>
      </w:r>
      <w:r>
        <w:rPr>
          <w:rFonts w:hint="eastAsia" w:ascii="Times New Roman" w:hAnsi="Times New Roman" w:eastAsia="宋体" w:cs="Times New Roman"/>
          <w:color w:val="auto"/>
          <w:sz w:val="21"/>
          <w:szCs w:val="21"/>
          <w:highlight w:val="none"/>
          <w:u w:val="single"/>
          <w:lang w:val="en-US" w:eastAsia="zh-CN"/>
        </w:rPr>
        <w:t>120</w:t>
      </w:r>
      <w:r>
        <w:rPr>
          <w:rFonts w:hint="eastAsia" w:ascii="Times New Roman" w:hAnsi="宋体" w:eastAsia="宋体" w:cs="宋体"/>
          <w:color w:val="auto"/>
          <w:sz w:val="21"/>
          <w:szCs w:val="21"/>
          <w:highlight w:val="none"/>
        </w:rPr>
        <w:t>天内发出开工通知的，承包人有权提出价格调整要求，或者解除合同。</w:t>
      </w:r>
      <w:bookmarkEnd w:id="457"/>
      <w:bookmarkEnd w:id="458"/>
      <w:bookmarkEnd w:id="459"/>
      <w:bookmarkEnd w:id="460"/>
      <w:bookmarkEnd w:id="461"/>
      <w:bookmarkEnd w:id="462"/>
      <w:bookmarkEnd w:id="463"/>
    </w:p>
    <w:p w14:paraId="23C9C544">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472" w:name="_Toc389065292"/>
      <w:bookmarkStart w:id="473" w:name="_Toc373478373"/>
      <w:bookmarkStart w:id="474" w:name="_Toc78449814"/>
      <w:bookmarkStart w:id="475" w:name="_Toc4105"/>
      <w:bookmarkStart w:id="476" w:name="_Toc407135228"/>
      <w:bookmarkStart w:id="477" w:name="_Toc741356765"/>
      <w:bookmarkStart w:id="478" w:name="_Toc373227726"/>
      <w:bookmarkStart w:id="479" w:name="_Toc6094"/>
      <w:r>
        <w:rPr>
          <w:rFonts w:ascii="Times New Roman" w:hAnsi="Times New Roman" w:eastAsia="黑体" w:cs="Times New Roman"/>
          <w:b/>
          <w:bCs/>
          <w:color w:val="auto"/>
          <w:sz w:val="21"/>
          <w:szCs w:val="21"/>
          <w:highlight w:val="none"/>
          <w:lang w:val="zh-CN" w:eastAsia="zh-CN" w:bidi="ar-SA"/>
        </w:rPr>
        <w:t xml:space="preserve">7.4 </w:t>
      </w:r>
      <w:r>
        <w:rPr>
          <w:rFonts w:hint="eastAsia" w:ascii="Times New Roman" w:hAnsi="宋体" w:eastAsia="黑体" w:cs="黑体"/>
          <w:b/>
          <w:bCs/>
          <w:color w:val="auto"/>
          <w:sz w:val="21"/>
          <w:szCs w:val="21"/>
          <w:highlight w:val="none"/>
          <w:lang w:val="zh-CN" w:eastAsia="zh-CN" w:bidi="ar-SA"/>
        </w:rPr>
        <w:t>测量放线</w:t>
      </w:r>
      <w:bookmarkEnd w:id="472"/>
      <w:bookmarkEnd w:id="473"/>
      <w:bookmarkEnd w:id="474"/>
      <w:bookmarkEnd w:id="475"/>
      <w:bookmarkEnd w:id="476"/>
      <w:bookmarkEnd w:id="477"/>
      <w:bookmarkEnd w:id="478"/>
      <w:bookmarkEnd w:id="479"/>
    </w:p>
    <w:p w14:paraId="2557CACB">
      <w:pPr>
        <w:spacing w:line="360" w:lineRule="auto"/>
        <w:ind w:firstLine="420"/>
        <w:jc w:val="left"/>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7.4.1</w:t>
      </w:r>
      <w:r>
        <w:rPr>
          <w:rFonts w:hint="eastAsia" w:ascii="Times New Roman" w:hAnsi="宋体" w:eastAsia="宋体" w:cs="宋体"/>
          <w:color w:val="auto"/>
          <w:sz w:val="21"/>
          <w:szCs w:val="21"/>
          <w:highlight w:val="none"/>
        </w:rPr>
        <w:t>发包人通过监理人向承包人提供测量基准点、基准线和水准点及其书面资料的期限：</w:t>
      </w:r>
      <w:r>
        <w:rPr>
          <w:rFonts w:hint="eastAsia" w:ascii="Times New Roman" w:hAnsi="宋体"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p w14:paraId="78E9D79F">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480" w:name="_Toc373227727"/>
      <w:bookmarkStart w:id="481" w:name="_Toc389065293"/>
      <w:bookmarkStart w:id="482" w:name="_Toc1417437583"/>
      <w:bookmarkStart w:id="483" w:name="_Toc373478374"/>
      <w:bookmarkStart w:id="484" w:name="_Toc28909"/>
      <w:bookmarkStart w:id="485" w:name="_Toc78449815"/>
      <w:bookmarkStart w:id="486" w:name="_Toc407135229"/>
      <w:bookmarkStart w:id="487" w:name="_Toc14585"/>
      <w:r>
        <w:rPr>
          <w:rFonts w:ascii="Times New Roman" w:hAnsi="Times New Roman" w:eastAsia="黑体" w:cs="Times New Roman"/>
          <w:b/>
          <w:bCs/>
          <w:color w:val="auto"/>
          <w:sz w:val="21"/>
          <w:szCs w:val="21"/>
          <w:highlight w:val="none"/>
          <w:lang w:val="zh-CN" w:eastAsia="zh-CN" w:bidi="ar-SA"/>
        </w:rPr>
        <w:t>7</w:t>
      </w:r>
      <w:bookmarkStart w:id="488" w:name="_Toc303539125"/>
      <w:bookmarkStart w:id="489" w:name="_Toc300934968"/>
      <w:bookmarkStart w:id="490" w:name="_Toc312678010"/>
      <w:bookmarkStart w:id="491" w:name="_Toc304295546"/>
      <w:bookmarkStart w:id="492" w:name="_Toc312677484"/>
      <w:bookmarkStart w:id="493" w:name="_Toc297216175"/>
      <w:bookmarkStart w:id="494" w:name="_Toc297123516"/>
      <w:r>
        <w:rPr>
          <w:rFonts w:ascii="Times New Roman" w:hAnsi="Times New Roman" w:eastAsia="黑体" w:cs="Times New Roman"/>
          <w:b/>
          <w:bCs/>
          <w:color w:val="auto"/>
          <w:sz w:val="21"/>
          <w:szCs w:val="21"/>
          <w:highlight w:val="none"/>
          <w:lang w:val="zh-CN" w:eastAsia="zh-CN" w:bidi="ar-SA"/>
        </w:rPr>
        <w:t xml:space="preserve">.5 </w:t>
      </w:r>
      <w:r>
        <w:rPr>
          <w:rFonts w:hint="eastAsia" w:ascii="Times New Roman" w:hAnsi="宋体" w:eastAsia="黑体" w:cs="黑体"/>
          <w:b/>
          <w:bCs/>
          <w:color w:val="auto"/>
          <w:sz w:val="21"/>
          <w:szCs w:val="21"/>
          <w:highlight w:val="none"/>
          <w:lang w:val="zh-CN" w:eastAsia="zh-CN" w:bidi="ar-SA"/>
        </w:rPr>
        <w:t>工期延误</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14:paraId="7B24589E">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7.5.1 </w:t>
      </w:r>
      <w:r>
        <w:rPr>
          <w:rFonts w:hint="eastAsia" w:ascii="Times New Roman" w:hAnsi="宋体" w:eastAsia="宋体" w:cs="宋体"/>
          <w:color w:val="auto"/>
          <w:sz w:val="21"/>
          <w:szCs w:val="21"/>
          <w:highlight w:val="none"/>
        </w:rPr>
        <w:t>因发包人原因导致工期延误</w:t>
      </w:r>
    </w:p>
    <w:p w14:paraId="59D90535">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7</w:t>
      </w:r>
      <w:r>
        <w:rPr>
          <w:rFonts w:hint="eastAsia" w:ascii="Times New Roman" w:hAnsi="宋体" w:eastAsia="宋体" w:cs="宋体"/>
          <w:color w:val="auto"/>
          <w:sz w:val="21"/>
          <w:szCs w:val="21"/>
          <w:highlight w:val="none"/>
        </w:rPr>
        <w:t>）因发包人原因导致工期延误的其他情形：</w:t>
      </w:r>
      <w:r>
        <w:rPr>
          <w:rFonts w:hint="eastAsia" w:ascii="宋体" w:hAnsi="宋体" w:eastAsia="宋体" w:cs="宋体"/>
          <w:color w:val="auto"/>
          <w:sz w:val="21"/>
          <w:szCs w:val="21"/>
          <w:highlight w:val="none"/>
          <w:u w:val="single"/>
          <w:lang w:eastAsia="zh-CN"/>
        </w:rPr>
        <w:t>见专用条款</w:t>
      </w:r>
      <w:r>
        <w:rPr>
          <w:rFonts w:hint="eastAsia" w:ascii="宋体" w:hAnsi="宋体" w:eastAsia="宋体" w:cs="宋体"/>
          <w:color w:val="auto"/>
          <w:sz w:val="21"/>
          <w:szCs w:val="21"/>
          <w:highlight w:val="none"/>
          <w:u w:val="single"/>
          <w:lang w:val="en-US" w:eastAsia="zh-CN"/>
        </w:rPr>
        <w:t>19.6条</w:t>
      </w:r>
      <w:r>
        <w:rPr>
          <w:rFonts w:ascii="Times New Roman" w:hAnsi="宋体" w:eastAsia="宋体" w:cs="Times New Roman"/>
          <w:color w:val="auto"/>
          <w:sz w:val="21"/>
          <w:szCs w:val="21"/>
          <w:highlight w:val="none"/>
        </w:rPr>
        <w:t xml:space="preserve"> </w:t>
      </w:r>
      <w:r>
        <w:rPr>
          <w:rFonts w:hint="eastAsia" w:ascii="Times New Roman" w:hAnsi="宋体" w:eastAsia="宋体" w:cs="宋体"/>
          <w:color w:val="auto"/>
          <w:sz w:val="21"/>
          <w:szCs w:val="21"/>
          <w:highlight w:val="none"/>
        </w:rPr>
        <w:t>。</w:t>
      </w:r>
    </w:p>
    <w:p w14:paraId="5432D99A">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7</w:t>
      </w:r>
      <w:bookmarkStart w:id="495" w:name="_Toc312677486"/>
      <w:bookmarkStart w:id="496" w:name="_Toc312678012"/>
      <w:bookmarkStart w:id="497" w:name="_Toc318581169"/>
      <w:bookmarkStart w:id="498" w:name="_Toc303539127"/>
      <w:bookmarkStart w:id="499" w:name="_Toc300934970"/>
      <w:bookmarkStart w:id="500" w:name="_Toc297123518"/>
      <w:bookmarkStart w:id="501" w:name="_Toc304295548"/>
      <w:bookmarkStart w:id="502" w:name="_Toc297216177"/>
      <w:r>
        <w:rPr>
          <w:rFonts w:ascii="Times New Roman" w:hAnsi="Times New Roman" w:eastAsia="宋体" w:cs="Times New Roman"/>
          <w:color w:val="auto"/>
          <w:sz w:val="21"/>
          <w:szCs w:val="21"/>
          <w:highlight w:val="none"/>
        </w:rPr>
        <w:t xml:space="preserve">.5.2 </w:t>
      </w:r>
      <w:r>
        <w:rPr>
          <w:rFonts w:hint="eastAsia" w:ascii="Times New Roman" w:hAnsi="宋体" w:eastAsia="宋体" w:cs="宋体"/>
          <w:color w:val="auto"/>
          <w:sz w:val="21"/>
          <w:szCs w:val="21"/>
          <w:highlight w:val="none"/>
        </w:rPr>
        <w:t>因承包人原因导致工期延误</w:t>
      </w:r>
      <w:bookmarkEnd w:id="495"/>
      <w:bookmarkEnd w:id="496"/>
      <w:bookmarkEnd w:id="497"/>
    </w:p>
    <w:p w14:paraId="67B21135">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因</w:t>
      </w:r>
      <w:bookmarkStart w:id="503" w:name="_Toc312677487"/>
      <w:bookmarkStart w:id="504" w:name="_Toc318581170"/>
      <w:bookmarkStart w:id="505" w:name="_Toc312678013"/>
      <w:r>
        <w:rPr>
          <w:rFonts w:hint="eastAsia" w:ascii="Times New Roman" w:hAnsi="宋体" w:eastAsia="宋体" w:cs="宋体"/>
          <w:color w:val="auto"/>
          <w:sz w:val="21"/>
          <w:szCs w:val="21"/>
          <w:highlight w:val="none"/>
        </w:rPr>
        <w:t>承包人原因造成工期延误，逾期竣工违约金的计算方法为：</w:t>
      </w:r>
      <w:r>
        <w:rPr>
          <w:rFonts w:hint="eastAsia" w:ascii="宋体" w:hAnsi="宋体" w:eastAsia="宋体" w:cs="宋体"/>
          <w:color w:val="auto"/>
          <w:sz w:val="21"/>
          <w:szCs w:val="21"/>
          <w:highlight w:val="none"/>
          <w:u w:val="single"/>
        </w:rPr>
        <w:t>按逾期竣工的单项工程</w:t>
      </w:r>
      <w:r>
        <w:rPr>
          <w:rFonts w:hint="eastAsia" w:ascii="宋体" w:hAnsi="宋体" w:eastAsia="宋体" w:cs="宋体"/>
          <w:color w:val="auto"/>
          <w:sz w:val="21"/>
          <w:szCs w:val="21"/>
          <w:highlight w:val="none"/>
          <w:u w:val="single"/>
          <w:lang w:val="en-US" w:eastAsia="zh-CN"/>
        </w:rPr>
        <w:t>处违约金</w:t>
      </w:r>
      <w:r>
        <w:rPr>
          <w:rFonts w:hint="eastAsia" w:ascii="宋体" w:hAnsi="宋体" w:eastAsia="宋体" w:cs="宋体"/>
          <w:color w:val="auto"/>
          <w:sz w:val="21"/>
          <w:szCs w:val="21"/>
          <w:highlight w:val="none"/>
          <w:u w:val="single"/>
        </w:rPr>
        <w:t>，每延误一天</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按单项工程应支付给承包人的结算造价的万分之</w:t>
      </w:r>
      <w:r>
        <w:rPr>
          <w:rFonts w:hint="eastAsia" w:ascii="宋体" w:hAnsi="宋体" w:eastAsia="宋体" w:cs="宋体"/>
          <w:color w:val="auto"/>
          <w:sz w:val="21"/>
          <w:szCs w:val="21"/>
          <w:highlight w:val="none"/>
          <w:u w:val="single"/>
          <w:lang w:val="en-US" w:eastAsia="zh-CN"/>
        </w:rPr>
        <w:t>二十</w:t>
      </w:r>
      <w:r>
        <w:rPr>
          <w:rFonts w:hint="eastAsia" w:ascii="宋体" w:hAnsi="宋体" w:eastAsia="宋体" w:cs="宋体"/>
          <w:color w:val="auto"/>
          <w:sz w:val="21"/>
          <w:szCs w:val="21"/>
          <w:highlight w:val="none"/>
          <w:u w:val="single"/>
        </w:rPr>
        <w:t>处</w:t>
      </w:r>
      <w:r>
        <w:rPr>
          <w:rFonts w:hint="eastAsia" w:ascii="宋体" w:hAnsi="宋体" w:eastAsia="宋体" w:cs="宋体"/>
          <w:color w:val="auto"/>
          <w:sz w:val="21"/>
          <w:szCs w:val="21"/>
          <w:highlight w:val="none"/>
          <w:u w:val="single"/>
          <w:lang w:val="en-US" w:eastAsia="zh-CN"/>
        </w:rPr>
        <w:t>以违约金</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违约金</w:t>
      </w:r>
      <w:r>
        <w:rPr>
          <w:rFonts w:hint="eastAsia" w:ascii="宋体" w:hAnsi="宋体" w:eastAsia="宋体" w:cs="宋体"/>
          <w:color w:val="auto"/>
          <w:sz w:val="21"/>
          <w:szCs w:val="21"/>
          <w:highlight w:val="none"/>
          <w:u w:val="single"/>
        </w:rPr>
        <w:t>直接从结算款中扣除。</w:t>
      </w:r>
      <w:r>
        <w:rPr>
          <w:rFonts w:hint="eastAsia" w:ascii="Times New Roman" w:hAnsi="宋体" w:eastAsia="宋体" w:cs="宋体"/>
          <w:color w:val="auto"/>
          <w:sz w:val="21"/>
          <w:szCs w:val="21"/>
          <w:highlight w:val="none"/>
          <w:u w:val="single"/>
        </w:rPr>
        <w:t>误期时间</w:t>
      </w:r>
      <w:r>
        <w:rPr>
          <w:rFonts w:hint="eastAsia" w:ascii="Times New Roman" w:hAnsi="宋体" w:eastAsia="宋体" w:cs="宋体"/>
          <w:color w:val="auto"/>
          <w:sz w:val="21"/>
          <w:szCs w:val="21"/>
          <w:highlight w:val="none"/>
          <w:u w:val="single"/>
          <w:lang w:val="en-US" w:eastAsia="zh-CN"/>
        </w:rPr>
        <w:t>指</w:t>
      </w:r>
      <w:r>
        <w:rPr>
          <w:rFonts w:hint="eastAsia" w:ascii="Times New Roman" w:hAnsi="宋体" w:eastAsia="宋体" w:cs="宋体"/>
          <w:color w:val="auto"/>
          <w:sz w:val="21"/>
          <w:szCs w:val="21"/>
          <w:highlight w:val="none"/>
          <w:u w:val="single"/>
        </w:rPr>
        <w:t>从规定竣工日期起直到实际竣工日期</w:t>
      </w:r>
      <w:r>
        <w:rPr>
          <w:rFonts w:hint="eastAsia" w:ascii="Times New Roman" w:hAnsi="宋体" w:eastAsia="宋体" w:cs="宋体"/>
          <w:color w:val="auto"/>
          <w:sz w:val="21"/>
          <w:szCs w:val="21"/>
          <w:highlight w:val="none"/>
          <w:u w:val="single"/>
          <w:lang w:val="en-US" w:eastAsia="zh-CN"/>
        </w:rPr>
        <w:t>止</w:t>
      </w:r>
      <w:r>
        <w:rPr>
          <w:rFonts w:hint="eastAsia" w:ascii="Times New Roman" w:hAnsi="宋体" w:eastAsia="宋体" w:cs="宋体"/>
          <w:color w:val="auto"/>
          <w:sz w:val="21"/>
          <w:szCs w:val="21"/>
          <w:highlight w:val="none"/>
          <w:u w:val="single"/>
        </w:rPr>
        <w:t>的天数（扣除发包人批准顺延的工期）。</w:t>
      </w:r>
      <w:bookmarkEnd w:id="498"/>
      <w:bookmarkEnd w:id="499"/>
      <w:bookmarkEnd w:id="500"/>
      <w:bookmarkEnd w:id="501"/>
      <w:bookmarkEnd w:id="502"/>
      <w:bookmarkEnd w:id="503"/>
      <w:bookmarkEnd w:id="504"/>
      <w:bookmarkEnd w:id="505"/>
      <w:r>
        <w:rPr>
          <w:rFonts w:hint="eastAsia" w:ascii="Times New Roman" w:hAnsi="宋体" w:eastAsia="宋体" w:cs="宋体"/>
          <w:color w:val="auto"/>
          <w:sz w:val="21"/>
          <w:szCs w:val="21"/>
          <w:highlight w:val="none"/>
        </w:rPr>
        <w:t>因承包人原因造成工期延误，逾</w:t>
      </w:r>
      <w:bookmarkStart w:id="506" w:name="_Toc312678014"/>
      <w:bookmarkStart w:id="507" w:name="_Toc318581171"/>
      <w:r>
        <w:rPr>
          <w:rFonts w:hint="eastAsia" w:ascii="Times New Roman" w:hAnsi="宋体" w:eastAsia="宋体" w:cs="宋体"/>
          <w:color w:val="auto"/>
          <w:sz w:val="21"/>
          <w:szCs w:val="21"/>
          <w:highlight w:val="none"/>
        </w:rPr>
        <w:t>期竣工违约金的上限：</w:t>
      </w:r>
      <w:r>
        <w:rPr>
          <w:rFonts w:hint="eastAsia" w:ascii="宋体" w:hAnsi="宋体" w:eastAsia="宋体" w:cs="宋体"/>
          <w:color w:val="auto"/>
          <w:sz w:val="21"/>
          <w:szCs w:val="21"/>
          <w:highlight w:val="none"/>
          <w:u w:val="single"/>
        </w:rPr>
        <w:t>逾期竣工的单项工程结算造价扣除发包人材料价款、暂估专业工程、暂列金额后</w:t>
      </w:r>
      <w:r>
        <w:rPr>
          <w:rFonts w:hint="eastAsia" w:ascii="Times New Roman" w:hAnsi="宋体" w:eastAsia="宋体" w:cs="宋体"/>
          <w:color w:val="auto"/>
          <w:sz w:val="21"/>
          <w:szCs w:val="21"/>
          <w:highlight w:val="none"/>
          <w:u w:val="single"/>
        </w:rPr>
        <w:t>的</w:t>
      </w:r>
      <w:r>
        <w:rPr>
          <w:rFonts w:hint="eastAsia" w:ascii="Times New Roman" w:hAnsi="Times New Roman" w:eastAsia="宋体" w:cs="Times New Roman"/>
          <w:color w:val="auto"/>
          <w:sz w:val="21"/>
          <w:szCs w:val="21"/>
          <w:highlight w:val="none"/>
          <w:u w:val="single"/>
          <w:lang w:val="en-US" w:eastAsia="zh-CN"/>
        </w:rPr>
        <w:t>5</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rPr>
        <w:t>。</w:t>
      </w:r>
      <w:bookmarkEnd w:id="506"/>
      <w:bookmarkEnd w:id="507"/>
    </w:p>
    <w:p w14:paraId="58E11AEA">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508" w:name="_Toc407135230"/>
      <w:bookmarkStart w:id="509" w:name="_Toc373478375"/>
      <w:bookmarkStart w:id="510" w:name="_Toc389065294"/>
      <w:bookmarkStart w:id="511" w:name="_Toc2644"/>
      <w:bookmarkStart w:id="512" w:name="_Toc19613"/>
      <w:bookmarkStart w:id="513" w:name="_Toc1954543271"/>
      <w:bookmarkStart w:id="514" w:name="_Toc373227728"/>
      <w:bookmarkStart w:id="515" w:name="_Toc78449816"/>
      <w:r>
        <w:rPr>
          <w:rFonts w:ascii="Times New Roman" w:hAnsi="Times New Roman" w:eastAsia="黑体" w:cs="Times New Roman"/>
          <w:b/>
          <w:bCs/>
          <w:color w:val="auto"/>
          <w:sz w:val="21"/>
          <w:szCs w:val="21"/>
          <w:highlight w:val="none"/>
          <w:lang w:val="zh-CN" w:eastAsia="zh-CN" w:bidi="ar-SA"/>
        </w:rPr>
        <w:t>7</w:t>
      </w:r>
      <w:bookmarkStart w:id="516" w:name="_Toc304295549"/>
      <w:bookmarkStart w:id="517" w:name="_Toc312678015"/>
      <w:bookmarkStart w:id="518" w:name="_Toc297123519"/>
      <w:bookmarkStart w:id="519" w:name="_Toc297216178"/>
      <w:bookmarkStart w:id="520" w:name="_Toc303539128"/>
      <w:bookmarkStart w:id="521" w:name="_Toc300934971"/>
      <w:r>
        <w:rPr>
          <w:rFonts w:ascii="Times New Roman" w:hAnsi="Times New Roman" w:eastAsia="黑体" w:cs="Times New Roman"/>
          <w:b/>
          <w:bCs/>
          <w:color w:val="auto"/>
          <w:sz w:val="21"/>
          <w:szCs w:val="21"/>
          <w:highlight w:val="none"/>
          <w:lang w:val="zh-CN" w:eastAsia="zh-CN" w:bidi="ar-SA"/>
        </w:rPr>
        <w:t xml:space="preserve">.6 </w:t>
      </w:r>
      <w:r>
        <w:rPr>
          <w:rFonts w:hint="eastAsia" w:ascii="Times New Roman" w:hAnsi="Times New Roman" w:eastAsia="黑体" w:cs="黑体"/>
          <w:b/>
          <w:bCs/>
          <w:color w:val="auto"/>
          <w:sz w:val="21"/>
          <w:szCs w:val="21"/>
          <w:highlight w:val="none"/>
          <w:lang w:val="zh-CN" w:eastAsia="zh-CN" w:bidi="ar-SA"/>
        </w:rPr>
        <w:t>不</w:t>
      </w:r>
      <w:bookmarkEnd w:id="516"/>
      <w:bookmarkEnd w:id="517"/>
      <w:bookmarkEnd w:id="518"/>
      <w:bookmarkEnd w:id="519"/>
      <w:bookmarkEnd w:id="520"/>
      <w:bookmarkEnd w:id="521"/>
      <w:r>
        <w:rPr>
          <w:rFonts w:hint="eastAsia" w:ascii="Times New Roman" w:hAnsi="Times New Roman" w:eastAsia="黑体" w:cs="黑体"/>
          <w:b/>
          <w:bCs/>
          <w:color w:val="auto"/>
          <w:sz w:val="21"/>
          <w:szCs w:val="21"/>
          <w:highlight w:val="none"/>
          <w:lang w:val="zh-CN" w:eastAsia="zh-CN" w:bidi="ar-SA"/>
        </w:rPr>
        <w:t>利物质条件</w:t>
      </w:r>
      <w:bookmarkEnd w:id="508"/>
      <w:bookmarkEnd w:id="509"/>
      <w:bookmarkEnd w:id="510"/>
      <w:bookmarkEnd w:id="511"/>
      <w:bookmarkEnd w:id="512"/>
      <w:bookmarkEnd w:id="513"/>
      <w:bookmarkEnd w:id="514"/>
      <w:bookmarkEnd w:id="515"/>
    </w:p>
    <w:p w14:paraId="7B90BD1F">
      <w:pPr>
        <w:spacing w:line="360" w:lineRule="auto"/>
        <w:ind w:firstLine="420"/>
        <w:jc w:val="left"/>
        <w:rPr>
          <w:rFonts w:ascii="Times New Roman" w:hAnsi="Times New Roman" w:eastAsia="宋体" w:cs="Times New Roman"/>
          <w:color w:val="auto"/>
          <w:sz w:val="21"/>
          <w:szCs w:val="21"/>
          <w:highlight w:val="none"/>
          <w:u w:val="single"/>
        </w:rPr>
      </w:pPr>
      <w:bookmarkStart w:id="522" w:name="_Toc303539129"/>
      <w:bookmarkStart w:id="523" w:name="_Toc300934972"/>
      <w:bookmarkStart w:id="524" w:name="_Toc297123520"/>
      <w:bookmarkStart w:id="525" w:name="_Toc312678016"/>
      <w:bookmarkStart w:id="526" w:name="_Toc304295550"/>
      <w:bookmarkStart w:id="527" w:name="_Toc297216179"/>
      <w:bookmarkStart w:id="528" w:name="_Toc318581172"/>
      <w:r>
        <w:rPr>
          <w:rFonts w:hint="eastAsia" w:ascii="Times New Roman" w:hAnsi="宋体" w:eastAsia="宋体" w:cs="宋体"/>
          <w:color w:val="auto"/>
          <w:sz w:val="21"/>
          <w:szCs w:val="21"/>
          <w:highlight w:val="none"/>
        </w:rPr>
        <w:t>不利物质条件的其他情形和有关约定：</w:t>
      </w:r>
      <w:r>
        <w:rPr>
          <w:rFonts w:hint="eastAsia" w:ascii="Times New Roman" w:hAnsi="Times New Roman" w:eastAsia="宋体" w:cs="Times New Roman"/>
          <w:color w:val="auto"/>
          <w:sz w:val="21"/>
          <w:szCs w:val="21"/>
          <w:highlight w:val="none"/>
          <w:u w:val="single"/>
        </w:rPr>
        <w:t>招标文件中已明确或投标文件承包人承诺完成，但暂未计入报价的项目不作为顺延工期的理由。雨雪、冰雹、台风、高温天气、低温天气、停水、停电、节假日、扰民和民扰、市政影响等不利因素等在总工期内，不另外考虑。如遇国家和政府要求短期（临时）停工的，双方协商处理</w:t>
      </w:r>
      <w:r>
        <w:rPr>
          <w:rFonts w:hint="eastAsia" w:ascii="Times New Roman" w:hAnsi="宋体" w:eastAsia="宋体" w:cs="宋体"/>
          <w:color w:val="auto"/>
          <w:sz w:val="21"/>
          <w:szCs w:val="21"/>
          <w:highlight w:val="none"/>
        </w:rPr>
        <w:t>。</w:t>
      </w:r>
      <w:bookmarkEnd w:id="522"/>
      <w:bookmarkEnd w:id="523"/>
      <w:bookmarkEnd w:id="524"/>
      <w:bookmarkEnd w:id="525"/>
      <w:bookmarkEnd w:id="526"/>
      <w:bookmarkEnd w:id="527"/>
      <w:bookmarkEnd w:id="528"/>
    </w:p>
    <w:p w14:paraId="55DB2CB6">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529" w:name="_Toc23270"/>
      <w:bookmarkStart w:id="530" w:name="_Toc78449817"/>
      <w:bookmarkStart w:id="531" w:name="_Toc389065295"/>
      <w:bookmarkStart w:id="532" w:name="_Toc1120"/>
      <w:bookmarkStart w:id="533" w:name="_Toc373478376"/>
      <w:bookmarkStart w:id="534" w:name="_Toc407135231"/>
      <w:bookmarkStart w:id="535" w:name="_Toc373227729"/>
      <w:bookmarkStart w:id="536" w:name="_Toc851880484"/>
      <w:r>
        <w:rPr>
          <w:rFonts w:ascii="Times New Roman" w:hAnsi="Times New Roman" w:eastAsia="黑体" w:cs="Times New Roman"/>
          <w:b/>
          <w:bCs/>
          <w:color w:val="auto"/>
          <w:sz w:val="21"/>
          <w:szCs w:val="21"/>
          <w:highlight w:val="none"/>
          <w:lang w:val="zh-CN" w:eastAsia="zh-CN" w:bidi="ar-SA"/>
        </w:rPr>
        <w:t>7</w:t>
      </w:r>
      <w:bookmarkStart w:id="537" w:name="_Toc303539130"/>
      <w:bookmarkStart w:id="538" w:name="_Toc312678017"/>
      <w:bookmarkStart w:id="539" w:name="_Toc297216180"/>
      <w:bookmarkStart w:id="540" w:name="_Toc297123521"/>
      <w:bookmarkStart w:id="541" w:name="_Toc304295551"/>
      <w:bookmarkStart w:id="542" w:name="_Toc300934973"/>
      <w:r>
        <w:rPr>
          <w:rFonts w:ascii="Times New Roman" w:hAnsi="Times New Roman" w:eastAsia="黑体" w:cs="Times New Roman"/>
          <w:b/>
          <w:bCs/>
          <w:color w:val="auto"/>
          <w:sz w:val="21"/>
          <w:szCs w:val="21"/>
          <w:highlight w:val="none"/>
          <w:lang w:val="zh-CN" w:eastAsia="zh-CN" w:bidi="ar-SA"/>
        </w:rPr>
        <w:t xml:space="preserve">.7 </w:t>
      </w:r>
      <w:r>
        <w:rPr>
          <w:rFonts w:hint="eastAsia" w:ascii="Times New Roman" w:hAnsi="Times New Roman" w:eastAsia="黑体" w:cs="黑体"/>
          <w:b/>
          <w:bCs/>
          <w:color w:val="auto"/>
          <w:sz w:val="21"/>
          <w:szCs w:val="21"/>
          <w:highlight w:val="none"/>
          <w:lang w:val="zh-CN" w:eastAsia="zh-CN" w:bidi="ar-SA"/>
        </w:rPr>
        <w:t>异常恶劣的气候条件</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344BABD1">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发包人和承包人同意以下情形视为异常恶劣的气候条件：</w:t>
      </w:r>
    </w:p>
    <w:p w14:paraId="5B0B309D">
      <w:pPr>
        <w:spacing w:line="360" w:lineRule="auto"/>
        <w:ind w:firstLine="42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（1）日降雨量大于200㎜的雨日超过 1 天；</w:t>
      </w:r>
    </w:p>
    <w:p w14:paraId="077E75D1">
      <w:pPr>
        <w:spacing w:line="360" w:lineRule="auto"/>
        <w:ind w:firstLine="42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（2）7 级以上的大风（以气象部门鉴定为准）；</w:t>
      </w:r>
    </w:p>
    <w:p w14:paraId="0CB4DBE0">
      <w:pPr>
        <w:spacing w:line="360" w:lineRule="auto"/>
        <w:ind w:firstLine="42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（3）日气温超过 40 ℃的高温大于 2 天；</w:t>
      </w:r>
    </w:p>
    <w:p w14:paraId="1406F858">
      <w:pPr>
        <w:spacing w:line="360" w:lineRule="auto"/>
        <w:ind w:firstLine="42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（4）造成工程损坏的冰雹和大雪灾害；</w:t>
      </w:r>
    </w:p>
    <w:p w14:paraId="6262D4AF">
      <w:pPr>
        <w:spacing w:line="360" w:lineRule="auto"/>
        <w:ind w:firstLine="42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（5）其他异常恶劣气候灾害。</w:t>
      </w:r>
    </w:p>
    <w:p w14:paraId="48A2105F">
      <w:pPr>
        <w:spacing w:line="360" w:lineRule="auto"/>
        <w:ind w:firstLine="420"/>
        <w:jc w:val="left"/>
        <w:rPr>
          <w:rFonts w:ascii="Times New Roman" w:hAnsi="Times New Roman" w:eastAsia="宋体" w:cs="Times New Roman"/>
          <w:color w:val="auto"/>
          <w:sz w:val="21"/>
          <w:szCs w:val="21"/>
          <w:highlight w:val="none"/>
          <w:u w:val="none"/>
        </w:rPr>
      </w:pPr>
      <w:r>
        <w:rPr>
          <w:rFonts w:hint="eastAsia" w:ascii="Times New Roman" w:hAnsi="宋体" w:eastAsia="宋体" w:cs="宋体"/>
          <w:color w:val="auto"/>
          <w:sz w:val="21"/>
          <w:szCs w:val="21"/>
          <w:highlight w:val="none"/>
          <w:u w:val="single"/>
          <w:lang w:eastAsia="zh-CN"/>
        </w:rPr>
        <w:t>以上异常恶劣的气候的认定以承包人提交给发包人的证明（并附有当地气象部门出具的材料）为准</w:t>
      </w:r>
      <w:r>
        <w:rPr>
          <w:rFonts w:hint="eastAsia" w:ascii="Times New Roman" w:hAnsi="宋体" w:eastAsia="宋体" w:cs="宋体"/>
          <w:color w:val="auto"/>
          <w:sz w:val="21"/>
          <w:szCs w:val="21"/>
          <w:highlight w:val="none"/>
          <w:u w:val="none"/>
          <w:lang w:eastAsia="zh-CN"/>
        </w:rPr>
        <w:t>。</w:t>
      </w:r>
    </w:p>
    <w:p w14:paraId="6522DD93">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en-US" w:eastAsia="zh-CN" w:bidi="ar-SA"/>
        </w:rPr>
      </w:pPr>
      <w:bookmarkStart w:id="543" w:name="_Toc407135232"/>
      <w:bookmarkStart w:id="544" w:name="_Toc13996"/>
      <w:bookmarkStart w:id="545" w:name="_Toc373478377"/>
      <w:bookmarkStart w:id="546" w:name="_Toc373227730"/>
      <w:bookmarkStart w:id="547" w:name="_Toc657185480"/>
      <w:bookmarkStart w:id="548" w:name="_Toc389065296"/>
      <w:bookmarkStart w:id="549" w:name="_Toc26066"/>
      <w:bookmarkStart w:id="550" w:name="_Toc78449818"/>
      <w:r>
        <w:rPr>
          <w:rFonts w:ascii="Times New Roman" w:hAnsi="Times New Roman" w:eastAsia="黑体" w:cs="Times New Roman"/>
          <w:b/>
          <w:bCs/>
          <w:color w:val="auto"/>
          <w:sz w:val="21"/>
          <w:szCs w:val="21"/>
          <w:highlight w:val="none"/>
          <w:lang w:val="en-US" w:eastAsia="zh-CN" w:bidi="ar-SA"/>
        </w:rPr>
        <w:t xml:space="preserve">7.9 </w:t>
      </w:r>
      <w:r>
        <w:rPr>
          <w:rFonts w:hint="eastAsia" w:ascii="Times New Roman" w:hAnsi="宋体" w:eastAsia="黑体" w:cs="黑体"/>
          <w:b/>
          <w:bCs/>
          <w:color w:val="auto"/>
          <w:sz w:val="21"/>
          <w:szCs w:val="21"/>
          <w:highlight w:val="none"/>
          <w:lang w:val="zh-CN" w:eastAsia="zh-CN" w:bidi="ar-SA"/>
        </w:rPr>
        <w:t>提前竣工</w:t>
      </w:r>
      <w:bookmarkEnd w:id="543"/>
      <w:bookmarkEnd w:id="544"/>
      <w:bookmarkEnd w:id="545"/>
      <w:bookmarkEnd w:id="546"/>
      <w:bookmarkEnd w:id="547"/>
      <w:bookmarkEnd w:id="548"/>
      <w:bookmarkEnd w:id="549"/>
      <w:bookmarkEnd w:id="550"/>
    </w:p>
    <w:p w14:paraId="011E2E73">
      <w:pPr>
        <w:spacing w:line="360" w:lineRule="auto"/>
        <w:ind w:firstLine="420"/>
        <w:jc w:val="left"/>
        <w:rPr>
          <w:rFonts w:ascii="Times New Roman" w:hAnsi="宋体" w:eastAsia="宋体" w:cs="Times New Roman"/>
          <w:color w:val="auto"/>
          <w:sz w:val="21"/>
          <w:szCs w:val="21"/>
          <w:highlight w:val="none"/>
        </w:rPr>
      </w:pPr>
      <w:r>
        <w:rPr>
          <w:rFonts w:ascii="Times New Roman" w:hAnsi="Times New Roman" w:eastAsia="宋体" w:cs="Times New Roman"/>
          <w:color w:val="auto"/>
          <w:sz w:val="21"/>
          <w:szCs w:val="21"/>
          <w:highlight w:val="none"/>
        </w:rPr>
        <w:t>7.9.2</w:t>
      </w:r>
      <w:r>
        <w:rPr>
          <w:rFonts w:hint="eastAsia" w:ascii="Times New Roman" w:hAnsi="宋体" w:eastAsia="宋体" w:cs="宋体"/>
          <w:color w:val="auto"/>
          <w:sz w:val="21"/>
          <w:szCs w:val="21"/>
          <w:highlight w:val="none"/>
        </w:rPr>
        <w:t>提前竣工（赶工）增加费的计算方法：</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124055DC">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551" w:name="_Toc17641"/>
      <w:bookmarkStart w:id="552" w:name="_Toc78449819"/>
      <w:bookmarkStart w:id="553" w:name="_Toc407135233"/>
      <w:bookmarkStart w:id="554" w:name="_Toc351203640"/>
      <w:bookmarkStart w:id="555" w:name="_Toc373478378"/>
      <w:bookmarkStart w:id="556" w:name="_Toc373227731"/>
      <w:bookmarkStart w:id="557" w:name="_Toc389065297"/>
      <w:bookmarkStart w:id="558" w:name="_Toc1302158431"/>
      <w:r>
        <w:rPr>
          <w:rFonts w:ascii="Arial" w:hAnsi="Arial" w:eastAsia="黑体" w:cs="Times New Roman"/>
          <w:b/>
          <w:bCs/>
          <w:color w:val="auto"/>
          <w:sz w:val="21"/>
          <w:szCs w:val="21"/>
          <w:highlight w:val="none"/>
          <w:lang w:val="zh-CN" w:eastAsia="zh-CN" w:bidi="ar-SA"/>
        </w:rPr>
        <w:t xml:space="preserve">8. </w:t>
      </w:r>
      <w:r>
        <w:rPr>
          <w:rFonts w:hint="eastAsia" w:ascii="Arial" w:hAnsi="Arial" w:eastAsia="黑体" w:cs="黑体"/>
          <w:b/>
          <w:bCs/>
          <w:color w:val="auto"/>
          <w:sz w:val="21"/>
          <w:szCs w:val="21"/>
          <w:highlight w:val="none"/>
          <w:lang w:val="zh-CN" w:eastAsia="zh-CN" w:bidi="ar-SA"/>
        </w:rPr>
        <w:t>材料与设备</w:t>
      </w:r>
      <w:bookmarkEnd w:id="384"/>
      <w:bookmarkEnd w:id="385"/>
      <w:bookmarkEnd w:id="386"/>
      <w:bookmarkEnd w:id="387"/>
      <w:bookmarkEnd w:id="388"/>
      <w:bookmarkEnd w:id="389"/>
      <w:bookmarkEnd w:id="390"/>
      <w:bookmarkEnd w:id="391"/>
      <w:bookmarkEnd w:id="392"/>
      <w:bookmarkEnd w:id="393"/>
      <w:bookmarkEnd w:id="551"/>
      <w:bookmarkEnd w:id="552"/>
      <w:bookmarkEnd w:id="553"/>
      <w:bookmarkEnd w:id="554"/>
      <w:bookmarkEnd w:id="555"/>
      <w:bookmarkEnd w:id="556"/>
      <w:bookmarkEnd w:id="557"/>
      <w:bookmarkEnd w:id="558"/>
    </w:p>
    <w:p w14:paraId="712245B3">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559" w:name="_Toc389065298"/>
      <w:bookmarkStart w:id="560" w:name="_Toc407135234"/>
      <w:bookmarkStart w:id="561" w:name="_Toc373478379"/>
      <w:bookmarkStart w:id="562" w:name="_Toc78449820"/>
      <w:bookmarkStart w:id="563" w:name="_Toc1743"/>
      <w:bookmarkStart w:id="564" w:name="_Toc1119561048"/>
      <w:bookmarkStart w:id="565" w:name="_Toc295"/>
      <w:bookmarkStart w:id="566" w:name="_Toc373227732"/>
      <w:r>
        <w:rPr>
          <w:rFonts w:ascii="Times New Roman" w:hAnsi="Times New Roman" w:eastAsia="黑体" w:cs="Times New Roman"/>
          <w:b/>
          <w:bCs/>
          <w:color w:val="auto"/>
          <w:sz w:val="21"/>
          <w:szCs w:val="21"/>
          <w:highlight w:val="none"/>
          <w:lang w:val="zh-CN" w:eastAsia="zh-CN" w:bidi="ar-SA"/>
        </w:rPr>
        <w:t xml:space="preserve">8.2 </w:t>
      </w:r>
      <w:r>
        <w:rPr>
          <w:rFonts w:hint="eastAsia" w:ascii="Times New Roman" w:hAnsi="Times New Roman" w:eastAsia="黑体" w:cs="黑体"/>
          <w:b/>
          <w:bCs/>
          <w:color w:val="auto"/>
          <w:sz w:val="21"/>
          <w:szCs w:val="21"/>
          <w:highlight w:val="none"/>
          <w:lang w:val="zh-CN" w:eastAsia="zh-CN" w:bidi="ar-SA"/>
        </w:rPr>
        <w:t>承包人采购材料与工程设备</w:t>
      </w:r>
      <w:bookmarkEnd w:id="559"/>
      <w:bookmarkEnd w:id="560"/>
      <w:bookmarkEnd w:id="561"/>
      <w:bookmarkEnd w:id="562"/>
      <w:bookmarkEnd w:id="563"/>
      <w:bookmarkEnd w:id="564"/>
      <w:bookmarkEnd w:id="565"/>
      <w:bookmarkEnd w:id="566"/>
    </w:p>
    <w:p w14:paraId="343272B0">
      <w:pPr>
        <w:spacing w:line="360" w:lineRule="auto"/>
        <w:ind w:firstLine="420"/>
        <w:jc w:val="left"/>
        <w:rPr>
          <w:rFonts w:hint="eastAsia" w:ascii="Times New Roman" w:hAnsi="Times New Roman" w:eastAsia="宋体" w:cs="宋体"/>
          <w:color w:val="auto"/>
          <w:sz w:val="21"/>
          <w:szCs w:val="21"/>
          <w:highlight w:val="none"/>
        </w:rPr>
      </w:pPr>
      <w:r>
        <w:rPr>
          <w:rFonts w:hint="eastAsia" w:ascii="Times New Roman" w:hAnsi="Times New Roman" w:eastAsia="宋体" w:cs="宋体"/>
          <w:color w:val="auto"/>
          <w:sz w:val="21"/>
          <w:szCs w:val="21"/>
          <w:highlight w:val="none"/>
        </w:rPr>
        <w:t>除已标价工程量清单《发包人提供主要材料和工程设备一览表》（表</w:t>
      </w:r>
      <w:r>
        <w:rPr>
          <w:rFonts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15</w:t>
      </w:r>
      <w:r>
        <w:rPr>
          <w:rFonts w:hint="eastAsia" w:ascii="Times New Roman" w:hAnsi="Times New Roman" w:eastAsia="宋体" w:cs="宋体"/>
          <w:color w:val="auto"/>
          <w:sz w:val="21"/>
          <w:szCs w:val="21"/>
          <w:highlight w:val="none"/>
        </w:rPr>
        <w:t>）中明确的材料、工程设备外，由承包人负责材料和工程设备的采购、运输和保管。</w:t>
      </w:r>
      <w:bookmarkStart w:id="567" w:name="_Toc373227733"/>
      <w:bookmarkStart w:id="568" w:name="_Toc389065299"/>
      <w:bookmarkStart w:id="569" w:name="_Toc373478380"/>
    </w:p>
    <w:p w14:paraId="02E2EACF">
      <w:pPr>
        <w:spacing w:line="360" w:lineRule="auto"/>
        <w:ind w:firstLine="420"/>
        <w:jc w:val="left"/>
        <w:rPr>
          <w:rFonts w:ascii="Times New Roman" w:hAnsi="Times New Roman" w:eastAsia="宋体" w:cs="宋体"/>
          <w:color w:val="auto"/>
          <w:sz w:val="21"/>
          <w:szCs w:val="21"/>
          <w:highlight w:val="none"/>
        </w:rPr>
      </w:pPr>
      <w:r>
        <w:rPr>
          <w:rFonts w:hint="eastAsia" w:ascii="Times New Roman" w:hAnsi="Times New Roman" w:eastAsia="宋体" w:cs="宋体"/>
          <w:color w:val="auto"/>
          <w:sz w:val="21"/>
          <w:szCs w:val="21"/>
          <w:highlight w:val="none"/>
        </w:rPr>
        <w:t>对发包人在招标时有</w:t>
      </w:r>
      <w:r>
        <w:rPr>
          <w:rFonts w:hint="eastAsia" w:ascii="Times New Roman" w:hAnsi="Times New Roman" w:eastAsia="宋体" w:cs="宋体"/>
          <w:color w:val="auto"/>
          <w:sz w:val="21"/>
          <w:szCs w:val="21"/>
          <w:highlight w:val="none"/>
          <w:lang w:eastAsia="zh-CN"/>
        </w:rPr>
        <w:t>“</w:t>
      </w:r>
      <w:r>
        <w:rPr>
          <w:rFonts w:hint="eastAsia" w:ascii="Times New Roman" w:hAnsi="Times New Roman" w:eastAsia="宋体" w:cs="宋体"/>
          <w:color w:val="auto"/>
          <w:sz w:val="21"/>
          <w:szCs w:val="21"/>
          <w:highlight w:val="none"/>
        </w:rPr>
        <w:t>参照或相当于</w:t>
      </w:r>
      <w:r>
        <w:rPr>
          <w:rFonts w:ascii="Times New Roman" w:hAnsi="Times New Roman" w:eastAsia="宋体" w:cs="Times New Roman"/>
          <w:color w:val="auto"/>
          <w:sz w:val="21"/>
          <w:szCs w:val="21"/>
          <w:highlight w:val="none"/>
        </w:rPr>
        <w:t>**</w:t>
      </w:r>
      <w:r>
        <w:rPr>
          <w:rFonts w:hint="eastAsia" w:ascii="Times New Roman" w:hAnsi="Times New Roman" w:eastAsia="宋体" w:cs="宋体"/>
          <w:color w:val="auto"/>
          <w:sz w:val="21"/>
          <w:szCs w:val="21"/>
          <w:highlight w:val="none"/>
        </w:rPr>
        <w:t>品牌、级别</w:t>
      </w:r>
      <w:r>
        <w:rPr>
          <w:rFonts w:hint="eastAsia" w:ascii="Times New Roman" w:hAnsi="Times New Roman" w:eastAsia="宋体" w:cs="宋体"/>
          <w:color w:val="auto"/>
          <w:sz w:val="21"/>
          <w:szCs w:val="21"/>
          <w:highlight w:val="none"/>
          <w:lang w:eastAsia="zh-CN"/>
        </w:rPr>
        <w:t>”</w:t>
      </w:r>
      <w:r>
        <w:rPr>
          <w:rFonts w:hint="eastAsia" w:ascii="Times New Roman" w:hAnsi="Times New Roman" w:eastAsia="宋体" w:cs="宋体"/>
          <w:color w:val="auto"/>
          <w:sz w:val="21"/>
          <w:szCs w:val="21"/>
          <w:highlight w:val="none"/>
        </w:rPr>
        <w:t>约定的材料或设备，承包人采购时必须按类似于或优于所约定品牌、等级进行采购，施工期间该部分材料或设备如未超过招标约定的风险幅度的，结算时按投标单价支付，不得调整。</w:t>
      </w:r>
    </w:p>
    <w:p w14:paraId="4E0DD218">
      <w:pPr>
        <w:spacing w:line="360" w:lineRule="auto"/>
        <w:ind w:firstLine="420"/>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禁止使用松木、松木包装材料设备、种子、苗木、花卉及繁殖材料。</w:t>
      </w:r>
    </w:p>
    <w:p w14:paraId="6302907A">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570" w:name="_Toc10054"/>
      <w:bookmarkStart w:id="571" w:name="_Toc800965933"/>
      <w:bookmarkStart w:id="572" w:name="_Toc78449821"/>
      <w:bookmarkStart w:id="573" w:name="_Toc407135235"/>
      <w:bookmarkStart w:id="574" w:name="_Toc14200"/>
      <w:r>
        <w:rPr>
          <w:rFonts w:ascii="Times New Roman" w:hAnsi="Times New Roman" w:eastAsia="黑体" w:cs="Times New Roman"/>
          <w:b/>
          <w:bCs/>
          <w:color w:val="auto"/>
          <w:sz w:val="21"/>
          <w:szCs w:val="21"/>
          <w:highlight w:val="none"/>
          <w:lang w:val="zh-CN" w:eastAsia="zh-CN" w:bidi="ar-SA"/>
        </w:rPr>
        <w:t>8</w:t>
      </w:r>
      <w:bookmarkStart w:id="575" w:name="_Toc297048353"/>
      <w:bookmarkStart w:id="576" w:name="_Toc300934979"/>
      <w:bookmarkStart w:id="577" w:name="_Toc292559877"/>
      <w:bookmarkStart w:id="578" w:name="_Toc297120467"/>
      <w:bookmarkStart w:id="579" w:name="_Toc297123527"/>
      <w:bookmarkStart w:id="580" w:name="_Toc312678019"/>
      <w:bookmarkStart w:id="581" w:name="_Toc280868654"/>
      <w:bookmarkStart w:id="582" w:name="_Toc304295556"/>
      <w:bookmarkStart w:id="583" w:name="_Toc296346668"/>
      <w:bookmarkStart w:id="584" w:name="_Toc292559372"/>
      <w:bookmarkStart w:id="585" w:name="_Toc296891207"/>
      <w:bookmarkStart w:id="586" w:name="_Toc303539136"/>
      <w:bookmarkStart w:id="587" w:name="_Toc296503167"/>
      <w:bookmarkStart w:id="588" w:name="_Toc296347166"/>
      <w:bookmarkStart w:id="589" w:name="_Toc296944506"/>
      <w:bookmarkStart w:id="590" w:name="_Toc297216186"/>
      <w:bookmarkStart w:id="591" w:name="_Toc312677493"/>
      <w:bookmarkStart w:id="592" w:name="_Toc296890995"/>
      <w:bookmarkStart w:id="593" w:name="_Toc280868655"/>
      <w:bookmarkStart w:id="594" w:name="_Toc267251424"/>
      <w:bookmarkStart w:id="595" w:name="_Toc280868656"/>
      <w:r>
        <w:rPr>
          <w:rFonts w:ascii="Times New Roman" w:hAnsi="Times New Roman" w:eastAsia="黑体" w:cs="Times New Roman"/>
          <w:b/>
          <w:bCs/>
          <w:color w:val="auto"/>
          <w:sz w:val="21"/>
          <w:szCs w:val="21"/>
          <w:highlight w:val="none"/>
          <w:lang w:val="zh-CN" w:eastAsia="zh-CN" w:bidi="ar-SA"/>
        </w:rPr>
        <w:t xml:space="preserve">.4 </w:t>
      </w:r>
      <w:r>
        <w:rPr>
          <w:rFonts w:hint="eastAsia" w:ascii="Times New Roman" w:hAnsi="Times New Roman" w:eastAsia="黑体" w:cs="黑体"/>
          <w:b/>
          <w:bCs/>
          <w:color w:val="auto"/>
          <w:sz w:val="21"/>
          <w:szCs w:val="21"/>
          <w:highlight w:val="none"/>
          <w:lang w:val="zh-CN" w:eastAsia="zh-CN" w:bidi="ar-SA"/>
        </w:rPr>
        <w:t>材料与工程设备的保管与使用</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14:paraId="7BED8A17">
      <w:pPr>
        <w:spacing w:line="360" w:lineRule="auto"/>
        <w:ind w:firstLine="420"/>
        <w:jc w:val="left"/>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8</w:t>
      </w:r>
      <w:bookmarkStart w:id="596" w:name="_Toc292559373"/>
      <w:bookmarkStart w:id="597" w:name="_Toc292559878"/>
      <w:bookmarkStart w:id="598" w:name="_Toc303539137"/>
      <w:bookmarkStart w:id="599" w:name="_Toc297048354"/>
      <w:bookmarkStart w:id="600" w:name="_Toc296346669"/>
      <w:bookmarkStart w:id="601" w:name="_Toc318581173"/>
      <w:bookmarkStart w:id="602" w:name="_Toc300934980"/>
      <w:bookmarkStart w:id="603" w:name="_Toc312678020"/>
      <w:bookmarkStart w:id="604" w:name="_Toc296891208"/>
      <w:bookmarkStart w:id="605" w:name="_Toc296347167"/>
      <w:bookmarkStart w:id="606" w:name="_Toc296503168"/>
      <w:bookmarkStart w:id="607" w:name="_Toc296890996"/>
      <w:bookmarkStart w:id="608" w:name="_Toc297216187"/>
      <w:bookmarkStart w:id="609" w:name="_Toc312677494"/>
      <w:bookmarkStart w:id="610" w:name="_Toc304295557"/>
      <w:bookmarkStart w:id="611" w:name="_Toc296944507"/>
      <w:bookmarkStart w:id="612" w:name="_Toc297120468"/>
      <w:bookmarkStart w:id="613" w:name="_Toc297123528"/>
      <w:r>
        <w:rPr>
          <w:rFonts w:ascii="Times New Roman" w:hAnsi="Times New Roman" w:eastAsia="宋体" w:cs="Times New Roman"/>
          <w:color w:val="auto"/>
          <w:sz w:val="21"/>
          <w:szCs w:val="21"/>
          <w:highlight w:val="none"/>
        </w:rPr>
        <w:t>.4.1</w:t>
      </w:r>
      <w:r>
        <w:rPr>
          <w:rFonts w:hint="eastAsia" w:ascii="Times New Roman" w:hAnsi="宋体" w:eastAsia="宋体" w:cs="宋体"/>
          <w:color w:val="auto"/>
          <w:sz w:val="21"/>
          <w:szCs w:val="21"/>
          <w:highlight w:val="none"/>
        </w:rPr>
        <w:t>发包人供应的材料设备的保管费用的承担：</w:t>
      </w:r>
      <w:r>
        <w:rPr>
          <w:rFonts w:hint="eastAsia" w:ascii="Times New Roman" w:hAnsi="Times New Roman" w:eastAsia="宋体" w:cs="Times New Roman"/>
          <w:color w:val="auto"/>
          <w:sz w:val="21"/>
          <w:szCs w:val="21"/>
          <w:highlight w:val="none"/>
          <w:u w:val="single"/>
        </w:rPr>
        <w:t>由承包人承担</w:t>
      </w:r>
      <w:r>
        <w:rPr>
          <w:rFonts w:hint="eastAsia" w:ascii="Times New Roman" w:hAnsi="宋体" w:eastAsia="宋体" w:cs="宋体"/>
          <w:color w:val="auto"/>
          <w:sz w:val="21"/>
          <w:szCs w:val="21"/>
          <w:highlight w:val="none"/>
        </w:rPr>
        <w:t>。</w:t>
      </w:r>
      <w:bookmarkEnd w:id="596"/>
      <w:bookmarkEnd w:id="597"/>
    </w:p>
    <w:p w14:paraId="086BCB7B">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614" w:name="_Toc78449822"/>
      <w:bookmarkStart w:id="615" w:name="_Toc18522"/>
      <w:bookmarkStart w:id="616" w:name="_Toc373478381"/>
      <w:bookmarkStart w:id="617" w:name="_Toc125914831"/>
      <w:bookmarkStart w:id="618" w:name="_Toc389065300"/>
      <w:bookmarkStart w:id="619" w:name="_Toc373227734"/>
      <w:bookmarkStart w:id="620" w:name="_Toc13223"/>
      <w:bookmarkStart w:id="621" w:name="_Toc407135236"/>
      <w:r>
        <w:rPr>
          <w:rFonts w:ascii="Times New Roman" w:hAnsi="Times New Roman" w:eastAsia="黑体" w:cs="Times New Roman"/>
          <w:b/>
          <w:bCs/>
          <w:color w:val="auto"/>
          <w:sz w:val="21"/>
          <w:szCs w:val="21"/>
          <w:highlight w:val="none"/>
          <w:lang w:val="zh-CN" w:eastAsia="zh-CN" w:bidi="ar-SA"/>
        </w:rPr>
        <w:t xml:space="preserve">8.6 </w:t>
      </w:r>
      <w:r>
        <w:rPr>
          <w:rFonts w:hint="eastAsia" w:ascii="Times New Roman" w:hAnsi="宋体" w:eastAsia="黑体" w:cs="黑体"/>
          <w:b/>
          <w:bCs/>
          <w:color w:val="auto"/>
          <w:sz w:val="21"/>
          <w:szCs w:val="21"/>
          <w:highlight w:val="none"/>
          <w:lang w:val="zh-CN" w:eastAsia="zh-CN" w:bidi="ar-SA"/>
        </w:rPr>
        <w:t>样品</w:t>
      </w:r>
      <w:bookmarkEnd w:id="614"/>
      <w:bookmarkEnd w:id="615"/>
      <w:bookmarkEnd w:id="616"/>
      <w:bookmarkEnd w:id="617"/>
      <w:bookmarkEnd w:id="618"/>
      <w:bookmarkEnd w:id="619"/>
      <w:bookmarkEnd w:id="620"/>
      <w:bookmarkEnd w:id="621"/>
    </w:p>
    <w:p w14:paraId="14621404">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8.6.1 </w:t>
      </w:r>
      <w:r>
        <w:rPr>
          <w:rFonts w:hint="eastAsia" w:ascii="Times New Roman" w:hAnsi="宋体" w:eastAsia="宋体" w:cs="宋体"/>
          <w:color w:val="auto"/>
          <w:sz w:val="21"/>
          <w:szCs w:val="21"/>
          <w:highlight w:val="none"/>
        </w:rPr>
        <w:t>样品的报送与封存</w:t>
      </w:r>
    </w:p>
    <w:p w14:paraId="6B799176">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需要承包人报送样品的材料或工程设备，样品的种类、名称、规格、数量要求：</w:t>
      </w:r>
      <w:r>
        <w:rPr>
          <w:rFonts w:hint="eastAsia" w:ascii="Times New Roman" w:hAnsi="宋体" w:eastAsia="宋体" w:cs="宋体"/>
          <w:color w:val="auto"/>
          <w:sz w:val="21"/>
          <w:szCs w:val="21"/>
          <w:highlight w:val="none"/>
          <w:u w:val="single"/>
        </w:rPr>
        <w:t>主要材料涉及品种、款式、颜色等方面内容的，承包人应提交准备合格的材料样品送发包人选定。</w:t>
      </w:r>
    </w:p>
    <w:p w14:paraId="311934F8">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622" w:name="_Toc373227735"/>
      <w:bookmarkStart w:id="623" w:name="_Toc32490"/>
      <w:bookmarkStart w:id="624" w:name="_Toc78449823"/>
      <w:bookmarkStart w:id="625" w:name="_Toc1049576644"/>
      <w:bookmarkStart w:id="626" w:name="_Toc389065301"/>
      <w:bookmarkStart w:id="627" w:name="_Toc373478382"/>
      <w:bookmarkStart w:id="628" w:name="_Toc23716"/>
      <w:bookmarkStart w:id="629" w:name="_Toc407135237"/>
      <w:r>
        <w:rPr>
          <w:rFonts w:ascii="Times New Roman" w:hAnsi="Times New Roman" w:eastAsia="黑体" w:cs="Times New Roman"/>
          <w:b/>
          <w:bCs/>
          <w:color w:val="auto"/>
          <w:sz w:val="21"/>
          <w:szCs w:val="21"/>
          <w:highlight w:val="none"/>
          <w:lang w:val="zh-CN" w:eastAsia="zh-CN" w:bidi="ar-SA"/>
        </w:rPr>
        <w:t xml:space="preserve">8.8 </w:t>
      </w:r>
      <w:r>
        <w:rPr>
          <w:rFonts w:hint="eastAsia" w:ascii="Times New Roman" w:hAnsi="Times New Roman" w:eastAsia="黑体" w:cs="黑体"/>
          <w:b/>
          <w:bCs/>
          <w:color w:val="auto"/>
          <w:sz w:val="21"/>
          <w:szCs w:val="21"/>
          <w:highlight w:val="none"/>
          <w:lang w:val="zh-CN" w:eastAsia="zh-CN" w:bidi="ar-SA"/>
        </w:rPr>
        <w:t>施工设备和临时设施</w:t>
      </w:r>
      <w:bookmarkEnd w:id="622"/>
      <w:bookmarkEnd w:id="623"/>
      <w:bookmarkEnd w:id="624"/>
      <w:bookmarkEnd w:id="625"/>
      <w:bookmarkEnd w:id="626"/>
      <w:bookmarkEnd w:id="627"/>
      <w:bookmarkEnd w:id="628"/>
      <w:bookmarkEnd w:id="629"/>
    </w:p>
    <w:p w14:paraId="22320B5A">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8.8.1 </w:t>
      </w:r>
      <w:r>
        <w:rPr>
          <w:rFonts w:hint="eastAsia" w:ascii="Times New Roman" w:hAnsi="宋体" w:eastAsia="宋体" w:cs="宋体"/>
          <w:color w:val="auto"/>
          <w:sz w:val="21"/>
          <w:szCs w:val="21"/>
          <w:highlight w:val="none"/>
        </w:rPr>
        <w:t>承包人提供的施工设备和临时设施</w:t>
      </w:r>
    </w:p>
    <w:p w14:paraId="43D8F4CB">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除专用合同条款另有约定的其他独立承包人和监理人指示的他人提供条件外，承包人运入施工场地的所有施工设备以及在施工场地建设的临时设施仅限于用于合同工程。</w:t>
      </w:r>
      <w:r>
        <w:rPr>
          <w:rFonts w:hint="eastAsia" w:ascii="宋体" w:hAnsi="宋体" w:eastAsia="宋体" w:cs="宋体"/>
          <w:color w:val="auto"/>
          <w:sz w:val="21"/>
          <w:szCs w:val="21"/>
          <w:highlight w:val="none"/>
        </w:rPr>
        <w:t>承包人用于本工程的主要机械设备清单见合同附件4。</w:t>
      </w:r>
    </w:p>
    <w:p w14:paraId="2766E73B">
      <w:pPr>
        <w:spacing w:line="360" w:lineRule="auto"/>
        <w:ind w:firstLine="420"/>
        <w:jc w:val="left"/>
        <w:rPr>
          <w:rFonts w:hint="eastAsia"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关于修建临时设施费用承担的约定：</w:t>
      </w:r>
      <w:r>
        <w:rPr>
          <w:rFonts w:hint="eastAsia" w:ascii="Times New Roman" w:hAnsi="Times New Roman" w:eastAsia="宋体" w:cs="Times New Roman"/>
          <w:color w:val="auto"/>
          <w:sz w:val="21"/>
          <w:szCs w:val="21"/>
          <w:highlight w:val="none"/>
          <w:u w:val="single"/>
        </w:rPr>
        <w:t>①承包人负责合同实施期间其合同段内临时交通道路（含场内外连接公共交通道路）和交通设施的修建、维修、养护和交通管理工作，并承担一切费用。</w:t>
      </w:r>
    </w:p>
    <w:p w14:paraId="22E58A87">
      <w:pPr>
        <w:spacing w:line="360" w:lineRule="auto"/>
        <w:ind w:firstLine="420"/>
        <w:jc w:val="left"/>
        <w:rPr>
          <w:rFonts w:hint="eastAsia" w:ascii="Times New Roman" w:hAnsi="宋体" w:eastAsia="宋体" w:cs="Times New Roman"/>
          <w:color w:val="auto"/>
          <w:sz w:val="21"/>
          <w:szCs w:val="21"/>
          <w:highlight w:val="none"/>
          <w:u w:val="none"/>
          <w:lang w:eastAsia="zh-CN"/>
        </w:rPr>
      </w:pPr>
      <w:r>
        <w:rPr>
          <w:rFonts w:hint="eastAsia" w:ascii="Times New Roman" w:hAnsi="Times New Roman" w:eastAsia="宋体" w:cs="Times New Roman"/>
          <w:color w:val="auto"/>
          <w:sz w:val="21"/>
          <w:szCs w:val="21"/>
          <w:highlight w:val="none"/>
          <w:u w:val="single"/>
        </w:rPr>
        <w:t>②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r>
        <w:rPr>
          <w:rFonts w:hint="eastAsia" w:ascii="Times New Roman" w:hAnsi="Times New Roman" w:eastAsia="宋体" w:cs="Times New Roman"/>
          <w:color w:val="auto"/>
          <w:sz w:val="21"/>
          <w:szCs w:val="21"/>
          <w:highlight w:val="none"/>
          <w:u w:val="none"/>
          <w:lang w:eastAsia="zh-CN"/>
        </w:rPr>
        <w:t>。</w:t>
      </w:r>
    </w:p>
    <w:p w14:paraId="21D476BD">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8.8.2 </w:t>
      </w:r>
      <w:r>
        <w:rPr>
          <w:rFonts w:hint="eastAsia" w:ascii="Times New Roman" w:hAnsi="宋体" w:eastAsia="宋体" w:cs="宋体"/>
          <w:color w:val="auto"/>
          <w:sz w:val="21"/>
          <w:szCs w:val="21"/>
          <w:highlight w:val="none"/>
        </w:rPr>
        <w:t>发包人提供的施工设备和临时设施</w:t>
      </w:r>
    </w:p>
    <w:p w14:paraId="74E49DA3">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发包人提供的施工设备和临时设施：</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2A2EAB3D">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发包人提供的施工设备和临时设施的运行、维护、拆除、清运费用的承担人：</w:t>
      </w:r>
      <w:r>
        <w:rPr>
          <w:rFonts w:hint="eastAsia" w:ascii="Times New Roman" w:hAnsi="宋体" w:eastAsia="宋体" w:cs="宋体"/>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14:paraId="1551F591">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630" w:name="_Toc78449824"/>
      <w:bookmarkStart w:id="631" w:name="_Toc373227736"/>
      <w:bookmarkStart w:id="632" w:name="_Toc389065302"/>
      <w:bookmarkStart w:id="633" w:name="_Toc27203"/>
      <w:bookmarkStart w:id="634" w:name="_Toc2039161841"/>
      <w:bookmarkStart w:id="635" w:name="_Toc373478383"/>
      <w:bookmarkStart w:id="636" w:name="_Toc351203641"/>
      <w:bookmarkStart w:id="637" w:name="_Toc407135238"/>
      <w:r>
        <w:rPr>
          <w:rFonts w:ascii="Arial" w:hAnsi="Arial" w:eastAsia="黑体" w:cs="Times New Roman"/>
          <w:b/>
          <w:bCs/>
          <w:color w:val="auto"/>
          <w:sz w:val="21"/>
          <w:szCs w:val="21"/>
          <w:highlight w:val="none"/>
          <w:lang w:val="zh-CN" w:eastAsia="zh-CN" w:bidi="ar-SA"/>
        </w:rPr>
        <w:t>9</w:t>
      </w:r>
      <w:bookmarkEnd w:id="593"/>
      <w:bookmarkEnd w:id="594"/>
      <w:bookmarkEnd w:id="595"/>
      <w:bookmarkStart w:id="638" w:name="_Toc297123533"/>
      <w:bookmarkStart w:id="639" w:name="_Toc312677495"/>
      <w:bookmarkStart w:id="640" w:name="_Toc312678021"/>
      <w:bookmarkStart w:id="641" w:name="_Toc300934982"/>
      <w:bookmarkStart w:id="642" w:name="_Toc304295559"/>
      <w:bookmarkStart w:id="643" w:name="_Toc297216192"/>
      <w:bookmarkStart w:id="644" w:name="_Toc303539139"/>
      <w:bookmarkStart w:id="645" w:name="_Toc296891213"/>
      <w:bookmarkStart w:id="646" w:name="_Toc296503173"/>
      <w:bookmarkStart w:id="647" w:name="_Toc297120473"/>
      <w:bookmarkStart w:id="648" w:name="_Toc292559883"/>
      <w:bookmarkStart w:id="649" w:name="_Toc292559378"/>
      <w:bookmarkStart w:id="650" w:name="_Toc267251427"/>
      <w:bookmarkStart w:id="651" w:name="_Toc296347172"/>
      <w:bookmarkStart w:id="652" w:name="_Toc296346674"/>
      <w:bookmarkStart w:id="653" w:name="_Toc297048359"/>
      <w:bookmarkStart w:id="654" w:name="_Toc296944512"/>
      <w:bookmarkStart w:id="655" w:name="_Toc296891001"/>
      <w:bookmarkStart w:id="656" w:name="_Toc267251428"/>
      <w:r>
        <w:rPr>
          <w:rFonts w:ascii="Arial" w:hAnsi="Arial" w:eastAsia="黑体" w:cs="Times New Roman"/>
          <w:b/>
          <w:bCs/>
          <w:color w:val="auto"/>
          <w:sz w:val="21"/>
          <w:szCs w:val="21"/>
          <w:highlight w:val="none"/>
          <w:lang w:val="zh-CN" w:eastAsia="zh-CN" w:bidi="ar-SA"/>
        </w:rPr>
        <w:t xml:space="preserve">. </w:t>
      </w:r>
      <w:r>
        <w:rPr>
          <w:rFonts w:hint="eastAsia" w:ascii="Arial" w:hAnsi="Arial" w:eastAsia="黑体" w:cs="黑体"/>
          <w:b/>
          <w:bCs/>
          <w:color w:val="auto"/>
          <w:sz w:val="21"/>
          <w:szCs w:val="21"/>
          <w:highlight w:val="none"/>
          <w:lang w:val="zh-CN" w:eastAsia="zh-CN" w:bidi="ar-SA"/>
        </w:rPr>
        <w:t>试验与检验</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14:paraId="54C1AF56">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657" w:name="_Toc373478384"/>
      <w:bookmarkStart w:id="658" w:name="_Toc407135239"/>
      <w:bookmarkStart w:id="659" w:name="_Toc373227737"/>
      <w:bookmarkStart w:id="660" w:name="_Toc389065303"/>
      <w:bookmarkStart w:id="661" w:name="_Toc78449825"/>
      <w:bookmarkStart w:id="662" w:name="_Toc21547"/>
      <w:bookmarkStart w:id="663" w:name="_Toc9671"/>
      <w:bookmarkStart w:id="664" w:name="_Toc1307315193"/>
      <w:r>
        <w:rPr>
          <w:rFonts w:ascii="Times New Roman" w:hAnsi="Times New Roman" w:eastAsia="黑体" w:cs="Times New Roman"/>
          <w:b/>
          <w:bCs/>
          <w:color w:val="auto"/>
          <w:sz w:val="21"/>
          <w:szCs w:val="21"/>
          <w:highlight w:val="none"/>
          <w:lang w:val="zh-CN" w:eastAsia="zh-CN" w:bidi="ar-SA"/>
        </w:rPr>
        <w:t>9</w:t>
      </w:r>
      <w:bookmarkStart w:id="665" w:name="_Toc300934983"/>
      <w:bookmarkStart w:id="666" w:name="_Toc312677496"/>
      <w:bookmarkStart w:id="667" w:name="_Toc303539140"/>
      <w:bookmarkStart w:id="668" w:name="_Toc304295560"/>
      <w:bookmarkStart w:id="669" w:name="_Toc312678022"/>
      <w:bookmarkStart w:id="670" w:name="_Toc297123534"/>
      <w:bookmarkStart w:id="671" w:name="_Toc297216193"/>
      <w:r>
        <w:rPr>
          <w:rFonts w:ascii="Times New Roman" w:hAnsi="Times New Roman" w:eastAsia="黑体" w:cs="Times New Roman"/>
          <w:b/>
          <w:bCs/>
          <w:color w:val="auto"/>
          <w:sz w:val="21"/>
          <w:szCs w:val="21"/>
          <w:highlight w:val="none"/>
          <w:lang w:val="zh-CN" w:eastAsia="zh-CN" w:bidi="ar-SA"/>
        </w:rPr>
        <w:t xml:space="preserve">.1 </w:t>
      </w:r>
      <w:r>
        <w:rPr>
          <w:rFonts w:hint="eastAsia" w:ascii="Times New Roman" w:hAnsi="Times New Roman" w:eastAsia="黑体" w:cs="黑体"/>
          <w:b/>
          <w:bCs/>
          <w:color w:val="auto"/>
          <w:sz w:val="21"/>
          <w:szCs w:val="21"/>
          <w:highlight w:val="none"/>
          <w:lang w:val="zh-CN" w:eastAsia="zh-CN" w:bidi="ar-SA"/>
        </w:rPr>
        <w:t>试验设备与试验人员</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52415DC0">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9</w:t>
      </w:r>
      <w:bookmarkStart w:id="672" w:name="_Toc297123535"/>
      <w:bookmarkStart w:id="673" w:name="_Toc304295561"/>
      <w:bookmarkStart w:id="674" w:name="_Toc312677497"/>
      <w:bookmarkStart w:id="675" w:name="_Toc312678023"/>
      <w:bookmarkStart w:id="676" w:name="_Toc300934984"/>
      <w:bookmarkStart w:id="677" w:name="_Toc303539141"/>
      <w:bookmarkStart w:id="678" w:name="_Toc297216194"/>
      <w:bookmarkStart w:id="679" w:name="_Toc318581174"/>
      <w:r>
        <w:rPr>
          <w:rFonts w:ascii="Times New Roman" w:hAnsi="Times New Roman" w:eastAsia="宋体" w:cs="Times New Roman"/>
          <w:color w:val="auto"/>
          <w:sz w:val="21"/>
          <w:szCs w:val="21"/>
          <w:highlight w:val="none"/>
        </w:rPr>
        <w:t xml:space="preserve">.1.2 </w:t>
      </w:r>
      <w:r>
        <w:rPr>
          <w:rFonts w:hint="eastAsia" w:ascii="Times New Roman" w:hAnsi="宋体" w:eastAsia="宋体" w:cs="宋体"/>
          <w:color w:val="auto"/>
          <w:sz w:val="21"/>
          <w:szCs w:val="21"/>
          <w:highlight w:val="none"/>
        </w:rPr>
        <w:t>试验设备</w:t>
      </w:r>
    </w:p>
    <w:p w14:paraId="70C6DE4A">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施工现场需要配置的试验场所：</w:t>
      </w:r>
      <w:bookmarkEnd w:id="672"/>
      <w:bookmarkEnd w:id="673"/>
      <w:bookmarkEnd w:id="674"/>
      <w:bookmarkEnd w:id="675"/>
      <w:bookmarkEnd w:id="676"/>
      <w:bookmarkEnd w:id="677"/>
      <w:bookmarkEnd w:id="678"/>
      <w:bookmarkStart w:id="680" w:name="_Toc297123536"/>
      <w:bookmarkStart w:id="681" w:name="_Toc300934985"/>
      <w:bookmarkStart w:id="682" w:name="_Toc303539142"/>
      <w:bookmarkStart w:id="683" w:name="_Toc312677498"/>
      <w:bookmarkStart w:id="684" w:name="_Toc312678024"/>
      <w:bookmarkStart w:id="685" w:name="_Toc304295562"/>
      <w:bookmarkStart w:id="686" w:name="_Toc297216195"/>
      <w:r>
        <w:rPr>
          <w:rFonts w:hint="eastAsia" w:ascii="Times New Roman" w:hAnsi="Times New Roman" w:eastAsia="宋体" w:cs="Times New Roman"/>
          <w:color w:val="auto"/>
          <w:sz w:val="21"/>
          <w:szCs w:val="21"/>
          <w:highlight w:val="none"/>
          <w:u w:val="single"/>
        </w:rPr>
        <w:t>由承包人根据工程情况自行设置建设</w:t>
      </w:r>
      <w:r>
        <w:rPr>
          <w:rFonts w:hint="eastAsia" w:ascii="Times New Roman" w:hAnsi="宋体" w:eastAsia="宋体" w:cs="宋体"/>
          <w:color w:val="auto"/>
          <w:sz w:val="21"/>
          <w:szCs w:val="21"/>
          <w:highlight w:val="none"/>
        </w:rPr>
        <w:t>。</w:t>
      </w:r>
    </w:p>
    <w:p w14:paraId="60450E91">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施工现场需要配备的试验设备：</w:t>
      </w:r>
      <w:r>
        <w:rPr>
          <w:rFonts w:hint="eastAsia" w:ascii="Times New Roman" w:hAnsi="Times New Roman" w:eastAsia="宋体" w:cs="Times New Roman"/>
          <w:color w:val="auto"/>
          <w:sz w:val="21"/>
          <w:szCs w:val="21"/>
          <w:highlight w:val="none"/>
          <w:u w:val="single"/>
        </w:rPr>
        <w:t>由承包人自行承担，并包含在合同总价内</w:t>
      </w:r>
      <w:r>
        <w:rPr>
          <w:rFonts w:hint="eastAsia" w:ascii="Times New Roman" w:hAnsi="宋体" w:eastAsia="宋体" w:cs="宋体"/>
          <w:color w:val="auto"/>
          <w:sz w:val="21"/>
          <w:szCs w:val="21"/>
          <w:highlight w:val="none"/>
        </w:rPr>
        <w:t>。</w:t>
      </w:r>
    </w:p>
    <w:p w14:paraId="21C2588E">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施工现场需要具备的其他试验条件：</w:t>
      </w:r>
      <w:r>
        <w:rPr>
          <w:rFonts w:hint="eastAsia" w:ascii="Times New Roman" w:hAnsi="Times New Roman" w:eastAsia="宋体" w:cs="Times New Roman"/>
          <w:color w:val="auto"/>
          <w:sz w:val="21"/>
          <w:szCs w:val="21"/>
          <w:highlight w:val="none"/>
          <w:u w:val="single"/>
        </w:rPr>
        <w:t>由承包人自行承担，并包含在合同总价内</w:t>
      </w:r>
      <w:r>
        <w:rPr>
          <w:rFonts w:hint="eastAsia" w:ascii="Times New Roman" w:hAnsi="宋体" w:eastAsia="宋体" w:cs="宋体"/>
          <w:color w:val="auto"/>
          <w:sz w:val="21"/>
          <w:szCs w:val="21"/>
          <w:highlight w:val="none"/>
        </w:rPr>
        <w:t>。</w:t>
      </w:r>
    </w:p>
    <w:p w14:paraId="32191003">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687" w:name="_Toc407135240"/>
      <w:bookmarkStart w:id="688" w:name="_Toc373478385"/>
      <w:bookmarkStart w:id="689" w:name="_Toc389065304"/>
      <w:bookmarkStart w:id="690" w:name="_Toc14975"/>
      <w:bookmarkStart w:id="691" w:name="_Toc78449826"/>
      <w:bookmarkStart w:id="692" w:name="_Toc23780"/>
      <w:bookmarkStart w:id="693" w:name="_Toc2012255079"/>
      <w:bookmarkStart w:id="694" w:name="_Toc373227738"/>
      <w:r>
        <w:rPr>
          <w:rFonts w:ascii="Times New Roman" w:hAnsi="Times New Roman" w:eastAsia="黑体" w:cs="Times New Roman"/>
          <w:b/>
          <w:bCs/>
          <w:color w:val="auto"/>
          <w:sz w:val="21"/>
          <w:szCs w:val="21"/>
          <w:highlight w:val="none"/>
          <w:lang w:val="zh-CN" w:eastAsia="zh-CN" w:bidi="ar-SA"/>
        </w:rPr>
        <w:t xml:space="preserve">9.4 </w:t>
      </w:r>
      <w:r>
        <w:rPr>
          <w:rFonts w:hint="eastAsia" w:ascii="Times New Roman" w:hAnsi="宋体" w:eastAsia="黑体" w:cs="黑体"/>
          <w:b/>
          <w:bCs/>
          <w:color w:val="auto"/>
          <w:sz w:val="21"/>
          <w:szCs w:val="21"/>
          <w:highlight w:val="none"/>
          <w:lang w:val="zh-CN" w:eastAsia="zh-CN" w:bidi="ar-SA"/>
        </w:rPr>
        <w:t>现场工艺试验</w:t>
      </w:r>
      <w:bookmarkEnd w:id="687"/>
      <w:bookmarkEnd w:id="688"/>
      <w:bookmarkEnd w:id="689"/>
      <w:bookmarkEnd w:id="690"/>
      <w:bookmarkEnd w:id="691"/>
      <w:bookmarkEnd w:id="692"/>
      <w:bookmarkEnd w:id="693"/>
      <w:bookmarkEnd w:id="694"/>
      <w:r>
        <w:rPr>
          <w:rFonts w:ascii="Times New Roman" w:hAnsi="Times New Roman" w:eastAsia="黑体" w:cs="Times New Roman"/>
          <w:b/>
          <w:bCs/>
          <w:color w:val="auto"/>
          <w:sz w:val="21"/>
          <w:szCs w:val="21"/>
          <w:highlight w:val="none"/>
          <w:lang w:val="zh-CN" w:eastAsia="zh-CN" w:bidi="ar-SA"/>
        </w:rPr>
        <w:t xml:space="preserve"> </w:t>
      </w:r>
    </w:p>
    <w:p w14:paraId="406850CD">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现场工艺试验的有关约定：</w:t>
      </w:r>
      <w:r>
        <w:rPr>
          <w:rFonts w:hint="eastAsia" w:ascii="Times New Roman" w:hAnsi="Times New Roman" w:eastAsia="宋体" w:cs="Times New Roman"/>
          <w:color w:val="auto"/>
          <w:sz w:val="21"/>
          <w:szCs w:val="21"/>
          <w:highlight w:val="none"/>
          <w:u w:val="single"/>
        </w:rPr>
        <w:t>需要时双方协商</w:t>
      </w:r>
      <w:r>
        <w:rPr>
          <w:rFonts w:hint="eastAsia" w:ascii="Times New Roman" w:hAnsi="宋体" w:eastAsia="宋体" w:cs="宋体"/>
          <w:color w:val="auto"/>
          <w:sz w:val="21"/>
          <w:szCs w:val="21"/>
          <w:highlight w:val="none"/>
        </w:rPr>
        <w:t>。</w:t>
      </w:r>
    </w:p>
    <w:p w14:paraId="3BD4A185">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695" w:name="_Toc78449827"/>
      <w:bookmarkStart w:id="696" w:name="_Toc393419678"/>
      <w:bookmarkStart w:id="697" w:name="_Toc407135241"/>
      <w:bookmarkStart w:id="698" w:name="_Toc13096"/>
      <w:bookmarkStart w:id="699" w:name="_Toc9920"/>
      <w:bookmarkStart w:id="700" w:name="OLE_LINK1"/>
      <w:r>
        <w:rPr>
          <w:rFonts w:ascii="Times New Roman" w:hAnsi="Times New Roman" w:eastAsia="黑体" w:cs="Times New Roman"/>
          <w:b/>
          <w:bCs/>
          <w:color w:val="auto"/>
          <w:sz w:val="21"/>
          <w:szCs w:val="21"/>
          <w:highlight w:val="none"/>
          <w:lang w:val="zh-CN" w:eastAsia="zh-CN" w:bidi="ar-SA"/>
        </w:rPr>
        <w:t xml:space="preserve">9.5 </w:t>
      </w:r>
      <w:r>
        <w:rPr>
          <w:rFonts w:hint="eastAsia" w:ascii="Times New Roman" w:hAnsi="宋体" w:eastAsia="黑体" w:cs="黑体"/>
          <w:b/>
          <w:bCs/>
          <w:color w:val="auto"/>
          <w:sz w:val="21"/>
          <w:szCs w:val="21"/>
          <w:highlight w:val="none"/>
          <w:lang w:val="zh-CN" w:eastAsia="zh-CN" w:bidi="ar-SA"/>
        </w:rPr>
        <w:t>检验费用</w:t>
      </w:r>
      <w:bookmarkEnd w:id="695"/>
      <w:bookmarkEnd w:id="696"/>
      <w:bookmarkEnd w:id="697"/>
      <w:bookmarkEnd w:id="698"/>
      <w:bookmarkEnd w:id="699"/>
    </w:p>
    <w:p w14:paraId="32CC018D">
      <w:pPr>
        <w:spacing w:line="360" w:lineRule="auto"/>
        <w:ind w:firstLine="411"/>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根据《建设工程质量检测管理办法》（住房和城乡建设部令第57号）以及《广西壮族自治区建设工程质量检测管理实施细则》</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桂建发〔2025〕5号</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规定，工程质量检测业务由发包人委托有相应资质的检测机构检测。费用从发包人的项目建设经费中支出并直接支付给检测机构，不计入合同价款内。</w:t>
      </w:r>
      <w:bookmarkEnd w:id="679"/>
      <w:bookmarkEnd w:id="680"/>
      <w:bookmarkEnd w:id="681"/>
      <w:bookmarkEnd w:id="682"/>
      <w:bookmarkEnd w:id="683"/>
      <w:bookmarkEnd w:id="684"/>
      <w:bookmarkEnd w:id="685"/>
      <w:bookmarkEnd w:id="686"/>
      <w:bookmarkEnd w:id="700"/>
    </w:p>
    <w:p w14:paraId="4304E392">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701" w:name="_Toc8753"/>
      <w:bookmarkStart w:id="702" w:name="_Toc373227739"/>
      <w:bookmarkStart w:id="703" w:name="_Toc78449828"/>
      <w:bookmarkStart w:id="704" w:name="_Toc407135242"/>
      <w:bookmarkStart w:id="705" w:name="_Toc603662032"/>
      <w:bookmarkStart w:id="706" w:name="_Toc351203642"/>
      <w:bookmarkStart w:id="707" w:name="_Toc373478386"/>
      <w:bookmarkStart w:id="708" w:name="_Toc389065305"/>
      <w:r>
        <w:rPr>
          <w:rFonts w:ascii="Arial" w:hAnsi="Arial" w:eastAsia="黑体" w:cs="Times New Roman"/>
          <w:b/>
          <w:bCs/>
          <w:color w:val="auto"/>
          <w:sz w:val="21"/>
          <w:szCs w:val="21"/>
          <w:highlight w:val="none"/>
          <w:lang w:val="zh-CN" w:eastAsia="zh-CN" w:bidi="ar-SA"/>
        </w:rPr>
        <w:t>1</w:t>
      </w:r>
      <w:bookmarkEnd w:id="645"/>
      <w:bookmarkEnd w:id="646"/>
      <w:bookmarkEnd w:id="647"/>
      <w:bookmarkEnd w:id="648"/>
      <w:bookmarkEnd w:id="649"/>
      <w:bookmarkEnd w:id="650"/>
      <w:bookmarkEnd w:id="651"/>
      <w:bookmarkEnd w:id="652"/>
      <w:bookmarkEnd w:id="653"/>
      <w:bookmarkEnd w:id="654"/>
      <w:bookmarkEnd w:id="655"/>
      <w:bookmarkEnd w:id="656"/>
      <w:bookmarkStart w:id="709" w:name="_Toc297216199"/>
      <w:bookmarkStart w:id="710" w:name="_Toc297120493"/>
      <w:bookmarkStart w:id="711" w:name="_Toc296944532"/>
      <w:bookmarkStart w:id="712" w:name="_Toc297048379"/>
      <w:bookmarkStart w:id="713" w:name="_Toc296891233"/>
      <w:bookmarkStart w:id="714" w:name="_Toc292559903"/>
      <w:bookmarkStart w:id="715" w:name="_Toc312677499"/>
      <w:bookmarkStart w:id="716" w:name="_Toc296503193"/>
      <w:bookmarkStart w:id="717" w:name="_Toc304295566"/>
      <w:bookmarkStart w:id="718" w:name="_Toc297123540"/>
      <w:bookmarkStart w:id="719" w:name="_Toc303539146"/>
      <w:bookmarkStart w:id="720" w:name="_Toc296347192"/>
      <w:bookmarkStart w:id="721" w:name="_Toc300934989"/>
      <w:bookmarkStart w:id="722" w:name="_Toc292559398"/>
      <w:bookmarkStart w:id="723" w:name="_Toc296346694"/>
      <w:bookmarkStart w:id="724" w:name="_Toc296891021"/>
      <w:bookmarkStart w:id="725" w:name="_Toc312678025"/>
      <w:bookmarkStart w:id="726" w:name="_Toc267251440"/>
      <w:bookmarkStart w:id="727" w:name="_Toc267251441"/>
      <w:bookmarkStart w:id="728" w:name="_Toc267251437"/>
      <w:bookmarkStart w:id="729" w:name="_Toc267251433"/>
      <w:bookmarkStart w:id="730" w:name="_Toc267251439"/>
      <w:bookmarkStart w:id="731" w:name="_Toc267251435"/>
      <w:bookmarkStart w:id="732" w:name="_Toc267251442"/>
      <w:r>
        <w:rPr>
          <w:rFonts w:ascii="Arial" w:hAnsi="Arial" w:eastAsia="黑体" w:cs="Times New Roman"/>
          <w:b/>
          <w:bCs/>
          <w:color w:val="auto"/>
          <w:sz w:val="21"/>
          <w:szCs w:val="21"/>
          <w:highlight w:val="none"/>
          <w:lang w:val="zh-CN" w:eastAsia="zh-CN" w:bidi="ar-SA"/>
        </w:rPr>
        <w:t xml:space="preserve">0. </w:t>
      </w:r>
      <w:r>
        <w:rPr>
          <w:rFonts w:hint="eastAsia" w:ascii="Arial" w:hAnsi="宋体" w:eastAsia="黑体" w:cs="黑体"/>
          <w:b/>
          <w:bCs/>
          <w:color w:val="auto"/>
          <w:sz w:val="21"/>
          <w:szCs w:val="21"/>
          <w:highlight w:val="none"/>
          <w:lang w:val="zh-CN" w:eastAsia="zh-CN" w:bidi="ar-SA"/>
        </w:rPr>
        <w:t>变更</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14:paraId="4DAF3CD8">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733" w:name="_Toc78449829"/>
      <w:bookmarkStart w:id="734" w:name="_Toc373478387"/>
      <w:bookmarkStart w:id="735" w:name="_Toc1890371558"/>
      <w:bookmarkStart w:id="736" w:name="_Toc389065306"/>
      <w:bookmarkStart w:id="737" w:name="_Toc28913"/>
      <w:bookmarkStart w:id="738" w:name="_Toc7595"/>
      <w:bookmarkStart w:id="739" w:name="_Toc407135243"/>
      <w:bookmarkStart w:id="740" w:name="_Toc373227740"/>
      <w:r>
        <w:rPr>
          <w:rFonts w:ascii="Times New Roman" w:hAnsi="Times New Roman" w:eastAsia="黑体" w:cs="Times New Roman"/>
          <w:b/>
          <w:bCs/>
          <w:color w:val="auto"/>
          <w:sz w:val="21"/>
          <w:szCs w:val="21"/>
          <w:highlight w:val="none"/>
          <w:lang w:val="zh-CN" w:eastAsia="zh-CN" w:bidi="ar-SA"/>
        </w:rPr>
        <w:t>1</w:t>
      </w:r>
      <w:bookmarkStart w:id="741" w:name="_Toc292559904"/>
      <w:bookmarkStart w:id="742" w:name="_Toc312677500"/>
      <w:bookmarkStart w:id="743" w:name="_Toc292559399"/>
      <w:bookmarkStart w:id="744" w:name="_Toc297216200"/>
      <w:bookmarkStart w:id="745" w:name="_Toc312678026"/>
      <w:bookmarkStart w:id="746" w:name="_Toc296346695"/>
      <w:bookmarkStart w:id="747" w:name="_Toc304295567"/>
      <w:bookmarkStart w:id="748" w:name="_Toc296347193"/>
      <w:bookmarkStart w:id="749" w:name="_Toc297048380"/>
      <w:bookmarkStart w:id="750" w:name="_Toc296503194"/>
      <w:bookmarkStart w:id="751" w:name="_Toc300934990"/>
      <w:bookmarkStart w:id="752" w:name="_Toc296891234"/>
      <w:bookmarkStart w:id="753" w:name="_Toc297123541"/>
      <w:bookmarkStart w:id="754" w:name="_Toc296944533"/>
      <w:bookmarkStart w:id="755" w:name="_Toc303539147"/>
      <w:bookmarkStart w:id="756" w:name="_Toc296891022"/>
      <w:bookmarkStart w:id="757" w:name="_Toc297120494"/>
      <w:r>
        <w:rPr>
          <w:rFonts w:ascii="Times New Roman" w:hAnsi="Times New Roman" w:eastAsia="黑体" w:cs="Times New Roman"/>
          <w:b/>
          <w:bCs/>
          <w:color w:val="auto"/>
          <w:sz w:val="21"/>
          <w:szCs w:val="21"/>
          <w:highlight w:val="none"/>
          <w:lang w:val="zh-CN" w:eastAsia="zh-CN" w:bidi="ar-SA"/>
        </w:rPr>
        <w:t xml:space="preserve">0.1 </w:t>
      </w:r>
      <w:r>
        <w:rPr>
          <w:rFonts w:hint="eastAsia" w:ascii="Times New Roman" w:hAnsi="宋体" w:eastAsia="黑体" w:cs="黑体"/>
          <w:b/>
          <w:bCs/>
          <w:color w:val="auto"/>
          <w:sz w:val="21"/>
          <w:szCs w:val="21"/>
          <w:highlight w:val="none"/>
          <w:lang w:val="zh-CN" w:eastAsia="zh-CN" w:bidi="ar-SA"/>
        </w:rPr>
        <w:t>变更的范围</w:t>
      </w:r>
      <w:bookmarkEnd w:id="733"/>
      <w:bookmarkEnd w:id="734"/>
      <w:bookmarkEnd w:id="735"/>
      <w:bookmarkEnd w:id="736"/>
      <w:bookmarkEnd w:id="737"/>
      <w:bookmarkEnd w:id="738"/>
      <w:bookmarkEnd w:id="739"/>
      <w:bookmarkEnd w:id="740"/>
    </w:p>
    <w:p w14:paraId="0B481E5E">
      <w:pPr>
        <w:spacing w:line="360" w:lineRule="auto"/>
        <w:ind w:firstLine="426"/>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关于变更的范围的约定：</w:t>
      </w:r>
      <w:r>
        <w:rPr>
          <w:rFonts w:hint="eastAsia" w:ascii="宋体" w:hAnsi="宋体" w:eastAsia="宋体" w:cs="宋体"/>
          <w:color w:val="auto"/>
          <w:sz w:val="21"/>
          <w:szCs w:val="21"/>
          <w:highlight w:val="none"/>
          <w:lang w:val="zh-TW" w:eastAsia="zh-TW"/>
        </w:rPr>
        <w:t>经发包人批准的对合同工程工作内容、合同图纸、合同规范、位置与尺寸、施工顺序与时间、施工条件、合同条款或其他特征等的改变。包括对合同工程的增加、减少、取消、替代和使用材料等的改变。</w:t>
      </w:r>
    </w:p>
    <w:p w14:paraId="5A5BEC49">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758" w:name="_Toc389065307"/>
      <w:bookmarkStart w:id="759" w:name="_Toc78449830"/>
      <w:bookmarkStart w:id="760" w:name="_Toc450749207"/>
      <w:bookmarkStart w:id="761" w:name="_Toc31852"/>
      <w:bookmarkStart w:id="762" w:name="_Toc373478388"/>
      <w:bookmarkStart w:id="763" w:name="_Toc407135244"/>
      <w:bookmarkStart w:id="764" w:name="_Toc28657"/>
      <w:bookmarkStart w:id="765" w:name="_Toc373227741"/>
      <w:r>
        <w:rPr>
          <w:rFonts w:ascii="Times New Roman" w:hAnsi="Times New Roman" w:eastAsia="黑体" w:cs="Times New Roman"/>
          <w:b/>
          <w:bCs/>
          <w:color w:val="auto"/>
          <w:sz w:val="21"/>
          <w:szCs w:val="21"/>
          <w:highlight w:val="none"/>
          <w:lang w:val="zh-CN" w:eastAsia="zh-CN" w:bidi="ar-SA"/>
        </w:rPr>
        <w:t xml:space="preserve">10.3 </w:t>
      </w:r>
      <w:r>
        <w:rPr>
          <w:rFonts w:hint="eastAsia" w:ascii="Times New Roman" w:hAnsi="宋体" w:eastAsia="黑体" w:cs="黑体"/>
          <w:b/>
          <w:bCs/>
          <w:color w:val="auto"/>
          <w:sz w:val="21"/>
          <w:szCs w:val="21"/>
          <w:highlight w:val="none"/>
          <w:lang w:val="zh-CN" w:eastAsia="zh-CN" w:bidi="ar-SA"/>
        </w:rPr>
        <w:t>变更程序</w:t>
      </w:r>
      <w:bookmarkEnd w:id="758"/>
      <w:bookmarkEnd w:id="759"/>
      <w:bookmarkEnd w:id="760"/>
      <w:bookmarkEnd w:id="761"/>
      <w:bookmarkEnd w:id="762"/>
      <w:bookmarkEnd w:id="763"/>
      <w:bookmarkEnd w:id="764"/>
      <w:bookmarkEnd w:id="765"/>
    </w:p>
    <w:p w14:paraId="54B05040">
      <w:pPr>
        <w:widowControl w:val="0"/>
        <w:spacing w:line="360" w:lineRule="auto"/>
        <w:ind w:firstLine="441"/>
        <w:jc w:val="both"/>
        <w:rPr>
          <w:rFonts w:ascii="Times New Roman" w:hAnsi="Times New Roman" w:eastAsia="宋体" w:cs="Times New Roman"/>
          <w:color w:val="auto"/>
          <w:sz w:val="21"/>
          <w:szCs w:val="21"/>
          <w:highlight w:val="none"/>
          <w:lang w:val="en-US" w:eastAsia="zh-CN" w:bidi="ar-SA"/>
        </w:rPr>
      </w:pPr>
      <w:r>
        <w:rPr>
          <w:rFonts w:ascii="Times New Roman" w:hAnsi="Times New Roman" w:eastAsia="宋体" w:cs="Times New Roman"/>
          <w:color w:val="auto"/>
          <w:sz w:val="21"/>
          <w:szCs w:val="21"/>
          <w:highlight w:val="none"/>
          <w:lang w:val="en-US" w:eastAsia="zh-CN" w:bidi="ar-SA"/>
        </w:rPr>
        <w:t>10.3.1</w:t>
      </w:r>
      <w:r>
        <w:rPr>
          <w:rFonts w:hint="eastAsia" w:ascii="Times New Roman" w:hAnsi="Times New Roman" w:eastAsia="宋体" w:cs="Times New Roman"/>
          <w:color w:val="auto"/>
          <w:sz w:val="21"/>
          <w:szCs w:val="21"/>
          <w:highlight w:val="none"/>
          <w:lang w:val="en-US" w:eastAsia="zh-CN" w:bidi="ar-SA"/>
        </w:rPr>
        <w:t>国有资金投资项目：</w:t>
      </w:r>
    </w:p>
    <w:p w14:paraId="3850A6F5">
      <w:pPr>
        <w:widowControl w:val="0"/>
        <w:spacing w:line="360" w:lineRule="auto"/>
        <w:ind w:firstLine="441"/>
        <w:jc w:val="both"/>
        <w:rPr>
          <w:rFonts w:ascii="Times New Roman" w:hAnsi="宋体" w:eastAsia="宋体" w:cs="Times New Roman"/>
          <w:bCs/>
          <w:color w:val="auto"/>
          <w:sz w:val="21"/>
          <w:szCs w:val="21"/>
          <w:highlight w:val="none"/>
          <w:lang w:val="en-US" w:eastAsia="zh-CN" w:bidi="ar-SA"/>
        </w:rPr>
      </w:pPr>
      <w:r>
        <w:rPr>
          <w:rFonts w:hint="eastAsia" w:ascii="Times New Roman" w:hAnsi="宋体" w:eastAsia="宋体" w:cs="Times New Roman"/>
          <w:bCs/>
          <w:color w:val="auto"/>
          <w:sz w:val="21"/>
          <w:szCs w:val="21"/>
          <w:highlight w:val="none"/>
          <w:lang w:val="en-US" w:eastAsia="zh-CN" w:bidi="ar-SA"/>
        </w:rPr>
        <w:t>⑴工程变更按各市政府或相关部门的规定办理。属不可抗力（自然灾害、突发事件等）造成变更的，按特事特办原则予以办理。</w:t>
      </w:r>
    </w:p>
    <w:p w14:paraId="7CEAC5DA">
      <w:pPr>
        <w:widowControl w:val="0"/>
        <w:spacing w:line="360" w:lineRule="auto"/>
        <w:ind w:firstLine="441"/>
        <w:jc w:val="both"/>
        <w:rPr>
          <w:rFonts w:ascii="Times New Roman" w:hAnsi="宋体" w:eastAsia="宋体" w:cs="Times New Roman"/>
          <w:bCs/>
          <w:color w:val="auto"/>
          <w:sz w:val="21"/>
          <w:szCs w:val="21"/>
          <w:highlight w:val="none"/>
          <w:lang w:val="en-US" w:eastAsia="zh-CN" w:bidi="ar-SA"/>
        </w:rPr>
      </w:pPr>
      <w:r>
        <w:rPr>
          <w:rFonts w:hint="eastAsia" w:ascii="Times New Roman" w:hAnsi="宋体" w:eastAsia="宋体" w:cs="Times New Roman"/>
          <w:bCs/>
          <w:color w:val="auto"/>
          <w:sz w:val="21"/>
          <w:szCs w:val="21"/>
          <w:highlight w:val="none"/>
          <w:lang w:val="en-US" w:eastAsia="zh-CN" w:bidi="ar-SA"/>
        </w:rPr>
        <w:t>⑵建设单位在实施项目过程中，若发生单价变动，由发包人、承包人、监理或（和）造价咨询等单位共同商定并签字确认。</w:t>
      </w:r>
    </w:p>
    <w:p w14:paraId="55FED0E9">
      <w:pPr>
        <w:widowControl w:val="0"/>
        <w:spacing w:line="360" w:lineRule="auto"/>
        <w:ind w:firstLine="441"/>
        <w:jc w:val="both"/>
        <w:rPr>
          <w:rFonts w:ascii="Times New Roman" w:hAnsi="宋体" w:eastAsia="宋体" w:cs="Times New Roman"/>
          <w:bCs/>
          <w:color w:val="auto"/>
          <w:sz w:val="21"/>
          <w:szCs w:val="21"/>
          <w:highlight w:val="none"/>
          <w:lang w:val="en-US" w:eastAsia="zh-CN" w:bidi="ar-SA"/>
        </w:rPr>
      </w:pPr>
      <w:r>
        <w:rPr>
          <w:rFonts w:hint="eastAsia" w:ascii="Times New Roman" w:hAnsi="宋体" w:eastAsia="宋体" w:cs="Times New Roman"/>
          <w:bCs/>
          <w:color w:val="auto"/>
          <w:sz w:val="21"/>
          <w:szCs w:val="21"/>
          <w:highlight w:val="none"/>
          <w:lang w:val="en-US" w:eastAsia="zh-CN" w:bidi="ar-SA"/>
        </w:rPr>
        <w:t>⑶</w:t>
      </w:r>
      <w:r>
        <w:rPr>
          <w:rFonts w:ascii="Times New Roman" w:hAnsi="宋体" w:eastAsia="宋体" w:cs="Times New Roman"/>
          <w:bCs/>
          <w:color w:val="auto"/>
          <w:sz w:val="21"/>
          <w:szCs w:val="21"/>
          <w:highlight w:val="none"/>
          <w:lang w:val="en-US" w:eastAsia="zh-CN" w:bidi="ar-SA"/>
        </w:rPr>
        <w:t xml:space="preserve"> </w:t>
      </w:r>
      <w:r>
        <w:rPr>
          <w:rFonts w:hint="eastAsia" w:ascii="Times New Roman" w:hAnsi="宋体" w:eastAsia="宋体" w:cs="Times New Roman"/>
          <w:bCs/>
          <w:color w:val="auto"/>
          <w:sz w:val="21"/>
          <w:szCs w:val="21"/>
          <w:highlight w:val="none"/>
          <w:lang w:val="en-US" w:eastAsia="zh-CN" w:bidi="ar-SA"/>
        </w:rPr>
        <w:t>当合同规定的合同价款调整情况发生后，承包人未在规定时间内通知发包人，或者未在规定时间内提出调整报告，发包人可以根据有关资料，决定是否调整和调整的金额，并书面通知承包人。</w:t>
      </w:r>
    </w:p>
    <w:p w14:paraId="12A3C10A">
      <w:pPr>
        <w:widowControl w:val="0"/>
        <w:spacing w:line="360" w:lineRule="auto"/>
        <w:ind w:firstLine="441"/>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10.3.2 </w:t>
      </w:r>
      <w:r>
        <w:rPr>
          <w:rFonts w:hint="eastAsia" w:ascii="Times New Roman" w:hAnsi="Times New Roman" w:eastAsia="宋体" w:cs="宋体"/>
          <w:color w:val="auto"/>
          <w:sz w:val="21"/>
          <w:szCs w:val="21"/>
          <w:highlight w:val="none"/>
        </w:rPr>
        <w:t>非国有</w:t>
      </w:r>
      <w:r>
        <w:rPr>
          <w:rFonts w:hint="eastAsia" w:ascii="Times New Roman" w:hAnsi="Times New Roman" w:eastAsia="宋体" w:cs="宋体"/>
          <w:color w:val="auto"/>
          <w:sz w:val="21"/>
          <w:szCs w:val="21"/>
          <w:highlight w:val="none"/>
          <w:lang w:val="en-US" w:eastAsia="zh-CN"/>
        </w:rPr>
        <w:t>资金</w:t>
      </w:r>
      <w:r>
        <w:rPr>
          <w:rFonts w:hint="eastAsia" w:ascii="Times New Roman" w:hAnsi="Times New Roman" w:eastAsia="宋体" w:cs="宋体"/>
          <w:color w:val="auto"/>
          <w:sz w:val="21"/>
          <w:szCs w:val="21"/>
          <w:highlight w:val="none"/>
        </w:rPr>
        <w:t>投资项目：</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3D274321">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766" w:name="_Toc373478389"/>
      <w:bookmarkStart w:id="767" w:name="_Toc1645711468"/>
      <w:bookmarkStart w:id="768" w:name="_Toc78449831"/>
      <w:bookmarkStart w:id="769" w:name="_Toc373227742"/>
      <w:bookmarkStart w:id="770" w:name="_Toc389065308"/>
      <w:bookmarkStart w:id="771" w:name="_Toc407135245"/>
      <w:bookmarkStart w:id="772" w:name="_Toc3998"/>
      <w:bookmarkStart w:id="773" w:name="_Toc508"/>
      <w:r>
        <w:rPr>
          <w:rFonts w:ascii="Times New Roman" w:hAnsi="Times New Roman" w:eastAsia="黑体" w:cs="Times New Roman"/>
          <w:b/>
          <w:bCs/>
          <w:color w:val="auto"/>
          <w:sz w:val="21"/>
          <w:szCs w:val="21"/>
          <w:highlight w:val="none"/>
          <w:lang w:val="zh-CN" w:eastAsia="zh-CN" w:bidi="ar-SA"/>
        </w:rPr>
        <w:t xml:space="preserve">10.4 </w:t>
      </w:r>
      <w:r>
        <w:rPr>
          <w:rFonts w:hint="eastAsia" w:ascii="Times New Roman" w:hAnsi="宋体" w:eastAsia="黑体" w:cs="黑体"/>
          <w:b/>
          <w:bCs/>
          <w:color w:val="auto"/>
          <w:sz w:val="21"/>
          <w:szCs w:val="21"/>
          <w:highlight w:val="none"/>
          <w:lang w:val="zh-CN" w:eastAsia="zh-CN" w:bidi="ar-SA"/>
        </w:rPr>
        <w:t>变更估价</w:t>
      </w:r>
      <w:bookmarkEnd w:id="766"/>
      <w:bookmarkEnd w:id="767"/>
      <w:bookmarkEnd w:id="768"/>
      <w:bookmarkEnd w:id="769"/>
      <w:bookmarkEnd w:id="770"/>
      <w:bookmarkEnd w:id="771"/>
      <w:bookmarkEnd w:id="772"/>
      <w:bookmarkEnd w:id="773"/>
    </w:p>
    <w:p w14:paraId="77BAB327">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 1</w:t>
      </w:r>
      <w:r>
        <w:rPr>
          <w:rFonts w:hint="eastAsia" w:ascii="Times New Roman" w:hAnsi="宋体" w:eastAsia="宋体" w:cs="宋体"/>
          <w:color w:val="auto"/>
          <w:sz w:val="21"/>
          <w:szCs w:val="21"/>
          <w:highlight w:val="none"/>
          <w:lang w:val="en-US" w:eastAsia="zh-CN"/>
        </w:rPr>
        <w:t>0</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4</w:t>
      </w:r>
      <w:r>
        <w:rPr>
          <w:rFonts w:hint="eastAsia" w:ascii="Times New Roman" w:hAnsi="宋体" w:eastAsia="宋体" w:cs="宋体"/>
          <w:color w:val="auto"/>
          <w:sz w:val="21"/>
          <w:szCs w:val="21"/>
          <w:highlight w:val="none"/>
        </w:rPr>
        <w:t>.1 因工程变更引起分部分项工程项目清单的清单项目增加或减少的，</w:t>
      </w:r>
      <w:r>
        <w:rPr>
          <w:rFonts w:hint="eastAsia" w:ascii="Times New Roman" w:hAnsi="宋体" w:eastAsia="宋体" w:cs="宋体"/>
          <w:color w:val="auto"/>
          <w:sz w:val="21"/>
          <w:szCs w:val="21"/>
          <w:highlight w:val="none"/>
          <w:lang w:val="en-US" w:eastAsia="zh-CN"/>
        </w:rPr>
        <w:t>应</w:t>
      </w:r>
      <w:r>
        <w:rPr>
          <w:rFonts w:hint="eastAsia" w:ascii="Times New Roman" w:hAnsi="宋体" w:eastAsia="宋体" w:cs="宋体"/>
          <w:color w:val="auto"/>
          <w:sz w:val="21"/>
          <w:szCs w:val="21"/>
          <w:highlight w:val="none"/>
        </w:rPr>
        <w:t>按以下确定综合单价，调整合同价格：</w:t>
      </w:r>
    </w:p>
    <w:p w14:paraId="69B26370">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（1）相同施工条件下实施相同项目特征的清单项目</w:t>
      </w:r>
      <w:r>
        <w:rPr>
          <w:rFonts w:hint="eastAsia" w:ascii="Times New Roman" w:hAnsi="宋体" w:eastAsia="宋体" w:cs="宋体"/>
          <w:color w:val="auto"/>
          <w:sz w:val="21"/>
          <w:szCs w:val="21"/>
          <w:highlight w:val="none"/>
          <w:lang w:eastAsia="zh-CN"/>
        </w:rPr>
        <w:t>，应采用相应的合同单价</w:t>
      </w:r>
      <w:r>
        <w:rPr>
          <w:rFonts w:hint="eastAsia" w:ascii="Times New Roman" w:hAnsi="宋体" w:eastAsia="宋体" w:cs="宋体"/>
          <w:color w:val="auto"/>
          <w:sz w:val="21"/>
          <w:szCs w:val="21"/>
          <w:highlight w:val="none"/>
          <w:lang w:val="en-US" w:eastAsia="zh-CN"/>
        </w:rPr>
        <w:t>。</w:t>
      </w:r>
    </w:p>
    <w:p w14:paraId="1654209A">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（2）相同施工条件下实施类似项目特征的清单项目或类似施工条件下实施相同项目特征的清单项目，采用类似清单项目的合同单价换算调整后的综合单价；</w:t>
      </w:r>
    </w:p>
    <w:p w14:paraId="3A8888F0">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（3）相同施工条件下实施不同项目特征的清单项目或不同施工条件下实施相同项目特征的清单项目，依据工程实施情况，结合</w:t>
      </w:r>
      <w:r>
        <w:rPr>
          <w:rFonts w:hint="eastAsia" w:ascii="Times New Roman" w:hAnsi="宋体" w:eastAsia="宋体" w:cs="宋体"/>
          <w:color w:val="auto"/>
          <w:sz w:val="21"/>
          <w:szCs w:val="21"/>
          <w:highlight w:val="none"/>
          <w:lang w:eastAsia="zh-CN"/>
        </w:rPr>
        <w:t>自治区建设行政主管部门颁布的综合单价组价表、</w:t>
      </w:r>
      <w:r>
        <w:rPr>
          <w:rFonts w:hint="eastAsia" w:ascii="Times New Roman" w:hAnsi="宋体" w:eastAsia="宋体" w:cs="宋体"/>
          <w:color w:val="auto"/>
          <w:sz w:val="21"/>
          <w:szCs w:val="21"/>
          <w:highlight w:val="none"/>
        </w:rPr>
        <w:t>类似</w:t>
      </w:r>
      <w:r>
        <w:rPr>
          <w:rFonts w:hint="eastAsia" w:ascii="Times New Roman" w:hAnsi="宋体" w:eastAsia="宋体" w:cs="宋体"/>
          <w:color w:val="auto"/>
          <w:sz w:val="21"/>
          <w:szCs w:val="21"/>
          <w:highlight w:val="none"/>
          <w:lang w:val="en-US" w:eastAsia="zh-CN"/>
        </w:rPr>
        <w:t>清单</w:t>
      </w:r>
      <w:r>
        <w:rPr>
          <w:rFonts w:hint="eastAsia" w:ascii="Times New Roman" w:hAnsi="宋体" w:eastAsia="宋体" w:cs="宋体"/>
          <w:color w:val="auto"/>
          <w:sz w:val="21"/>
          <w:szCs w:val="21"/>
          <w:highlight w:val="none"/>
        </w:rPr>
        <w:t>项目的合同单价计价规则及报价水平，由发承包双方协商确定合理的综合单价；</w:t>
      </w:r>
    </w:p>
    <w:p w14:paraId="15CB0356">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（4）不同施工条件下实施不同项目特征的清单项目，依据工程实施情况，结合</w:t>
      </w:r>
      <w:r>
        <w:rPr>
          <w:rFonts w:hint="eastAsia" w:ascii="Times New Roman" w:hAnsi="宋体" w:eastAsia="宋体" w:cs="宋体"/>
          <w:color w:val="auto"/>
          <w:sz w:val="21"/>
          <w:szCs w:val="21"/>
          <w:highlight w:val="none"/>
          <w:lang w:eastAsia="zh-CN"/>
        </w:rPr>
        <w:t>自治区建设行政主管部门颁布的综合单价组价表、</w:t>
      </w:r>
      <w:r>
        <w:rPr>
          <w:rFonts w:hint="eastAsia" w:ascii="Times New Roman" w:hAnsi="宋体" w:eastAsia="宋体" w:cs="宋体"/>
          <w:color w:val="auto"/>
          <w:sz w:val="21"/>
          <w:szCs w:val="21"/>
          <w:highlight w:val="none"/>
        </w:rPr>
        <w:t>同类工程类似清单项目的综合单价，由发承包双方协商确定合理的综合单价；</w:t>
      </w:r>
    </w:p>
    <w:p w14:paraId="1679B7CF">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（5）因减少或取消清单项目的工程变更显著改变了实施中的工程施工条件，发承包双方根据实施工程的具体情况、市场价格、合同单价计价规则及报价水平协商确定工程变更的综合单价。</w:t>
      </w:r>
    </w:p>
    <w:p w14:paraId="4992E9FA">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（6）发包人提供的材料变更为承包人负责采购的，相应分部分项工程项目清单变更后的综合单价按下式计算：综合单价=合同单价+已确认材料价格×</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1+损耗率</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×（1+增值税税率）</w:t>
      </w:r>
    </w:p>
    <w:p w14:paraId="093B6685">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（7）承包人提供的材料变更为发包人提供的，相关合同清单项目综合单价中包含的材料费、增值税等应予扣除，综合单价中所含的其他费用不作调整，扣除后的清单项目单价为该清单项目的安装综合单价。</w:t>
      </w:r>
    </w:p>
    <w:p w14:paraId="746784E7">
      <w:pPr>
        <w:keepNext w:val="0"/>
        <w:keepLines w:val="0"/>
        <w:pageBreakBefore w:val="0"/>
        <w:widowControl/>
        <w:tabs>
          <w:tab w:val="left" w:pos="8647"/>
        </w:tabs>
        <w:bidi w:val="0"/>
        <w:spacing w:line="360" w:lineRule="auto"/>
        <w:ind w:firstLine="420"/>
        <w:jc w:val="both"/>
        <w:rPr>
          <w:rFonts w:hint="eastAsia" w:ascii="宋体" w:hAnsi="宋体" w:eastAsia="宋体" w:cs="宋体"/>
          <w:b w:val="0"/>
          <w:bCs w:val="0"/>
          <w:color w:val="auto"/>
          <w:sz w:val="21"/>
          <w:szCs w:val="21"/>
          <w:highlight w:val="none"/>
          <w:lang w:val="en-US" w:eastAsia="zh-CN"/>
        </w:rPr>
      </w:pP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lang w:val="en-US" w:eastAsia="zh-CN"/>
        </w:rPr>
        <w:t>8</w:t>
      </w:r>
      <w:r>
        <w:rPr>
          <w:rFonts w:hint="eastAsia" w:ascii="Times New Roman" w:hAnsi="宋体" w:eastAsia="宋体" w:cs="宋体"/>
          <w:color w:val="auto"/>
          <w:sz w:val="21"/>
          <w:szCs w:val="21"/>
          <w:highlight w:val="none"/>
          <w:lang w:eastAsia="zh-CN"/>
        </w:rPr>
        <w:t>）</w:t>
      </w:r>
      <w:r>
        <w:rPr>
          <w:rFonts w:hint="eastAsia" w:ascii="Times New Roman" w:hAnsi="Times New Roman" w:eastAsia="宋体" w:cs="Times New Roman"/>
          <w:color w:val="auto"/>
          <w:sz w:val="21"/>
          <w:szCs w:val="21"/>
          <w:highlight w:val="none"/>
          <w:lang w:eastAsia="zh-CN"/>
        </w:rPr>
        <w:t>如在招标过程中出现投标人的投标文件存在算术误差及细微偏差，以招标文件“澄清、说明或补正”规定</w:t>
      </w:r>
      <w:r>
        <w:rPr>
          <w:rFonts w:hint="eastAsia" w:ascii="宋体" w:hAnsi="宋体" w:eastAsia="宋体" w:cs="宋体"/>
          <w:b w:val="0"/>
          <w:bCs w:val="0"/>
          <w:color w:val="auto"/>
          <w:sz w:val="21"/>
          <w:szCs w:val="21"/>
          <w:highlight w:val="none"/>
          <w:lang w:val="en-US" w:eastAsia="zh-CN"/>
        </w:rPr>
        <w:t>修正后的综合单价作为工程进度款（总价合同除外）、工程变更以及单价合同竣工结算的计价依据。</w:t>
      </w:r>
    </w:p>
    <w:p w14:paraId="14E84189">
      <w:pPr>
        <w:spacing w:line="360" w:lineRule="auto"/>
        <w:ind w:firstLine="42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（9）如在招标过程中出现综合单价</w:t>
      </w:r>
      <w:r>
        <w:rPr>
          <w:rFonts w:hint="eastAsia" w:ascii="宋体" w:hAnsi="宋体" w:eastAsia="宋体" w:cs="宋体"/>
          <w:color w:val="auto"/>
          <w:spacing w:val="0"/>
          <w:sz w:val="21"/>
          <w:szCs w:val="21"/>
          <w:highlight w:val="none"/>
        </w:rPr>
        <w:t>非合理性偏低或偏高</w:t>
      </w:r>
      <w:r>
        <w:rPr>
          <w:rFonts w:hint="eastAsia" w:ascii="宋体" w:hAnsi="宋体" w:eastAsia="宋体" w:cs="宋体"/>
          <w:color w:val="auto"/>
          <w:spacing w:val="0"/>
          <w:sz w:val="21"/>
          <w:szCs w:val="21"/>
          <w:highlight w:val="none"/>
          <w:lang w:eastAsia="zh-CN"/>
        </w:rPr>
        <w:t>，</w:t>
      </w:r>
      <w:r>
        <w:rPr>
          <w:rFonts w:hint="eastAsia" w:ascii="Times New Roman" w:hAnsi="Times New Roman" w:eastAsia="宋体" w:cs="Times New Roman"/>
          <w:color w:val="auto"/>
          <w:sz w:val="21"/>
          <w:szCs w:val="21"/>
          <w:highlight w:val="none"/>
          <w:lang w:eastAsia="zh-CN"/>
        </w:rPr>
        <w:t>以招标文件“澄清、说明或补正”规定投标人</w:t>
      </w:r>
      <w:r>
        <w:rPr>
          <w:rFonts w:hint="eastAsia" w:ascii="宋体" w:hAnsi="宋体" w:eastAsia="宋体" w:cs="宋体"/>
          <w:color w:val="auto"/>
          <w:spacing w:val="0"/>
          <w:sz w:val="21"/>
          <w:szCs w:val="21"/>
          <w:highlight w:val="none"/>
        </w:rPr>
        <w:t>提供的合理修正综合单价</w:t>
      </w:r>
      <w:r>
        <w:rPr>
          <w:rFonts w:hint="eastAsia" w:ascii="宋体" w:hAnsi="宋体" w:eastAsia="宋体" w:cs="宋体"/>
          <w:color w:val="auto"/>
          <w:spacing w:val="0"/>
          <w:sz w:val="21"/>
          <w:szCs w:val="21"/>
          <w:highlight w:val="none"/>
          <w:lang w:eastAsia="zh-CN"/>
        </w:rPr>
        <w:t>作为</w:t>
      </w:r>
      <w:r>
        <w:rPr>
          <w:rFonts w:hint="eastAsia" w:ascii="宋体" w:hAnsi="宋体" w:eastAsia="宋体" w:cs="宋体"/>
          <w:color w:val="auto"/>
          <w:spacing w:val="0"/>
          <w:sz w:val="21"/>
          <w:szCs w:val="21"/>
          <w:highlight w:val="none"/>
        </w:rPr>
        <w:t>已标价工程量清单所列清单项目数量</w:t>
      </w:r>
      <w:r>
        <w:rPr>
          <w:rFonts w:hint="eastAsia" w:ascii="宋体" w:hAnsi="宋体" w:eastAsia="宋体" w:cs="宋体"/>
          <w:color w:val="auto"/>
          <w:spacing w:val="0"/>
          <w:sz w:val="21"/>
          <w:szCs w:val="21"/>
          <w:highlight w:val="none"/>
          <w:lang w:eastAsia="zh-CN"/>
        </w:rPr>
        <w:t>增加（总价合同除外）</w:t>
      </w:r>
      <w:r>
        <w:rPr>
          <w:rFonts w:hint="eastAsia" w:ascii="宋体" w:hAnsi="宋体" w:eastAsia="宋体" w:cs="宋体"/>
          <w:color w:val="auto"/>
          <w:spacing w:val="0"/>
          <w:sz w:val="21"/>
          <w:szCs w:val="21"/>
          <w:highlight w:val="none"/>
        </w:rPr>
        <w:t>和工程变更计价</w:t>
      </w:r>
      <w:r>
        <w:rPr>
          <w:rFonts w:hint="eastAsia" w:ascii="宋体" w:hAnsi="宋体" w:eastAsia="宋体" w:cs="宋体"/>
          <w:color w:val="auto"/>
          <w:spacing w:val="0"/>
          <w:sz w:val="21"/>
          <w:szCs w:val="21"/>
          <w:highlight w:val="none"/>
          <w:lang w:eastAsia="zh-CN"/>
        </w:rPr>
        <w:t>依据</w:t>
      </w:r>
      <w:r>
        <w:rPr>
          <w:rFonts w:hint="eastAsia" w:ascii="宋体" w:hAnsi="宋体" w:eastAsia="宋体" w:cs="宋体"/>
          <w:color w:val="auto"/>
          <w:spacing w:val="0"/>
          <w:sz w:val="21"/>
          <w:szCs w:val="21"/>
          <w:highlight w:val="none"/>
        </w:rPr>
        <w:t>。</w:t>
      </w:r>
    </w:p>
    <w:p w14:paraId="45C82926">
      <w:pPr>
        <w:spacing w:line="360" w:lineRule="auto"/>
        <w:ind w:firstLine="420"/>
        <w:rPr>
          <w:rFonts w:ascii="Times New Roman" w:hAnsi="Times New Roman" w:eastAsia="宋体" w:cs="Times New Roman"/>
          <w:color w:val="auto"/>
          <w:sz w:val="21"/>
          <w:szCs w:val="21"/>
          <w:highlight w:val="none"/>
        </w:rPr>
      </w:pPr>
      <w:r>
        <w:rPr>
          <w:rFonts w:hint="eastAsia" w:ascii="宋体" w:hAnsi="宋体" w:eastAsia="宋体" w:cs="宋体"/>
          <w:b w:val="0"/>
          <w:bCs w:val="0"/>
          <w:color w:val="auto"/>
          <w:sz w:val="21"/>
          <w:szCs w:val="21"/>
          <w:highlight w:val="none"/>
          <w:lang w:val="en-US" w:eastAsia="zh-CN"/>
        </w:rPr>
        <w:t>（10）采用单价合同时，工程变更和工程量清单缺陷导致</w:t>
      </w:r>
      <w:r>
        <w:rPr>
          <w:rFonts w:hint="eastAsia" w:ascii="Times New Roman" w:hAnsi="宋体" w:eastAsia="宋体" w:cs="宋体"/>
          <w:color w:val="auto"/>
          <w:sz w:val="21"/>
          <w:szCs w:val="21"/>
          <w:highlight w:val="none"/>
        </w:rPr>
        <w:t>工程量清单工程量偏差时，是否调整合同</w:t>
      </w:r>
      <w:r>
        <w:rPr>
          <w:rFonts w:hint="eastAsia" w:ascii="Times New Roman" w:hAnsi="宋体" w:eastAsia="宋体" w:cs="宋体"/>
          <w:color w:val="auto"/>
          <w:sz w:val="21"/>
          <w:szCs w:val="21"/>
          <w:highlight w:val="none"/>
          <w:lang w:eastAsia="zh-CN"/>
        </w:rPr>
        <w:t>单价</w:t>
      </w:r>
      <w:r>
        <w:rPr>
          <w:rFonts w:hint="eastAsia" w:ascii="Times New Roman" w:hAnsi="宋体" w:eastAsia="宋体" w:cs="宋体"/>
          <w:color w:val="auto"/>
          <w:sz w:val="21"/>
          <w:szCs w:val="21"/>
          <w:highlight w:val="none"/>
        </w:rPr>
        <w:t>：</w:t>
      </w:r>
      <w:r>
        <w:rPr>
          <w:rFonts w:hint="eastAsia" w:ascii="宋体" w:hAnsi="宋体"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 xml:space="preserve">是  </w:t>
      </w:r>
      <w:r>
        <w:rPr>
          <w:rFonts w:hint="eastAsia" w:ascii="宋体"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u w:val="single"/>
        </w:rPr>
        <w:t>否</w:t>
      </w:r>
      <w:r>
        <w:rPr>
          <w:rFonts w:hint="eastAsia" w:ascii="Times New Roman" w:hAnsi="宋体" w:eastAsia="宋体" w:cs="宋体"/>
          <w:color w:val="auto"/>
          <w:sz w:val="21"/>
          <w:szCs w:val="21"/>
          <w:highlight w:val="none"/>
        </w:rPr>
        <w:t>。</w:t>
      </w:r>
    </w:p>
    <w:p w14:paraId="4D504C9B">
      <w:pPr>
        <w:spacing w:line="360" w:lineRule="auto"/>
        <w:ind w:firstLine="420"/>
        <w:rPr>
          <w:rFonts w:hint="eastAsia" w:ascii="Times New Roman"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除综合单价存在</w:t>
      </w:r>
      <w:r>
        <w:rPr>
          <w:rFonts w:hint="eastAsia" w:ascii="宋体" w:hAnsi="宋体" w:eastAsia="宋体" w:cs="宋体"/>
          <w:color w:val="auto"/>
          <w:spacing w:val="0"/>
          <w:sz w:val="21"/>
          <w:szCs w:val="21"/>
          <w:highlight w:val="none"/>
        </w:rPr>
        <w:t>非合理性偏低或偏高</w:t>
      </w:r>
      <w:r>
        <w:rPr>
          <w:rFonts w:hint="eastAsia" w:ascii="宋体" w:hAnsi="宋体" w:eastAsia="宋体" w:cs="宋体"/>
          <w:color w:val="auto"/>
          <w:spacing w:val="0"/>
          <w:sz w:val="21"/>
          <w:szCs w:val="21"/>
          <w:highlight w:val="none"/>
          <w:lang w:eastAsia="zh-CN"/>
        </w:rPr>
        <w:t>按合理修正综合单价计价外，</w:t>
      </w:r>
      <w:r>
        <w:rPr>
          <w:rFonts w:hint="eastAsia" w:ascii="Times New Roman" w:hAnsi="宋体" w:eastAsia="宋体" w:cs="宋体"/>
          <w:color w:val="auto"/>
          <w:sz w:val="21"/>
          <w:szCs w:val="21"/>
          <w:highlight w:val="none"/>
        </w:rPr>
        <w:t>允许调整合同价格的工程量偏差范围及其调整办法：</w:t>
      </w:r>
    </w:p>
    <w:p w14:paraId="4CF7180D">
      <w:pPr>
        <w:spacing w:line="360" w:lineRule="auto"/>
        <w:ind w:firstLine="420"/>
        <w:rPr>
          <w:rFonts w:ascii="Times New Roman" w:hAnsi="Times New Roman" w:eastAsia="宋体" w:cs="Times New Roman"/>
          <w:color w:val="auto"/>
          <w:sz w:val="21"/>
          <w:szCs w:val="21"/>
          <w:highlight w:val="none"/>
        </w:rPr>
      </w:pPr>
      <w:r>
        <w:rPr>
          <w:rFonts w:hint="eastAsia" w:ascii="宋体" w:hAnsi="宋体" w:eastAsia="宋体" w:cs="宋体"/>
          <w:color w:val="auto"/>
          <w:sz w:val="21"/>
          <w:szCs w:val="21"/>
          <w:highlight w:val="none"/>
          <w:lang w:eastAsia="zh-CN"/>
        </w:rPr>
        <w:t>☑</w:t>
      </w:r>
      <w:r>
        <w:rPr>
          <w:rFonts w:ascii="Times New Roman" w:hAnsi="Times New Roman" w:eastAsia="宋体" w:cs="Times New Roman"/>
          <w:color w:val="auto"/>
          <w:sz w:val="21"/>
          <w:szCs w:val="21"/>
          <w:highlight w:val="none"/>
          <w:u w:val="single"/>
        </w:rPr>
        <w:t xml:space="preserve"> </w:t>
      </w:r>
      <w:r>
        <w:rPr>
          <w:rFonts w:hint="eastAsia" w:ascii="Times New Roman" w:hAnsi="Times New Roman" w:eastAsia="宋体" w:cs="Times New Roman"/>
          <w:color w:val="auto"/>
          <w:sz w:val="21"/>
          <w:szCs w:val="21"/>
          <w:highlight w:val="none"/>
          <w:u w:val="single"/>
        </w:rPr>
        <w:t>无论分部分项工程量清单项目中的工程量变化多少均不调整</w:t>
      </w:r>
      <w:r>
        <w:rPr>
          <w:rFonts w:hint="eastAsia" w:ascii="Times New Roman" w:hAnsi="宋体" w:eastAsia="宋体" w:cs="宋体"/>
          <w:color w:val="auto"/>
          <w:sz w:val="21"/>
          <w:szCs w:val="21"/>
          <w:highlight w:val="none"/>
        </w:rPr>
        <w:t>。</w:t>
      </w:r>
    </w:p>
    <w:p w14:paraId="28E7A324">
      <w:pPr>
        <w:spacing w:line="360" w:lineRule="auto"/>
        <w:ind w:firstLine="420"/>
        <w:rPr>
          <w:rFonts w:hint="eastAsia" w:ascii="Times New Roman" w:hAnsi="Times New Roman" w:eastAsia="宋体" w:cs="Times New Roman"/>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 xml:space="preserve"> </w:t>
      </w:r>
      <w:r>
        <w:rPr>
          <w:rFonts w:hint="eastAsia" w:ascii="Calibri" w:hAnsi="宋体" w:eastAsia="宋体" w:cs="宋体"/>
          <w:color w:val="auto"/>
          <w:sz w:val="21"/>
          <w:szCs w:val="21"/>
          <w:highlight w:val="none"/>
          <w:u w:val="single"/>
        </w:rPr>
        <w:t>承包人实际完成的某单项清单项目工程量与招标工程量清单工程量偏差超过    %</w:t>
      </w:r>
      <w:r>
        <w:rPr>
          <w:rFonts w:hint="eastAsia" w:ascii="Calibri" w:hAnsi="宋体" w:eastAsia="宋体" w:cs="宋体"/>
          <w:color w:val="auto"/>
          <w:sz w:val="21"/>
          <w:szCs w:val="21"/>
          <w:highlight w:val="none"/>
          <w:u w:val="single"/>
          <w:lang w:eastAsia="zh-CN"/>
        </w:rPr>
        <w:t>（取值不低于</w:t>
      </w:r>
      <w:r>
        <w:rPr>
          <w:rFonts w:hint="eastAsia" w:ascii="Calibri" w:hAnsi="宋体" w:eastAsia="宋体" w:cs="宋体"/>
          <w:color w:val="auto"/>
          <w:sz w:val="21"/>
          <w:szCs w:val="21"/>
          <w:highlight w:val="none"/>
          <w:u w:val="single"/>
          <w:lang w:val="en-US" w:eastAsia="zh-CN"/>
        </w:rPr>
        <w:t>15%</w:t>
      </w:r>
      <w:r>
        <w:rPr>
          <w:rFonts w:hint="eastAsia" w:ascii="Calibri" w:hAnsi="宋体" w:eastAsia="宋体" w:cs="宋体"/>
          <w:color w:val="auto"/>
          <w:sz w:val="21"/>
          <w:szCs w:val="21"/>
          <w:highlight w:val="none"/>
          <w:u w:val="single"/>
          <w:lang w:eastAsia="zh-CN"/>
        </w:rPr>
        <w:t>）</w:t>
      </w:r>
      <w:r>
        <w:rPr>
          <w:rFonts w:hint="eastAsia" w:ascii="Calibri" w:hAnsi="宋体" w:eastAsia="宋体" w:cs="宋体"/>
          <w:color w:val="auto"/>
          <w:sz w:val="21"/>
          <w:szCs w:val="21"/>
          <w:highlight w:val="none"/>
          <w:u w:val="single"/>
        </w:rPr>
        <w:t>且该单项清单</w:t>
      </w:r>
      <w:r>
        <w:rPr>
          <w:rFonts w:hint="eastAsia" w:ascii="Calibri" w:hAnsi="宋体" w:eastAsia="宋体" w:cs="宋体"/>
          <w:color w:val="auto"/>
          <w:sz w:val="21"/>
          <w:szCs w:val="21"/>
          <w:highlight w:val="none"/>
          <w:u w:val="single"/>
          <w:lang w:eastAsia="zh-CN"/>
        </w:rPr>
        <w:t>总价</w:t>
      </w:r>
      <w:r>
        <w:rPr>
          <w:rFonts w:hint="eastAsia" w:ascii="Calibri" w:hAnsi="宋体" w:eastAsia="宋体" w:cs="宋体"/>
          <w:color w:val="auto"/>
          <w:sz w:val="21"/>
          <w:szCs w:val="21"/>
          <w:highlight w:val="none"/>
          <w:u w:val="single"/>
        </w:rPr>
        <w:t>超过清单项目所对应单位工程合同总价  %</w:t>
      </w:r>
      <w:r>
        <w:rPr>
          <w:rFonts w:hint="eastAsia" w:ascii="Calibri" w:hAnsi="宋体" w:eastAsia="宋体" w:cs="宋体"/>
          <w:color w:val="auto"/>
          <w:sz w:val="21"/>
          <w:szCs w:val="21"/>
          <w:highlight w:val="none"/>
          <w:u w:val="single"/>
          <w:lang w:eastAsia="zh-CN"/>
        </w:rPr>
        <w:t>（取值不低于</w:t>
      </w:r>
      <w:r>
        <w:rPr>
          <w:rFonts w:hint="eastAsia" w:ascii="Calibri" w:hAnsi="宋体" w:eastAsia="宋体" w:cs="宋体"/>
          <w:color w:val="auto"/>
          <w:sz w:val="21"/>
          <w:szCs w:val="21"/>
          <w:highlight w:val="none"/>
          <w:u w:val="single"/>
          <w:lang w:val="en-US" w:eastAsia="zh-CN"/>
        </w:rPr>
        <w:t>1%</w:t>
      </w:r>
      <w:r>
        <w:rPr>
          <w:rFonts w:hint="eastAsia" w:ascii="Calibri" w:hAnsi="宋体" w:eastAsia="宋体" w:cs="宋体"/>
          <w:color w:val="auto"/>
          <w:sz w:val="21"/>
          <w:szCs w:val="21"/>
          <w:highlight w:val="none"/>
          <w:u w:val="single"/>
          <w:lang w:eastAsia="zh-CN"/>
        </w:rPr>
        <w:t>）</w:t>
      </w:r>
      <w:r>
        <w:rPr>
          <w:rFonts w:hint="eastAsia" w:ascii="Calibri" w:hAnsi="宋体" w:eastAsia="宋体" w:cs="宋体"/>
          <w:color w:val="auto"/>
          <w:sz w:val="21"/>
          <w:szCs w:val="21"/>
          <w:highlight w:val="none"/>
          <w:u w:val="single"/>
        </w:rPr>
        <w:t>以上的，超过后增加部分工程量或减少后剩余部分工程量的综合单价按以下方法调整：                    。</w:t>
      </w:r>
    </w:p>
    <w:p w14:paraId="4C62F345">
      <w:pPr>
        <w:spacing w:line="360" w:lineRule="auto"/>
        <w:ind w:firstLine="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    1</w:t>
      </w:r>
      <w:r>
        <w:rPr>
          <w:rFonts w:hint="eastAsia" w:ascii="Times New Roman" w:hAnsi="宋体" w:eastAsia="宋体" w:cs="宋体"/>
          <w:color w:val="auto"/>
          <w:sz w:val="21"/>
          <w:szCs w:val="21"/>
          <w:highlight w:val="none"/>
          <w:lang w:val="en-US" w:eastAsia="zh-CN"/>
        </w:rPr>
        <w:t>0</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4</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2</w:t>
      </w:r>
      <w:r>
        <w:rPr>
          <w:rFonts w:hint="eastAsia" w:ascii="Times New Roman" w:hAnsi="宋体" w:eastAsia="宋体" w:cs="宋体"/>
          <w:color w:val="auto"/>
          <w:sz w:val="21"/>
          <w:szCs w:val="21"/>
          <w:highlight w:val="none"/>
        </w:rPr>
        <w:t xml:space="preserve"> </w:t>
      </w:r>
      <w:r>
        <w:rPr>
          <w:rFonts w:hint="eastAsia" w:ascii="Times New Roman" w:hAnsi="宋体" w:eastAsia="宋体" w:cs="宋体"/>
          <w:color w:val="auto"/>
          <w:sz w:val="21"/>
          <w:szCs w:val="21"/>
          <w:highlight w:val="none"/>
          <w:lang w:eastAsia="zh-CN"/>
        </w:rPr>
        <w:t>因</w:t>
      </w:r>
      <w:r>
        <w:rPr>
          <w:rFonts w:hint="eastAsia" w:ascii="Times New Roman" w:hAnsi="宋体" w:eastAsia="宋体" w:cs="宋体"/>
          <w:color w:val="auto"/>
          <w:sz w:val="21"/>
          <w:szCs w:val="21"/>
          <w:highlight w:val="none"/>
        </w:rPr>
        <w:t>工程变更或发包人责任事件引起合同工期实质性延长或缩短的，按以下公式计算合同工期影响的措施项目调增（减）价格：</w:t>
      </w:r>
    </w:p>
    <w:p w14:paraId="08F4DEFB">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措施项目调增（减）价格＝延长（缩短）工期×措施项目中期运行费用</w:t>
      </w:r>
      <w:r>
        <w:rPr>
          <w:rFonts w:hint="eastAsia" w:ascii="Times New Roman" w:hAnsi="宋体" w:eastAsia="宋体" w:cs="宋体"/>
          <w:color w:val="auto"/>
          <w:sz w:val="21"/>
          <w:szCs w:val="21"/>
          <w:highlight w:val="none"/>
          <w:lang w:val="en-US" w:eastAsia="zh-CN"/>
        </w:rPr>
        <w:t>÷</w:t>
      </w:r>
      <w:r>
        <w:rPr>
          <w:rFonts w:hint="eastAsia" w:ascii="Times New Roman" w:hAnsi="宋体" w:eastAsia="宋体" w:cs="宋体"/>
          <w:color w:val="auto"/>
          <w:sz w:val="21"/>
          <w:szCs w:val="21"/>
          <w:highlight w:val="none"/>
        </w:rPr>
        <w:t>合同工期</w:t>
      </w:r>
    </w:p>
    <w:p w14:paraId="5E9DE555">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措施项目中期运行费用——按本合同</w:t>
      </w:r>
      <w:r>
        <w:rPr>
          <w:rFonts w:hint="eastAsia" w:ascii="Times New Roman" w:hAnsi="宋体" w:eastAsia="宋体" w:cs="宋体"/>
          <w:color w:val="auto"/>
          <w:sz w:val="21"/>
          <w:szCs w:val="21"/>
          <w:highlight w:val="none"/>
          <w:lang w:eastAsia="zh-CN"/>
        </w:rPr>
        <w:t>附件</w:t>
      </w:r>
      <w:r>
        <w:rPr>
          <w:rFonts w:hint="eastAsia" w:ascii="Times New Roman" w:hAnsi="宋体" w:eastAsia="宋体" w:cs="宋体"/>
          <w:color w:val="auto"/>
          <w:sz w:val="21"/>
          <w:szCs w:val="21"/>
          <w:highlight w:val="none"/>
          <w:lang w:val="en-US" w:eastAsia="zh-CN"/>
        </w:rPr>
        <w:t>15</w:t>
      </w:r>
      <w:r>
        <w:rPr>
          <w:rFonts w:hint="eastAsia" w:ascii="Times New Roman" w:hAnsi="宋体" w:eastAsia="宋体" w:cs="宋体"/>
          <w:color w:val="auto"/>
          <w:sz w:val="21"/>
          <w:szCs w:val="21"/>
          <w:highlight w:val="none"/>
        </w:rPr>
        <w:t>《措施项目费用分拆表》计算合同清单中所有受影响措施项目的中期运行费用。</w:t>
      </w:r>
    </w:p>
    <w:p w14:paraId="79957343">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w:t>
      </w:r>
      <w:r>
        <w:rPr>
          <w:rFonts w:hint="eastAsia" w:ascii="Times New Roman" w:hAnsi="宋体" w:eastAsia="宋体" w:cs="宋体"/>
          <w:color w:val="auto"/>
          <w:sz w:val="21"/>
          <w:szCs w:val="21"/>
          <w:highlight w:val="none"/>
          <w:lang w:val="en-US" w:eastAsia="zh-CN"/>
        </w:rPr>
        <w:t>0</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4</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3</w:t>
      </w:r>
      <w:r>
        <w:rPr>
          <w:rFonts w:hint="eastAsia" w:ascii="Times New Roman" w:hAnsi="宋体" w:eastAsia="宋体" w:cs="宋体"/>
          <w:color w:val="auto"/>
          <w:sz w:val="21"/>
          <w:szCs w:val="21"/>
          <w:highlight w:val="none"/>
        </w:rPr>
        <w:t xml:space="preserve"> 为完成工程变更而需增加的额外措施项目费用应按以下约定计算：</w:t>
      </w:r>
    </w:p>
    <w:p w14:paraId="450E66BC">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完成工程变更所需增加设置的临时设施，按实际发生临时设施的类型、数量及使用时间进行计量，由发承包双方协商确定的合理价格进行计价。</w:t>
      </w:r>
    </w:p>
    <w:p w14:paraId="405F35C0">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w:t>
      </w:r>
      <w:r>
        <w:rPr>
          <w:rFonts w:hint="eastAsia" w:ascii="Times New Roman" w:hAnsi="宋体" w:eastAsia="宋体" w:cs="宋体"/>
          <w:color w:val="auto"/>
          <w:sz w:val="21"/>
          <w:szCs w:val="21"/>
          <w:highlight w:val="none"/>
          <w:lang w:val="en-US" w:eastAsia="zh-CN"/>
        </w:rPr>
        <w:t>0</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4</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4</w:t>
      </w:r>
      <w:r>
        <w:rPr>
          <w:rFonts w:hint="eastAsia" w:ascii="Times New Roman" w:hAnsi="宋体" w:eastAsia="宋体" w:cs="宋体"/>
          <w:color w:val="auto"/>
          <w:sz w:val="21"/>
          <w:szCs w:val="21"/>
          <w:highlight w:val="none"/>
        </w:rPr>
        <w:t>工程变更涉及合同工程范围、工期、质量、合同规范等实质性内容变化并引起措施项目发生改变时，发承包双方的不利一方提出调整措施项目费的，应事先将拟实施的方案提交另一方审核，</w:t>
      </w:r>
      <w:r>
        <w:rPr>
          <w:rFonts w:hint="eastAsia" w:ascii="Times New Roman" w:hAnsi="宋体" w:eastAsia="宋体" w:cs="宋体"/>
          <w:color w:val="auto"/>
          <w:sz w:val="21"/>
          <w:szCs w:val="21"/>
          <w:highlight w:val="none"/>
          <w:lang w:eastAsia="zh-CN"/>
        </w:rPr>
        <w:t>并</w:t>
      </w:r>
      <w:r>
        <w:rPr>
          <w:rFonts w:hint="eastAsia" w:ascii="Times New Roman" w:hAnsi="宋体" w:eastAsia="宋体" w:cs="宋体"/>
          <w:color w:val="auto"/>
          <w:sz w:val="21"/>
          <w:szCs w:val="21"/>
          <w:highlight w:val="none"/>
        </w:rPr>
        <w:t>详细说明与原方案措施项目对比的变化情况</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 xml:space="preserve">拟实施的方案经发承包双方确认后执行的，应按本合同第 </w:t>
      </w:r>
      <w:r>
        <w:rPr>
          <w:rFonts w:hint="eastAsia" w:ascii="Times New Roman" w:hAnsi="宋体" w:eastAsia="宋体" w:cs="宋体"/>
          <w:color w:val="auto"/>
          <w:sz w:val="21"/>
          <w:szCs w:val="21"/>
          <w:highlight w:val="none"/>
          <w:lang w:val="en-US" w:eastAsia="zh-CN"/>
        </w:rPr>
        <w:t>10.4.2</w:t>
      </w:r>
      <w:r>
        <w:rPr>
          <w:rFonts w:hint="eastAsia" w:ascii="Times New Roman" w:hAnsi="宋体" w:eastAsia="宋体" w:cs="宋体"/>
          <w:color w:val="auto"/>
          <w:sz w:val="21"/>
          <w:szCs w:val="21"/>
          <w:highlight w:val="none"/>
        </w:rPr>
        <w:t>条、第</w:t>
      </w:r>
      <w:r>
        <w:rPr>
          <w:rFonts w:hint="eastAsia" w:ascii="Times New Roman" w:hAnsi="宋体" w:eastAsia="宋体" w:cs="宋体"/>
          <w:color w:val="auto"/>
          <w:sz w:val="21"/>
          <w:szCs w:val="21"/>
          <w:highlight w:val="none"/>
          <w:lang w:val="en-US" w:eastAsia="zh-CN"/>
        </w:rPr>
        <w:t>10.4.3</w:t>
      </w:r>
      <w:r>
        <w:rPr>
          <w:rFonts w:hint="eastAsia" w:ascii="Times New Roman" w:hAnsi="宋体" w:eastAsia="宋体" w:cs="宋体"/>
          <w:color w:val="auto"/>
          <w:sz w:val="21"/>
          <w:szCs w:val="21"/>
          <w:highlight w:val="none"/>
        </w:rPr>
        <w:t>条的约定调整措施项目费。</w:t>
      </w:r>
    </w:p>
    <w:p w14:paraId="3CDC28B3">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w:t>
      </w:r>
      <w:r>
        <w:rPr>
          <w:rFonts w:hint="eastAsia" w:ascii="Times New Roman" w:hAnsi="宋体" w:eastAsia="宋体" w:cs="宋体"/>
          <w:color w:val="auto"/>
          <w:sz w:val="21"/>
          <w:szCs w:val="21"/>
          <w:highlight w:val="none"/>
          <w:lang w:val="en-US" w:eastAsia="zh-CN"/>
        </w:rPr>
        <w:t>0</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4</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5</w:t>
      </w:r>
      <w:r>
        <w:rPr>
          <w:rFonts w:hint="eastAsia" w:ascii="Times New Roman" w:hAnsi="宋体" w:eastAsia="宋体" w:cs="宋体"/>
          <w:color w:val="auto"/>
          <w:sz w:val="21"/>
          <w:szCs w:val="21"/>
          <w:highlight w:val="none"/>
        </w:rPr>
        <w:t xml:space="preserve"> 发包人提出的工程变更取消了合同中的某项原定工作或工程，且承包人发生的费用或（和）应得的收益没有包括在其他已支付或应支付的项目中或在任何替代的工作或工程中，发包人应补偿承包人的损失费用及合理的预期收益。 </w:t>
      </w:r>
    </w:p>
    <w:p w14:paraId="034C929B">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774" w:name="_Toc373227743"/>
      <w:bookmarkStart w:id="775" w:name="_Toc78449832"/>
      <w:bookmarkStart w:id="776" w:name="_Toc389065309"/>
      <w:bookmarkStart w:id="777" w:name="_Toc650800266"/>
      <w:bookmarkStart w:id="778" w:name="_Toc27214"/>
      <w:bookmarkStart w:id="779" w:name="_Toc373478390"/>
      <w:bookmarkStart w:id="780" w:name="_Toc407135246"/>
      <w:bookmarkStart w:id="781" w:name="_Toc2996"/>
      <w:r>
        <w:rPr>
          <w:rFonts w:ascii="Times New Roman" w:hAnsi="Times New Roman" w:eastAsia="黑体" w:cs="Times New Roman"/>
          <w:b/>
          <w:bCs/>
          <w:color w:val="auto"/>
          <w:sz w:val="21"/>
          <w:szCs w:val="21"/>
          <w:highlight w:val="none"/>
          <w:lang w:val="zh-CN" w:eastAsia="zh-CN" w:bidi="ar-SA"/>
        </w:rPr>
        <w:t>1</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Start w:id="782" w:name="_Toc297048383"/>
      <w:bookmarkStart w:id="783" w:name="_Toc292559402"/>
      <w:bookmarkStart w:id="784" w:name="_Toc296347196"/>
      <w:bookmarkStart w:id="785" w:name="_Toc296891237"/>
      <w:bookmarkStart w:id="786" w:name="_Toc296346698"/>
      <w:bookmarkStart w:id="787" w:name="_Toc292559907"/>
      <w:bookmarkStart w:id="788" w:name="_Toc303539150"/>
      <w:bookmarkStart w:id="789" w:name="_Toc296891025"/>
      <w:bookmarkStart w:id="790" w:name="_Toc297216203"/>
      <w:bookmarkStart w:id="791" w:name="_Toc297123544"/>
      <w:bookmarkStart w:id="792" w:name="_Toc297120497"/>
      <w:bookmarkStart w:id="793" w:name="_Toc296944536"/>
      <w:bookmarkStart w:id="794" w:name="_Toc296503197"/>
      <w:bookmarkStart w:id="795" w:name="_Toc300934993"/>
      <w:bookmarkStart w:id="796" w:name="_Toc312677503"/>
      <w:bookmarkStart w:id="797" w:name="_Toc312678029"/>
      <w:bookmarkStart w:id="798" w:name="_Toc304295570"/>
      <w:r>
        <w:rPr>
          <w:rFonts w:ascii="Times New Roman" w:hAnsi="Times New Roman" w:eastAsia="黑体" w:cs="Times New Roman"/>
          <w:b/>
          <w:bCs/>
          <w:color w:val="auto"/>
          <w:sz w:val="21"/>
          <w:szCs w:val="21"/>
          <w:highlight w:val="none"/>
          <w:lang w:val="zh-CN" w:eastAsia="zh-CN" w:bidi="ar-SA"/>
        </w:rPr>
        <w:t xml:space="preserve">0.5 </w:t>
      </w:r>
      <w:r>
        <w:rPr>
          <w:rFonts w:hint="eastAsia" w:ascii="Times New Roman" w:hAnsi="Times New Roman" w:eastAsia="黑体" w:cs="黑体"/>
          <w:b/>
          <w:bCs/>
          <w:color w:val="auto"/>
          <w:sz w:val="21"/>
          <w:szCs w:val="21"/>
          <w:highlight w:val="none"/>
          <w:lang w:val="zh-CN" w:eastAsia="zh-CN" w:bidi="ar-SA"/>
        </w:rPr>
        <w:t>承</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Start w:id="799" w:name="_Toc296891243"/>
      <w:bookmarkStart w:id="800" w:name="_Toc296346704"/>
      <w:bookmarkStart w:id="801" w:name="_Toc296891031"/>
      <w:bookmarkStart w:id="802" w:name="_Toc292559913"/>
      <w:bookmarkStart w:id="803" w:name="_Toc292559408"/>
      <w:bookmarkStart w:id="804" w:name="_Toc297216204"/>
      <w:bookmarkStart w:id="805" w:name="_Toc297123545"/>
      <w:bookmarkStart w:id="806" w:name="_Toc300934994"/>
      <w:bookmarkStart w:id="807" w:name="_Toc296944542"/>
      <w:bookmarkStart w:id="808" w:name="_Toc296503203"/>
      <w:bookmarkStart w:id="809" w:name="_Toc297048389"/>
      <w:bookmarkStart w:id="810" w:name="_Toc297120503"/>
      <w:bookmarkStart w:id="811" w:name="_Toc296347202"/>
      <w:bookmarkStart w:id="812" w:name="_Toc303539151"/>
      <w:r>
        <w:rPr>
          <w:rFonts w:hint="eastAsia" w:ascii="Times New Roman" w:hAnsi="Times New Roman" w:eastAsia="黑体" w:cs="黑体"/>
          <w:b/>
          <w:bCs/>
          <w:color w:val="auto"/>
          <w:sz w:val="21"/>
          <w:szCs w:val="21"/>
          <w:highlight w:val="none"/>
          <w:lang w:val="zh-CN" w:eastAsia="zh-CN" w:bidi="ar-SA"/>
        </w:rPr>
        <w:t>包人的合理化建议</w:t>
      </w:r>
      <w:bookmarkEnd w:id="774"/>
      <w:bookmarkEnd w:id="775"/>
      <w:bookmarkEnd w:id="776"/>
      <w:bookmarkEnd w:id="777"/>
      <w:bookmarkEnd w:id="778"/>
      <w:bookmarkEnd w:id="779"/>
      <w:bookmarkEnd w:id="780"/>
      <w:bookmarkEnd w:id="781"/>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14:paraId="3A4B6D86">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监理人审查承包人合理化建议的期限：</w:t>
      </w:r>
      <w:r>
        <w:rPr>
          <w:rFonts w:hint="eastAsia" w:ascii="Times New Roman" w:hAnsi="Times New Roman" w:eastAsia="宋体" w:cs="Times New Roman"/>
          <w:color w:val="auto"/>
          <w:sz w:val="21"/>
          <w:szCs w:val="21"/>
          <w:u w:val="single"/>
        </w:rPr>
        <w:t>收到后7天内</w:t>
      </w:r>
      <w:r>
        <w:rPr>
          <w:rFonts w:hint="eastAsia" w:ascii="Times New Roman" w:hAnsi="宋体" w:eastAsia="宋体" w:cs="宋体"/>
          <w:color w:val="auto"/>
          <w:sz w:val="21"/>
          <w:szCs w:val="21"/>
          <w:highlight w:val="none"/>
        </w:rPr>
        <w:t>。</w:t>
      </w:r>
    </w:p>
    <w:p w14:paraId="7E077D72">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发包人审批承包人合理化建议的期限：</w:t>
      </w:r>
      <w:r>
        <w:rPr>
          <w:rFonts w:hint="eastAsia" w:ascii="Times New Roman" w:hAnsi="Times New Roman" w:eastAsia="宋体" w:cs="Times New Roman"/>
          <w:color w:val="auto"/>
          <w:sz w:val="21"/>
          <w:szCs w:val="21"/>
          <w:u w:val="single"/>
        </w:rPr>
        <w:t>收到后7天内</w:t>
      </w:r>
      <w:r>
        <w:rPr>
          <w:rFonts w:hint="eastAsia" w:ascii="Times New Roman" w:hAnsi="宋体" w:eastAsia="宋体" w:cs="宋体"/>
          <w:color w:val="auto"/>
          <w:sz w:val="21"/>
          <w:szCs w:val="21"/>
          <w:highlight w:val="none"/>
        </w:rPr>
        <w:t>。</w:t>
      </w:r>
    </w:p>
    <w:p w14:paraId="4BBE5871">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承</w:t>
      </w:r>
      <w:bookmarkStart w:id="813" w:name="_Toc292559914"/>
      <w:bookmarkStart w:id="814" w:name="_Toc312678030"/>
      <w:bookmarkStart w:id="815" w:name="_Toc296346705"/>
      <w:bookmarkStart w:id="816" w:name="_Toc292559409"/>
      <w:bookmarkStart w:id="817" w:name="_Toc303539152"/>
      <w:bookmarkStart w:id="818" w:name="_Toc296347203"/>
      <w:bookmarkStart w:id="819" w:name="_Toc297120504"/>
      <w:bookmarkStart w:id="820" w:name="_Toc296503204"/>
      <w:bookmarkStart w:id="821" w:name="_Toc296944543"/>
      <w:bookmarkStart w:id="822" w:name="_Toc318581175"/>
      <w:bookmarkStart w:id="823" w:name="_Toc297216205"/>
      <w:bookmarkStart w:id="824" w:name="_Toc300934995"/>
      <w:bookmarkStart w:id="825" w:name="_Toc312677504"/>
      <w:bookmarkStart w:id="826" w:name="_Toc297048390"/>
      <w:bookmarkStart w:id="827" w:name="_Toc297123546"/>
      <w:bookmarkStart w:id="828" w:name="_Toc296891244"/>
      <w:bookmarkStart w:id="829" w:name="_Toc296891032"/>
      <w:bookmarkStart w:id="830" w:name="_Toc304295571"/>
      <w:r>
        <w:rPr>
          <w:rFonts w:hint="eastAsia" w:ascii="Times New Roman" w:hAnsi="宋体" w:eastAsia="宋体" w:cs="宋体"/>
          <w:color w:val="auto"/>
          <w:sz w:val="21"/>
          <w:szCs w:val="21"/>
          <w:highlight w:val="none"/>
        </w:rPr>
        <w:t>包人提出的合理化建议降低了合同价格或者提高了工程经济效益的奖励的方法和金额为：</w:t>
      </w:r>
      <w:r>
        <w:rPr>
          <w:rFonts w:hint="eastAsia" w:ascii="Times New Roman" w:hAnsi="Times New Roman" w:eastAsia="宋体" w:cs="Times New Roman"/>
          <w:color w:val="auto"/>
          <w:sz w:val="21"/>
          <w:szCs w:val="21"/>
          <w:highlight w:val="none"/>
          <w:u w:val="single"/>
        </w:rPr>
        <w:t>另行协商</w:t>
      </w:r>
      <w:r>
        <w:rPr>
          <w:rFonts w:hint="eastAsia" w:ascii="Times New Roman" w:hAnsi="宋体" w:eastAsia="宋体" w:cs="宋体"/>
          <w:color w:val="auto"/>
          <w:sz w:val="21"/>
          <w:szCs w:val="21"/>
          <w:highlight w:val="none"/>
        </w:rPr>
        <w:t>。</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14:paraId="6E324BEB">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831" w:name="_Toc78449833"/>
      <w:bookmarkStart w:id="832" w:name="_Toc373227744"/>
      <w:bookmarkStart w:id="833" w:name="_Toc2045792355"/>
      <w:bookmarkStart w:id="834" w:name="_Toc407135247"/>
      <w:bookmarkStart w:id="835" w:name="_Toc389065310"/>
      <w:bookmarkStart w:id="836" w:name="_Toc30086"/>
      <w:bookmarkStart w:id="837" w:name="_Toc10238"/>
      <w:bookmarkStart w:id="838" w:name="_Toc373478391"/>
      <w:r>
        <w:rPr>
          <w:rFonts w:ascii="Times New Roman" w:hAnsi="Times New Roman" w:eastAsia="黑体" w:cs="Times New Roman"/>
          <w:b/>
          <w:bCs/>
          <w:color w:val="auto"/>
          <w:sz w:val="21"/>
          <w:szCs w:val="21"/>
          <w:highlight w:val="none"/>
          <w:lang w:val="zh-CN" w:eastAsia="zh-CN" w:bidi="ar-SA"/>
        </w:rPr>
        <w:t>1</w:t>
      </w:r>
      <w:bookmarkStart w:id="839" w:name="_Toc296347198"/>
      <w:bookmarkStart w:id="840" w:name="_Toc304295574"/>
      <w:bookmarkStart w:id="841" w:name="_Toc296944538"/>
      <w:bookmarkStart w:id="842" w:name="_Toc292559404"/>
      <w:bookmarkStart w:id="843" w:name="_Toc297120499"/>
      <w:bookmarkStart w:id="844" w:name="_Toc296346700"/>
      <w:bookmarkStart w:id="845" w:name="_Toc296891239"/>
      <w:bookmarkStart w:id="846" w:name="_Toc312677507"/>
      <w:bookmarkStart w:id="847" w:name="_Toc300934997"/>
      <w:bookmarkStart w:id="848" w:name="_Toc292559909"/>
      <w:bookmarkStart w:id="849" w:name="_Toc297216207"/>
      <w:bookmarkStart w:id="850" w:name="_Toc297048385"/>
      <w:bookmarkStart w:id="851" w:name="_Toc297123548"/>
      <w:bookmarkStart w:id="852" w:name="_Toc296503199"/>
      <w:bookmarkStart w:id="853" w:name="_Toc296891027"/>
      <w:bookmarkStart w:id="854" w:name="_Toc303539154"/>
      <w:bookmarkStart w:id="855" w:name="_Toc312678033"/>
      <w:r>
        <w:rPr>
          <w:rFonts w:ascii="Times New Roman" w:hAnsi="Times New Roman" w:eastAsia="黑体" w:cs="Times New Roman"/>
          <w:b/>
          <w:bCs/>
          <w:color w:val="auto"/>
          <w:sz w:val="21"/>
          <w:szCs w:val="21"/>
          <w:highlight w:val="none"/>
          <w:lang w:val="zh-CN" w:eastAsia="zh-CN" w:bidi="ar-SA"/>
        </w:rPr>
        <w:t xml:space="preserve">0.7 </w:t>
      </w:r>
      <w:r>
        <w:rPr>
          <w:rFonts w:hint="eastAsia" w:ascii="Times New Roman" w:hAnsi="宋体" w:eastAsia="黑体" w:cs="黑体"/>
          <w:b/>
          <w:bCs/>
          <w:color w:val="auto"/>
          <w:sz w:val="21"/>
          <w:szCs w:val="21"/>
          <w:highlight w:val="none"/>
          <w:lang w:val="zh-CN" w:eastAsia="zh-CN" w:bidi="ar-SA"/>
        </w:rPr>
        <w:t>暂估价</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14:paraId="2746ABCD">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暂估价材料和工程设备的明细详见已标价工程量清单《</w:t>
      </w:r>
      <w:r>
        <w:rPr>
          <w:rFonts w:hint="eastAsia" w:ascii="Times New Roman" w:hAnsi="Times New Roman" w:eastAsia="宋体" w:cs="宋体"/>
          <w:color w:val="auto"/>
          <w:sz w:val="21"/>
          <w:szCs w:val="21"/>
          <w:highlight w:val="none"/>
        </w:rPr>
        <w:t>材料暂估</w:t>
      </w:r>
      <w:r>
        <w:rPr>
          <w:rFonts w:hint="eastAsia" w:ascii="Times New Roman" w:hAnsi="Times New Roman" w:eastAsia="宋体" w:cs="宋体"/>
          <w:color w:val="auto"/>
          <w:sz w:val="21"/>
          <w:szCs w:val="21"/>
          <w:highlight w:val="none"/>
          <w:lang w:eastAsia="zh-CN"/>
        </w:rPr>
        <w:t>价</w:t>
      </w:r>
      <w:r>
        <w:rPr>
          <w:rFonts w:hint="eastAsia" w:ascii="Times New Roman" w:hAnsi="Times New Roman" w:eastAsia="宋体" w:cs="宋体"/>
          <w:color w:val="auto"/>
          <w:sz w:val="21"/>
          <w:szCs w:val="21"/>
          <w:highlight w:val="none"/>
          <w:lang w:val="en-US" w:eastAsia="zh-CN"/>
        </w:rPr>
        <w:t>明细</w:t>
      </w:r>
      <w:r>
        <w:rPr>
          <w:rFonts w:hint="eastAsia" w:ascii="Times New Roman" w:hAnsi="Times New Roman" w:eastAsia="宋体" w:cs="宋体"/>
          <w:color w:val="auto"/>
          <w:sz w:val="21"/>
          <w:szCs w:val="21"/>
          <w:highlight w:val="none"/>
        </w:rPr>
        <w:t>表》</w:t>
      </w:r>
      <w:r>
        <w:rPr>
          <w:rFonts w:hint="eastAsia" w:ascii="Times New Roman" w:hAnsi="宋体" w:eastAsia="宋体" w:cs="宋体"/>
          <w:color w:val="auto"/>
          <w:sz w:val="21"/>
          <w:szCs w:val="21"/>
          <w:highlight w:val="none"/>
        </w:rPr>
        <w:t>和《</w:t>
      </w:r>
      <w:r>
        <w:rPr>
          <w:rFonts w:hint="eastAsia" w:ascii="Times New Roman" w:hAnsi="Times New Roman" w:eastAsia="宋体" w:cs="宋体"/>
          <w:color w:val="auto"/>
          <w:sz w:val="21"/>
          <w:szCs w:val="21"/>
          <w:highlight w:val="none"/>
        </w:rPr>
        <w:t>专业工程暂估价</w:t>
      </w:r>
      <w:r>
        <w:rPr>
          <w:rFonts w:hint="eastAsia" w:ascii="Times New Roman" w:hAnsi="Times New Roman" w:eastAsia="宋体" w:cs="宋体"/>
          <w:color w:val="auto"/>
          <w:sz w:val="21"/>
          <w:szCs w:val="21"/>
          <w:highlight w:val="none"/>
          <w:lang w:val="en-US" w:eastAsia="zh-CN"/>
        </w:rPr>
        <w:t>明细</w:t>
      </w:r>
      <w:r>
        <w:rPr>
          <w:rFonts w:hint="eastAsia" w:ascii="Times New Roman" w:hAnsi="Times New Roman" w:eastAsia="宋体" w:cs="宋体"/>
          <w:color w:val="auto"/>
          <w:sz w:val="21"/>
          <w:szCs w:val="21"/>
          <w:highlight w:val="none"/>
        </w:rPr>
        <w:t>表》</w:t>
      </w:r>
      <w:r>
        <w:rPr>
          <w:rFonts w:hint="eastAsia" w:ascii="Times New Roman" w:hAnsi="宋体" w:eastAsia="宋体" w:cs="宋体"/>
          <w:color w:val="auto"/>
          <w:sz w:val="21"/>
          <w:szCs w:val="21"/>
          <w:highlight w:val="none"/>
        </w:rPr>
        <w:t>。</w:t>
      </w:r>
    </w:p>
    <w:p w14:paraId="33212BC2">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w:t>
      </w:r>
      <w:r>
        <w:rPr>
          <w:rFonts w:hint="eastAsia" w:ascii="Times New Roman" w:hAnsi="宋体" w:eastAsia="宋体" w:cs="宋体"/>
          <w:color w:val="auto"/>
          <w:sz w:val="21"/>
          <w:szCs w:val="21"/>
          <w:highlight w:val="none"/>
          <w:lang w:val="en-US" w:eastAsia="zh-CN"/>
        </w:rPr>
        <w:t>0</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7</w:t>
      </w:r>
      <w:r>
        <w:rPr>
          <w:rFonts w:hint="eastAsia" w:ascii="Times New Roman" w:hAnsi="宋体" w:eastAsia="宋体" w:cs="宋体"/>
          <w:color w:val="auto"/>
          <w:sz w:val="21"/>
          <w:szCs w:val="21"/>
          <w:highlight w:val="none"/>
        </w:rPr>
        <w:t>.1工程量清单中给定暂估价的材料和（或）暂估价的专业工程属于依法必须招标的，应以招标确定材料及</w:t>
      </w:r>
      <w:r>
        <w:rPr>
          <w:rFonts w:hint="eastAsia" w:ascii="Times New Roman" w:hAnsi="宋体" w:eastAsia="宋体" w:cs="宋体"/>
          <w:color w:val="auto"/>
          <w:sz w:val="21"/>
          <w:szCs w:val="21"/>
          <w:highlight w:val="none"/>
          <w:lang w:eastAsia="zh-CN"/>
        </w:rPr>
        <w:t>专业工程</w:t>
      </w:r>
      <w:r>
        <w:rPr>
          <w:rFonts w:hint="eastAsia" w:ascii="Times New Roman" w:hAnsi="宋体" w:eastAsia="宋体" w:cs="宋体"/>
          <w:color w:val="auto"/>
          <w:sz w:val="21"/>
          <w:szCs w:val="21"/>
          <w:highlight w:val="none"/>
        </w:rPr>
        <w:t>价格，发承包双方采用以下第</w:t>
      </w:r>
      <w:r>
        <w:rPr>
          <w:rFonts w:hint="eastAsia" w:ascii="Times New Roman" w:hAnsi="宋体" w:eastAsia="宋体" w:cs="宋体"/>
          <w:color w:val="auto"/>
          <w:sz w:val="21"/>
          <w:szCs w:val="21"/>
          <w:highlight w:val="none"/>
          <w:u w:val="single"/>
          <w:lang w:val="en-US" w:eastAsia="zh-CN"/>
        </w:rPr>
        <w:t xml:space="preserve"> / </w:t>
      </w:r>
      <w:r>
        <w:rPr>
          <w:rFonts w:hint="eastAsia" w:ascii="Times New Roman" w:hAnsi="宋体" w:eastAsia="宋体" w:cs="宋体"/>
          <w:color w:val="auto"/>
          <w:sz w:val="21"/>
          <w:szCs w:val="21"/>
          <w:highlight w:val="none"/>
        </w:rPr>
        <w:t>种方式进行招标：</w:t>
      </w:r>
    </w:p>
    <w:p w14:paraId="0BD3A157">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第一种方式：由发包人作为招标人进行暂估价材料、暂估价专业工程招标，组织招标工作有关的费用由发包人承担。需要承包人配合的，其配合费用由承包人自行承担。</w:t>
      </w:r>
    </w:p>
    <w:p w14:paraId="767EBC96">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第二种方式：由承包人作为招标人进行暂估价材料、暂估价专业工程招标，其组织招标工作有关的费用已经包括在承包人的投标总价（</w:t>
      </w:r>
      <w:r>
        <w:rPr>
          <w:rFonts w:hint="eastAsia" w:ascii="Times New Roman" w:hAnsi="宋体" w:eastAsia="宋体" w:cs="宋体"/>
          <w:color w:val="auto"/>
          <w:sz w:val="21"/>
          <w:szCs w:val="21"/>
          <w:highlight w:val="none"/>
          <w:lang w:eastAsia="zh-CN"/>
        </w:rPr>
        <w:t>合同签订价格</w:t>
      </w:r>
      <w:r>
        <w:rPr>
          <w:rFonts w:hint="eastAsia" w:ascii="Times New Roman" w:hAnsi="宋体" w:eastAsia="宋体" w:cs="宋体"/>
          <w:color w:val="auto"/>
          <w:sz w:val="21"/>
          <w:szCs w:val="21"/>
          <w:highlight w:val="none"/>
        </w:rPr>
        <w:t>）中。需要发包人配合的，其配合费用由发包人自行承担。</w:t>
      </w:r>
    </w:p>
    <w:p w14:paraId="6DC2B2C4">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第三种方式：由发包人和承包人共同作为招标人进行暂估价材料、暂估价专业工程招标，发承包双方各自承担相应的费用。</w:t>
      </w:r>
    </w:p>
    <w:p w14:paraId="43D5FBE6">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w:t>
      </w:r>
      <w:r>
        <w:rPr>
          <w:rFonts w:hint="eastAsia" w:ascii="Times New Roman" w:hAnsi="宋体" w:eastAsia="宋体" w:cs="宋体"/>
          <w:color w:val="auto"/>
          <w:sz w:val="21"/>
          <w:szCs w:val="21"/>
          <w:highlight w:val="none"/>
          <w:lang w:val="en-US" w:eastAsia="zh-CN"/>
        </w:rPr>
        <w:t>0</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7</w:t>
      </w:r>
      <w:r>
        <w:rPr>
          <w:rFonts w:hint="eastAsia" w:ascii="Times New Roman" w:hAnsi="宋体" w:eastAsia="宋体" w:cs="宋体"/>
          <w:color w:val="auto"/>
          <w:sz w:val="21"/>
          <w:szCs w:val="21"/>
          <w:highlight w:val="none"/>
        </w:rPr>
        <w:t>.2工程量清单中给定暂估价的材料不属于依法必须招标的，采用以下第</w:t>
      </w:r>
      <w:r>
        <w:rPr>
          <w:rFonts w:hint="eastAsia" w:ascii="Times New Roman" w:hAnsi="宋体" w:eastAsia="宋体" w:cs="宋体"/>
          <w:color w:val="auto"/>
          <w:sz w:val="21"/>
          <w:szCs w:val="21"/>
          <w:highlight w:val="none"/>
          <w:u w:val="single"/>
        </w:rPr>
        <w:t xml:space="preserve"> / </w:t>
      </w:r>
      <w:r>
        <w:rPr>
          <w:rFonts w:hint="eastAsia" w:ascii="Times New Roman" w:hAnsi="宋体" w:eastAsia="宋体" w:cs="宋体"/>
          <w:color w:val="auto"/>
          <w:sz w:val="21"/>
          <w:szCs w:val="21"/>
          <w:highlight w:val="none"/>
        </w:rPr>
        <w:t>种方式确认材料价格：</w:t>
      </w:r>
    </w:p>
    <w:p w14:paraId="498845F9">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第一种方式：承包人进行自主报价，经发包人确认的材料价格取代暂估价。</w:t>
      </w:r>
    </w:p>
    <w:p w14:paraId="172E0360">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第二种方式：由</w:t>
      </w:r>
      <w:r>
        <w:rPr>
          <w:rFonts w:hint="eastAsia" w:ascii="Times New Roman" w:hAnsi="宋体" w:eastAsia="宋体" w:cs="Times New Roman"/>
          <w:bCs/>
          <w:color w:val="auto"/>
          <w:sz w:val="21"/>
          <w:szCs w:val="21"/>
          <w:highlight w:val="none"/>
        </w:rPr>
        <w:t>发承包</w:t>
      </w:r>
      <w:r>
        <w:rPr>
          <w:rFonts w:hint="eastAsia" w:ascii="Times New Roman" w:hAnsi="宋体" w:eastAsia="宋体" w:cs="Times New Roman"/>
          <w:bCs/>
          <w:color w:val="auto"/>
          <w:sz w:val="21"/>
          <w:szCs w:val="21"/>
          <w:highlight w:val="none"/>
          <w:lang w:val="en-US" w:eastAsia="zh-CN"/>
        </w:rPr>
        <w:t>双方</w:t>
      </w:r>
      <w:r>
        <w:rPr>
          <w:rFonts w:hint="eastAsia" w:ascii="Times New Roman" w:hAnsi="宋体" w:eastAsia="宋体" w:cs="宋体"/>
          <w:color w:val="auto"/>
          <w:sz w:val="21"/>
          <w:szCs w:val="21"/>
          <w:highlight w:val="none"/>
        </w:rPr>
        <w:t>共同询价确认的材料价格取代暂估价。</w:t>
      </w:r>
    </w:p>
    <w:p w14:paraId="60E60A06">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w:t>
      </w:r>
      <w:r>
        <w:rPr>
          <w:rFonts w:hint="eastAsia" w:ascii="Times New Roman" w:hAnsi="宋体" w:eastAsia="宋体" w:cs="宋体"/>
          <w:color w:val="auto"/>
          <w:sz w:val="21"/>
          <w:szCs w:val="21"/>
          <w:highlight w:val="none"/>
          <w:lang w:val="en-US" w:eastAsia="zh-CN"/>
        </w:rPr>
        <w:t>0</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7</w:t>
      </w:r>
      <w:r>
        <w:rPr>
          <w:rFonts w:hint="eastAsia" w:ascii="Times New Roman" w:hAnsi="宋体" w:eastAsia="宋体" w:cs="宋体"/>
          <w:color w:val="auto"/>
          <w:sz w:val="21"/>
          <w:szCs w:val="21"/>
          <w:highlight w:val="none"/>
        </w:rPr>
        <w:t>.3 工程量清单中给定暂估价的专业工程不属于依法必须招标的，采用以下第</w:t>
      </w:r>
      <w:r>
        <w:rPr>
          <w:rFonts w:hint="eastAsia" w:ascii="Times New Roman" w:hAnsi="宋体" w:eastAsia="宋体" w:cs="宋体"/>
          <w:color w:val="auto"/>
          <w:sz w:val="21"/>
          <w:szCs w:val="21"/>
          <w:highlight w:val="none"/>
          <w:u w:val="single"/>
          <w:lang w:val="en-US" w:eastAsia="zh-CN"/>
        </w:rPr>
        <w:t xml:space="preserve"> / </w:t>
      </w:r>
      <w:r>
        <w:rPr>
          <w:rFonts w:hint="eastAsia" w:ascii="Times New Roman" w:hAnsi="宋体" w:eastAsia="宋体" w:cs="宋体"/>
          <w:color w:val="auto"/>
          <w:sz w:val="21"/>
          <w:szCs w:val="21"/>
          <w:highlight w:val="none"/>
        </w:rPr>
        <w:t>种方式确认暂估价：</w:t>
      </w:r>
    </w:p>
    <w:p w14:paraId="0F2B368C">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第一种方式：发承包双方按合同约定的自治区建设行政主管部门颁布的计算规范所规定的工程量计算规则以及合同</w:t>
      </w:r>
      <w:r>
        <w:rPr>
          <w:rFonts w:hint="eastAsia" w:ascii="Times New Roman" w:hAnsi="宋体" w:eastAsia="宋体" w:cs="宋体"/>
          <w:color w:val="auto"/>
          <w:sz w:val="21"/>
          <w:szCs w:val="21"/>
          <w:highlight w:val="none"/>
          <w:lang w:val="en-US" w:eastAsia="zh-CN"/>
        </w:rPr>
        <w:t>单价</w:t>
      </w:r>
      <w:r>
        <w:rPr>
          <w:rFonts w:hint="eastAsia" w:ascii="Times New Roman" w:hAnsi="宋体" w:eastAsia="宋体" w:cs="宋体"/>
          <w:color w:val="auto"/>
          <w:sz w:val="21"/>
          <w:szCs w:val="21"/>
          <w:highlight w:val="none"/>
        </w:rPr>
        <w:t>、投标报价水平计算暂估专业工程价格，并以此取代专业工程暂估价。</w:t>
      </w:r>
    </w:p>
    <w:p w14:paraId="6215BD14">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第二种方式：通过招标确定暂估专业工程价格。</w:t>
      </w:r>
    </w:p>
    <w:p w14:paraId="3C344CCF">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1</w:t>
      </w:r>
      <w:r>
        <w:rPr>
          <w:rFonts w:hint="eastAsia" w:ascii="Times New Roman" w:hAnsi="宋体" w:eastAsia="宋体" w:cs="宋体"/>
          <w:color w:val="auto"/>
          <w:sz w:val="21"/>
          <w:szCs w:val="21"/>
          <w:highlight w:val="none"/>
          <w:lang w:val="en-US" w:eastAsia="zh-CN"/>
        </w:rPr>
        <w:t>0</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7</w:t>
      </w:r>
      <w:r>
        <w:rPr>
          <w:rFonts w:hint="eastAsia" w:ascii="Times New Roman" w:hAnsi="宋体" w:eastAsia="宋体" w:cs="宋体"/>
          <w:color w:val="auto"/>
          <w:sz w:val="21"/>
          <w:szCs w:val="21"/>
          <w:highlight w:val="none"/>
        </w:rPr>
        <w:t>.4承包人参加由发包人作为招标人的暂估价专业工程投标并中标的，扣减已计算的该专业工程的总承包服务费。</w:t>
      </w:r>
    </w:p>
    <w:p w14:paraId="2CD92E06">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856" w:name="_Toc2032108729"/>
      <w:bookmarkStart w:id="857" w:name="_Toc19647"/>
      <w:bookmarkStart w:id="858" w:name="_Toc78449834"/>
      <w:bookmarkStart w:id="859" w:name="_Toc373227745"/>
      <w:bookmarkStart w:id="860" w:name="_Toc389065311"/>
      <w:bookmarkStart w:id="861" w:name="_Toc373478392"/>
      <w:bookmarkStart w:id="862" w:name="_Toc26800"/>
      <w:bookmarkStart w:id="863" w:name="_Toc407135248"/>
      <w:r>
        <w:rPr>
          <w:rFonts w:ascii="Times New Roman" w:hAnsi="Times New Roman" w:eastAsia="黑体" w:cs="Times New Roman"/>
          <w:b/>
          <w:bCs/>
          <w:color w:val="auto"/>
          <w:sz w:val="21"/>
          <w:szCs w:val="21"/>
          <w:highlight w:val="none"/>
          <w:lang w:val="zh-CN" w:eastAsia="zh-CN" w:bidi="ar-SA"/>
        </w:rPr>
        <w:t xml:space="preserve">10.8 </w:t>
      </w:r>
      <w:r>
        <w:rPr>
          <w:rFonts w:hint="eastAsia" w:ascii="Times New Roman" w:hAnsi="宋体" w:eastAsia="黑体" w:cs="黑体"/>
          <w:b/>
          <w:bCs/>
          <w:color w:val="auto"/>
          <w:sz w:val="21"/>
          <w:szCs w:val="21"/>
          <w:highlight w:val="none"/>
          <w:lang w:val="zh-CN" w:eastAsia="zh-CN" w:bidi="ar-SA"/>
        </w:rPr>
        <w:t>暂列金额</w:t>
      </w:r>
      <w:bookmarkEnd w:id="856"/>
      <w:bookmarkEnd w:id="857"/>
      <w:bookmarkEnd w:id="858"/>
      <w:bookmarkEnd w:id="859"/>
      <w:bookmarkEnd w:id="860"/>
      <w:bookmarkEnd w:id="861"/>
      <w:bookmarkEnd w:id="862"/>
      <w:bookmarkEnd w:id="863"/>
    </w:p>
    <w:p w14:paraId="11344AD7">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合同当事人关于暂列金额使用的约定：</w:t>
      </w:r>
      <w:r>
        <w:rPr>
          <w:rFonts w:hint="eastAsia" w:ascii="Times New Roman" w:hAnsi="Times New Roman" w:eastAsia="宋体" w:cs="Times New Roman"/>
          <w:color w:val="auto"/>
          <w:sz w:val="21"/>
          <w:szCs w:val="21"/>
          <w:highlight w:val="none"/>
          <w:u w:val="single"/>
        </w:rPr>
        <w:t>暂列金额是指发包人为可能发生工程变更而暂列的金额，包括因发包人提供的工程量清单漏项、清单有误引起的工程数量增加和施工过程中设计变更引起新的清单项目或工程数量增加等需要增加的金额，发包人委托过程审计单位审定后，按照审定造价支付部分暂列金。暂列金额是发包人自行确定设立的，承包人无权使用此笔费用。此费用按实际发生经发包人签证后确定全部使用、部分使用或不使用。暂列金额不计入工程款付款的基数。发包人按照规定所作支付后，暂列金额如有余额归发包人</w:t>
      </w:r>
      <w:r>
        <w:rPr>
          <w:rFonts w:hint="eastAsia" w:ascii="Times New Roman" w:hAnsi="宋体" w:eastAsia="宋体" w:cs="宋体"/>
          <w:color w:val="auto"/>
          <w:sz w:val="21"/>
          <w:szCs w:val="21"/>
          <w:highlight w:val="none"/>
        </w:rPr>
        <w:t>。</w:t>
      </w:r>
    </w:p>
    <w:p w14:paraId="1B2F0442">
      <w:pPr>
        <w:keepNext/>
        <w:keepLines/>
        <w:widowControl w:val="0"/>
        <w:numPr>
          <w:ilvl w:val="0"/>
          <w:numId w:val="4"/>
        </w:numPr>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864" w:name="_Toc16337"/>
      <w:bookmarkStart w:id="865" w:name="_Toc78449835"/>
      <w:bookmarkStart w:id="866" w:name="_Toc373227746"/>
      <w:bookmarkStart w:id="867" w:name="_Toc407135249"/>
      <w:bookmarkStart w:id="868" w:name="_Toc373478393"/>
      <w:bookmarkStart w:id="869" w:name="_Toc351203643"/>
      <w:bookmarkStart w:id="870" w:name="_Toc1190723452"/>
      <w:bookmarkStart w:id="871" w:name="_Toc389065312"/>
      <w:r>
        <w:rPr>
          <w:rFonts w:hint="eastAsia" w:ascii="Arial" w:hAnsi="宋体" w:eastAsia="黑体" w:cs="黑体"/>
          <w:b/>
          <w:bCs/>
          <w:color w:val="auto"/>
          <w:sz w:val="21"/>
          <w:szCs w:val="21"/>
          <w:highlight w:val="none"/>
          <w:lang w:val="zh-CN" w:eastAsia="zh-CN" w:bidi="ar-SA"/>
        </w:rPr>
        <w:t>价格调整</w:t>
      </w:r>
      <w:bookmarkEnd w:id="864"/>
      <w:bookmarkEnd w:id="865"/>
      <w:bookmarkEnd w:id="866"/>
      <w:bookmarkEnd w:id="867"/>
      <w:bookmarkEnd w:id="868"/>
      <w:bookmarkEnd w:id="869"/>
      <w:bookmarkEnd w:id="870"/>
      <w:bookmarkEnd w:id="871"/>
    </w:p>
    <w:p w14:paraId="75614C3F">
      <w:pPr>
        <w:keepNext/>
        <w:keepLines/>
        <w:widowControl w:val="0"/>
        <w:spacing w:line="360" w:lineRule="auto"/>
        <w:jc w:val="both"/>
        <w:outlineLvl w:val="2"/>
        <w:rPr>
          <w:rFonts w:hint="eastAsia" w:ascii="Times New Roman" w:hAnsi="Times New Roman" w:eastAsia="黑体" w:cs="Times New Roman"/>
          <w:b/>
          <w:bCs/>
          <w:color w:val="auto"/>
          <w:sz w:val="21"/>
          <w:szCs w:val="21"/>
          <w:highlight w:val="none"/>
          <w:lang w:val="en" w:eastAsia="zh-CN" w:bidi="ar-SA"/>
        </w:rPr>
      </w:pPr>
      <w:bookmarkStart w:id="872" w:name="_Toc13435"/>
      <w:bookmarkStart w:id="873" w:name="_Toc6153"/>
      <w:bookmarkStart w:id="874" w:name="_Toc303539157"/>
      <w:bookmarkStart w:id="875" w:name="_Toc373227747"/>
      <w:bookmarkStart w:id="876" w:name="_Toc78449836"/>
      <w:bookmarkStart w:id="877" w:name="_Toc297120501"/>
      <w:bookmarkStart w:id="878" w:name="_Toc407135250"/>
      <w:bookmarkStart w:id="879" w:name="_Toc296891029"/>
      <w:bookmarkStart w:id="880" w:name="_Toc304295577"/>
      <w:bookmarkStart w:id="881" w:name="_Toc296944540"/>
      <w:bookmarkStart w:id="882" w:name="_Toc296347200"/>
      <w:bookmarkStart w:id="883" w:name="_Toc292559406"/>
      <w:bookmarkStart w:id="884" w:name="_Toc292559911"/>
      <w:bookmarkStart w:id="885" w:name="_Toc373478394"/>
      <w:bookmarkStart w:id="886" w:name="_Toc296503201"/>
      <w:bookmarkStart w:id="887" w:name="_Toc296346702"/>
      <w:bookmarkStart w:id="888" w:name="_Toc297048387"/>
      <w:bookmarkStart w:id="889" w:name="_Toc297123550"/>
      <w:bookmarkStart w:id="890" w:name="_Toc1501386015"/>
      <w:bookmarkStart w:id="891" w:name="_Toc300935000"/>
      <w:bookmarkStart w:id="892" w:name="_Toc389065313"/>
      <w:bookmarkStart w:id="893" w:name="_Toc296891241"/>
      <w:bookmarkStart w:id="894" w:name="_Toc297216209"/>
      <w:bookmarkStart w:id="895" w:name="_Toc312678039"/>
      <w:r>
        <w:rPr>
          <w:rFonts w:ascii="Times New Roman" w:hAnsi="Times New Roman" w:eastAsia="黑体" w:cs="Times New Roman"/>
          <w:b/>
          <w:bCs/>
          <w:color w:val="auto"/>
          <w:sz w:val="21"/>
          <w:szCs w:val="21"/>
          <w:highlight w:val="none"/>
          <w:lang w:val="zh-CN" w:eastAsia="zh-CN" w:bidi="ar-SA"/>
        </w:rPr>
        <w:t xml:space="preserve">11.1 </w:t>
      </w:r>
      <w:r>
        <w:rPr>
          <w:rFonts w:hint="eastAsia" w:ascii="Times New Roman" w:hAnsi="Times New Roman" w:eastAsia="黑体" w:cs="黑体"/>
          <w:b/>
          <w:bCs/>
          <w:color w:val="auto"/>
          <w:sz w:val="21"/>
          <w:szCs w:val="21"/>
          <w:highlight w:val="none"/>
          <w:lang w:val="en-US" w:eastAsia="zh-CN" w:bidi="ar-SA"/>
        </w:rPr>
        <w:t>合同价格调整程序</w:t>
      </w:r>
      <w:bookmarkEnd w:id="872"/>
      <w:bookmarkEnd w:id="873"/>
    </w:p>
    <w:p w14:paraId="5C1C3AF2">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11.1.1 合同履行过程中发生合同价格调整事项的，承包人按本合同12.3的约定计算价格调整事项的工程量，依据本合</w:t>
      </w:r>
      <w:r>
        <w:rPr>
          <w:rFonts w:hint="eastAsia" w:ascii="Times New Roman" w:hAnsi="宋体" w:eastAsia="宋体" w:cs="宋体"/>
          <w:color w:val="auto"/>
          <w:sz w:val="21"/>
          <w:szCs w:val="21"/>
          <w:highlight w:val="none"/>
          <w:lang w:eastAsia="zh-CN"/>
        </w:rPr>
        <w:t>同第</w:t>
      </w:r>
      <w:r>
        <w:rPr>
          <w:rFonts w:hint="eastAsia" w:ascii="Times New Roman" w:hAnsi="宋体" w:eastAsia="宋体" w:cs="宋体"/>
          <w:color w:val="auto"/>
          <w:sz w:val="21"/>
          <w:szCs w:val="21"/>
          <w:highlight w:val="none"/>
        </w:rPr>
        <w:t>11条的约定计算调整价格，并在发生合同价格调整事项</w:t>
      </w:r>
      <w:r>
        <w:rPr>
          <w:rFonts w:hint="eastAsia" w:ascii="Times New Roman" w:hAnsi="宋体" w:eastAsia="宋体" w:cs="宋体"/>
          <w:color w:val="auto"/>
          <w:sz w:val="21"/>
          <w:szCs w:val="21"/>
          <w:highlight w:val="none"/>
          <w:u w:val="single"/>
          <w:lang w:val="en-US" w:eastAsia="zh-CN"/>
        </w:rPr>
        <w:t>14</w:t>
      </w:r>
      <w:r>
        <w:rPr>
          <w:rFonts w:hint="eastAsia" w:ascii="Times New Roman" w:hAnsi="宋体" w:eastAsia="宋体" w:cs="宋体"/>
          <w:color w:val="auto"/>
          <w:sz w:val="21"/>
          <w:szCs w:val="21"/>
          <w:highlight w:val="none"/>
        </w:rPr>
        <w:t>天内连同相关资料提交给发包人核对。</w:t>
      </w:r>
    </w:p>
    <w:p w14:paraId="4CCA842D">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 11.1.2 发包人在收到承包人合同价格调整报告及相关资料后应</w:t>
      </w:r>
      <w:r>
        <w:rPr>
          <w:rFonts w:hint="eastAsia" w:ascii="Times New Roman" w:hAnsi="宋体" w:eastAsia="宋体" w:cs="宋体"/>
          <w:color w:val="auto"/>
          <w:sz w:val="21"/>
          <w:szCs w:val="21"/>
          <w:highlight w:val="none"/>
          <w:u w:val="single"/>
          <w:lang w:val="en-US" w:eastAsia="zh-CN"/>
        </w:rPr>
        <w:t>14</w:t>
      </w:r>
      <w:r>
        <w:rPr>
          <w:rFonts w:hint="eastAsia" w:ascii="Times New Roman" w:hAnsi="宋体" w:eastAsia="宋体" w:cs="宋体"/>
          <w:color w:val="auto"/>
          <w:sz w:val="21"/>
          <w:szCs w:val="21"/>
          <w:highlight w:val="none"/>
        </w:rPr>
        <w:t>天内对其进行核实，予以确认的应书面通知承包人，不予确认的应将价格调整核对意见书面回复承包人，未确认也未提出核对意见的，应视为承包人提交的合同价格调整报告已被发包人认可。</w:t>
      </w:r>
    </w:p>
    <w:p w14:paraId="6343D91A">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11.1.3 发包人提出价格调整核对意见的，承包人在收到核对意见后应在</w:t>
      </w:r>
      <w:r>
        <w:rPr>
          <w:rFonts w:hint="eastAsia" w:ascii="Times New Roman" w:hAnsi="宋体" w:eastAsia="宋体" w:cs="宋体"/>
          <w:color w:val="auto"/>
          <w:sz w:val="21"/>
          <w:szCs w:val="21"/>
          <w:highlight w:val="none"/>
          <w:u w:val="single"/>
          <w:lang w:val="en-US" w:eastAsia="zh-CN"/>
        </w:rPr>
        <w:t>14</w:t>
      </w:r>
      <w:r>
        <w:rPr>
          <w:rFonts w:hint="eastAsia" w:ascii="Times New Roman" w:hAnsi="宋体" w:eastAsia="宋体" w:cs="宋体"/>
          <w:color w:val="auto"/>
          <w:sz w:val="21"/>
          <w:szCs w:val="21"/>
          <w:highlight w:val="none"/>
        </w:rPr>
        <w:t>天内对其复核，予以认可的应书面通知发包人，不予认可的应将相关复核意见书面回复发包人，未确认也未提出复核意见的，应视为发包人提出的意见已被承包人认可。</w:t>
      </w:r>
    </w:p>
    <w:p w14:paraId="0D9204F8">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11.1.4发承包双方对合同价格调整通过核对、复核仍不能达成一致意见的，可按本合同争议解决相关约定处理。除法律法规规定外，发承包双方在争议解决期间应继续履行合同义务，直到争议得到解决。</w:t>
      </w:r>
    </w:p>
    <w:p w14:paraId="193E2110">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11.1.5发承包双方应在确定的合同价格调整相关计量与计价成果文件上签署，作为合同价款支付的依据。经发承包双方确认调整的追加（减）合同价款，应与工程进度款和施工过程结算款同期支付。</w:t>
      </w:r>
    </w:p>
    <w:p w14:paraId="53130085">
      <w:pPr>
        <w:spacing w:line="360" w:lineRule="auto"/>
        <w:ind w:firstLine="211"/>
        <w:jc w:val="left"/>
        <w:outlineLvl w:val="2"/>
        <w:rPr>
          <w:rFonts w:hint="default" w:ascii="Times New Roman" w:hAnsi="Times New Roman" w:eastAsia="黑体" w:cs="Times New Roman"/>
          <w:b/>
          <w:bCs/>
          <w:color w:val="auto"/>
          <w:sz w:val="21"/>
          <w:szCs w:val="21"/>
          <w:highlight w:val="none"/>
          <w:lang w:val="zh-CN"/>
        </w:rPr>
      </w:pPr>
      <w:r>
        <w:rPr>
          <w:rFonts w:hint="default" w:ascii="Times New Roman" w:hAnsi="Times New Roman" w:eastAsia="黑体" w:cs="Times New Roman"/>
          <w:b/>
          <w:bCs/>
          <w:color w:val="auto"/>
          <w:sz w:val="21"/>
          <w:szCs w:val="21"/>
          <w:highlight w:val="none"/>
          <w:lang w:val="zh-CN"/>
        </w:rPr>
        <w:t>11.2 物价变化引起的价格调整</w:t>
      </w:r>
    </w:p>
    <w:p w14:paraId="1E8CCA03">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11.2.1 关于人工费及主要材料费价差调整的约定：</w:t>
      </w:r>
    </w:p>
    <w:p w14:paraId="0DE4A657">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lang w:val="en-US" w:eastAsia="zh-CN"/>
        </w:rPr>
        <w:t>1</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总价合同采用价格指数调差法进行价差调整，非承包人原因《人工及主要材料费可调因子价格指数及权重表》中载明的允许调整价格的主要材料及人工费在其风险范围以内的价差由承包人承担，超过其风险范围以外的价差，由发包人承担</w:t>
      </w:r>
      <w:r>
        <w:rPr>
          <w:rFonts w:hint="eastAsia" w:ascii="Times New Roman" w:hAnsi="宋体" w:eastAsia="宋体" w:cs="宋体"/>
          <w:color w:val="auto"/>
          <w:sz w:val="21"/>
          <w:szCs w:val="21"/>
          <w:highlight w:val="none"/>
          <w:lang w:val="en-US" w:eastAsia="zh-CN"/>
        </w:rPr>
        <w:t>。</w:t>
      </w:r>
    </w:p>
    <w:p w14:paraId="7689E5A2">
      <w:pPr>
        <w:spacing w:line="360" w:lineRule="auto"/>
        <w:ind w:firstLine="420"/>
        <w:jc w:val="left"/>
        <w:rPr>
          <w:rFonts w:hint="eastAsia" w:ascii="Times New Roman" w:hAnsi="宋体" w:eastAsia="宋体" w:cs="宋体"/>
          <w:color w:val="auto"/>
          <w:sz w:val="21"/>
          <w:szCs w:val="21"/>
          <w:highlight w:val="none"/>
          <w:lang w:eastAsia="zh-CN"/>
        </w:rPr>
      </w:pP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lang w:val="en-US" w:eastAsia="zh-CN"/>
        </w:rPr>
        <w:t>2</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单价合同采用</w:t>
      </w:r>
      <w:r>
        <w:rPr>
          <w:rFonts w:hint="eastAsia" w:ascii="宋体" w:hAnsi="宋体" w:eastAsia="宋体" w:cs="Times New Roman"/>
          <w:color w:val="auto"/>
          <w:sz w:val="21"/>
          <w:szCs w:val="21"/>
          <w:highlight w:val="none"/>
          <w:lang w:eastAsia="zh-CN"/>
        </w:rPr>
        <w:t>价格差额调整法</w:t>
      </w:r>
      <w:r>
        <w:rPr>
          <w:rFonts w:hint="eastAsia" w:ascii="Times New Roman" w:hAnsi="宋体" w:eastAsia="宋体" w:cs="宋体"/>
          <w:color w:val="auto"/>
          <w:sz w:val="21"/>
          <w:szCs w:val="21"/>
          <w:highlight w:val="none"/>
        </w:rPr>
        <w:t>进行价差调整，非承包人原因</w:t>
      </w:r>
      <w:r>
        <w:rPr>
          <w:rFonts w:hint="eastAsia" w:ascii="Times New Roman" w:hAnsi="宋体" w:eastAsia="宋体" w:cs="宋体"/>
          <w:color w:val="auto"/>
          <w:sz w:val="21"/>
          <w:szCs w:val="21"/>
          <w:highlight w:val="none"/>
          <w:lang w:eastAsia="zh-CN"/>
        </w:rPr>
        <w:t>导致</w:t>
      </w:r>
      <w:r>
        <w:rPr>
          <w:rFonts w:hint="eastAsia" w:ascii="Times New Roman" w:hAnsi="宋体" w:eastAsia="宋体" w:cs="宋体"/>
          <w:color w:val="auto"/>
          <w:sz w:val="21"/>
          <w:szCs w:val="21"/>
          <w:highlight w:val="none"/>
        </w:rPr>
        <w:t>人工费</w:t>
      </w:r>
      <w:r>
        <w:rPr>
          <w:rFonts w:hint="eastAsia" w:ascii="Times New Roman" w:hAnsi="宋体" w:eastAsia="宋体" w:cs="宋体"/>
          <w:color w:val="auto"/>
          <w:sz w:val="21"/>
          <w:szCs w:val="21"/>
          <w:highlight w:val="none"/>
          <w:lang w:eastAsia="zh-CN"/>
        </w:rPr>
        <w:t>及</w:t>
      </w:r>
      <w:r>
        <w:rPr>
          <w:rFonts w:hint="eastAsia" w:ascii="Times New Roman" w:hAnsi="宋体" w:eastAsia="宋体" w:cs="宋体"/>
          <w:color w:val="auto"/>
          <w:sz w:val="21"/>
          <w:szCs w:val="21"/>
          <w:highlight w:val="none"/>
        </w:rPr>
        <w:t>《允许调整价格的主要材料一览表》中载明的主要材料在其风险范围以内的价差由承包人承担，超过其风险范围以外的价差，由发包人承担</w:t>
      </w:r>
      <w:r>
        <w:rPr>
          <w:rFonts w:hint="eastAsia" w:ascii="Times New Roman" w:hAnsi="宋体" w:eastAsia="宋体" w:cs="宋体"/>
          <w:color w:val="auto"/>
          <w:sz w:val="21"/>
          <w:szCs w:val="21"/>
          <w:highlight w:val="none"/>
          <w:lang w:eastAsia="zh-CN"/>
        </w:rPr>
        <w:t>。</w:t>
      </w:r>
    </w:p>
    <w:p w14:paraId="56A3665A">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lang w:eastAsia="zh-CN"/>
        </w:rPr>
        <w:t>本工程人工费基准日价格指数：</w:t>
      </w:r>
      <w:r>
        <w:rPr>
          <w:rFonts w:hint="eastAsia" w:ascii="Times New Roman" w:hAnsi="宋体" w:eastAsia="宋体" w:cs="宋体"/>
          <w:color w:val="auto"/>
          <w:sz w:val="21"/>
          <w:szCs w:val="21"/>
          <w:highlight w:val="none"/>
          <w:u w:val="single"/>
          <w:lang w:val="en-US" w:eastAsia="zh-CN"/>
        </w:rPr>
        <w:t xml:space="preserve">        ，</w:t>
      </w:r>
      <w:r>
        <w:rPr>
          <w:rFonts w:hint="eastAsia" w:ascii="Times New Roman" w:hAnsi="宋体" w:eastAsia="宋体" w:cs="宋体"/>
          <w:color w:val="auto"/>
          <w:sz w:val="21"/>
          <w:szCs w:val="21"/>
          <w:highlight w:val="none"/>
          <w:lang w:eastAsia="zh-CN"/>
        </w:rPr>
        <w:t>人工费风险幅度：</w:t>
      </w:r>
      <w:r>
        <w:rPr>
          <w:rFonts w:hint="eastAsia" w:ascii="Times New Roman" w:hAnsi="宋体" w:eastAsia="宋体" w:cs="宋体"/>
          <w:color w:val="auto"/>
          <w:sz w:val="21"/>
          <w:szCs w:val="21"/>
          <w:highlight w:val="none"/>
          <w:u w:val="single"/>
          <w:lang w:val="en-US" w:eastAsia="zh-CN"/>
        </w:rPr>
        <w:t xml:space="preserve">     ，主要材料基准价及风险范围详见</w:t>
      </w:r>
      <w:r>
        <w:rPr>
          <w:rFonts w:hint="eastAsia" w:ascii="Times New Roman" w:hAnsi="宋体" w:eastAsia="宋体" w:cs="宋体"/>
          <w:color w:val="auto"/>
          <w:sz w:val="21"/>
          <w:szCs w:val="21"/>
          <w:highlight w:val="none"/>
        </w:rPr>
        <w:t>《允许调整价格的主要材料一览表》</w:t>
      </w:r>
      <w:r>
        <w:rPr>
          <w:rFonts w:hint="eastAsia" w:ascii="Times New Roman" w:hAnsi="宋体" w:eastAsia="宋体" w:cs="宋体"/>
          <w:color w:val="auto"/>
          <w:sz w:val="21"/>
          <w:szCs w:val="21"/>
          <w:highlight w:val="none"/>
          <w:lang w:eastAsia="zh-CN"/>
        </w:rPr>
        <w:t>。</w:t>
      </w:r>
    </w:p>
    <w:p w14:paraId="077A6B28">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lang w:val="en-US" w:eastAsia="zh-CN"/>
        </w:rPr>
        <w:t>3</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价差调整部分列入其他项目费，仅计算增值税，不计取管理费、利润。</w:t>
      </w:r>
    </w:p>
    <w:p w14:paraId="31C1329D">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11.2.</w:t>
      </w:r>
      <w:r>
        <w:rPr>
          <w:rFonts w:hint="eastAsia" w:ascii="Times New Roman" w:hAnsi="宋体" w:eastAsia="宋体" w:cs="宋体"/>
          <w:color w:val="auto"/>
          <w:sz w:val="21"/>
          <w:szCs w:val="21"/>
          <w:highlight w:val="none"/>
          <w:lang w:eastAsia="zh-CN"/>
        </w:rPr>
        <w:t>2采用价格指数调整法的</w:t>
      </w:r>
      <w:r>
        <w:rPr>
          <w:rFonts w:hint="eastAsia" w:ascii="Times New Roman" w:hAnsi="宋体" w:eastAsia="宋体" w:cs="宋体"/>
          <w:color w:val="auto"/>
          <w:sz w:val="21"/>
          <w:szCs w:val="21"/>
          <w:highlight w:val="none"/>
        </w:rPr>
        <w:t>，以</w:t>
      </w:r>
      <w:r>
        <w:rPr>
          <w:rFonts w:hint="eastAsia" w:ascii="Times New Roman" w:hAnsi="宋体" w:eastAsia="宋体" w:cs="宋体"/>
          <w:color w:val="auto"/>
          <w:sz w:val="21"/>
          <w:szCs w:val="21"/>
          <w:highlight w:val="none"/>
          <w:lang w:eastAsia="zh-CN"/>
        </w:rPr>
        <w:t>已标价工程量清单中</w:t>
      </w:r>
      <w:r>
        <w:rPr>
          <w:rFonts w:hint="eastAsia" w:ascii="Times New Roman" w:hAnsi="宋体" w:eastAsia="宋体" w:cs="宋体"/>
          <w:color w:val="auto"/>
          <w:sz w:val="21"/>
          <w:szCs w:val="21"/>
          <w:highlight w:val="none"/>
        </w:rPr>
        <w:t>《人工及主要材料费可调因子价格指数及权重表》中</w:t>
      </w:r>
      <w:r>
        <w:rPr>
          <w:rFonts w:hint="eastAsia" w:ascii="Times New Roman" w:hAnsi="宋体" w:eastAsia="宋体" w:cs="宋体"/>
          <w:strike w:val="0"/>
          <w:color w:val="auto"/>
          <w:sz w:val="21"/>
          <w:szCs w:val="21"/>
          <w:highlight w:val="none"/>
        </w:rPr>
        <w:t>载明的人工及主要材料可调因子价格指数及权重等</w:t>
      </w:r>
      <w:r>
        <w:rPr>
          <w:rFonts w:hint="eastAsia" w:ascii="Times New Roman" w:hAnsi="宋体" w:eastAsia="宋体" w:cs="宋体"/>
          <w:color w:val="auto"/>
          <w:sz w:val="21"/>
          <w:szCs w:val="21"/>
          <w:highlight w:val="none"/>
        </w:rPr>
        <w:t>数据，按下式计算差额并调整合同价格：</w:t>
      </w:r>
    </w:p>
    <w:p w14:paraId="551DB4AC">
      <w:pPr>
        <w:spacing w:line="360" w:lineRule="auto"/>
        <w:ind w:firstLine="420"/>
        <w:jc w:val="left"/>
        <w:rPr>
          <w:rFonts w:hint="eastAsia" w:ascii="Times New Roman" w:hAnsi="宋体" w:eastAsia="宋体" w:cs="宋体"/>
          <w:color w:val="auto"/>
          <w:sz w:val="21"/>
          <w:szCs w:val="21"/>
          <w:highlight w:val="none"/>
        </w:rPr>
      </w:pPr>
      <w:r>
        <w:rPr>
          <w:rFonts w:ascii="Times New Roman" w:hAnsi="Times New Roman" w:eastAsia="宋体" w:cs="Times New Roman"/>
          <w:color w:val="auto"/>
          <w:position w:val="-34"/>
          <w:sz w:val="21"/>
          <w:szCs w:val="21"/>
          <w:highlight w:val="none"/>
        </w:rPr>
        <w:object>
          <v:shape id="_x0000_i1025" o:spt="75" type="#_x0000_t75" style="height:40pt;width:306pt;" o:ole="t" filled="f" o:preferrelative="t" stroked="f" coordsize="21600,21600">
            <v:path/>
            <v:fill on="f" focussize="0,0"/>
            <v:stroke on="f" joinstyle="miter"/>
            <v:imagedata r:id="rId11" o:title=""/>
            <o:lock v:ext="edit" rotation="t" aspectratio="t"/>
            <w10:wrap type="none"/>
            <w10:anchorlock/>
          </v:shape>
          <o:OLEObject Type="Embed" ProgID="Equation.3" ShapeID="_x0000_i1025" DrawAspect="Content" ObjectID="_1468075725" r:id="rId10">
            <o:LockedField>false</o:LockedField>
          </o:OLEObject>
        </w:object>
      </w:r>
      <w:r>
        <w:rPr>
          <w:rFonts w:hint="eastAsia" w:ascii="Times New Roman" w:hAnsi="宋体" w:eastAsia="宋体" w:cs="宋体"/>
          <w:color w:val="auto"/>
          <w:sz w:val="21"/>
          <w:szCs w:val="21"/>
          <w:highlight w:val="none"/>
        </w:rPr>
        <w:t xml:space="preserve">    </w:t>
      </w:r>
    </w:p>
    <w:p w14:paraId="1FC2F137">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式中： △P——需调整的价格差额；</w:t>
      </w:r>
    </w:p>
    <w:p w14:paraId="60943287">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P</w:t>
      </w:r>
      <w:r>
        <w:rPr>
          <w:rFonts w:hint="eastAsia" w:ascii="Times New Roman" w:hAnsi="宋体" w:eastAsia="宋体" w:cs="宋体"/>
          <w:color w:val="auto"/>
          <w:sz w:val="21"/>
          <w:szCs w:val="21"/>
          <w:highlight w:val="none"/>
          <w:vertAlign w:val="subscript"/>
        </w:rPr>
        <w:t>0</w:t>
      </w:r>
      <w:r>
        <w:rPr>
          <w:rFonts w:hint="eastAsia" w:ascii="Times New Roman" w:hAnsi="宋体" w:eastAsia="宋体" w:cs="宋体"/>
          <w:color w:val="auto"/>
          <w:sz w:val="21"/>
          <w:szCs w:val="21"/>
          <w:highlight w:val="none"/>
        </w:rPr>
        <w:t xml:space="preserve"> ——本合同约定的计量周期（进度款、过程结算和竣工结算）中承包人应得到的，属于签约合同价中固定总价范围及按合同单价计算的变更金额。此项金额应不包括人工费及主要材料价格调整，已按施工期间价格计价的变更及新增、零星签证、索赔、暂估材料</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lang w:val="en-US" w:eastAsia="zh-CN"/>
        </w:rPr>
        <w:t>暂估</w:t>
      </w:r>
      <w:r>
        <w:rPr>
          <w:rFonts w:hint="eastAsia" w:ascii="Times New Roman" w:hAnsi="宋体" w:eastAsia="宋体" w:cs="宋体"/>
          <w:color w:val="auto"/>
          <w:sz w:val="21"/>
          <w:szCs w:val="21"/>
          <w:highlight w:val="none"/>
        </w:rPr>
        <w:t>专业工程、总承包服务费调整等金额，也不计</w:t>
      </w:r>
      <w:r>
        <w:rPr>
          <w:rFonts w:hint="eastAsia" w:ascii="Times New Roman" w:hAnsi="宋体" w:eastAsia="宋体" w:cs="宋体"/>
          <w:color w:val="auto"/>
          <w:sz w:val="21"/>
          <w:szCs w:val="21"/>
          <w:highlight w:val="none"/>
          <w:lang w:val="en-US" w:eastAsia="zh-CN"/>
        </w:rPr>
        <w:t>算</w:t>
      </w:r>
      <w:r>
        <w:rPr>
          <w:rFonts w:hint="eastAsia" w:ascii="Times New Roman" w:hAnsi="宋体" w:eastAsia="宋体" w:cs="宋体"/>
          <w:color w:val="auto"/>
          <w:sz w:val="21"/>
          <w:szCs w:val="21"/>
          <w:highlight w:val="none"/>
        </w:rPr>
        <w:t>在内；</w:t>
      </w:r>
    </w:p>
    <w:p w14:paraId="42C712B8">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A ——定值权重（即不调部分的权重，A=1-B</w:t>
      </w:r>
      <w:r>
        <w:rPr>
          <w:rFonts w:hint="eastAsia" w:ascii="Times New Roman" w:hAnsi="宋体" w:eastAsia="宋体" w:cs="宋体"/>
          <w:color w:val="auto"/>
          <w:sz w:val="21"/>
          <w:szCs w:val="21"/>
          <w:highlight w:val="none"/>
          <w:vertAlign w:val="subscript"/>
        </w:rPr>
        <w:t>1</w:t>
      </w:r>
      <w:r>
        <w:rPr>
          <w:rFonts w:hint="eastAsia" w:ascii="Times New Roman" w:hAnsi="宋体" w:eastAsia="宋体" w:cs="宋体"/>
          <w:color w:val="auto"/>
          <w:sz w:val="21"/>
          <w:szCs w:val="21"/>
          <w:highlight w:val="none"/>
        </w:rPr>
        <w:t>-B</w:t>
      </w:r>
      <w:r>
        <w:rPr>
          <w:rFonts w:hint="eastAsia" w:ascii="Times New Roman" w:hAnsi="宋体" w:eastAsia="宋体" w:cs="宋体"/>
          <w:color w:val="auto"/>
          <w:sz w:val="21"/>
          <w:szCs w:val="21"/>
          <w:highlight w:val="none"/>
          <w:vertAlign w:val="subscript"/>
        </w:rPr>
        <w:t>2</w:t>
      </w:r>
      <w:r>
        <w:rPr>
          <w:rFonts w:hint="eastAsia" w:ascii="Times New Roman" w:hAnsi="宋体" w:eastAsia="宋体" w:cs="宋体"/>
          <w:color w:val="auto"/>
          <w:sz w:val="21"/>
          <w:szCs w:val="21"/>
          <w:highlight w:val="none"/>
        </w:rPr>
        <w:t>-B</w:t>
      </w:r>
      <w:r>
        <w:rPr>
          <w:rFonts w:hint="eastAsia" w:ascii="Times New Roman" w:hAnsi="宋体" w:eastAsia="宋体" w:cs="宋体"/>
          <w:color w:val="auto"/>
          <w:sz w:val="21"/>
          <w:szCs w:val="21"/>
          <w:highlight w:val="none"/>
          <w:vertAlign w:val="subscript"/>
        </w:rPr>
        <w:t>3</w:t>
      </w:r>
      <w:r>
        <w:rPr>
          <w:rFonts w:hint="eastAsia" w:ascii="Times New Roman" w:hAnsi="宋体" w:eastAsia="宋体" w:cs="宋体"/>
          <w:color w:val="auto"/>
          <w:sz w:val="21"/>
          <w:szCs w:val="21"/>
          <w:highlight w:val="none"/>
        </w:rPr>
        <w:t>-…-B</w:t>
      </w:r>
      <w:r>
        <w:rPr>
          <w:rFonts w:hint="eastAsia" w:ascii="Times New Roman" w:hAnsi="宋体" w:eastAsia="宋体" w:cs="宋体"/>
          <w:color w:val="auto"/>
          <w:sz w:val="21"/>
          <w:szCs w:val="21"/>
          <w:highlight w:val="none"/>
          <w:vertAlign w:val="subscript"/>
        </w:rPr>
        <w:t>n</w:t>
      </w:r>
      <w:r>
        <w:rPr>
          <w:rFonts w:hint="eastAsia" w:ascii="Times New Roman" w:hAnsi="宋体" w:eastAsia="宋体" w:cs="宋体"/>
          <w:color w:val="auto"/>
          <w:sz w:val="21"/>
          <w:szCs w:val="21"/>
          <w:highlight w:val="none"/>
        </w:rPr>
        <w:t>）；</w:t>
      </w:r>
    </w:p>
    <w:p w14:paraId="20D328C3">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      B</w:t>
      </w:r>
      <w:r>
        <w:rPr>
          <w:rFonts w:hint="eastAsia" w:ascii="Times New Roman" w:hAnsi="宋体" w:eastAsia="宋体" w:cs="宋体"/>
          <w:color w:val="auto"/>
          <w:sz w:val="21"/>
          <w:szCs w:val="21"/>
          <w:highlight w:val="none"/>
          <w:vertAlign w:val="subscript"/>
          <w:lang w:eastAsia="zh-CN"/>
        </w:rPr>
        <w:t>1</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B</w:t>
      </w:r>
      <w:r>
        <w:rPr>
          <w:rFonts w:hint="eastAsia" w:ascii="Times New Roman" w:hAnsi="宋体" w:eastAsia="宋体" w:cs="宋体"/>
          <w:color w:val="auto"/>
          <w:sz w:val="21"/>
          <w:szCs w:val="21"/>
          <w:highlight w:val="none"/>
          <w:vertAlign w:val="subscript"/>
          <w:lang w:eastAsia="zh-CN"/>
        </w:rPr>
        <w:t>2</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B</w:t>
      </w:r>
      <w:r>
        <w:rPr>
          <w:rFonts w:hint="eastAsia" w:ascii="Times New Roman" w:hAnsi="宋体" w:eastAsia="宋体" w:cs="宋体"/>
          <w:color w:val="auto"/>
          <w:sz w:val="21"/>
          <w:szCs w:val="21"/>
          <w:highlight w:val="none"/>
          <w:vertAlign w:val="subscript"/>
          <w:lang w:eastAsia="zh-CN"/>
        </w:rPr>
        <w:t>3</w:t>
      </w:r>
      <w:r>
        <w:rPr>
          <w:rFonts w:hint="eastAsia" w:ascii="Times New Roman" w:hAnsi="宋体" w:eastAsia="宋体" w:cs="宋体"/>
          <w:color w:val="auto"/>
          <w:sz w:val="21"/>
          <w:szCs w:val="21"/>
          <w:highlight w:val="none"/>
        </w:rPr>
        <w:t>…B</w:t>
      </w:r>
      <w:r>
        <w:rPr>
          <w:rFonts w:hint="eastAsia" w:ascii="Times New Roman" w:hAnsi="宋体" w:eastAsia="宋体" w:cs="宋体"/>
          <w:color w:val="auto"/>
          <w:sz w:val="21"/>
          <w:szCs w:val="21"/>
          <w:highlight w:val="none"/>
          <w:vertAlign w:val="subscript"/>
        </w:rPr>
        <w:t>n</w:t>
      </w:r>
      <w:r>
        <w:rPr>
          <w:rFonts w:hint="eastAsia" w:ascii="Times New Roman" w:hAnsi="宋体" w:eastAsia="宋体" w:cs="宋体"/>
          <w:color w:val="auto"/>
          <w:sz w:val="21"/>
          <w:szCs w:val="21"/>
          <w:highlight w:val="none"/>
        </w:rPr>
        <w:t>——各可调因子的金额占最高投标限价固定价格部分扣除增值税的权重（即可调部分的权重）；</w:t>
      </w:r>
    </w:p>
    <w:p w14:paraId="45CAD13E">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     F</w:t>
      </w:r>
      <w:r>
        <w:rPr>
          <w:rFonts w:hint="eastAsia" w:ascii="Times New Roman" w:hAnsi="宋体" w:eastAsia="宋体" w:cs="宋体"/>
          <w:color w:val="auto"/>
          <w:sz w:val="21"/>
          <w:szCs w:val="21"/>
          <w:highlight w:val="none"/>
          <w:vertAlign w:val="subscript"/>
        </w:rPr>
        <w:t>tl</w:t>
      </w:r>
      <w:r>
        <w:rPr>
          <w:rFonts w:hint="eastAsia" w:ascii="Times New Roman" w:hAnsi="宋体" w:eastAsia="宋体" w:cs="宋体"/>
          <w:color w:val="auto"/>
          <w:sz w:val="21"/>
          <w:szCs w:val="21"/>
          <w:highlight w:val="none"/>
        </w:rPr>
        <w:t>、F</w:t>
      </w:r>
      <w:r>
        <w:rPr>
          <w:rFonts w:hint="eastAsia" w:ascii="Times New Roman" w:hAnsi="宋体" w:eastAsia="宋体" w:cs="宋体"/>
          <w:color w:val="auto"/>
          <w:sz w:val="21"/>
          <w:szCs w:val="21"/>
          <w:highlight w:val="none"/>
          <w:vertAlign w:val="subscript"/>
        </w:rPr>
        <w:t>t</w:t>
      </w:r>
      <w:r>
        <w:rPr>
          <w:rFonts w:hint="eastAsia" w:ascii="Times New Roman" w:hAnsi="宋体" w:eastAsia="宋体" w:cs="宋体"/>
          <w:color w:val="auto"/>
          <w:sz w:val="21"/>
          <w:szCs w:val="21"/>
          <w:highlight w:val="none"/>
          <w:vertAlign w:val="subscript"/>
          <w:lang w:eastAsia="zh-CN"/>
        </w:rPr>
        <w:t>2</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F</w:t>
      </w:r>
      <w:r>
        <w:rPr>
          <w:rFonts w:hint="eastAsia" w:ascii="Times New Roman" w:hAnsi="宋体" w:eastAsia="宋体" w:cs="宋体"/>
          <w:color w:val="auto"/>
          <w:sz w:val="21"/>
          <w:szCs w:val="21"/>
          <w:highlight w:val="none"/>
          <w:vertAlign w:val="subscript"/>
        </w:rPr>
        <w:t>t</w:t>
      </w:r>
      <w:r>
        <w:rPr>
          <w:rFonts w:hint="eastAsia" w:ascii="Times New Roman" w:hAnsi="宋体" w:eastAsia="宋体" w:cs="宋体"/>
          <w:color w:val="auto"/>
          <w:sz w:val="21"/>
          <w:szCs w:val="21"/>
          <w:highlight w:val="none"/>
          <w:vertAlign w:val="subscript"/>
          <w:lang w:eastAsia="zh-CN"/>
        </w:rPr>
        <w:t>3</w:t>
      </w:r>
      <w:r>
        <w:rPr>
          <w:rFonts w:hint="eastAsia" w:ascii="Times New Roman" w:hAnsi="宋体" w:eastAsia="宋体" w:cs="宋体"/>
          <w:color w:val="auto"/>
          <w:sz w:val="21"/>
          <w:szCs w:val="21"/>
          <w:highlight w:val="none"/>
        </w:rPr>
        <w:t>…F</w:t>
      </w:r>
      <w:r>
        <w:rPr>
          <w:rFonts w:hint="eastAsia" w:ascii="Times New Roman" w:hAnsi="宋体" w:eastAsia="宋体" w:cs="宋体"/>
          <w:color w:val="auto"/>
          <w:sz w:val="21"/>
          <w:szCs w:val="21"/>
          <w:highlight w:val="none"/>
          <w:vertAlign w:val="subscript"/>
        </w:rPr>
        <w:t>tn</w:t>
      </w:r>
      <w:r>
        <w:rPr>
          <w:rFonts w:hint="eastAsia" w:ascii="Times New Roman" w:hAnsi="宋体" w:eastAsia="宋体" w:cs="宋体"/>
          <w:color w:val="auto"/>
          <w:sz w:val="21"/>
          <w:szCs w:val="21"/>
          <w:highlight w:val="none"/>
        </w:rPr>
        <w:t>——各可调因子的施工期间价格指数；</w:t>
      </w:r>
    </w:p>
    <w:p w14:paraId="26CE8D83">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     F</w:t>
      </w:r>
      <w:r>
        <w:rPr>
          <w:rFonts w:hint="eastAsia" w:ascii="Times New Roman" w:hAnsi="宋体" w:eastAsia="宋体" w:cs="宋体"/>
          <w:color w:val="auto"/>
          <w:sz w:val="21"/>
          <w:szCs w:val="21"/>
          <w:highlight w:val="none"/>
          <w:vertAlign w:val="subscript"/>
        </w:rPr>
        <w:t>0</w:t>
      </w:r>
      <w:r>
        <w:rPr>
          <w:rFonts w:hint="eastAsia" w:ascii="Times New Roman" w:hAnsi="宋体" w:eastAsia="宋体" w:cs="宋体"/>
          <w:color w:val="auto"/>
          <w:sz w:val="21"/>
          <w:szCs w:val="21"/>
          <w:highlight w:val="none"/>
          <w:vertAlign w:val="subscript"/>
          <w:lang w:eastAsia="zh-CN"/>
        </w:rPr>
        <w:t>1</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F</w:t>
      </w:r>
      <w:r>
        <w:rPr>
          <w:rFonts w:hint="eastAsia" w:ascii="Times New Roman" w:hAnsi="宋体" w:eastAsia="宋体" w:cs="宋体"/>
          <w:color w:val="auto"/>
          <w:sz w:val="21"/>
          <w:szCs w:val="21"/>
          <w:highlight w:val="none"/>
          <w:vertAlign w:val="subscript"/>
        </w:rPr>
        <w:t>0</w:t>
      </w:r>
      <w:r>
        <w:rPr>
          <w:rFonts w:hint="eastAsia" w:ascii="Times New Roman" w:hAnsi="宋体" w:eastAsia="宋体" w:cs="宋体"/>
          <w:color w:val="auto"/>
          <w:sz w:val="21"/>
          <w:szCs w:val="21"/>
          <w:highlight w:val="none"/>
          <w:vertAlign w:val="subscript"/>
          <w:lang w:eastAsia="zh-CN"/>
        </w:rPr>
        <w:t>2</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F</w:t>
      </w:r>
      <w:r>
        <w:rPr>
          <w:rFonts w:hint="eastAsia" w:ascii="Times New Roman" w:hAnsi="宋体" w:eastAsia="宋体" w:cs="宋体"/>
          <w:color w:val="auto"/>
          <w:sz w:val="21"/>
          <w:szCs w:val="21"/>
          <w:highlight w:val="none"/>
          <w:vertAlign w:val="subscript"/>
        </w:rPr>
        <w:t>0</w:t>
      </w:r>
      <w:r>
        <w:rPr>
          <w:rFonts w:hint="eastAsia" w:ascii="Times New Roman" w:hAnsi="宋体" w:eastAsia="宋体" w:cs="宋体"/>
          <w:color w:val="auto"/>
          <w:sz w:val="21"/>
          <w:szCs w:val="21"/>
          <w:highlight w:val="none"/>
          <w:vertAlign w:val="subscript"/>
          <w:lang w:eastAsia="zh-CN"/>
        </w:rPr>
        <w:t>3</w:t>
      </w:r>
      <w:r>
        <w:rPr>
          <w:rFonts w:hint="eastAsia" w:ascii="Times New Roman" w:hAnsi="宋体" w:eastAsia="宋体" w:cs="宋体"/>
          <w:color w:val="auto"/>
          <w:sz w:val="21"/>
          <w:szCs w:val="21"/>
          <w:highlight w:val="none"/>
        </w:rPr>
        <w:t>…F</w:t>
      </w:r>
      <w:r>
        <w:rPr>
          <w:rFonts w:hint="eastAsia" w:ascii="Times New Roman" w:hAnsi="宋体" w:eastAsia="宋体" w:cs="宋体"/>
          <w:color w:val="auto"/>
          <w:sz w:val="21"/>
          <w:szCs w:val="21"/>
          <w:highlight w:val="none"/>
          <w:vertAlign w:val="subscript"/>
        </w:rPr>
        <w:t>0n</w:t>
      </w:r>
      <w:r>
        <w:rPr>
          <w:rFonts w:hint="eastAsia" w:ascii="Times New Roman" w:hAnsi="宋体" w:eastAsia="宋体" w:cs="宋体"/>
          <w:color w:val="auto"/>
          <w:sz w:val="21"/>
          <w:szCs w:val="21"/>
          <w:highlight w:val="none"/>
        </w:rPr>
        <w:t>——各可调因子的基本价格指数，指合同基准日的各可调因子的价格指数。本合同允许价格</w:t>
      </w:r>
      <w:r>
        <w:rPr>
          <w:rFonts w:hint="eastAsia" w:ascii="Times New Roman" w:hAnsi="宋体" w:eastAsia="宋体" w:cs="宋体"/>
          <w:color w:val="auto"/>
          <w:sz w:val="21"/>
          <w:szCs w:val="21"/>
          <w:highlight w:val="none"/>
          <w:lang w:val="en-US" w:eastAsia="zh-CN"/>
        </w:rPr>
        <w:t>风险</w:t>
      </w:r>
      <w:r>
        <w:rPr>
          <w:rFonts w:hint="eastAsia" w:ascii="Times New Roman" w:hAnsi="宋体" w:eastAsia="宋体" w:cs="宋体"/>
          <w:color w:val="auto"/>
          <w:sz w:val="21"/>
          <w:szCs w:val="21"/>
          <w:highlight w:val="none"/>
        </w:rPr>
        <w:t>幅度以《人工及主要材料费可调因子价格指数及权重表》载明的为准，基本价格指数应予以考虑此</w:t>
      </w:r>
      <w:r>
        <w:rPr>
          <w:rFonts w:hint="eastAsia" w:ascii="Times New Roman" w:hAnsi="宋体" w:eastAsia="宋体" w:cs="宋体"/>
          <w:color w:val="auto"/>
          <w:sz w:val="21"/>
          <w:szCs w:val="21"/>
          <w:highlight w:val="none"/>
          <w:lang w:val="en-US" w:eastAsia="zh-CN"/>
        </w:rPr>
        <w:t>风险</w:t>
      </w:r>
      <w:r>
        <w:rPr>
          <w:rFonts w:hint="eastAsia" w:ascii="Times New Roman" w:hAnsi="宋体" w:eastAsia="宋体" w:cs="宋体"/>
          <w:color w:val="auto"/>
          <w:sz w:val="21"/>
          <w:szCs w:val="21"/>
          <w:highlight w:val="none"/>
        </w:rPr>
        <w:t>幅度系数</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即：基本价格指数F</w:t>
      </w:r>
      <w:r>
        <w:rPr>
          <w:rFonts w:hint="eastAsia" w:ascii="Times New Roman" w:hAnsi="宋体" w:eastAsia="宋体" w:cs="宋体"/>
          <w:color w:val="auto"/>
          <w:sz w:val="21"/>
          <w:szCs w:val="21"/>
          <w:highlight w:val="none"/>
          <w:vertAlign w:val="subscript"/>
        </w:rPr>
        <w:t>0n</w:t>
      </w:r>
      <w:r>
        <w:rPr>
          <w:rFonts w:hint="eastAsia" w:ascii="Times New Roman" w:hAnsi="宋体" w:eastAsia="宋体" w:cs="宋体"/>
          <w:color w:val="auto"/>
          <w:sz w:val="21"/>
          <w:szCs w:val="21"/>
          <w:highlight w:val="none"/>
        </w:rPr>
        <w:t>=合同基准日价格指数</w:t>
      </w:r>
      <w:r>
        <w:rPr>
          <w:rFonts w:hint="eastAsia" w:ascii="Times New Roman" w:hAnsi="宋体" w:eastAsia="宋体" w:cs="宋体"/>
          <w:color w:val="auto"/>
          <w:sz w:val="21"/>
          <w:szCs w:val="21"/>
          <w:highlight w:val="none"/>
          <w:lang w:val="en-US" w:eastAsia="zh-CN"/>
        </w:rPr>
        <w:t>×（1+</w:t>
      </w:r>
      <w:r>
        <w:rPr>
          <w:rFonts w:hint="eastAsia" w:ascii="Times New Roman" w:hAnsi="宋体" w:eastAsia="宋体" w:cs="宋体"/>
          <w:color w:val="auto"/>
          <w:sz w:val="21"/>
          <w:szCs w:val="21"/>
          <w:highlight w:val="none"/>
        </w:rPr>
        <w:t>合同约定</w:t>
      </w:r>
      <w:r>
        <w:rPr>
          <w:rFonts w:hint="eastAsia" w:ascii="Times New Roman" w:hAnsi="宋体" w:eastAsia="宋体" w:cs="宋体"/>
          <w:color w:val="auto"/>
          <w:sz w:val="21"/>
          <w:szCs w:val="21"/>
          <w:highlight w:val="none"/>
          <w:lang w:val="en-US" w:eastAsia="zh-CN"/>
        </w:rPr>
        <w:t>风险</w:t>
      </w:r>
      <w:r>
        <w:rPr>
          <w:rFonts w:hint="eastAsia" w:ascii="Times New Roman" w:hAnsi="宋体" w:eastAsia="宋体" w:cs="宋体"/>
          <w:color w:val="auto"/>
          <w:sz w:val="21"/>
          <w:szCs w:val="21"/>
          <w:highlight w:val="none"/>
        </w:rPr>
        <w:t>幅度</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w:t>
      </w:r>
    </w:p>
    <w:p w14:paraId="364037B2">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上述价格指数调差公式中的各可调因子、变值权重详见《人工及主要材料费可调因子价格指数及权重表》。施工期间价格指数按照本合同约定的各项价格指数确定，该周期内因物价变化形成多个价格指数的，采用计算周期内人工及材料算术平均价格指数作为调整公式使用的价格指数。在计算调整差额时得不到施工期间价格指数的，可暂用上一计量周期的价格指数计算，并在以后的付款中再按实际价格指数进行调整。发包人确认的进度款人工费价差及材料费价差不作为过程结算和竣工结算的依据，但发包人确认的过程结算人工费价差及材料费价差作为竣工结算的依据。</w:t>
      </w:r>
    </w:p>
    <w:p w14:paraId="631308E2">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11.2.</w:t>
      </w:r>
      <w:r>
        <w:rPr>
          <w:rFonts w:hint="eastAsia" w:ascii="Times New Roman" w:hAnsi="宋体" w:eastAsia="宋体" w:cs="宋体"/>
          <w:color w:val="auto"/>
          <w:sz w:val="21"/>
          <w:szCs w:val="21"/>
          <w:highlight w:val="none"/>
          <w:lang w:eastAsia="zh-CN"/>
        </w:rPr>
        <w:t>3</w:t>
      </w:r>
      <w:r>
        <w:rPr>
          <w:rFonts w:hint="eastAsia" w:ascii="Times New Roman" w:hAnsi="宋体" w:eastAsia="宋体" w:cs="宋体"/>
          <w:color w:val="auto"/>
          <w:sz w:val="21"/>
          <w:szCs w:val="21"/>
          <w:highlight w:val="none"/>
        </w:rPr>
        <w:t>采用价格信息调差法进行价差调整</w:t>
      </w:r>
      <w:r>
        <w:rPr>
          <w:rFonts w:hint="default" w:ascii="Times New Roman" w:hAnsi="宋体" w:eastAsia="宋体" w:cs="宋体"/>
          <w:color w:val="auto"/>
          <w:sz w:val="21"/>
          <w:szCs w:val="21"/>
          <w:highlight w:val="none"/>
          <w:lang w:val="en"/>
        </w:rPr>
        <w:t>的</w:t>
      </w:r>
      <w:r>
        <w:rPr>
          <w:rFonts w:hint="eastAsia" w:ascii="Times New Roman" w:hAnsi="宋体" w:eastAsia="宋体" w:cs="宋体"/>
          <w:color w:val="auto"/>
          <w:sz w:val="21"/>
          <w:szCs w:val="21"/>
          <w:highlight w:val="none"/>
        </w:rPr>
        <w:t>，因物价变化引起合同清单的分部分项工程项目清单的人工费、主要材料费分别按照下列进行价格调整：</w:t>
      </w:r>
    </w:p>
    <w:p w14:paraId="63BDA29F">
      <w:pPr>
        <w:numPr>
          <w:ilvl w:val="0"/>
          <w:numId w:val="5"/>
        </w:num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计量周期内人工费价差按</w:t>
      </w:r>
      <w:r>
        <w:rPr>
          <w:rFonts w:hint="eastAsia" w:ascii="Times New Roman" w:hAnsi="宋体" w:eastAsia="宋体" w:cs="宋体"/>
          <w:strike w:val="0"/>
          <w:color w:val="auto"/>
          <w:sz w:val="21"/>
          <w:szCs w:val="21"/>
          <w:highlight w:val="none"/>
          <w:lang w:eastAsia="zh-CN"/>
        </w:rPr>
        <w:t>全过程计价规范中</w:t>
      </w:r>
      <w:r>
        <w:rPr>
          <w:rFonts w:hint="eastAsia" w:ascii="Times New Roman" w:hAnsi="宋体" w:eastAsia="宋体" w:cs="宋体"/>
          <w:color w:val="auto"/>
          <w:sz w:val="21"/>
          <w:szCs w:val="21"/>
          <w:highlight w:val="none"/>
        </w:rPr>
        <w:t>《人工费价差计算表》及如下公式计算：人工费价差调整=人工费</w:t>
      </w:r>
      <w:r>
        <w:rPr>
          <w:rFonts w:hint="eastAsia" w:ascii="Times New Roman" w:hAnsi="宋体" w:eastAsia="宋体" w:cs="宋体"/>
          <w:color w:val="auto"/>
          <w:sz w:val="21"/>
          <w:szCs w:val="21"/>
          <w:highlight w:val="none"/>
          <w:lang w:val="en-US" w:eastAsia="zh-CN"/>
        </w:rPr>
        <w:t>×</w:t>
      </w:r>
      <w:r>
        <w:rPr>
          <w:rFonts w:hint="default" w:ascii="Times New Roman" w:hAnsi="宋体" w:eastAsia="宋体" w:cs="宋体"/>
          <w:color w:val="auto"/>
          <w:sz w:val="21"/>
          <w:szCs w:val="21"/>
          <w:highlight w:val="none"/>
          <w:lang w:val="en" w:eastAsia="zh-CN"/>
        </w:rPr>
        <w:t>[</w:t>
      </w:r>
      <w:r>
        <w:rPr>
          <w:rFonts w:hint="eastAsia" w:ascii="Times New Roman" w:hAnsi="宋体" w:eastAsia="宋体" w:cs="宋体"/>
          <w:color w:val="auto"/>
          <w:sz w:val="21"/>
          <w:szCs w:val="21"/>
          <w:highlight w:val="none"/>
        </w:rPr>
        <w:t>施工期间人工费价格指数</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（基准日人工费价格指数</w:t>
      </w:r>
      <w:r>
        <w:rPr>
          <w:rFonts w:hint="eastAsia" w:ascii="Times New Roman" w:hAnsi="宋体" w:eastAsia="宋体" w:cs="宋体"/>
          <w:color w:val="auto"/>
          <w:sz w:val="21"/>
          <w:szCs w:val="21"/>
          <w:highlight w:val="none"/>
          <w:lang w:val="en-US" w:eastAsia="zh-CN"/>
        </w:rPr>
        <w:t>×（1</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eastAsia="zh-CN"/>
        </w:rPr>
        <w:t>风险</w:t>
      </w:r>
      <w:r>
        <w:rPr>
          <w:rFonts w:hint="eastAsia" w:ascii="Times New Roman" w:hAnsi="宋体" w:eastAsia="宋体" w:cs="宋体"/>
          <w:color w:val="auto"/>
          <w:sz w:val="21"/>
          <w:szCs w:val="21"/>
          <w:highlight w:val="none"/>
        </w:rPr>
        <w:t>幅度）</w:t>
      </w:r>
      <w:r>
        <w:rPr>
          <w:rFonts w:hint="eastAsia" w:ascii="Times New Roman" w:hAnsi="宋体" w:eastAsia="宋体" w:cs="宋体"/>
          <w:color w:val="auto"/>
          <w:sz w:val="21"/>
          <w:szCs w:val="21"/>
          <w:highlight w:val="none"/>
          <w:lang w:val="en-US" w:eastAsia="zh-CN"/>
        </w:rPr>
        <w:t>-</w:t>
      </w:r>
      <w:r>
        <w:rPr>
          <w:rFonts w:hint="default" w:ascii="Times New Roman" w:hAnsi="宋体" w:eastAsia="宋体" w:cs="宋体"/>
          <w:color w:val="auto"/>
          <w:sz w:val="21"/>
          <w:szCs w:val="21"/>
          <w:highlight w:val="none"/>
          <w:lang w:val="en" w:eastAsia="zh-CN"/>
        </w:rPr>
        <w:t>1</w:t>
      </w:r>
      <w:r>
        <w:rPr>
          <w:rFonts w:hint="eastAsia" w:ascii="Times New Roman" w:hAnsi="宋体" w:eastAsia="宋体" w:cs="宋体"/>
          <w:color w:val="auto"/>
          <w:sz w:val="21"/>
          <w:szCs w:val="21"/>
          <w:highlight w:val="none"/>
          <w:lang w:eastAsia="zh-CN"/>
        </w:rPr>
        <w:t>）</w:t>
      </w:r>
      <w:r>
        <w:rPr>
          <w:rFonts w:hint="default" w:ascii="Times New Roman" w:hAnsi="宋体" w:eastAsia="宋体" w:cs="宋体"/>
          <w:color w:val="auto"/>
          <w:sz w:val="21"/>
          <w:szCs w:val="21"/>
          <w:highlight w:val="none"/>
          <w:lang w:val="en" w:eastAsia="zh-CN"/>
        </w:rPr>
        <w:t>]</w:t>
      </w:r>
      <w:r>
        <w:rPr>
          <w:rFonts w:hint="eastAsia" w:ascii="Times New Roman" w:hAnsi="宋体" w:eastAsia="宋体" w:cs="宋体"/>
          <w:color w:val="auto"/>
          <w:sz w:val="21"/>
          <w:szCs w:val="21"/>
          <w:highlight w:val="none"/>
        </w:rPr>
        <w:t>。因市场价格波动形成多个价格指数的，进度款按算术平均价格指数，过程结算及竣工结算采用</w:t>
      </w:r>
      <w:r>
        <w:rPr>
          <w:rFonts w:ascii="Wingdings 2" w:hAnsi="Wingdings 2" w:eastAsia="Wingdings 2" w:cs="Wingdings 2"/>
          <w:color w:val="auto"/>
          <w:sz w:val="21"/>
          <w:szCs w:val="21"/>
          <w:highlight w:val="none"/>
        </w:rPr>
        <w:t>£</w:t>
      </w:r>
      <w:r>
        <w:rPr>
          <w:rFonts w:hint="eastAsia" w:ascii="Times New Roman" w:hAnsi="宋体" w:eastAsia="宋体" w:cs="宋体"/>
          <w:color w:val="auto"/>
          <w:sz w:val="21"/>
          <w:szCs w:val="21"/>
          <w:highlight w:val="none"/>
        </w:rPr>
        <w:t>加权平均</w:t>
      </w:r>
      <w:r>
        <w:rPr>
          <w:rFonts w:ascii="Wingdings 2" w:hAnsi="Wingdings 2" w:eastAsia="Wingdings 2" w:cs="Wingdings 2"/>
          <w:color w:val="auto"/>
          <w:sz w:val="21"/>
          <w:szCs w:val="21"/>
          <w:highlight w:val="none"/>
        </w:rPr>
        <w:t>£</w:t>
      </w:r>
      <w:r>
        <w:rPr>
          <w:rFonts w:hint="eastAsia" w:ascii="Times New Roman" w:hAnsi="宋体" w:eastAsia="宋体" w:cs="宋体"/>
          <w:color w:val="auto"/>
          <w:sz w:val="21"/>
          <w:szCs w:val="21"/>
          <w:highlight w:val="none"/>
        </w:rPr>
        <w:t>算术平均价格指数。过程结算及竣工结算若采用加权平均价格指数，应按照历次进度款人工费占总进度款人工费总额比例和相应月份人工费价格指数计算人工费价格指数加权平均值。</w:t>
      </w:r>
    </w:p>
    <w:p w14:paraId="6EDE15F0">
      <w:pPr>
        <w:numPr>
          <w:ilvl w:val="0"/>
          <w:numId w:val="6"/>
        </w:numPr>
        <w:spacing w:line="360" w:lineRule="auto"/>
        <w:ind w:firstLine="420"/>
        <w:jc w:val="left"/>
        <w:rPr>
          <w:rFonts w:hint="eastAsia" w:ascii="Times New Roman" w:hAnsi="宋体" w:eastAsia="宋体" w:cs="宋体"/>
          <w:color w:val="auto"/>
          <w:sz w:val="21"/>
          <w:szCs w:val="21"/>
          <w:highlight w:val="none"/>
          <w:lang w:eastAsia="zh-CN"/>
        </w:rPr>
      </w:pPr>
      <w:r>
        <w:rPr>
          <w:rFonts w:hint="eastAsia" w:ascii="Times New Roman" w:hAnsi="宋体" w:eastAsia="宋体" w:cs="宋体"/>
          <w:color w:val="auto"/>
          <w:sz w:val="21"/>
          <w:szCs w:val="21"/>
          <w:highlight w:val="none"/>
        </w:rPr>
        <w:t>计量周期内允许调整的主要材料工程量及其施工期间单价</w:t>
      </w:r>
      <w:r>
        <w:rPr>
          <w:rFonts w:hint="eastAsia" w:ascii="Times New Roman" w:hAnsi="宋体" w:eastAsia="宋体" w:cs="宋体"/>
          <w:color w:val="auto"/>
          <w:sz w:val="21"/>
          <w:szCs w:val="21"/>
          <w:highlight w:val="none"/>
          <w:lang w:eastAsia="zh-CN"/>
        </w:rPr>
        <w:t>的确定方法选择：</w:t>
      </w:r>
    </w:p>
    <w:p w14:paraId="0B57ABF4">
      <w:pPr>
        <w:numPr>
          <w:ilvl w:val="0"/>
          <w:numId w:val="0"/>
        </w:numPr>
        <w:spacing w:line="360" w:lineRule="auto"/>
        <w:ind w:firstLine="630"/>
        <w:jc w:val="left"/>
        <w:rPr>
          <w:rFonts w:hint="eastAsia" w:ascii="Times New Roman" w:hAnsi="宋体" w:eastAsia="宋体" w:cs="宋体"/>
          <w:color w:val="auto"/>
          <w:sz w:val="21"/>
          <w:szCs w:val="21"/>
          <w:highlight w:val="none"/>
          <w:lang w:eastAsia="zh-CN"/>
        </w:rPr>
      </w:pPr>
      <w:r>
        <w:rPr>
          <w:rFonts w:ascii="Wingdings 2" w:hAnsi="Wingdings 2" w:eastAsia="Wingdings 2" w:cs="Wingdings 2"/>
          <w:color w:val="auto"/>
          <w:sz w:val="21"/>
          <w:szCs w:val="21"/>
          <w:highlight w:val="none"/>
        </w:rPr>
        <w:t>£</w:t>
      </w:r>
      <w:r>
        <w:rPr>
          <w:rFonts w:hint="eastAsia" w:ascii="Times New Roman" w:hAnsi="宋体" w:eastAsia="宋体" w:cs="宋体"/>
          <w:color w:val="auto"/>
          <w:sz w:val="21"/>
          <w:szCs w:val="21"/>
          <w:highlight w:val="none"/>
          <w:lang w:eastAsia="zh-CN"/>
        </w:rPr>
        <w:t>采用发包人认定的材料采购价格作为允许调整价格的主要材料施工期间市场价格的，承包人应在采购材料前将采购数量和新的材料单价报送发包人核对，确认用于本合同工程时，发包人应确认采购材料的数量和单价，分批采购时按权重取平均值计算。发包人在收到承包人报送的价格差额调整资料后3个工作日内不予答复的视为已经认可，作为进度款、过程结算、竣工结算的依据。如果承包人未报发包人核对即自行采购材料，再报发包人确认调整合同价格的，如发包人不同意，则不作调整。</w:t>
      </w:r>
    </w:p>
    <w:p w14:paraId="45B3CAF0">
      <w:pPr>
        <w:numPr>
          <w:ilvl w:val="0"/>
          <w:numId w:val="0"/>
        </w:numPr>
        <w:spacing w:line="360" w:lineRule="auto"/>
        <w:ind w:firstLine="420"/>
        <w:jc w:val="left"/>
        <w:rPr>
          <w:rFonts w:hint="eastAsia" w:ascii="Times New Roman" w:hAnsi="宋体" w:eastAsia="宋体" w:cs="宋体"/>
          <w:color w:val="auto"/>
          <w:sz w:val="21"/>
          <w:szCs w:val="21"/>
          <w:highlight w:val="none"/>
        </w:rPr>
      </w:pPr>
      <w:r>
        <w:rPr>
          <w:rFonts w:ascii="Wingdings 2" w:hAnsi="Wingdings 2" w:eastAsia="Wingdings 2" w:cs="Wingdings 2"/>
          <w:color w:val="auto"/>
          <w:sz w:val="21"/>
          <w:szCs w:val="21"/>
          <w:highlight w:val="none"/>
        </w:rPr>
        <w:t>R</w:t>
      </w:r>
      <w:r>
        <w:rPr>
          <w:rFonts w:hint="eastAsia" w:ascii="Times New Roman" w:hAnsi="宋体" w:eastAsia="宋体" w:cs="宋体"/>
          <w:color w:val="auto"/>
          <w:sz w:val="21"/>
          <w:szCs w:val="21"/>
          <w:highlight w:val="none"/>
          <w:lang w:eastAsia="zh-CN"/>
        </w:rPr>
        <w:t>采用建设工程造价管理机构发布的</w:t>
      </w:r>
      <w:r>
        <w:rPr>
          <w:rFonts w:hint="eastAsia" w:ascii="Times New Roman" w:hAnsi="宋体" w:eastAsia="宋体" w:cs="宋体"/>
          <w:color w:val="auto"/>
          <w:sz w:val="21"/>
          <w:szCs w:val="21"/>
          <w:highlight w:val="none"/>
          <w:lang w:val="en-US" w:eastAsia="zh-CN"/>
        </w:rPr>
        <w:t>信息价</w:t>
      </w:r>
      <w:r>
        <w:rPr>
          <w:rFonts w:hint="eastAsia" w:ascii="Times New Roman" w:hAnsi="宋体" w:eastAsia="宋体" w:cs="宋体"/>
          <w:color w:val="auto"/>
          <w:sz w:val="21"/>
          <w:szCs w:val="21"/>
          <w:highlight w:val="none"/>
          <w:lang w:eastAsia="zh-CN"/>
        </w:rPr>
        <w:t>作为允许调整价格的主要材料施工期间市场价格的，允许调整价格的主要材料数量按招标人提供的相应预算清单单位工程的主要材料消耗量乘以实际完成并予以计量的相应</w:t>
      </w:r>
      <w:r>
        <w:rPr>
          <w:rFonts w:hint="eastAsia" w:ascii="Times New Roman" w:hAnsi="宋体" w:eastAsia="宋体" w:cs="宋体"/>
          <w:color w:val="auto"/>
          <w:sz w:val="21"/>
          <w:szCs w:val="21"/>
          <w:highlight w:val="none"/>
          <w:lang w:val="en-US" w:eastAsia="zh-CN"/>
        </w:rPr>
        <w:t>清单</w:t>
      </w:r>
      <w:r>
        <w:rPr>
          <w:rFonts w:hint="eastAsia" w:ascii="Times New Roman" w:hAnsi="宋体" w:eastAsia="宋体" w:cs="宋体"/>
          <w:color w:val="auto"/>
          <w:sz w:val="21"/>
          <w:szCs w:val="21"/>
          <w:highlight w:val="none"/>
          <w:lang w:eastAsia="zh-CN"/>
        </w:rPr>
        <w:t>工程量计算；单价为该材料施工期间建设工程造价管理机构发布的信息价，</w:t>
      </w:r>
      <w:r>
        <w:rPr>
          <w:rFonts w:hint="eastAsia" w:ascii="Times New Roman" w:hAnsi="宋体" w:eastAsia="宋体" w:cs="宋体"/>
          <w:color w:val="auto"/>
          <w:sz w:val="21"/>
          <w:szCs w:val="21"/>
          <w:highlight w:val="none"/>
        </w:rPr>
        <w:t>采用</w:t>
      </w:r>
      <w:r>
        <w:rPr>
          <w:rFonts w:ascii="Wingdings 2" w:hAnsi="Wingdings 2" w:eastAsia="Wingdings 2" w:cs="Wingdings 2"/>
          <w:color w:val="auto"/>
          <w:sz w:val="21"/>
          <w:szCs w:val="21"/>
          <w:highlight w:val="none"/>
        </w:rPr>
        <w:t>R</w:t>
      </w:r>
      <w:r>
        <w:rPr>
          <w:rFonts w:hint="eastAsia" w:ascii="Times New Roman" w:hAnsi="宋体" w:eastAsia="宋体" w:cs="宋体"/>
          <w:color w:val="auto"/>
          <w:sz w:val="21"/>
          <w:szCs w:val="21"/>
          <w:highlight w:val="none"/>
        </w:rPr>
        <w:t>加权平均</w:t>
      </w:r>
      <w:r>
        <w:rPr>
          <w:rFonts w:hint="eastAsia" w:ascii="Times New Roman" w:hAnsi="宋体" w:eastAsia="宋体" w:cs="宋体"/>
          <w:color w:val="auto"/>
          <w:sz w:val="21"/>
          <w:szCs w:val="21"/>
          <w:highlight w:val="none"/>
          <w:lang w:eastAsia="zh-CN"/>
        </w:rPr>
        <w:t>价格</w:t>
      </w:r>
      <w:r>
        <w:rPr>
          <w:rFonts w:ascii="Wingdings 2" w:hAnsi="Wingdings 2" w:eastAsia="Wingdings 2" w:cs="Wingdings 2"/>
          <w:color w:val="auto"/>
          <w:sz w:val="21"/>
          <w:szCs w:val="21"/>
          <w:highlight w:val="none"/>
        </w:rPr>
        <w:t>£</w:t>
      </w:r>
      <w:r>
        <w:rPr>
          <w:rFonts w:hint="eastAsia" w:ascii="Times New Roman" w:hAnsi="宋体" w:eastAsia="宋体" w:cs="宋体"/>
          <w:color w:val="auto"/>
          <w:sz w:val="21"/>
          <w:szCs w:val="21"/>
          <w:highlight w:val="none"/>
        </w:rPr>
        <w:t>算术平均价格</w:t>
      </w:r>
      <w:r>
        <w:rPr>
          <w:rFonts w:hint="eastAsia" w:ascii="Times New Roman" w:hAnsi="宋体" w:eastAsia="宋体" w:cs="宋体"/>
          <w:color w:val="auto"/>
          <w:sz w:val="21"/>
          <w:szCs w:val="21"/>
          <w:highlight w:val="none"/>
          <w:lang w:val="en-US" w:eastAsia="zh-CN"/>
        </w:rPr>
        <w:t>计算</w:t>
      </w:r>
      <w:r>
        <w:rPr>
          <w:rFonts w:hint="eastAsia" w:ascii="Times New Roman" w:hAnsi="宋体" w:eastAsia="宋体" w:cs="宋体"/>
          <w:color w:val="auto"/>
          <w:sz w:val="21"/>
          <w:szCs w:val="21"/>
          <w:highlight w:val="none"/>
          <w:lang w:eastAsia="zh-CN"/>
        </w:rPr>
        <w:t>。建设工程造价管理机构发布的信息价没有的</w:t>
      </w:r>
      <w:r>
        <w:rPr>
          <w:rFonts w:hint="eastAsia" w:ascii="Times New Roman" w:hAnsi="宋体" w:eastAsia="宋体" w:cs="宋体"/>
          <w:color w:val="auto"/>
          <w:sz w:val="21"/>
          <w:szCs w:val="21"/>
          <w:highlight w:val="none"/>
          <w:lang w:val="en-US" w:eastAsia="zh-CN"/>
        </w:rPr>
        <w:t>材料</w:t>
      </w:r>
      <w:r>
        <w:rPr>
          <w:rFonts w:hint="eastAsia" w:ascii="Times New Roman" w:hAnsi="宋体" w:eastAsia="宋体" w:cs="宋体"/>
          <w:color w:val="auto"/>
          <w:sz w:val="21"/>
          <w:szCs w:val="21"/>
          <w:highlight w:val="none"/>
          <w:lang w:eastAsia="zh-CN"/>
        </w:rPr>
        <w:t>由发承包双方根据市场行情及时确认</w:t>
      </w:r>
      <w:r>
        <w:rPr>
          <w:rFonts w:hint="eastAsia" w:ascii="Times New Roman" w:hAnsi="宋体" w:eastAsia="宋体" w:cs="宋体"/>
          <w:color w:val="auto"/>
          <w:sz w:val="21"/>
          <w:szCs w:val="21"/>
          <w:highlight w:val="none"/>
          <w:lang w:val="en-US" w:eastAsia="zh-CN"/>
        </w:rPr>
        <w:t>价格</w:t>
      </w:r>
      <w:r>
        <w:rPr>
          <w:rFonts w:hint="eastAsia" w:ascii="Times New Roman" w:hAnsi="宋体" w:eastAsia="宋体" w:cs="宋体"/>
          <w:color w:val="auto"/>
          <w:sz w:val="21"/>
          <w:szCs w:val="21"/>
          <w:highlight w:val="none"/>
          <w:lang w:eastAsia="zh-CN"/>
        </w:rPr>
        <w:t>。</w:t>
      </w:r>
    </w:p>
    <w:p w14:paraId="04F0D60F">
      <w:pPr>
        <w:numPr>
          <w:ilvl w:val="0"/>
          <w:numId w:val="0"/>
        </w:num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lang w:val="en-US" w:eastAsia="zh-CN"/>
        </w:rPr>
        <w:t>3</w:t>
      </w:r>
      <w:r>
        <w:rPr>
          <w:rFonts w:hint="eastAsia" w:ascii="Times New Roman" w:hAnsi="宋体" w:eastAsia="宋体" w:cs="宋体"/>
          <w:color w:val="auto"/>
          <w:sz w:val="21"/>
          <w:szCs w:val="21"/>
          <w:highlight w:val="none"/>
          <w:lang w:eastAsia="zh-CN"/>
        </w:rPr>
        <w:t>）计量周期内</w:t>
      </w:r>
      <w:r>
        <w:rPr>
          <w:rFonts w:hint="eastAsia" w:ascii="Times New Roman" w:hAnsi="宋体" w:eastAsia="宋体" w:cs="宋体"/>
          <w:color w:val="auto"/>
          <w:sz w:val="21"/>
          <w:szCs w:val="21"/>
          <w:highlight w:val="none"/>
        </w:rPr>
        <w:t>材料价差</w:t>
      </w:r>
      <w:r>
        <w:rPr>
          <w:rFonts w:hint="eastAsia" w:ascii="Times New Roman" w:hAnsi="宋体" w:eastAsia="宋体" w:cs="宋体"/>
          <w:color w:val="auto"/>
          <w:sz w:val="21"/>
          <w:szCs w:val="21"/>
          <w:highlight w:val="none"/>
          <w:lang w:eastAsia="zh-CN"/>
        </w:rPr>
        <w:t>根据</w:t>
      </w:r>
      <w:r>
        <w:rPr>
          <w:rFonts w:hint="eastAsia" w:ascii="Times New Roman" w:hAnsi="宋体" w:eastAsia="宋体" w:cs="宋体"/>
          <w:color w:val="auto"/>
          <w:sz w:val="21"/>
          <w:szCs w:val="21"/>
          <w:highlight w:val="none"/>
        </w:rPr>
        <w:t>本合同约定</w:t>
      </w:r>
      <w:r>
        <w:rPr>
          <w:rFonts w:hint="eastAsia" w:ascii="Times New Roman" w:hAnsi="宋体" w:eastAsia="宋体" w:cs="宋体"/>
          <w:color w:val="auto"/>
          <w:sz w:val="21"/>
          <w:szCs w:val="21"/>
          <w:highlight w:val="none"/>
          <w:lang w:eastAsia="zh-CN"/>
        </w:rPr>
        <w:t>及全过程计价规范</w:t>
      </w:r>
      <w:r>
        <w:rPr>
          <w:rFonts w:hint="eastAsia" w:ascii="Times New Roman" w:hAnsi="宋体" w:eastAsia="宋体" w:cs="宋体"/>
          <w:color w:val="auto"/>
          <w:sz w:val="21"/>
          <w:szCs w:val="21"/>
          <w:highlight w:val="none"/>
        </w:rPr>
        <w:t>《主要材料费价差计算表》</w:t>
      </w:r>
      <w:r>
        <w:rPr>
          <w:rFonts w:hint="eastAsia" w:ascii="Times New Roman" w:hAnsi="宋体" w:eastAsia="宋体" w:cs="宋体"/>
          <w:color w:val="auto"/>
          <w:sz w:val="21"/>
          <w:szCs w:val="21"/>
          <w:highlight w:val="none"/>
          <w:lang w:eastAsia="zh-CN"/>
        </w:rPr>
        <w:t>按</w:t>
      </w:r>
      <w:r>
        <w:rPr>
          <w:rFonts w:hint="eastAsia" w:ascii="Times New Roman" w:hAnsi="宋体" w:eastAsia="宋体" w:cs="宋体"/>
          <w:color w:val="auto"/>
          <w:sz w:val="21"/>
          <w:szCs w:val="21"/>
          <w:highlight w:val="none"/>
        </w:rPr>
        <w:t>以下方法计算：</w:t>
      </w:r>
    </w:p>
    <w:p w14:paraId="2B4B5A4D">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①《允许调整价格的主要材料一览表》中载明的材料投标报价低于基准价格的：合同履行期间材料单价涨幅以基准价格为基础超过约定的风险范围时，或材料单价跌幅以投标报价为基础超过约定的风险范围时，对其超过部分进行价差调整，价差计算公式：</w:t>
      </w:r>
      <w:r>
        <w:rPr>
          <w:rFonts w:hint="eastAsia" w:ascii="Times New Roman" w:hAnsi="宋体" w:eastAsia="宋体" w:cs="宋体"/>
          <w:color w:val="auto"/>
          <w:sz w:val="21"/>
          <w:szCs w:val="21"/>
        </w:rPr>
        <w:t>价格上涨价差=施工期间价格-基准价</w:t>
      </w:r>
      <w:r>
        <w:rPr>
          <w:rFonts w:hint="eastAsia" w:ascii="Times New Roman" w:hAnsi="宋体" w:eastAsia="宋体" w:cs="宋体"/>
          <w:color w:val="auto"/>
          <w:sz w:val="21"/>
          <w:szCs w:val="21"/>
          <w:lang w:val="en-US" w:eastAsia="zh-CN"/>
        </w:rPr>
        <w:t>×</w:t>
      </w:r>
      <w:r>
        <w:rPr>
          <w:rFonts w:hint="eastAsia" w:ascii="Times New Roman" w:hAnsi="宋体" w:eastAsia="宋体" w:cs="宋体"/>
          <w:color w:val="auto"/>
          <w:sz w:val="21"/>
          <w:szCs w:val="21"/>
        </w:rPr>
        <w:t>（1+风险</w:t>
      </w:r>
      <w:r>
        <w:rPr>
          <w:rFonts w:hint="eastAsia" w:ascii="Times New Roman" w:hAnsi="宋体" w:eastAsia="宋体" w:cs="宋体"/>
          <w:color w:val="auto"/>
          <w:sz w:val="21"/>
          <w:szCs w:val="21"/>
          <w:lang w:eastAsia="zh-CN"/>
        </w:rPr>
        <w:t>幅度</w:t>
      </w:r>
      <w:r>
        <w:rPr>
          <w:rFonts w:hint="eastAsia" w:ascii="Times New Roman" w:hAnsi="宋体" w:eastAsia="宋体" w:cs="宋体"/>
          <w:color w:val="auto"/>
          <w:sz w:val="21"/>
          <w:szCs w:val="21"/>
        </w:rPr>
        <w:t>），价格下跌价差=投标报价</w:t>
      </w:r>
      <w:r>
        <w:rPr>
          <w:rFonts w:hint="eastAsia" w:ascii="Times New Roman" w:hAnsi="宋体" w:eastAsia="宋体" w:cs="宋体"/>
          <w:color w:val="auto"/>
          <w:sz w:val="21"/>
          <w:szCs w:val="21"/>
          <w:lang w:val="en-US" w:eastAsia="zh-CN"/>
        </w:rPr>
        <w:t>×</w:t>
      </w:r>
      <w:r>
        <w:rPr>
          <w:rFonts w:hint="eastAsia" w:ascii="Times New Roman" w:hAnsi="宋体" w:eastAsia="宋体" w:cs="宋体"/>
          <w:color w:val="auto"/>
          <w:sz w:val="21"/>
          <w:szCs w:val="21"/>
        </w:rPr>
        <w:t>（1+风险</w:t>
      </w:r>
      <w:r>
        <w:rPr>
          <w:rFonts w:hint="eastAsia" w:ascii="Times New Roman" w:hAnsi="宋体" w:eastAsia="宋体" w:cs="宋体"/>
          <w:color w:val="auto"/>
          <w:sz w:val="21"/>
          <w:szCs w:val="21"/>
          <w:lang w:eastAsia="zh-CN"/>
        </w:rPr>
        <w:t>幅度</w:t>
      </w:r>
      <w:r>
        <w:rPr>
          <w:rFonts w:hint="eastAsia" w:ascii="Times New Roman" w:hAnsi="宋体" w:eastAsia="宋体" w:cs="宋体"/>
          <w:color w:val="auto"/>
          <w:sz w:val="21"/>
          <w:szCs w:val="21"/>
        </w:rPr>
        <w:t>）-施工期间价格</w:t>
      </w:r>
      <w:r>
        <w:rPr>
          <w:rFonts w:hint="eastAsia" w:ascii="Times New Roman" w:hAnsi="宋体" w:eastAsia="宋体" w:cs="宋体"/>
          <w:color w:val="auto"/>
          <w:sz w:val="21"/>
          <w:szCs w:val="21"/>
          <w:highlight w:val="none"/>
        </w:rPr>
        <w:t>。</w:t>
      </w:r>
    </w:p>
    <w:p w14:paraId="5CA0E8DE">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②承包人在《允许调整价格的主要材料一览表》中载明的材料投标报价高于基准价格的：合同履行期间材料单价跌幅以基准价格为基础超过约定的风险范围时，或</w:t>
      </w:r>
      <w:r>
        <w:rPr>
          <w:rFonts w:hint="eastAsia" w:ascii="Times New Roman" w:hAnsi="宋体" w:eastAsia="宋体" w:cs="宋体"/>
          <w:color w:val="auto"/>
          <w:sz w:val="21"/>
          <w:szCs w:val="21"/>
        </w:rPr>
        <w:t>材料单价涨幅以投标报价为基础超过约定的风险范围时</w:t>
      </w:r>
      <w:r>
        <w:rPr>
          <w:rFonts w:hint="eastAsia" w:ascii="Times New Roman" w:hAnsi="宋体" w:eastAsia="宋体" w:cs="宋体"/>
          <w:color w:val="auto"/>
          <w:sz w:val="21"/>
          <w:szCs w:val="21"/>
          <w:highlight w:val="none"/>
        </w:rPr>
        <w:t>，对其超过部分进行价差调整。价差计算公式：</w:t>
      </w:r>
      <w:r>
        <w:rPr>
          <w:rFonts w:hint="eastAsia" w:ascii="Times New Roman" w:hAnsi="宋体" w:eastAsia="宋体" w:cs="宋体"/>
          <w:color w:val="auto"/>
          <w:sz w:val="21"/>
          <w:szCs w:val="21"/>
        </w:rPr>
        <w:t>价格上涨价差=施工期间价格-投标报价</w:t>
      </w:r>
      <w:r>
        <w:rPr>
          <w:rFonts w:hint="eastAsia" w:ascii="Times New Roman" w:hAnsi="宋体" w:eastAsia="宋体" w:cs="宋体"/>
          <w:color w:val="auto"/>
          <w:sz w:val="21"/>
          <w:szCs w:val="21"/>
          <w:lang w:val="en-US" w:eastAsia="zh-CN"/>
        </w:rPr>
        <w:t>×</w:t>
      </w:r>
      <w:r>
        <w:rPr>
          <w:rFonts w:hint="eastAsia" w:ascii="Times New Roman" w:hAnsi="宋体" w:eastAsia="宋体" w:cs="宋体"/>
          <w:color w:val="auto"/>
          <w:sz w:val="21"/>
          <w:szCs w:val="21"/>
        </w:rPr>
        <w:t>（1+风险</w:t>
      </w:r>
      <w:r>
        <w:rPr>
          <w:rFonts w:hint="eastAsia" w:ascii="Times New Roman" w:hAnsi="宋体" w:eastAsia="宋体" w:cs="宋体"/>
          <w:color w:val="auto"/>
          <w:sz w:val="21"/>
          <w:szCs w:val="21"/>
          <w:lang w:eastAsia="zh-CN"/>
        </w:rPr>
        <w:t>幅度</w:t>
      </w:r>
      <w:r>
        <w:rPr>
          <w:rFonts w:hint="eastAsia" w:ascii="Times New Roman" w:hAnsi="宋体" w:eastAsia="宋体" w:cs="宋体"/>
          <w:color w:val="auto"/>
          <w:sz w:val="21"/>
          <w:szCs w:val="21"/>
        </w:rPr>
        <w:t>）</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rPr>
        <w:t>价格下跌价差=基准价</w:t>
      </w:r>
      <w:r>
        <w:rPr>
          <w:rFonts w:hint="eastAsia" w:ascii="Times New Roman" w:hAnsi="宋体" w:eastAsia="宋体" w:cs="宋体"/>
          <w:color w:val="auto"/>
          <w:sz w:val="21"/>
          <w:szCs w:val="21"/>
          <w:lang w:val="en-US" w:eastAsia="zh-CN"/>
        </w:rPr>
        <w:t>×</w:t>
      </w:r>
      <w:r>
        <w:rPr>
          <w:rFonts w:hint="eastAsia" w:ascii="Times New Roman" w:hAnsi="宋体" w:eastAsia="宋体" w:cs="宋体"/>
          <w:color w:val="auto"/>
          <w:sz w:val="21"/>
          <w:szCs w:val="21"/>
        </w:rPr>
        <w:t>（1+风险</w:t>
      </w:r>
      <w:r>
        <w:rPr>
          <w:rFonts w:hint="eastAsia" w:ascii="Times New Roman" w:hAnsi="宋体" w:eastAsia="宋体" w:cs="宋体"/>
          <w:color w:val="auto"/>
          <w:sz w:val="21"/>
          <w:szCs w:val="21"/>
          <w:lang w:eastAsia="zh-CN"/>
        </w:rPr>
        <w:t>幅度</w:t>
      </w:r>
      <w:r>
        <w:rPr>
          <w:rFonts w:hint="eastAsia" w:ascii="Times New Roman" w:hAnsi="宋体" w:eastAsia="宋体" w:cs="宋体"/>
          <w:color w:val="auto"/>
          <w:sz w:val="21"/>
          <w:szCs w:val="21"/>
        </w:rPr>
        <w:t>）-施工期间价格</w:t>
      </w:r>
      <w:r>
        <w:rPr>
          <w:rFonts w:hint="eastAsia" w:ascii="Times New Roman" w:hAnsi="宋体" w:eastAsia="宋体" w:cs="宋体"/>
          <w:color w:val="auto"/>
          <w:sz w:val="21"/>
          <w:szCs w:val="21"/>
          <w:highlight w:val="none"/>
        </w:rPr>
        <w:t>。</w:t>
      </w:r>
    </w:p>
    <w:p w14:paraId="4C47AB54">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③承包人在《允许调整价格的主要材料一览表》中载明的材料单价等于基准单价的：</w:t>
      </w:r>
      <w:r>
        <w:rPr>
          <w:rFonts w:hint="eastAsia" w:ascii="Times New Roman" w:hAnsi="宋体" w:eastAsia="宋体" w:cs="宋体"/>
          <w:color w:val="auto"/>
          <w:sz w:val="21"/>
          <w:szCs w:val="21"/>
        </w:rPr>
        <w:t>合同履行期间材料单价涨跌幅以基准单价为基础超过约定的风险范围时，对其超过部分进行价差调整</w:t>
      </w:r>
      <w:r>
        <w:rPr>
          <w:rFonts w:hint="eastAsia" w:ascii="Times New Roman" w:hAnsi="宋体" w:eastAsia="宋体" w:cs="宋体"/>
          <w:color w:val="auto"/>
          <w:sz w:val="21"/>
          <w:szCs w:val="21"/>
          <w:highlight w:val="none"/>
        </w:rPr>
        <w:t>。价差计算公式：</w:t>
      </w:r>
      <w:r>
        <w:rPr>
          <w:rFonts w:hint="eastAsia" w:ascii="Times New Roman" w:hAnsi="宋体" w:eastAsia="宋体" w:cs="宋体"/>
          <w:color w:val="auto"/>
          <w:sz w:val="21"/>
          <w:szCs w:val="21"/>
        </w:rPr>
        <w:t>价格上涨价差=施工期间价格-基准价</w:t>
      </w:r>
      <w:r>
        <w:rPr>
          <w:rFonts w:hint="eastAsia" w:ascii="Times New Roman" w:hAnsi="宋体" w:eastAsia="宋体" w:cs="宋体"/>
          <w:color w:val="auto"/>
          <w:sz w:val="21"/>
          <w:szCs w:val="21"/>
          <w:lang w:val="en-US" w:eastAsia="zh-CN"/>
        </w:rPr>
        <w:t>×</w:t>
      </w:r>
      <w:r>
        <w:rPr>
          <w:rFonts w:hint="eastAsia" w:ascii="Times New Roman" w:hAnsi="宋体" w:eastAsia="宋体" w:cs="宋体"/>
          <w:color w:val="auto"/>
          <w:sz w:val="21"/>
          <w:szCs w:val="21"/>
        </w:rPr>
        <w:t>（1+风险</w:t>
      </w:r>
      <w:r>
        <w:rPr>
          <w:rFonts w:hint="eastAsia" w:ascii="Times New Roman" w:hAnsi="宋体" w:eastAsia="宋体" w:cs="宋体"/>
          <w:color w:val="auto"/>
          <w:sz w:val="21"/>
          <w:szCs w:val="21"/>
          <w:lang w:eastAsia="zh-CN"/>
        </w:rPr>
        <w:t>幅度</w:t>
      </w:r>
      <w:r>
        <w:rPr>
          <w:rFonts w:hint="eastAsia" w:ascii="Times New Roman" w:hAnsi="宋体" w:eastAsia="宋体" w:cs="宋体"/>
          <w:color w:val="auto"/>
          <w:sz w:val="21"/>
          <w:szCs w:val="21"/>
        </w:rPr>
        <w:t>），价格下跌价差=基准价</w:t>
      </w:r>
      <w:r>
        <w:rPr>
          <w:rFonts w:hint="eastAsia" w:ascii="Times New Roman" w:hAnsi="宋体" w:eastAsia="宋体" w:cs="宋体"/>
          <w:color w:val="auto"/>
          <w:sz w:val="21"/>
          <w:szCs w:val="21"/>
          <w:lang w:val="en-US" w:eastAsia="zh-CN"/>
        </w:rPr>
        <w:t>×</w:t>
      </w:r>
      <w:r>
        <w:rPr>
          <w:rFonts w:hint="eastAsia" w:ascii="Times New Roman" w:hAnsi="宋体" w:eastAsia="宋体" w:cs="宋体"/>
          <w:color w:val="auto"/>
          <w:sz w:val="21"/>
          <w:szCs w:val="21"/>
        </w:rPr>
        <w:t>（1+风险</w:t>
      </w:r>
      <w:r>
        <w:rPr>
          <w:rFonts w:hint="eastAsia" w:ascii="Times New Roman" w:hAnsi="宋体" w:eastAsia="宋体" w:cs="宋体"/>
          <w:color w:val="auto"/>
          <w:sz w:val="21"/>
          <w:szCs w:val="21"/>
          <w:lang w:eastAsia="zh-CN"/>
        </w:rPr>
        <w:t>幅度</w:t>
      </w:r>
      <w:r>
        <w:rPr>
          <w:rFonts w:hint="eastAsia" w:ascii="Times New Roman" w:hAnsi="宋体" w:eastAsia="宋体" w:cs="宋体"/>
          <w:color w:val="auto"/>
          <w:sz w:val="21"/>
          <w:szCs w:val="21"/>
        </w:rPr>
        <w:t>）-施工期间价格</w:t>
      </w:r>
      <w:r>
        <w:rPr>
          <w:rFonts w:hint="eastAsia" w:ascii="Times New Roman" w:hAnsi="宋体" w:eastAsia="宋体" w:cs="宋体"/>
          <w:color w:val="auto"/>
          <w:sz w:val="21"/>
          <w:szCs w:val="21"/>
          <w:highlight w:val="none"/>
        </w:rPr>
        <w:t>。</w:t>
      </w:r>
    </w:p>
    <w:p w14:paraId="277898D2">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11.2.</w:t>
      </w:r>
      <w:r>
        <w:rPr>
          <w:rFonts w:hint="eastAsia" w:ascii="Times New Roman" w:hAnsi="宋体" w:eastAsia="宋体" w:cs="宋体"/>
          <w:color w:val="auto"/>
          <w:sz w:val="21"/>
          <w:szCs w:val="21"/>
          <w:highlight w:val="none"/>
          <w:lang w:eastAsia="zh-CN"/>
        </w:rPr>
        <w:t>4</w:t>
      </w:r>
      <w:r>
        <w:rPr>
          <w:rFonts w:hint="eastAsia" w:ascii="Times New Roman" w:hAnsi="宋体" w:eastAsia="宋体" w:cs="宋体"/>
          <w:color w:val="auto"/>
          <w:sz w:val="21"/>
          <w:szCs w:val="21"/>
          <w:highlight w:val="none"/>
        </w:rPr>
        <w:t xml:space="preserve">  合同工程出现工期延长的，应按下列规定确定及调整合同履行期由于物价变化影响的价格：</w:t>
      </w:r>
    </w:p>
    <w:p w14:paraId="46A7C788">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（1）因发包人原因导致工期延长的，计划进度日期后续工程的价格或价格指数，采用计划进度日期与实际进度日期两者的较高者。</w:t>
      </w:r>
    </w:p>
    <w:p w14:paraId="4A902BBA">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（2）因承包人原因导致工期延长的，计划进度日期后续工程的价格或价格指数，采用计划进度日期与实际进度日期两者的较低者。</w:t>
      </w:r>
    </w:p>
    <w:p w14:paraId="61B0DE99">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（3）因非发承包双方原因引起工期延长的，计划进度日期后续工程的价格应按本合同11.2.1的约定调整价格。</w:t>
      </w:r>
    </w:p>
    <w:p w14:paraId="5EC26A82">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11.2.</w:t>
      </w:r>
      <w:r>
        <w:rPr>
          <w:rFonts w:hint="eastAsia" w:ascii="Times New Roman" w:hAnsi="宋体" w:eastAsia="宋体" w:cs="宋体"/>
          <w:color w:val="auto"/>
          <w:sz w:val="21"/>
          <w:szCs w:val="21"/>
          <w:highlight w:val="none"/>
          <w:lang w:val="en-US" w:eastAsia="zh-CN"/>
        </w:rPr>
        <w:t>5</w:t>
      </w:r>
      <w:r>
        <w:rPr>
          <w:rFonts w:hint="eastAsia" w:ascii="Times New Roman" w:hAnsi="宋体" w:eastAsia="宋体" w:cs="宋体"/>
          <w:color w:val="auto"/>
          <w:sz w:val="21"/>
          <w:szCs w:val="21"/>
          <w:highlight w:val="none"/>
          <w:lang w:eastAsia="zh-CN"/>
        </w:rPr>
        <w:t>合同</w:t>
      </w:r>
      <w:r>
        <w:rPr>
          <w:rFonts w:hint="eastAsia" w:ascii="Times New Roman" w:hAnsi="宋体" w:eastAsia="宋体" w:cs="宋体"/>
          <w:color w:val="auto"/>
          <w:sz w:val="21"/>
          <w:szCs w:val="21"/>
          <w:highlight w:val="none"/>
        </w:rPr>
        <w:t>约定之外的人工费、主要材料费市场价格出现异常变动，且是发承包双方在订立本合同时无法预见的重大变化，继续履行合同对于受不利影响的合同一方明显不公平的，发承包双方按风险合理分担原则，重新协商合同风险幅度，</w:t>
      </w:r>
      <w:r>
        <w:rPr>
          <w:rFonts w:hint="eastAsia" w:ascii="Times New Roman" w:hAnsi="宋体" w:eastAsia="宋体" w:cs="宋体"/>
          <w:color w:val="auto"/>
          <w:sz w:val="21"/>
          <w:szCs w:val="21"/>
          <w:highlight w:val="none"/>
          <w:lang w:eastAsia="zh-CN"/>
        </w:rPr>
        <w:t>由发包人承担</w:t>
      </w:r>
      <w:r>
        <w:rPr>
          <w:rFonts w:hint="eastAsia" w:ascii="Times New Roman" w:hAnsi="宋体" w:eastAsia="宋体" w:cs="宋体"/>
          <w:color w:val="auto"/>
          <w:sz w:val="21"/>
          <w:szCs w:val="21"/>
          <w:highlight w:val="none"/>
        </w:rPr>
        <w:t>超出协商后约定的合同</w:t>
      </w:r>
      <w:r>
        <w:rPr>
          <w:rFonts w:hint="eastAsia" w:ascii="Times New Roman" w:hAnsi="宋体" w:eastAsia="宋体" w:cs="宋体"/>
          <w:color w:val="auto"/>
          <w:sz w:val="21"/>
          <w:szCs w:val="21"/>
          <w:highlight w:val="none"/>
          <w:lang w:eastAsia="zh-CN"/>
        </w:rPr>
        <w:t>风险</w:t>
      </w:r>
      <w:r>
        <w:rPr>
          <w:rFonts w:hint="eastAsia" w:ascii="Times New Roman" w:hAnsi="宋体" w:eastAsia="宋体" w:cs="宋体"/>
          <w:color w:val="auto"/>
          <w:sz w:val="21"/>
          <w:szCs w:val="21"/>
          <w:highlight w:val="none"/>
        </w:rPr>
        <w:t>幅度的人工费、主要材料费价差。</w:t>
      </w:r>
    </w:p>
    <w:p w14:paraId="717C50F1">
      <w:pPr>
        <w:spacing w:line="360" w:lineRule="auto"/>
        <w:ind w:firstLine="420"/>
        <w:jc w:val="left"/>
        <w:rPr>
          <w:rFonts w:hint="eastAsia" w:ascii="Times New Roman" w:hAnsi="宋体" w:eastAsia="宋体" w:cs="宋体"/>
          <w:color w:val="auto"/>
          <w:sz w:val="21"/>
          <w:szCs w:val="21"/>
          <w:highlight w:val="none"/>
        </w:rPr>
      </w:pPr>
    </w:p>
    <w:p w14:paraId="3275FE92">
      <w:pPr>
        <w:spacing w:line="360" w:lineRule="auto"/>
        <w:ind w:firstLine="420"/>
        <w:jc w:val="left"/>
        <w:rPr>
          <w:rFonts w:hint="eastAsia" w:ascii="Times New Roman" w:hAnsi="宋体" w:eastAsia="宋体" w:cs="宋体"/>
          <w:color w:val="auto"/>
          <w:sz w:val="21"/>
          <w:szCs w:val="21"/>
          <w:highlight w:val="none"/>
        </w:rPr>
      </w:pPr>
    </w:p>
    <w:p w14:paraId="3643E8C3">
      <w:pPr>
        <w:spacing w:line="360" w:lineRule="auto"/>
        <w:ind w:firstLine="211"/>
        <w:jc w:val="left"/>
        <w:outlineLvl w:val="2"/>
        <w:rPr>
          <w:rFonts w:hint="default" w:ascii="Times New Roman" w:hAnsi="Times New Roman" w:eastAsia="黑体" w:cs="Times New Roman"/>
          <w:b/>
          <w:bCs/>
          <w:color w:val="auto"/>
          <w:sz w:val="21"/>
          <w:szCs w:val="21"/>
          <w:highlight w:val="none"/>
          <w:lang w:val="zh-CN"/>
        </w:rPr>
      </w:pPr>
      <w:r>
        <w:rPr>
          <w:rFonts w:hint="default" w:ascii="Times New Roman" w:hAnsi="Times New Roman" w:eastAsia="黑体" w:cs="Times New Roman"/>
          <w:b/>
          <w:bCs/>
          <w:color w:val="auto"/>
          <w:sz w:val="21"/>
          <w:szCs w:val="21"/>
          <w:highlight w:val="none"/>
          <w:lang w:val="zh-CN"/>
        </w:rPr>
        <w:t>11.3 法律法规及政策性变化引起的价格调整</w:t>
      </w:r>
    </w:p>
    <w:p w14:paraId="0061494C">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11.3.1 工程实施期间，在合同基准日后发生以下法律法规及政策性变化引起合同价款增减变化和（或）工期延误的，按照本合同约定和自治区建设行政主管部门及其授权的工程造价管理机构据此发布的规定调整合同价格及（或）工期：</w:t>
      </w:r>
    </w:p>
    <w:p w14:paraId="740BD2D3">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（1）新增的法律法规及政策性规定；</w:t>
      </w:r>
    </w:p>
    <w:p w14:paraId="640ED986">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（2）修改原有的法律法规及政策性规定；</w:t>
      </w:r>
    </w:p>
    <w:p w14:paraId="08953B6A">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（3）废止原有的法律法规及政策性规定；</w:t>
      </w:r>
    </w:p>
    <w:p w14:paraId="04A69E76">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（4）政府对相关法律法规的解释发生了变化。</w:t>
      </w:r>
    </w:p>
    <w:p w14:paraId="246A01B8">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11.3.2因承包人原因导致工期延长，在工期延长期间出现本合同约定的法律法规及政策性变化的，合同价格调增的不予调整，合同价格调减的予以调整。</w:t>
      </w:r>
    </w:p>
    <w:p w14:paraId="4E727D16">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11.3.3因发包人原因导致工期延长，在工期延长期间出现本合同约定的法律法规及政策性变化的，合同价格调减的不予调整，合同价格调增的应予调整。</w:t>
      </w:r>
    </w:p>
    <w:p w14:paraId="4DCC40C4">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11.3.4因非发承包双方原因导致工期延长，在工期延长期间出现本合同约定的法律法规及政策性变化的，合同价格应按实调整，法律法规及政策另有规定的除外。</w:t>
      </w:r>
    </w:p>
    <w:p w14:paraId="78BAA70E">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11.3.5 法律法规及政策性变化引起合同价格调整的，其合同总价及合同单价内的管理费及利润不应做调整。</w:t>
      </w:r>
    </w:p>
    <w:p w14:paraId="291B315E">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11.3.6合同履行中如国家财税政策变化调整增值税税率的，调整税率实施前已完成未开具发票工程价款及实施后工程计价应按调整后的税率计算增值税，工程进度款及工程结算价分别按以下公式调整：</w:t>
      </w:r>
    </w:p>
    <w:p w14:paraId="2E969B5A">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进度款=按基准日计算工程进度款÷（1＋基准日税率）×（1＋调整后税率）</w:t>
      </w:r>
    </w:p>
    <w:p w14:paraId="68FBE41F">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工程结算价款＝已按基准日税率开具发票的工程价款＋（按基准日税率计算的工程结算价－已按基准日税率开具发票的工程价款）÷（1＋基准日税率）×（1＋调整后税率）</w:t>
      </w:r>
    </w:p>
    <w:p w14:paraId="5D83026F">
      <w:pPr>
        <w:spacing w:line="360" w:lineRule="auto"/>
        <w:ind w:firstLine="211"/>
        <w:jc w:val="left"/>
        <w:outlineLvl w:val="2"/>
        <w:rPr>
          <w:rFonts w:hint="default" w:ascii="Times New Roman" w:hAnsi="Times New Roman" w:eastAsia="黑体" w:cs="Times New Roman"/>
          <w:b/>
          <w:bCs/>
          <w:color w:val="auto"/>
          <w:sz w:val="21"/>
          <w:szCs w:val="21"/>
          <w:highlight w:val="none"/>
          <w:lang w:val="zh-CN"/>
        </w:rPr>
      </w:pPr>
      <w:r>
        <w:rPr>
          <w:rFonts w:hint="default" w:ascii="Times New Roman" w:hAnsi="Times New Roman" w:eastAsia="黑体" w:cs="Times New Roman"/>
          <w:b/>
          <w:bCs/>
          <w:color w:val="auto"/>
          <w:sz w:val="21"/>
          <w:szCs w:val="21"/>
          <w:highlight w:val="none"/>
          <w:lang w:val="zh-CN"/>
        </w:rPr>
        <w:t>11.4 工程量清单缺陷引起的价格调整</w:t>
      </w:r>
    </w:p>
    <w:p w14:paraId="5911DDA0">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11.4.1 对于单价合同，</w:t>
      </w:r>
      <w:r>
        <w:rPr>
          <w:rFonts w:hint="eastAsia" w:ascii="Times New Roman" w:hAnsi="宋体" w:eastAsia="宋体" w:cs="宋体"/>
          <w:color w:val="auto"/>
          <w:sz w:val="21"/>
          <w:szCs w:val="21"/>
          <w:highlight w:val="none"/>
          <w:lang w:eastAsia="zh-CN"/>
        </w:rPr>
        <w:t>应根据</w:t>
      </w:r>
      <w:r>
        <w:rPr>
          <w:rFonts w:hint="eastAsia" w:ascii="Times New Roman" w:hAnsi="宋体" w:eastAsia="宋体" w:cs="宋体"/>
          <w:color w:val="auto"/>
          <w:sz w:val="21"/>
          <w:szCs w:val="21"/>
          <w:highlight w:val="none"/>
        </w:rPr>
        <w:t>合同图纸</w:t>
      </w:r>
      <w:r>
        <w:rPr>
          <w:rFonts w:hint="eastAsia" w:ascii="Times New Roman" w:hAnsi="宋体" w:eastAsia="宋体" w:cs="宋体"/>
          <w:color w:val="auto"/>
          <w:sz w:val="21"/>
          <w:szCs w:val="21"/>
          <w:highlight w:val="none"/>
          <w:lang w:eastAsia="zh-CN"/>
        </w:rPr>
        <w:t>和工程变更指令重新计算</w:t>
      </w:r>
      <w:r>
        <w:rPr>
          <w:rFonts w:hint="eastAsia" w:ascii="Times New Roman" w:hAnsi="宋体" w:eastAsia="宋体" w:cs="宋体"/>
          <w:color w:val="auto"/>
          <w:sz w:val="21"/>
          <w:szCs w:val="21"/>
          <w:highlight w:val="none"/>
        </w:rPr>
        <w:t>分部分项工程清单项目及工程量，并按</w:t>
      </w:r>
      <w:r>
        <w:rPr>
          <w:rFonts w:hint="eastAsia" w:ascii="Times New Roman" w:hAnsi="宋体" w:eastAsia="宋体" w:cs="宋体"/>
          <w:color w:val="auto"/>
          <w:sz w:val="21"/>
          <w:szCs w:val="21"/>
          <w:highlight w:val="none"/>
          <w:lang w:val="en-US" w:eastAsia="zh-CN"/>
        </w:rPr>
        <w:t>10.4.1规定</w:t>
      </w:r>
      <w:r>
        <w:rPr>
          <w:rFonts w:hint="eastAsia" w:ascii="Times New Roman" w:hAnsi="宋体" w:eastAsia="宋体" w:cs="宋体"/>
          <w:color w:val="auto"/>
          <w:sz w:val="21"/>
          <w:szCs w:val="21"/>
          <w:highlight w:val="none"/>
        </w:rPr>
        <w:t>调整合同单价。</w:t>
      </w:r>
    </w:p>
    <w:p w14:paraId="71A4798F">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11.4.2 对于总价合同，</w:t>
      </w:r>
      <w:r>
        <w:rPr>
          <w:rFonts w:hint="eastAsia" w:ascii="宋体" w:hAnsi="宋体" w:eastAsia="宋体" w:cs="宋体"/>
          <w:bCs/>
          <w:color w:val="auto"/>
          <w:sz w:val="21"/>
          <w:szCs w:val="21"/>
          <w:highlight w:val="none"/>
        </w:rPr>
        <w:t>合同价格</w:t>
      </w:r>
      <w:r>
        <w:rPr>
          <w:rFonts w:hint="eastAsia" w:ascii="宋体" w:hAnsi="宋体" w:eastAsia="宋体" w:cs="宋体"/>
          <w:bCs/>
          <w:color w:val="auto"/>
          <w:sz w:val="21"/>
          <w:szCs w:val="21"/>
          <w:highlight w:val="none"/>
          <w:lang w:eastAsia="zh-CN"/>
        </w:rPr>
        <w:t>固定总价部分</w:t>
      </w:r>
      <w:r>
        <w:rPr>
          <w:rFonts w:hint="eastAsia" w:ascii="Times New Roman" w:hAnsi="宋体" w:eastAsia="宋体" w:cs="宋体"/>
          <w:color w:val="auto"/>
          <w:sz w:val="21"/>
          <w:szCs w:val="21"/>
          <w:highlight w:val="none"/>
        </w:rPr>
        <w:t>不因</w:t>
      </w:r>
      <w:r>
        <w:rPr>
          <w:rFonts w:hint="default" w:ascii="Times New Roman" w:hAnsi="宋体" w:eastAsia="宋体" w:cs="宋体"/>
          <w:color w:val="auto"/>
          <w:sz w:val="21"/>
          <w:szCs w:val="21"/>
          <w:highlight w:val="none"/>
          <w:lang w:val="en-US"/>
        </w:rPr>
        <w:t>合同</w:t>
      </w:r>
      <w:r>
        <w:rPr>
          <w:rFonts w:hint="eastAsia" w:ascii="Times New Roman" w:hAnsi="宋体" w:eastAsia="宋体" w:cs="宋体"/>
          <w:color w:val="auto"/>
          <w:sz w:val="21"/>
          <w:szCs w:val="21"/>
          <w:highlight w:val="none"/>
          <w:lang w:val="en-US" w:eastAsia="zh-CN"/>
        </w:rPr>
        <w:t>工程量</w:t>
      </w:r>
      <w:r>
        <w:rPr>
          <w:rFonts w:hint="eastAsia" w:ascii="Times New Roman" w:hAnsi="宋体" w:eastAsia="宋体" w:cs="宋体"/>
          <w:color w:val="auto"/>
          <w:sz w:val="21"/>
          <w:szCs w:val="21"/>
          <w:highlight w:val="none"/>
        </w:rPr>
        <w:t>清单缺陷而调整。</w:t>
      </w:r>
    </w:p>
    <w:p w14:paraId="7AA2EAEB">
      <w:pPr>
        <w:spacing w:line="360" w:lineRule="auto"/>
        <w:ind w:firstLine="211"/>
        <w:jc w:val="left"/>
        <w:outlineLvl w:val="2"/>
        <w:rPr>
          <w:rFonts w:hint="default" w:ascii="Times New Roman" w:hAnsi="Times New Roman" w:eastAsia="黑体" w:cs="Times New Roman"/>
          <w:b/>
          <w:bCs/>
          <w:color w:val="auto"/>
          <w:sz w:val="21"/>
          <w:szCs w:val="21"/>
          <w:highlight w:val="none"/>
          <w:lang w:val="zh-CN"/>
        </w:rPr>
      </w:pPr>
      <w:r>
        <w:rPr>
          <w:rFonts w:hint="default" w:ascii="Times New Roman" w:hAnsi="Times New Roman" w:eastAsia="黑体" w:cs="Times New Roman"/>
          <w:b/>
          <w:bCs/>
          <w:color w:val="auto"/>
          <w:sz w:val="21"/>
          <w:szCs w:val="21"/>
          <w:highlight w:val="none"/>
          <w:lang w:val="zh-CN"/>
        </w:rPr>
        <w:t>11.5 工程变更引起的价格调整</w:t>
      </w:r>
    </w:p>
    <w:p w14:paraId="42FE3BF4">
      <w:pPr>
        <w:spacing w:line="360" w:lineRule="auto"/>
        <w:ind w:firstLine="420"/>
        <w:jc w:val="left"/>
        <w:rPr>
          <w:rFonts w:hint="eastAsia" w:ascii="Times New Roman" w:hAnsi="宋体" w:eastAsia="宋体" w:cs="宋体"/>
          <w:b w:val="0"/>
          <w:bCs w:val="0"/>
          <w:color w:val="auto"/>
          <w:sz w:val="21"/>
          <w:szCs w:val="21"/>
          <w:highlight w:val="none"/>
          <w:lang w:val="en-US" w:eastAsia="zh-CN"/>
        </w:rPr>
      </w:pPr>
      <w:r>
        <w:rPr>
          <w:rFonts w:hint="eastAsia" w:ascii="Times New Roman" w:hAnsi="宋体" w:eastAsia="宋体" w:cs="宋体"/>
          <w:b w:val="0"/>
          <w:bCs w:val="0"/>
          <w:color w:val="auto"/>
          <w:sz w:val="21"/>
          <w:szCs w:val="21"/>
          <w:highlight w:val="none"/>
          <w:lang w:val="zh-CN"/>
        </w:rPr>
        <w:t>按专用合同条款</w:t>
      </w:r>
      <w:r>
        <w:rPr>
          <w:rFonts w:hint="eastAsia" w:ascii="Times New Roman" w:hAnsi="宋体" w:eastAsia="宋体" w:cs="宋体"/>
          <w:b w:val="0"/>
          <w:bCs w:val="0"/>
          <w:color w:val="auto"/>
          <w:sz w:val="21"/>
          <w:szCs w:val="21"/>
          <w:highlight w:val="none"/>
          <w:lang w:val="en-US" w:eastAsia="zh-CN"/>
        </w:rPr>
        <w:t>10.4约定执行。</w:t>
      </w:r>
    </w:p>
    <w:p w14:paraId="02FE3D79">
      <w:pPr>
        <w:spacing w:line="360" w:lineRule="auto"/>
        <w:ind w:firstLine="211"/>
        <w:jc w:val="left"/>
        <w:outlineLvl w:val="2"/>
        <w:rPr>
          <w:rFonts w:hint="default" w:ascii="Times New Roman" w:hAnsi="Times New Roman" w:eastAsia="黑体" w:cs="Times New Roman"/>
          <w:b/>
          <w:bCs/>
          <w:color w:val="auto"/>
          <w:sz w:val="21"/>
          <w:szCs w:val="21"/>
          <w:highlight w:val="none"/>
          <w:lang w:val="zh-CN"/>
        </w:rPr>
      </w:pPr>
      <w:r>
        <w:rPr>
          <w:rFonts w:hint="default" w:ascii="Times New Roman" w:hAnsi="Times New Roman" w:eastAsia="黑体" w:cs="Times New Roman"/>
          <w:b/>
          <w:bCs/>
          <w:color w:val="auto"/>
          <w:sz w:val="21"/>
          <w:szCs w:val="21"/>
          <w:highlight w:val="none"/>
          <w:lang w:val="zh-CN"/>
        </w:rPr>
        <w:t>11.6暂估价引起的价格调整</w:t>
      </w:r>
    </w:p>
    <w:p w14:paraId="03F7056A">
      <w:pPr>
        <w:spacing w:line="360" w:lineRule="auto"/>
        <w:ind w:firstLine="210"/>
        <w:jc w:val="left"/>
        <w:outlineLvl w:val="9"/>
        <w:rPr>
          <w:rFonts w:hint="eastAsia" w:ascii="Times New Roman" w:hAnsi="宋体" w:eastAsia="宋体" w:cs="宋体"/>
          <w:b w:val="0"/>
          <w:bCs w:val="0"/>
          <w:color w:val="auto"/>
          <w:sz w:val="21"/>
          <w:szCs w:val="21"/>
          <w:highlight w:val="none"/>
          <w:lang w:val="zh-CN" w:eastAsia="zh-CN"/>
        </w:rPr>
      </w:pPr>
      <w:r>
        <w:rPr>
          <w:rFonts w:hint="eastAsia" w:ascii="Times New Roman" w:hAnsi="宋体" w:eastAsia="宋体" w:cs="宋体"/>
          <w:b w:val="0"/>
          <w:bCs w:val="0"/>
          <w:color w:val="auto"/>
          <w:sz w:val="21"/>
          <w:szCs w:val="21"/>
          <w:highlight w:val="none"/>
          <w:lang w:val="zh-CN"/>
        </w:rPr>
        <w:t>按专用合同条款</w:t>
      </w:r>
      <w:r>
        <w:rPr>
          <w:rFonts w:hint="eastAsia" w:ascii="Times New Roman" w:hAnsi="宋体" w:eastAsia="宋体" w:cs="宋体"/>
          <w:b w:val="0"/>
          <w:bCs w:val="0"/>
          <w:color w:val="auto"/>
          <w:sz w:val="21"/>
          <w:szCs w:val="21"/>
          <w:highlight w:val="none"/>
          <w:lang w:val="zh-CN" w:eastAsia="zh-CN"/>
        </w:rPr>
        <w:t>10.7约定执行。</w:t>
      </w:r>
    </w:p>
    <w:p w14:paraId="5A0670A5">
      <w:pPr>
        <w:spacing w:line="360" w:lineRule="auto"/>
        <w:ind w:firstLine="211"/>
        <w:jc w:val="left"/>
        <w:outlineLvl w:val="2"/>
        <w:rPr>
          <w:rFonts w:hint="default" w:ascii="Times New Roman" w:hAnsi="Times New Roman" w:eastAsia="黑体" w:cs="Times New Roman"/>
          <w:b/>
          <w:bCs/>
          <w:color w:val="auto"/>
          <w:sz w:val="21"/>
          <w:szCs w:val="21"/>
          <w:highlight w:val="none"/>
          <w:lang w:val="zh-CN"/>
        </w:rPr>
      </w:pPr>
      <w:r>
        <w:rPr>
          <w:rFonts w:hint="default" w:ascii="Times New Roman" w:hAnsi="Times New Roman" w:eastAsia="黑体" w:cs="Times New Roman"/>
          <w:b/>
          <w:bCs/>
          <w:color w:val="auto"/>
          <w:sz w:val="21"/>
          <w:szCs w:val="21"/>
          <w:highlight w:val="none"/>
          <w:lang w:val="zh-CN"/>
        </w:rPr>
        <w:t>11.7总承包服务费调整</w:t>
      </w:r>
    </w:p>
    <w:p w14:paraId="0425A2DC">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11.7.1 发包人提供材料变更为承包人提供的，扣除合同总价中计取的相应发包人提供材料的总承包服务费。</w:t>
      </w:r>
    </w:p>
    <w:p w14:paraId="66243A1B">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11.7.2 承包人提供的材料变更为发包人提供的，发包人应支付发包人提供材料需要承包人协助协调、材料保管等相应服务的总承包服务费。</w:t>
      </w:r>
    </w:p>
    <w:p w14:paraId="14C9CDE4">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11.7.3 若合同履行过程中发生暂估专业工程取消，或确定由承包人负责完成，或在承包人的合同工程已竣工且撤场后进行的，应扣除合同总价中计取的相应暂估专业工程总承包服务费。</w:t>
      </w:r>
    </w:p>
    <w:p w14:paraId="41F6AE82">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11.7.4总承包服务费除可按本合同约定及服务内容变化可调整外，作为风险包干，工程结算不作调整。</w:t>
      </w:r>
    </w:p>
    <w:p w14:paraId="1F869D81">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11.7.5 因发包人同意的暂估专业工程发生工程变更或发包人原因引起实质性工期改变，发承包双方按下式计算调整受影响的专业分包工程总承包服务费：</w:t>
      </w:r>
    </w:p>
    <w:p w14:paraId="18E7B368">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总承包服务费调整价款=受影响专业分包工程延误的工期×受影响专业分包工程总承包服务费</w:t>
      </w:r>
      <w:r>
        <w:rPr>
          <w:rFonts w:hint="eastAsia" w:ascii="Times New Roman" w:hAnsi="宋体" w:eastAsia="宋体" w:cs="宋体"/>
          <w:color w:val="auto"/>
          <w:sz w:val="21"/>
          <w:szCs w:val="21"/>
          <w:highlight w:val="none"/>
          <w:lang w:val="en-US" w:eastAsia="zh-CN"/>
        </w:rPr>
        <w:t>÷</w:t>
      </w:r>
      <w:r>
        <w:rPr>
          <w:rFonts w:hint="eastAsia" w:ascii="Times New Roman" w:hAnsi="宋体" w:eastAsia="宋体" w:cs="宋体"/>
          <w:color w:val="auto"/>
          <w:sz w:val="21"/>
          <w:szCs w:val="21"/>
          <w:highlight w:val="none"/>
        </w:rPr>
        <w:t>受影响专业分包工程工期。</w:t>
      </w:r>
    </w:p>
    <w:p w14:paraId="2B8CA8D7">
      <w:pPr>
        <w:spacing w:line="360" w:lineRule="auto"/>
        <w:ind w:firstLine="211"/>
        <w:jc w:val="left"/>
        <w:outlineLvl w:val="2"/>
        <w:rPr>
          <w:rFonts w:hint="default" w:ascii="Times New Roman" w:hAnsi="Times New Roman" w:eastAsia="黑体" w:cs="Times New Roman"/>
          <w:b/>
          <w:bCs/>
          <w:color w:val="auto"/>
          <w:sz w:val="21"/>
          <w:szCs w:val="21"/>
          <w:highlight w:val="none"/>
          <w:lang w:val="zh-CN"/>
        </w:rPr>
      </w:pPr>
      <w:r>
        <w:rPr>
          <w:rFonts w:hint="default" w:ascii="Times New Roman" w:hAnsi="Times New Roman" w:eastAsia="黑体" w:cs="Times New Roman"/>
          <w:b/>
          <w:bCs/>
          <w:color w:val="auto"/>
          <w:sz w:val="21"/>
          <w:szCs w:val="21"/>
          <w:highlight w:val="none"/>
          <w:lang w:val="zh-CN"/>
        </w:rPr>
        <w:t>11.8 零星签证引起的价格调整</w:t>
      </w:r>
    </w:p>
    <w:p w14:paraId="4368F5C9">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11.8.1采用零星签证方式进行计价的工程或工作，应按本合同12.3.</w:t>
      </w:r>
      <w:r>
        <w:rPr>
          <w:rFonts w:hint="eastAsia" w:ascii="Times New Roman" w:hAnsi="宋体" w:eastAsia="宋体" w:cs="宋体"/>
          <w:color w:val="auto"/>
          <w:sz w:val="21"/>
          <w:szCs w:val="21"/>
          <w:highlight w:val="none"/>
          <w:lang w:val="en-US" w:eastAsia="zh-CN"/>
        </w:rPr>
        <w:t>1</w:t>
      </w:r>
      <w:r>
        <w:rPr>
          <w:rFonts w:hint="eastAsia" w:ascii="Times New Roman" w:hAnsi="宋体" w:eastAsia="宋体" w:cs="宋体"/>
          <w:color w:val="auto"/>
          <w:sz w:val="21"/>
          <w:szCs w:val="21"/>
          <w:highlight w:val="none"/>
        </w:rPr>
        <w:t xml:space="preserve"> 的约定计量，按本合同</w:t>
      </w:r>
      <w:r>
        <w:rPr>
          <w:rFonts w:hint="eastAsia" w:ascii="Times New Roman" w:hAnsi="宋体" w:eastAsia="宋体" w:cs="宋体"/>
          <w:color w:val="auto"/>
          <w:sz w:val="21"/>
          <w:szCs w:val="21"/>
          <w:highlight w:val="none"/>
          <w:lang w:eastAsia="zh-CN"/>
        </w:rPr>
        <w:t>附件</w:t>
      </w:r>
      <w:r>
        <w:rPr>
          <w:rFonts w:hint="eastAsia" w:ascii="Times New Roman" w:hAnsi="宋体" w:eastAsia="宋体" w:cs="宋体"/>
          <w:color w:val="auto"/>
          <w:sz w:val="21"/>
          <w:szCs w:val="21"/>
          <w:highlight w:val="none"/>
          <w:lang w:val="en-US" w:eastAsia="zh-CN"/>
        </w:rPr>
        <w:t>16</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零星签证确认单</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格式要求签证费用。</w:t>
      </w:r>
    </w:p>
    <w:p w14:paraId="4B455C41">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11.8.2发承包双方按以下第</w:t>
      </w:r>
      <w:r>
        <w:rPr>
          <w:rFonts w:hint="eastAsia" w:ascii="Times New Roman" w:hAnsi="宋体" w:eastAsia="宋体" w:cs="宋体"/>
          <w:color w:val="auto"/>
          <w:sz w:val="21"/>
          <w:szCs w:val="21"/>
          <w:highlight w:val="none"/>
          <w:u w:val="single"/>
          <w:lang w:val="en-US" w:eastAsia="zh-CN"/>
        </w:rPr>
        <w:t>一</w:t>
      </w:r>
      <w:r>
        <w:rPr>
          <w:rFonts w:hint="eastAsia" w:ascii="Times New Roman" w:hAnsi="宋体" w:eastAsia="宋体" w:cs="宋体"/>
          <w:color w:val="auto"/>
          <w:sz w:val="21"/>
          <w:szCs w:val="21"/>
          <w:highlight w:val="none"/>
        </w:rPr>
        <w:t>种方式确定零星签证综合单价：</w:t>
      </w:r>
    </w:p>
    <w:p w14:paraId="19B8B7DB">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第一种方式：人工费、材料费、施工机具使用费按《</w:t>
      </w:r>
      <w:r>
        <w:rPr>
          <w:rFonts w:hint="eastAsia" w:ascii="Times New Roman" w:hAnsi="宋体" w:eastAsia="宋体" w:cs="宋体"/>
          <w:color w:val="auto"/>
          <w:sz w:val="21"/>
          <w:szCs w:val="21"/>
          <w:highlight w:val="none"/>
          <w:u w:val="single"/>
          <w:lang w:val="en-US" w:eastAsia="zh-CN"/>
        </w:rPr>
        <w:t>南宁</w:t>
      </w:r>
      <w:r>
        <w:rPr>
          <w:rFonts w:hint="eastAsia" w:ascii="Times New Roman" w:hAnsi="宋体" w:eastAsia="宋体" w:cs="宋体"/>
          <w:color w:val="auto"/>
          <w:sz w:val="21"/>
          <w:szCs w:val="21"/>
          <w:highlight w:val="none"/>
        </w:rPr>
        <w:t>市建设工程造价信息》所发布工程价格信息确定</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工程造价信息中没有相应价格的，依据发承包双方确认</w:t>
      </w:r>
      <w:r>
        <w:rPr>
          <w:rFonts w:hint="eastAsia" w:ascii="Times New Roman" w:hAnsi="宋体" w:eastAsia="宋体" w:cs="宋体"/>
          <w:color w:val="auto"/>
          <w:sz w:val="21"/>
          <w:szCs w:val="21"/>
          <w:highlight w:val="none"/>
          <w:lang w:eastAsia="zh-CN"/>
        </w:rPr>
        <w:t>。零星签证综合单价应包含</w:t>
      </w:r>
      <w:r>
        <w:rPr>
          <w:rFonts w:hint="eastAsia" w:ascii="Times New Roman" w:hAnsi="宋体" w:eastAsia="宋体" w:cs="宋体"/>
          <w:color w:val="auto"/>
          <w:sz w:val="21"/>
          <w:szCs w:val="21"/>
          <w:highlight w:val="none"/>
        </w:rPr>
        <w:t>相应的管理费、利润、增值税。</w:t>
      </w:r>
    </w:p>
    <w:p w14:paraId="79338A8C">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第二种方式：</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eastAsia="zh-CN"/>
        </w:rPr>
        <w:t>零星签证综合单价应包含</w:t>
      </w:r>
      <w:r>
        <w:rPr>
          <w:rFonts w:hint="eastAsia" w:ascii="Times New Roman" w:hAnsi="宋体" w:eastAsia="宋体" w:cs="宋体"/>
          <w:color w:val="auto"/>
          <w:sz w:val="21"/>
          <w:szCs w:val="21"/>
          <w:highlight w:val="none"/>
        </w:rPr>
        <w:t>相应的管理费、利润、增值税。</w:t>
      </w:r>
      <w:bookmarkEnd w:id="726"/>
      <w:bookmarkEnd w:id="727"/>
      <w:bookmarkEnd w:id="728"/>
      <w:bookmarkEnd w:id="729"/>
      <w:bookmarkEnd w:id="730"/>
      <w:bookmarkEnd w:id="731"/>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14:paraId="79A34938">
      <w:pPr>
        <w:spacing w:line="360" w:lineRule="auto"/>
        <w:ind w:firstLine="420"/>
        <w:jc w:val="left"/>
        <w:rPr>
          <w:rFonts w:hint="default" w:ascii="Times New Roman" w:hAnsi="宋体" w:eastAsia="宋体" w:cs="宋体"/>
          <w:b w:val="0"/>
          <w:bCs w:val="0"/>
          <w:color w:val="auto"/>
          <w:sz w:val="21"/>
          <w:szCs w:val="21"/>
          <w:highlight w:val="none"/>
          <w:lang w:val="en-US" w:eastAsia="zh-CN"/>
        </w:rPr>
      </w:pPr>
      <w:bookmarkStart w:id="896" w:name="_Toc296944544"/>
      <w:bookmarkStart w:id="897" w:name="_Toc296346706"/>
      <w:bookmarkStart w:id="898" w:name="_Toc296503205"/>
      <w:bookmarkStart w:id="899" w:name="_Toc292559915"/>
      <w:bookmarkStart w:id="900" w:name="_Toc297120505"/>
      <w:bookmarkStart w:id="901" w:name="_Toc296347204"/>
      <w:bookmarkStart w:id="902" w:name="_Toc296891245"/>
      <w:bookmarkStart w:id="903" w:name="_Toc296891033"/>
      <w:bookmarkStart w:id="904" w:name="_Toc297048391"/>
      <w:bookmarkStart w:id="905" w:name="_Toc292559410"/>
      <w:bookmarkStart w:id="906" w:name="_Toc312678040"/>
      <w:bookmarkStart w:id="907" w:name="_Toc300935002"/>
      <w:bookmarkStart w:id="908" w:name="_Toc303539159"/>
      <w:bookmarkStart w:id="909" w:name="_Toc297216211"/>
      <w:bookmarkStart w:id="910" w:name="_Toc297123552"/>
      <w:bookmarkStart w:id="911" w:name="_Toc407135251"/>
      <w:bookmarkStart w:id="912" w:name="_Toc373478395"/>
      <w:bookmarkStart w:id="913" w:name="_Toc373227748"/>
      <w:bookmarkStart w:id="914" w:name="_Toc78449837"/>
      <w:bookmarkStart w:id="915" w:name="_Toc351203644"/>
      <w:bookmarkStart w:id="916" w:name="_Toc304295579"/>
      <w:bookmarkStart w:id="917" w:name="_Toc1720046426"/>
      <w:r>
        <w:rPr>
          <w:rFonts w:hint="eastAsia" w:ascii="Times New Roman" w:hAnsi="宋体" w:eastAsia="宋体" w:cs="宋体"/>
          <w:color w:val="auto"/>
          <w:sz w:val="21"/>
          <w:szCs w:val="21"/>
          <w:highlight w:val="none"/>
        </w:rPr>
        <w:t>11.8.3采用零星签证计价的，零星签证综合单价包括零星签证项目随机发生、少量发生等特点造成的额外增加费用和零星签证项目发生的措施项目费用，合同总价中的措施项目费用不因零星签证的发生而调整。</w:t>
      </w:r>
    </w:p>
    <w:p w14:paraId="19497313">
      <w:pPr>
        <w:spacing w:line="360" w:lineRule="auto"/>
        <w:ind w:firstLine="211"/>
        <w:jc w:val="left"/>
        <w:outlineLvl w:val="2"/>
        <w:rPr>
          <w:rFonts w:hint="default" w:ascii="Times New Roman" w:hAnsi="Times New Roman" w:eastAsia="黑体" w:cs="Times New Roman"/>
          <w:b/>
          <w:bCs/>
          <w:color w:val="auto"/>
          <w:sz w:val="21"/>
          <w:szCs w:val="21"/>
          <w:highlight w:val="none"/>
          <w:lang w:val="zh-CN"/>
        </w:rPr>
      </w:pPr>
      <w:r>
        <w:rPr>
          <w:rFonts w:hint="default" w:ascii="Times New Roman" w:hAnsi="Times New Roman" w:eastAsia="黑体" w:cs="Times New Roman"/>
          <w:b/>
          <w:bCs/>
          <w:color w:val="auto"/>
          <w:sz w:val="21"/>
          <w:szCs w:val="21"/>
          <w:highlight w:val="none"/>
          <w:lang w:val="zh-CN"/>
        </w:rPr>
        <w:t>11.</w:t>
      </w:r>
      <w:r>
        <w:rPr>
          <w:rFonts w:hint="eastAsia" w:ascii="Times New Roman" w:hAnsi="Times New Roman" w:eastAsia="黑体" w:cs="Times New Roman"/>
          <w:b/>
          <w:bCs/>
          <w:color w:val="auto"/>
          <w:sz w:val="21"/>
          <w:szCs w:val="21"/>
          <w:highlight w:val="none"/>
          <w:lang w:val="en-US" w:eastAsia="zh-CN"/>
        </w:rPr>
        <w:t>9</w:t>
      </w:r>
      <w:r>
        <w:rPr>
          <w:rFonts w:hint="eastAsia" w:ascii="Times New Roman" w:hAnsi="Times New Roman" w:eastAsia="黑体" w:cs="Times New Roman"/>
          <w:b/>
          <w:bCs/>
          <w:color w:val="auto"/>
          <w:sz w:val="21"/>
          <w:szCs w:val="21"/>
          <w:highlight w:val="none"/>
          <w:lang w:val="zh-CN"/>
        </w:rPr>
        <w:t>发包人提供</w:t>
      </w:r>
      <w:r>
        <w:rPr>
          <w:rFonts w:hint="eastAsia" w:ascii="Times New Roman" w:hAnsi="Times New Roman" w:eastAsia="黑体" w:cs="Times New Roman"/>
          <w:b/>
          <w:bCs/>
          <w:color w:val="auto"/>
          <w:sz w:val="21"/>
          <w:szCs w:val="21"/>
          <w:highlight w:val="none"/>
          <w:lang w:val="zh-CN" w:eastAsia="zh-CN"/>
        </w:rPr>
        <w:t>材料事项</w:t>
      </w:r>
      <w:r>
        <w:rPr>
          <w:rFonts w:hint="default" w:ascii="Times New Roman" w:hAnsi="Times New Roman" w:eastAsia="黑体" w:cs="Times New Roman"/>
          <w:b/>
          <w:bCs/>
          <w:color w:val="auto"/>
          <w:sz w:val="21"/>
          <w:szCs w:val="21"/>
          <w:highlight w:val="none"/>
          <w:lang w:val="zh-CN"/>
        </w:rPr>
        <w:t>引起的价格调整</w:t>
      </w:r>
    </w:p>
    <w:p w14:paraId="5311AEBC">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11.9.1 合同履行过程中，因承包人原因引起实际领用发包人提供的材料数量超过单价合同的施工图纸计算的实际数量或总价合同的合同图纸计算的合理数量及合同约定的材料有效损耗时，超出部分的材料费用应由承包人承担，发包人可按相应供货合同的单价计算确定超领数量的材料费用，扣除的超领材料费用在其他项目清单的合同价格调整中列项。因发包人实际提供材料的规格型号与招标文件中规定的规格型号不同而引起材料实际损耗率超出有效损耗率的，超出部分应由发包人承担。</w:t>
      </w:r>
    </w:p>
    <w:p w14:paraId="09E8A10D">
      <w:pPr>
        <w:spacing w:line="360" w:lineRule="auto"/>
        <w:ind w:left="420" w:firstLine="0"/>
        <w:jc w:val="left"/>
        <w:rPr>
          <w:rFonts w:hint="eastAsia" w:ascii="Times New Roman" w:hAnsi="Times New Roman" w:eastAsia="宋体" w:cs="Times New Roman"/>
          <w:color w:val="auto"/>
          <w:sz w:val="21"/>
          <w:szCs w:val="21"/>
          <w:highlight w:val="none"/>
          <w:u w:val="none"/>
          <w:lang w:eastAsia="zh-CN"/>
        </w:rPr>
      </w:pPr>
      <w:r>
        <w:rPr>
          <w:rFonts w:hint="eastAsia" w:ascii="Times New Roman" w:hAnsi="宋体" w:eastAsia="宋体" w:cs="宋体"/>
          <w:color w:val="auto"/>
          <w:sz w:val="21"/>
          <w:szCs w:val="21"/>
          <w:highlight w:val="none"/>
        </w:rPr>
        <w:t xml:space="preserve">11.9.2 </w:t>
      </w:r>
      <w:r>
        <w:rPr>
          <w:rFonts w:hint="eastAsia" w:ascii="Times New Roman" w:hAnsi="宋体" w:eastAsia="宋体" w:cs="宋体"/>
          <w:b w:val="0"/>
          <w:bCs w:val="0"/>
          <w:color w:val="auto"/>
          <w:sz w:val="21"/>
          <w:szCs w:val="21"/>
          <w:highlight w:val="none"/>
          <w:lang w:val="en-US"/>
        </w:rPr>
        <w:t>其他调整事项：</w:t>
      </w:r>
      <w:r>
        <w:rPr>
          <w:rFonts w:hint="eastAsia" w:ascii="Times New Roman" w:hAnsi="宋体" w:eastAsia="宋体" w:cs="宋体"/>
          <w:b w:val="0"/>
          <w:bCs w:val="0"/>
          <w:color w:val="auto"/>
          <w:sz w:val="21"/>
          <w:szCs w:val="21"/>
          <w:highlight w:val="none"/>
          <w:u w:val="single"/>
          <w:lang w:val="en-US" w:eastAsia="zh-CN"/>
        </w:rPr>
        <w:t>无</w:t>
      </w:r>
      <w:r>
        <w:rPr>
          <w:rFonts w:hint="eastAsia" w:ascii="Times New Roman" w:hAnsi="宋体" w:eastAsia="宋体" w:cs="宋体"/>
          <w:b w:val="0"/>
          <w:bCs w:val="0"/>
          <w:color w:val="auto"/>
          <w:sz w:val="21"/>
          <w:szCs w:val="21"/>
          <w:highlight w:val="none"/>
          <w:u w:val="none"/>
          <w:lang w:val="en-US" w:eastAsia="zh-CN"/>
        </w:rPr>
        <w:t>。</w:t>
      </w:r>
    </w:p>
    <w:p w14:paraId="0118D6B0">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918" w:name="_Toc15051"/>
      <w:r>
        <w:rPr>
          <w:rFonts w:ascii="Arial" w:hAnsi="Arial" w:eastAsia="黑体" w:cs="Times New Roman"/>
          <w:b/>
          <w:bCs/>
          <w:color w:val="auto"/>
          <w:sz w:val="21"/>
          <w:szCs w:val="21"/>
          <w:highlight w:val="none"/>
          <w:lang w:val="zh-CN" w:eastAsia="zh-CN" w:bidi="ar-SA"/>
        </w:rPr>
        <w:t xml:space="preserve">12. </w:t>
      </w:r>
      <w:bookmarkEnd w:id="896"/>
      <w:bookmarkEnd w:id="897"/>
      <w:bookmarkEnd w:id="898"/>
      <w:bookmarkEnd w:id="899"/>
      <w:bookmarkEnd w:id="900"/>
      <w:bookmarkEnd w:id="901"/>
      <w:bookmarkEnd w:id="902"/>
      <w:bookmarkEnd w:id="903"/>
      <w:bookmarkEnd w:id="904"/>
      <w:bookmarkEnd w:id="905"/>
      <w:r>
        <w:rPr>
          <w:rFonts w:hint="eastAsia" w:ascii="Arial" w:hAnsi="Arial" w:eastAsia="黑体" w:cs="黑体"/>
          <w:b/>
          <w:bCs/>
          <w:color w:val="auto"/>
          <w:sz w:val="21"/>
          <w:szCs w:val="21"/>
          <w:highlight w:val="none"/>
          <w:lang w:val="zh-CN" w:eastAsia="zh-CN" w:bidi="ar-SA"/>
        </w:rPr>
        <w:t>合同价格、计量与支付</w:t>
      </w:r>
      <w:bookmarkEnd w:id="906"/>
      <w:bookmarkEnd w:id="907"/>
      <w:bookmarkEnd w:id="908"/>
      <w:bookmarkEnd w:id="909"/>
      <w:bookmarkEnd w:id="910"/>
      <w:bookmarkEnd w:id="911"/>
      <w:bookmarkEnd w:id="912"/>
      <w:bookmarkEnd w:id="913"/>
      <w:bookmarkEnd w:id="914"/>
      <w:bookmarkEnd w:id="915"/>
      <w:bookmarkEnd w:id="916"/>
      <w:bookmarkEnd w:id="917"/>
      <w:bookmarkEnd w:id="918"/>
    </w:p>
    <w:p w14:paraId="105DB365">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919" w:name="_Toc267251461"/>
      <w:bookmarkStart w:id="920" w:name="_Toc292559411"/>
      <w:bookmarkStart w:id="921" w:name="_Toc292559916"/>
      <w:bookmarkStart w:id="922" w:name="_Toc296891034"/>
      <w:bookmarkStart w:id="923" w:name="_Toc296891246"/>
      <w:bookmarkStart w:id="924" w:name="_Toc296347205"/>
      <w:bookmarkStart w:id="925" w:name="_Toc297120506"/>
      <w:bookmarkStart w:id="926" w:name="_Toc296346707"/>
      <w:bookmarkStart w:id="927" w:name="_Toc297048392"/>
      <w:bookmarkStart w:id="928" w:name="_Toc296503206"/>
      <w:bookmarkStart w:id="929" w:name="_Toc296944545"/>
      <w:bookmarkStart w:id="930" w:name="_Toc297123553"/>
      <w:bookmarkStart w:id="931" w:name="_Toc373227749"/>
      <w:bookmarkStart w:id="932" w:name="_Toc407135252"/>
      <w:bookmarkStart w:id="933" w:name="_Toc78449838"/>
      <w:bookmarkStart w:id="934" w:name="_Toc297216212"/>
      <w:bookmarkStart w:id="935" w:name="_Toc312678041"/>
      <w:bookmarkStart w:id="936" w:name="_Toc303539160"/>
      <w:bookmarkStart w:id="937" w:name="_Toc20787"/>
      <w:bookmarkStart w:id="938" w:name="_Toc304295580"/>
      <w:bookmarkStart w:id="939" w:name="_Toc12368"/>
      <w:bookmarkStart w:id="940" w:name="_Toc373478396"/>
      <w:bookmarkStart w:id="941" w:name="_Toc1894565429"/>
      <w:bookmarkStart w:id="942" w:name="_Toc389065314"/>
      <w:bookmarkStart w:id="943" w:name="_Toc300935003"/>
      <w:r>
        <w:rPr>
          <w:rFonts w:ascii="Times New Roman" w:hAnsi="Times New Roman" w:eastAsia="黑体" w:cs="Times New Roman"/>
          <w:b/>
          <w:bCs/>
          <w:color w:val="auto"/>
          <w:sz w:val="21"/>
          <w:szCs w:val="21"/>
          <w:highlight w:val="none"/>
          <w:lang w:val="zh-CN" w:eastAsia="zh-CN" w:bidi="ar-SA"/>
        </w:rPr>
        <w:t xml:space="preserve">12.1 </w:t>
      </w:r>
      <w:r>
        <w:rPr>
          <w:rFonts w:hint="eastAsia" w:ascii="Times New Roman" w:hAnsi="宋体" w:eastAsia="黑体" w:cs="黑体"/>
          <w:b/>
          <w:bCs/>
          <w:color w:val="auto"/>
          <w:sz w:val="21"/>
          <w:szCs w:val="21"/>
          <w:highlight w:val="none"/>
          <w:lang w:val="zh-CN" w:eastAsia="zh-CN" w:bidi="ar-SA"/>
        </w:rPr>
        <w:t>合</w:t>
      </w:r>
      <w:bookmarkEnd w:id="919"/>
      <w:bookmarkEnd w:id="920"/>
      <w:bookmarkEnd w:id="921"/>
      <w:r>
        <w:rPr>
          <w:rFonts w:hint="eastAsia" w:ascii="Times New Roman" w:hAnsi="宋体" w:eastAsia="黑体" w:cs="黑体"/>
          <w:b/>
          <w:bCs/>
          <w:color w:val="auto"/>
          <w:sz w:val="21"/>
          <w:szCs w:val="21"/>
          <w:highlight w:val="none"/>
          <w:lang w:val="zh-CN" w:eastAsia="zh-CN" w:bidi="ar-SA"/>
        </w:rPr>
        <w:t>同价</w:t>
      </w:r>
      <w:bookmarkEnd w:id="922"/>
      <w:bookmarkEnd w:id="923"/>
      <w:bookmarkEnd w:id="924"/>
      <w:bookmarkEnd w:id="925"/>
      <w:bookmarkEnd w:id="926"/>
      <w:bookmarkEnd w:id="927"/>
      <w:bookmarkEnd w:id="928"/>
      <w:bookmarkEnd w:id="929"/>
      <w:r>
        <w:rPr>
          <w:rFonts w:hint="eastAsia" w:ascii="Times New Roman" w:hAnsi="宋体" w:eastAsia="黑体" w:cs="黑体"/>
          <w:b/>
          <w:bCs/>
          <w:color w:val="auto"/>
          <w:sz w:val="21"/>
          <w:szCs w:val="21"/>
          <w:highlight w:val="none"/>
          <w:lang w:val="zh-CN" w:eastAsia="zh-CN" w:bidi="ar-SA"/>
        </w:rPr>
        <w:t>格形式</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14:paraId="1D2C6A1E">
      <w:pPr>
        <w:spacing w:line="360" w:lineRule="auto"/>
        <w:ind w:firstLine="420"/>
        <w:jc w:val="left"/>
        <w:rPr>
          <w:rFonts w:hint="eastAsia" w:ascii="Times New Roman" w:hAnsi="宋体" w:eastAsia="宋体" w:cs="宋体"/>
          <w:color w:val="auto"/>
          <w:sz w:val="21"/>
          <w:szCs w:val="21"/>
          <w:highlight w:val="none"/>
        </w:rPr>
      </w:pPr>
      <w:bookmarkStart w:id="944" w:name="_Toc373478397"/>
      <w:bookmarkStart w:id="945" w:name="_Toc300935004"/>
      <w:bookmarkStart w:id="946" w:name="_Toc297123554"/>
      <w:bookmarkStart w:id="947" w:name="_Toc304295581"/>
      <w:bookmarkStart w:id="948" w:name="_Toc303539161"/>
      <w:bookmarkStart w:id="949" w:name="_Toc312678042"/>
      <w:bookmarkStart w:id="950" w:name="_Toc297216213"/>
      <w:bookmarkStart w:id="951" w:name="_Toc389065315"/>
      <w:bookmarkStart w:id="952" w:name="_Toc373227750"/>
      <w:bookmarkStart w:id="953" w:name="_Toc296944546"/>
      <w:bookmarkStart w:id="954" w:name="_Toc296891035"/>
      <w:bookmarkStart w:id="955" w:name="_Toc292559412"/>
      <w:bookmarkStart w:id="956" w:name="_Toc296891247"/>
      <w:bookmarkStart w:id="957" w:name="_Toc297120507"/>
      <w:bookmarkStart w:id="958" w:name="_Toc296503207"/>
      <w:bookmarkStart w:id="959" w:name="_Toc297048393"/>
      <w:bookmarkStart w:id="960" w:name="_Toc292559917"/>
      <w:bookmarkStart w:id="961" w:name="_Toc296347206"/>
      <w:bookmarkStart w:id="962" w:name="_Toc296346708"/>
      <w:r>
        <w:rPr>
          <w:rFonts w:hint="eastAsia" w:ascii="Times New Roman" w:hAnsi="宋体" w:eastAsia="宋体" w:cs="宋体"/>
          <w:color w:val="auto"/>
          <w:sz w:val="21"/>
          <w:szCs w:val="21"/>
          <w:highlight w:val="none"/>
        </w:rPr>
        <w:t>12.1.1本工程采用第</w:t>
      </w:r>
      <w:r>
        <w:rPr>
          <w:rFonts w:hint="eastAsia" w:ascii="Times New Roman" w:hAnsi="宋体" w:eastAsia="宋体" w:cs="宋体"/>
          <w:color w:val="auto"/>
          <w:sz w:val="21"/>
          <w:szCs w:val="21"/>
          <w:highlight w:val="none"/>
          <w:u w:val="single"/>
          <w:lang w:val="en-US" w:eastAsia="zh-CN"/>
        </w:rPr>
        <w:t>一</w:t>
      </w:r>
      <w:r>
        <w:rPr>
          <w:rFonts w:hint="eastAsia" w:ascii="Times New Roman" w:hAnsi="宋体" w:eastAsia="宋体" w:cs="宋体"/>
          <w:color w:val="auto"/>
          <w:sz w:val="21"/>
          <w:szCs w:val="21"/>
          <w:highlight w:val="none"/>
        </w:rPr>
        <w:t>种合同价格形式，合同价格包含增值税。</w:t>
      </w:r>
    </w:p>
    <w:p w14:paraId="64A60D85">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第一种方式：单价合同。</w:t>
      </w:r>
    </w:p>
    <w:p w14:paraId="6FE3B68B">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第二种方式：总价合同。</w:t>
      </w:r>
    </w:p>
    <w:p w14:paraId="4BF44294">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第三种方式：其他价格方式：  </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lang w:eastAsia="zh-CN"/>
        </w:rPr>
        <w:t>（如果约定采用单价合同及总价合同以外的合同价格形式，应详细约定合同价格确定方法及合同价格调整法</w:t>
      </w:r>
      <w:r>
        <w:rPr>
          <w:rFonts w:hint="eastAsia" w:ascii="Times New Roman" w:hAnsi="宋体" w:eastAsia="宋体" w:cs="宋体"/>
          <w:color w:val="auto"/>
          <w:sz w:val="21"/>
          <w:szCs w:val="21"/>
          <w:highlight w:val="none"/>
        </w:rPr>
        <w:t xml:space="preserve"> </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w:t>
      </w:r>
    </w:p>
    <w:p w14:paraId="17683F8D">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12.1.2 合同价格调整事项</w:t>
      </w:r>
    </w:p>
    <w:p w14:paraId="357DA6D6">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合同履行过</w:t>
      </w:r>
      <w:r>
        <w:rPr>
          <w:rFonts w:hint="eastAsia" w:ascii="Times New Roman" w:hAnsi="宋体" w:eastAsia="宋体" w:cs="宋体"/>
          <w:color w:val="auto"/>
          <w:sz w:val="21"/>
          <w:szCs w:val="21"/>
          <w:highlight w:val="none"/>
          <w:lang w:eastAsia="zh-CN"/>
        </w:rPr>
        <w:t>程中</w:t>
      </w:r>
      <w:r>
        <w:rPr>
          <w:rFonts w:hint="eastAsia" w:ascii="Times New Roman" w:hAnsi="宋体" w:eastAsia="宋体" w:cs="宋体"/>
          <w:color w:val="auto"/>
          <w:sz w:val="21"/>
          <w:szCs w:val="21"/>
          <w:highlight w:val="none"/>
        </w:rPr>
        <w:t>发生下列事项，发承包双方应按本合同相关条款约定调整合同价格：</w:t>
      </w:r>
    </w:p>
    <w:p w14:paraId="69212C01">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（1）工程量清单缺陷；（2）暂列金额；（3）暂估价；（4）总承包服务费；（5）零星签证；（6）物价变化；（7）法律法规及政策性变化；（8）工程变更；</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lang w:val="en-US" w:eastAsia="zh-CN"/>
        </w:rPr>
        <w:t>9</w:t>
      </w:r>
      <w:r>
        <w:rPr>
          <w:rFonts w:hint="eastAsia" w:ascii="Times New Roman" w:hAnsi="宋体" w:eastAsia="宋体" w:cs="宋体"/>
          <w:color w:val="auto"/>
          <w:sz w:val="21"/>
          <w:szCs w:val="21"/>
          <w:highlight w:val="none"/>
          <w:lang w:eastAsia="zh-CN"/>
        </w:rPr>
        <w:t>）新增工程；</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10</w:t>
      </w:r>
      <w:r>
        <w:rPr>
          <w:rFonts w:hint="eastAsia" w:ascii="Times New Roman" w:hAnsi="宋体" w:eastAsia="宋体" w:cs="宋体"/>
          <w:color w:val="auto"/>
          <w:sz w:val="21"/>
          <w:szCs w:val="21"/>
          <w:highlight w:val="none"/>
        </w:rPr>
        <w:t>）工程索赔；（1</w:t>
      </w:r>
      <w:r>
        <w:rPr>
          <w:rFonts w:hint="eastAsia" w:ascii="Times New Roman" w:hAnsi="宋体" w:eastAsia="宋体" w:cs="宋体"/>
          <w:color w:val="auto"/>
          <w:sz w:val="21"/>
          <w:szCs w:val="21"/>
          <w:highlight w:val="none"/>
          <w:lang w:val="en-US" w:eastAsia="zh-CN"/>
        </w:rPr>
        <w:t>1</w:t>
      </w:r>
      <w:r>
        <w:rPr>
          <w:rFonts w:hint="eastAsia" w:ascii="Times New Roman" w:hAnsi="宋体" w:eastAsia="宋体" w:cs="宋体"/>
          <w:color w:val="auto"/>
          <w:sz w:val="21"/>
          <w:szCs w:val="21"/>
          <w:highlight w:val="none"/>
        </w:rPr>
        <w:t>）发承包双方约定的其他调整事项：</w:t>
      </w:r>
      <w:r>
        <w:rPr>
          <w:rFonts w:hint="eastAsia" w:ascii="Times New Roman" w:hAnsi="宋体" w:eastAsia="宋体" w:cs="宋体"/>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2F1AC982">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963" w:name="_Toc407135253"/>
      <w:bookmarkStart w:id="964" w:name="_Toc13852"/>
      <w:bookmarkStart w:id="965" w:name="_Toc78449839"/>
      <w:bookmarkStart w:id="966" w:name="_Toc20258"/>
      <w:bookmarkStart w:id="967" w:name="_Toc1681900246"/>
      <w:r>
        <w:rPr>
          <w:rFonts w:ascii="Times New Roman" w:hAnsi="Times New Roman" w:eastAsia="黑体" w:cs="Times New Roman"/>
          <w:b/>
          <w:bCs/>
          <w:color w:val="auto"/>
          <w:sz w:val="21"/>
          <w:szCs w:val="21"/>
          <w:highlight w:val="none"/>
          <w:lang w:val="zh-CN" w:eastAsia="zh-CN" w:bidi="ar-SA"/>
        </w:rPr>
        <w:t xml:space="preserve">12.2 </w:t>
      </w:r>
      <w:r>
        <w:rPr>
          <w:rFonts w:hint="eastAsia" w:ascii="Times New Roman" w:hAnsi="宋体" w:eastAsia="黑体" w:cs="黑体"/>
          <w:b/>
          <w:bCs/>
          <w:color w:val="auto"/>
          <w:sz w:val="21"/>
          <w:szCs w:val="21"/>
          <w:highlight w:val="none"/>
          <w:lang w:val="zh-CN" w:eastAsia="zh-CN" w:bidi="ar-SA"/>
        </w:rPr>
        <w:t>预付款</w:t>
      </w:r>
      <w:bookmarkEnd w:id="944"/>
      <w:bookmarkEnd w:id="945"/>
      <w:bookmarkEnd w:id="946"/>
      <w:bookmarkEnd w:id="947"/>
      <w:bookmarkEnd w:id="948"/>
      <w:bookmarkEnd w:id="949"/>
      <w:bookmarkEnd w:id="950"/>
      <w:bookmarkEnd w:id="951"/>
      <w:bookmarkEnd w:id="952"/>
      <w:bookmarkEnd w:id="963"/>
      <w:bookmarkEnd w:id="964"/>
      <w:bookmarkEnd w:id="965"/>
      <w:bookmarkEnd w:id="966"/>
      <w:bookmarkEnd w:id="967"/>
    </w:p>
    <w:p w14:paraId="7E91FC7D">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12.2.1 </w:t>
      </w:r>
      <w:r>
        <w:rPr>
          <w:rFonts w:hint="eastAsia" w:ascii="Times New Roman" w:hAnsi="宋体" w:eastAsia="宋体" w:cs="宋体"/>
          <w:color w:val="auto"/>
          <w:sz w:val="21"/>
          <w:szCs w:val="21"/>
          <w:highlight w:val="none"/>
        </w:rPr>
        <w:t>预付款的支付</w:t>
      </w:r>
    </w:p>
    <w:p w14:paraId="2F95A73E">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预付款支付比例或金额：</w:t>
      </w:r>
      <w:r>
        <w:rPr>
          <w:rFonts w:hint="eastAsia" w:ascii="宋体" w:hAnsi="宋体" w:eastAsia="宋体" w:cs="宋体"/>
          <w:color w:val="auto"/>
          <w:sz w:val="21"/>
          <w:szCs w:val="21"/>
          <w:highlight w:val="none"/>
          <w:u w:val="single"/>
          <w:lang w:val="en-US" w:eastAsia="zh-CN" w:bidi="ar"/>
        </w:rPr>
        <w:t>工程合同价款的30%</w:t>
      </w:r>
      <w:r>
        <w:rPr>
          <w:rFonts w:hint="default" w:ascii="Times New Roman" w:hAnsi="Times New Roman" w:eastAsia="宋体" w:cs="Times New Roman"/>
          <w:color w:val="auto"/>
          <w:sz w:val="21"/>
          <w:szCs w:val="21"/>
          <w:highlight w:val="none"/>
          <w:u w:val="none"/>
        </w:rPr>
        <w:t>。</w:t>
      </w:r>
    </w:p>
    <w:p w14:paraId="3E240D59">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预付款支付期限：</w:t>
      </w:r>
      <w:r>
        <w:rPr>
          <w:rFonts w:hint="eastAsia" w:ascii="Times New Roman" w:hAnsi="宋体" w:cs="宋体"/>
          <w:color w:val="auto"/>
          <w:sz w:val="21"/>
          <w:szCs w:val="21"/>
          <w:highlight w:val="none"/>
          <w:u w:val="single"/>
          <w:lang w:val="en-US" w:eastAsia="zh-CN"/>
        </w:rPr>
        <w:t>合同生效，且监理人和发包人确定施工主要人员和主要材料、设备进场后10个工作日内</w:t>
      </w:r>
      <w:r>
        <w:rPr>
          <w:rFonts w:hint="eastAsia" w:ascii="Times New Roman" w:hAnsi="宋体" w:eastAsia="宋体" w:cs="宋体"/>
          <w:color w:val="auto"/>
          <w:sz w:val="21"/>
          <w:szCs w:val="21"/>
          <w:highlight w:val="none"/>
        </w:rPr>
        <w:t>。</w:t>
      </w:r>
    </w:p>
    <w:p w14:paraId="2C28DDAD">
      <w:pPr>
        <w:spacing w:line="360" w:lineRule="auto"/>
        <w:ind w:firstLine="420"/>
        <w:jc w:val="left"/>
        <w:rPr>
          <w:rFonts w:hint="eastAsia" w:ascii="Times New Roman" w:hAnsi="Times New Roman" w:eastAsia="宋体" w:cs="Times New Roman"/>
          <w:color w:val="auto"/>
          <w:sz w:val="21"/>
          <w:szCs w:val="21"/>
          <w:highlight w:val="none"/>
          <w:u w:val="none"/>
          <w:lang w:val="en-US" w:eastAsia="zh-CN"/>
        </w:rPr>
      </w:pPr>
      <w:r>
        <w:rPr>
          <w:rFonts w:hint="eastAsia" w:ascii="Times New Roman" w:hAnsi="宋体" w:eastAsia="宋体" w:cs="宋体"/>
          <w:color w:val="auto"/>
          <w:sz w:val="21"/>
          <w:szCs w:val="21"/>
          <w:highlight w:val="none"/>
        </w:rPr>
        <w:t>预付款扣回的方式：</w:t>
      </w:r>
      <w:r>
        <w:rPr>
          <w:rFonts w:hint="eastAsia" w:ascii="Times New Roman" w:hAnsi="宋体" w:eastAsia="宋体" w:cs="宋体"/>
          <w:color w:val="auto"/>
          <w:sz w:val="21"/>
          <w:szCs w:val="21"/>
          <w:highlight w:val="none"/>
          <w:u w:val="single"/>
          <w:lang w:val="en-US" w:eastAsia="zh-CN"/>
        </w:rPr>
        <w:t>不扣回</w:t>
      </w:r>
      <w:r>
        <w:rPr>
          <w:rFonts w:hint="eastAsia" w:ascii="Times New Roman" w:hAnsi="Times New Roman" w:eastAsia="宋体" w:cs="Times New Roman"/>
          <w:color w:val="auto"/>
          <w:sz w:val="21"/>
          <w:szCs w:val="21"/>
          <w:highlight w:val="none"/>
          <w:u w:val="none"/>
          <w:lang w:eastAsia="zh-CN"/>
        </w:rPr>
        <w:t>，</w:t>
      </w:r>
      <w:r>
        <w:rPr>
          <w:rFonts w:hint="eastAsia" w:ascii="Times New Roman" w:hAnsi="Times New Roman" w:eastAsia="宋体" w:cs="Times New Roman"/>
          <w:color w:val="auto"/>
          <w:sz w:val="21"/>
          <w:szCs w:val="21"/>
          <w:highlight w:val="none"/>
          <w:u w:val="none"/>
        </w:rPr>
        <w:t>扣回</w:t>
      </w:r>
      <w:r>
        <w:rPr>
          <w:rFonts w:hint="eastAsia" w:ascii="Times New Roman" w:hAnsi="Times New Roman" w:eastAsia="宋体" w:cs="Times New Roman"/>
          <w:color w:val="auto"/>
          <w:sz w:val="21"/>
          <w:szCs w:val="21"/>
          <w:highlight w:val="none"/>
          <w:u w:val="none"/>
          <w:lang w:eastAsia="zh-CN"/>
        </w:rPr>
        <w:t>金额或计算办法：</w:t>
      </w:r>
      <w:r>
        <w:rPr>
          <w:rFonts w:hint="eastAsia" w:ascii="Times New Roman" w:hAnsi="Times New Roman" w:eastAsia="宋体" w:cs="Times New Roman"/>
          <w:color w:val="auto"/>
          <w:sz w:val="21"/>
          <w:szCs w:val="21"/>
          <w:highlight w:val="none"/>
          <w:u w:val="none"/>
          <w:lang w:val="en-US" w:eastAsia="zh-CN"/>
        </w:rPr>
        <w:t xml:space="preserve"> </w:t>
      </w:r>
    </w:p>
    <w:p w14:paraId="6128D878">
      <w:pPr>
        <w:spacing w:line="360" w:lineRule="auto"/>
        <w:ind w:firstLine="420"/>
        <w:jc w:val="left"/>
        <w:rPr>
          <w:rFonts w:hint="eastAsia" w:ascii="Times New Roman" w:hAnsi="Times New Roman" w:eastAsia="宋体" w:cs="Times New Roman"/>
          <w:color w:val="auto"/>
          <w:sz w:val="21"/>
          <w:szCs w:val="21"/>
          <w:highlight w:val="none"/>
          <w:u w:val="none"/>
          <w:lang w:val="en-US" w:eastAsia="zh-CN"/>
        </w:rPr>
      </w:pPr>
      <w:r>
        <w:rPr>
          <w:rFonts w:ascii="Wingdings 2" w:hAnsi="Wingdings 2" w:eastAsia="Wingdings 2" w:cs="Wingdings 2"/>
          <w:color w:val="auto"/>
          <w:sz w:val="21"/>
          <w:szCs w:val="21"/>
          <w:highlight w:val="none"/>
          <w:u w:val="none"/>
          <w:lang w:val="en-US" w:eastAsia="zh-CN"/>
        </w:rPr>
        <w:t>£</w:t>
      </w:r>
      <w:r>
        <w:rPr>
          <w:rFonts w:hint="eastAsia" w:ascii="Times New Roman" w:hAnsi="Times New Roman" w:eastAsia="宋体" w:cs="Times New Roman"/>
          <w:color w:val="auto"/>
          <w:sz w:val="21"/>
          <w:szCs w:val="21"/>
          <w:highlight w:val="none"/>
          <w:u w:val="none"/>
          <w:lang w:val="en-US" w:eastAsia="zh-CN"/>
        </w:rPr>
        <w:t>按（预付款/剩余计量周期）计算每个计量周期扣回额；</w:t>
      </w:r>
    </w:p>
    <w:p w14:paraId="432A7FBA">
      <w:pPr>
        <w:spacing w:line="360" w:lineRule="auto"/>
        <w:ind w:firstLine="420"/>
        <w:jc w:val="left"/>
        <w:rPr>
          <w:rFonts w:ascii="Times New Roman" w:hAnsi="Times New Roman" w:eastAsia="宋体" w:cs="Times New Roman"/>
          <w:color w:val="auto"/>
          <w:sz w:val="21"/>
          <w:szCs w:val="21"/>
          <w:highlight w:val="none"/>
        </w:rPr>
      </w:pPr>
      <w:r>
        <w:rPr>
          <w:rFonts w:ascii="Wingdings 2" w:hAnsi="Wingdings 2" w:eastAsia="Wingdings 2" w:cs="Wingdings 2"/>
          <w:color w:val="auto"/>
          <w:sz w:val="21"/>
          <w:szCs w:val="21"/>
          <w:highlight w:val="none"/>
          <w:u w:val="none"/>
          <w:lang w:val="en-US" w:eastAsia="zh-CN"/>
        </w:rPr>
        <w:t>£</w:t>
      </w:r>
      <w:r>
        <w:rPr>
          <w:rFonts w:hint="eastAsia" w:ascii="Times New Roman" w:hAnsi="Times New Roman" w:eastAsia="宋体" w:cs="Times New Roman"/>
          <w:color w:val="auto"/>
          <w:sz w:val="21"/>
          <w:szCs w:val="21"/>
          <w:highlight w:val="none"/>
          <w:u w:val="none"/>
          <w:lang w:val="en-US" w:eastAsia="zh-CN"/>
        </w:rPr>
        <w:t xml:space="preserve">按预付款的   %扣回，扣完为止 </w:t>
      </w:r>
      <w:r>
        <w:rPr>
          <w:rFonts w:hint="eastAsia" w:ascii="Times New Roman" w:hAnsi="宋体" w:eastAsia="宋体" w:cs="宋体"/>
          <w:color w:val="auto"/>
          <w:sz w:val="21"/>
          <w:szCs w:val="21"/>
          <w:highlight w:val="none"/>
        </w:rPr>
        <w:t>。</w:t>
      </w:r>
    </w:p>
    <w:p w14:paraId="1AFA36B3">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12.2.2 </w:t>
      </w:r>
      <w:r>
        <w:rPr>
          <w:rFonts w:hint="eastAsia" w:ascii="Times New Roman" w:hAnsi="宋体" w:eastAsia="宋体" w:cs="宋体"/>
          <w:color w:val="auto"/>
          <w:sz w:val="21"/>
          <w:szCs w:val="21"/>
          <w:highlight w:val="none"/>
        </w:rPr>
        <w:t>预付款担保</w:t>
      </w:r>
    </w:p>
    <w:p w14:paraId="53812AC9">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承包人提交预付款担保的期限：</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673D3FD3">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预付款担保的形式为：</w:t>
      </w:r>
      <w:r>
        <w:rPr>
          <w:rFonts w:hint="eastAsia" w:ascii="Times New Roman" w:hAnsi="Times New Roman" w:eastAsia="宋体" w:cs="Times New Roman"/>
          <w:color w:val="auto"/>
          <w:sz w:val="21"/>
          <w:szCs w:val="21"/>
          <w:highlight w:val="none"/>
          <w:u w:val="none"/>
          <w:lang w:eastAsia="zh-CN"/>
        </w:rPr>
        <w:t>可以是</w:t>
      </w:r>
      <w:r>
        <w:rPr>
          <w:rFonts w:hint="eastAsia" w:ascii="Times New Roman" w:hAnsi="宋体" w:eastAsia="宋体" w:cs="宋体"/>
          <w:color w:val="auto"/>
          <w:sz w:val="21"/>
          <w:szCs w:val="21"/>
          <w:highlight w:val="none"/>
        </w:rPr>
        <w:t>银行转账、电汇或网上支付、保函（银行保函、电子保函、保证保险保函、工程担保保函）等</w:t>
      </w:r>
      <w:r>
        <w:rPr>
          <w:rFonts w:hint="eastAsia" w:ascii="Times New Roman" w:hAnsi="宋体" w:eastAsia="宋体" w:cs="宋体"/>
          <w:color w:val="auto"/>
          <w:sz w:val="21"/>
          <w:szCs w:val="21"/>
          <w:highlight w:val="none"/>
          <w:lang w:eastAsia="zh-CN"/>
        </w:rPr>
        <w:t>形</w:t>
      </w:r>
      <w:r>
        <w:rPr>
          <w:rFonts w:hint="eastAsia" w:ascii="Times New Roman" w:hAnsi="宋体" w:eastAsia="宋体" w:cs="宋体"/>
          <w:color w:val="auto"/>
          <w:sz w:val="21"/>
          <w:szCs w:val="21"/>
          <w:highlight w:val="none"/>
        </w:rPr>
        <w:t>式。</w:t>
      </w:r>
    </w:p>
    <w:p w14:paraId="05A1CAF8">
      <w:pPr>
        <w:spacing w:line="360" w:lineRule="auto"/>
        <w:ind w:firstLine="420"/>
        <w:jc w:val="left"/>
        <w:rPr>
          <w:rFonts w:ascii="Times New Roman" w:hAnsi="Times New Roman" w:eastAsia="宋体" w:cs="Times New Roman"/>
          <w:color w:val="auto"/>
          <w:sz w:val="21"/>
          <w:szCs w:val="21"/>
          <w:highlight w:val="none"/>
        </w:rPr>
      </w:pPr>
      <w:r>
        <w:rPr>
          <w:rFonts w:hint="eastAsia" w:ascii="宋体" w:hAnsi="宋体" w:eastAsia="宋体" w:cs="宋体"/>
          <w:color w:val="auto"/>
          <w:sz w:val="21"/>
          <w:szCs w:val="21"/>
          <w:highlight w:val="none"/>
        </w:rPr>
        <w:t>预付款担保格式见合同附件8。预付款支付申请（核准）表见合同附件10</w:t>
      </w:r>
      <w:bookmarkEnd w:id="953"/>
      <w:bookmarkEnd w:id="954"/>
      <w:bookmarkEnd w:id="955"/>
      <w:bookmarkEnd w:id="956"/>
      <w:bookmarkEnd w:id="957"/>
      <w:bookmarkEnd w:id="958"/>
      <w:bookmarkEnd w:id="959"/>
      <w:bookmarkEnd w:id="960"/>
      <w:bookmarkEnd w:id="961"/>
      <w:bookmarkEnd w:id="962"/>
    </w:p>
    <w:p w14:paraId="5A8626C2">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968" w:name="_Toc389065316"/>
      <w:bookmarkStart w:id="969" w:name="_Toc6734"/>
      <w:bookmarkStart w:id="970" w:name="_Toc373227751"/>
      <w:bookmarkStart w:id="971" w:name="_Toc12933"/>
      <w:bookmarkStart w:id="972" w:name="_Toc78449840"/>
      <w:bookmarkStart w:id="973" w:name="_Toc407135254"/>
      <w:bookmarkStart w:id="974" w:name="_Toc373478398"/>
      <w:bookmarkStart w:id="975" w:name="_Toc1494831447"/>
      <w:r>
        <w:rPr>
          <w:rFonts w:ascii="Times New Roman" w:hAnsi="Times New Roman" w:eastAsia="黑体" w:cs="Times New Roman"/>
          <w:b/>
          <w:bCs/>
          <w:color w:val="auto"/>
          <w:sz w:val="21"/>
          <w:szCs w:val="21"/>
          <w:highlight w:val="none"/>
          <w:lang w:val="zh-CN" w:eastAsia="zh-CN" w:bidi="ar-SA"/>
        </w:rPr>
        <w:t xml:space="preserve">12.3 </w:t>
      </w:r>
      <w:r>
        <w:rPr>
          <w:rFonts w:hint="eastAsia" w:ascii="Times New Roman" w:hAnsi="宋体" w:eastAsia="黑体" w:cs="黑体"/>
          <w:b/>
          <w:bCs/>
          <w:color w:val="auto"/>
          <w:sz w:val="21"/>
          <w:szCs w:val="21"/>
          <w:highlight w:val="none"/>
          <w:lang w:val="zh-CN" w:eastAsia="zh-CN" w:bidi="ar-SA"/>
        </w:rPr>
        <w:t>计量</w:t>
      </w:r>
      <w:bookmarkEnd w:id="968"/>
      <w:bookmarkEnd w:id="969"/>
      <w:bookmarkEnd w:id="970"/>
      <w:bookmarkEnd w:id="971"/>
      <w:bookmarkEnd w:id="972"/>
      <w:bookmarkEnd w:id="973"/>
      <w:bookmarkEnd w:id="974"/>
      <w:bookmarkEnd w:id="975"/>
    </w:p>
    <w:p w14:paraId="2FCBB183">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12.3.1 </w:t>
      </w:r>
      <w:r>
        <w:rPr>
          <w:rFonts w:hint="eastAsia" w:ascii="Times New Roman" w:hAnsi="宋体" w:eastAsia="宋体" w:cs="宋体"/>
          <w:color w:val="auto"/>
          <w:sz w:val="21"/>
          <w:szCs w:val="21"/>
          <w:highlight w:val="none"/>
        </w:rPr>
        <w:t>计量原则</w:t>
      </w:r>
    </w:p>
    <w:p w14:paraId="4DCB432A">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合同工程应以承包人按合同要求已完成且应予计量的工程进行计量。工程量计算规则：工程的计量均以《广西壮族自治区建设工程全过程计价规范》《广西壮族自治区建设工程多层级工程量清单计算规范》及本工程补充项目清单计量规则为准。</w:t>
      </w:r>
    </w:p>
    <w:p w14:paraId="5B68EFC3">
      <w:pPr>
        <w:spacing w:line="360" w:lineRule="auto"/>
        <w:ind w:firstLine="420"/>
        <w:jc w:val="left"/>
        <w:rPr>
          <w:rFonts w:hint="eastAsia"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 xml:space="preserve">12.3.2 </w:t>
      </w:r>
      <w:r>
        <w:rPr>
          <w:rFonts w:hint="eastAsia" w:ascii="Times New Roman" w:hAnsi="宋体" w:eastAsia="宋体" w:cs="宋体"/>
          <w:color w:val="auto"/>
          <w:sz w:val="21"/>
          <w:szCs w:val="21"/>
          <w:highlight w:val="none"/>
        </w:rPr>
        <w:t>计量周期</w:t>
      </w:r>
    </w:p>
    <w:p w14:paraId="7F1FBB12">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发承包双方按以下第</w:t>
      </w:r>
      <w:r>
        <w:rPr>
          <w:rFonts w:hint="eastAsia" w:ascii="Times New Roman" w:hAnsi="宋体" w:cs="宋体"/>
          <w:color w:val="auto"/>
          <w:sz w:val="21"/>
          <w:szCs w:val="21"/>
          <w:highlight w:val="none"/>
          <w:u w:val="single"/>
          <w:lang w:val="en-US" w:eastAsia="zh-CN"/>
        </w:rPr>
        <w:t xml:space="preserve">     </w:t>
      </w:r>
      <w:r>
        <w:rPr>
          <w:rFonts w:hint="eastAsia" w:ascii="Times New Roman" w:hAnsi="宋体" w:eastAsia="宋体" w:cs="宋体"/>
          <w:color w:val="auto"/>
          <w:sz w:val="21"/>
          <w:szCs w:val="21"/>
          <w:highlight w:val="none"/>
        </w:rPr>
        <w:t>种方式</w:t>
      </w:r>
      <w:r>
        <w:rPr>
          <w:rFonts w:hint="eastAsia" w:ascii="Times New Roman" w:hAnsi="宋体" w:eastAsia="宋体" w:cs="宋体"/>
          <w:color w:val="auto"/>
          <w:sz w:val="21"/>
          <w:szCs w:val="21"/>
          <w:highlight w:val="none"/>
          <w:lang w:eastAsia="zh-CN"/>
        </w:rPr>
        <w:t>（总价合同推荐使用第三种方式）</w:t>
      </w:r>
      <w:r>
        <w:rPr>
          <w:rFonts w:hint="eastAsia" w:ascii="Times New Roman" w:hAnsi="宋体" w:eastAsia="宋体" w:cs="宋体"/>
          <w:color w:val="auto"/>
          <w:sz w:val="21"/>
          <w:szCs w:val="21"/>
          <w:highlight w:val="none"/>
        </w:rPr>
        <w:t>确定计量周期：</w:t>
      </w:r>
    </w:p>
    <w:p w14:paraId="77EB2395">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第一种方式：按月计量。承包人应于每月</w:t>
      </w:r>
      <w:r>
        <w:rPr>
          <w:rFonts w:hint="eastAsia" w:ascii="Times New Roman" w:hAnsi="宋体" w:eastAsia="宋体" w:cs="宋体"/>
          <w:color w:val="auto"/>
          <w:sz w:val="21"/>
          <w:szCs w:val="21"/>
          <w:highlight w:val="none"/>
          <w:u w:val="single"/>
          <w:lang w:val="en-US" w:eastAsia="zh-CN"/>
        </w:rPr>
        <w:t>10</w:t>
      </w:r>
      <w:r>
        <w:rPr>
          <w:rFonts w:hint="eastAsia" w:ascii="Times New Roman" w:hAnsi="宋体" w:eastAsia="宋体" w:cs="宋体"/>
          <w:color w:val="auto"/>
          <w:sz w:val="21"/>
          <w:szCs w:val="21"/>
          <w:highlight w:val="none"/>
        </w:rPr>
        <w:t>日前向发包人书面报送上月</w:t>
      </w:r>
      <w:r>
        <w:rPr>
          <w:rFonts w:hint="eastAsia" w:ascii="Times New Roman" w:hAnsi="宋体" w:eastAsia="宋体" w:cs="宋体"/>
          <w:color w:val="auto"/>
          <w:sz w:val="21"/>
          <w:szCs w:val="21"/>
          <w:highlight w:val="none"/>
          <w:u w:val="single"/>
          <w:lang w:val="en-US" w:eastAsia="zh-CN"/>
        </w:rPr>
        <w:t>1</w:t>
      </w:r>
      <w:r>
        <w:rPr>
          <w:rFonts w:hint="eastAsia" w:ascii="Times New Roman" w:hAnsi="宋体" w:eastAsia="宋体" w:cs="宋体"/>
          <w:color w:val="auto"/>
          <w:sz w:val="21"/>
          <w:szCs w:val="21"/>
          <w:highlight w:val="none"/>
        </w:rPr>
        <w:t>日至当月</w:t>
      </w:r>
      <w:r>
        <w:rPr>
          <w:rFonts w:hint="eastAsia" w:ascii="Times New Roman" w:hAnsi="宋体" w:eastAsia="宋体" w:cs="宋体"/>
          <w:color w:val="auto"/>
          <w:sz w:val="21"/>
          <w:szCs w:val="21"/>
          <w:highlight w:val="none"/>
          <w:u w:val="single"/>
          <w:lang w:val="en-US" w:eastAsia="zh-CN"/>
        </w:rPr>
        <w:t>1</w:t>
      </w:r>
      <w:r>
        <w:rPr>
          <w:rFonts w:hint="eastAsia" w:ascii="Times New Roman" w:hAnsi="宋体" w:eastAsia="宋体" w:cs="宋体"/>
          <w:color w:val="auto"/>
          <w:sz w:val="21"/>
          <w:szCs w:val="21"/>
          <w:highlight w:val="none"/>
        </w:rPr>
        <w:t>日已完成的工程量报告，并附进度付款申请单、已完成工程量报表和有关资料。</w:t>
      </w:r>
    </w:p>
    <w:p w14:paraId="503E42E6">
      <w:pPr>
        <w:spacing w:line="360" w:lineRule="auto"/>
        <w:ind w:firstLine="420"/>
        <w:jc w:val="left"/>
        <w:rPr>
          <w:rFonts w:hint="eastAsia" w:ascii="Times New Roman" w:hAnsi="宋体" w:eastAsia="宋体" w:cs="宋体"/>
          <w:color w:val="auto"/>
          <w:sz w:val="21"/>
          <w:szCs w:val="21"/>
          <w:highlight w:val="none"/>
          <w:lang w:eastAsia="zh-CN"/>
        </w:rPr>
      </w:pPr>
      <w:r>
        <w:rPr>
          <w:rFonts w:hint="eastAsia" w:ascii="Times New Roman" w:hAnsi="宋体" w:eastAsia="宋体" w:cs="宋体"/>
          <w:color w:val="auto"/>
          <w:sz w:val="21"/>
          <w:szCs w:val="21"/>
          <w:highlight w:val="none"/>
        </w:rPr>
        <w:t>第二种方式：</w:t>
      </w:r>
      <w:r>
        <w:rPr>
          <w:rFonts w:hint="eastAsia" w:ascii="Times New Roman" w:hAnsi="宋体" w:eastAsia="宋体" w:cs="宋体"/>
          <w:color w:val="auto"/>
          <w:sz w:val="21"/>
          <w:szCs w:val="21"/>
          <w:highlight w:val="none"/>
          <w:lang w:eastAsia="zh-CN"/>
        </w:rPr>
        <w:t>按工程形象目标进行工程计量。</w:t>
      </w:r>
      <w:r>
        <w:rPr>
          <w:rFonts w:hint="eastAsia" w:ascii="Times New Roman" w:hAnsi="宋体" w:eastAsia="宋体" w:cs="宋体"/>
          <w:color w:val="auto"/>
          <w:sz w:val="21"/>
          <w:szCs w:val="21"/>
          <w:highlight w:val="none"/>
        </w:rPr>
        <w:t>承包人应当</w:t>
      </w:r>
      <w:r>
        <w:rPr>
          <w:rFonts w:hint="eastAsia" w:ascii="Times New Roman" w:hAnsi="宋体" w:eastAsia="宋体" w:cs="宋体"/>
          <w:color w:val="auto"/>
          <w:sz w:val="21"/>
          <w:szCs w:val="21"/>
          <w:highlight w:val="none"/>
          <w:lang w:eastAsia="zh-CN"/>
        </w:rPr>
        <w:t>在工程形象目标任务完成后</w:t>
      </w:r>
      <w:r>
        <w:rPr>
          <w:rFonts w:hint="eastAsia" w:ascii="Times New Roman" w:hAnsi="宋体" w:eastAsia="宋体" w:cs="宋体"/>
          <w:color w:val="auto"/>
          <w:sz w:val="21"/>
          <w:szCs w:val="21"/>
          <w:highlight w:val="none"/>
        </w:rPr>
        <w:t>向发包人书面报送已完成的工程量报告，并附具进度付款申请单、已完成工程量报表和有关资料。</w:t>
      </w:r>
    </w:p>
    <w:p w14:paraId="08FCD4D8">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lang w:eastAsia="zh-CN"/>
        </w:rPr>
        <w:t>第三种方式：</w:t>
      </w:r>
      <w:r>
        <w:rPr>
          <w:rFonts w:hint="eastAsia" w:ascii="Times New Roman" w:hAnsi="宋体" w:eastAsia="宋体" w:cs="宋体"/>
          <w:color w:val="auto"/>
          <w:sz w:val="21"/>
          <w:szCs w:val="21"/>
          <w:highlight w:val="none"/>
        </w:rPr>
        <w:t>按照</w:t>
      </w:r>
      <w:r>
        <w:rPr>
          <w:rFonts w:hint="eastAsia" w:ascii="Times New Roman" w:hAnsi="宋体" w:eastAsia="宋体" w:cs="宋体"/>
          <w:color w:val="auto"/>
          <w:sz w:val="21"/>
          <w:szCs w:val="21"/>
          <w:highlight w:val="none"/>
          <w:lang w:eastAsia="zh-CN"/>
        </w:rPr>
        <w:t>支付分解表支付</w:t>
      </w:r>
      <w:r>
        <w:rPr>
          <w:rFonts w:hint="eastAsia" w:ascii="Times New Roman" w:hAnsi="宋体" w:eastAsia="宋体" w:cs="宋体"/>
          <w:color w:val="auto"/>
          <w:sz w:val="21"/>
          <w:szCs w:val="21"/>
          <w:highlight w:val="none"/>
        </w:rPr>
        <w:t>。承包人应</w:t>
      </w:r>
      <w:r>
        <w:rPr>
          <w:rFonts w:hint="eastAsia" w:ascii="Times New Roman" w:hAnsi="宋体" w:eastAsia="宋体" w:cs="宋体"/>
          <w:color w:val="auto"/>
          <w:sz w:val="21"/>
          <w:szCs w:val="21"/>
          <w:highlight w:val="none"/>
          <w:lang w:eastAsia="zh-CN"/>
        </w:rPr>
        <w:t>在支付分解表上要求的工程形象进度目标任务完成后</w:t>
      </w:r>
      <w:r>
        <w:rPr>
          <w:rFonts w:hint="eastAsia" w:ascii="Times New Roman" w:hAnsi="宋体" w:eastAsia="宋体" w:cs="宋体"/>
          <w:color w:val="auto"/>
          <w:sz w:val="21"/>
          <w:szCs w:val="21"/>
          <w:highlight w:val="none"/>
        </w:rPr>
        <w:t>向发包人书面报送进度付款申请单和有关资料。</w:t>
      </w:r>
    </w:p>
    <w:p w14:paraId="75CFB7F7">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976" w:name="_Toc4236"/>
      <w:bookmarkStart w:id="977" w:name="_Toc373227752"/>
      <w:bookmarkStart w:id="978" w:name="_Toc78449841"/>
      <w:bookmarkStart w:id="979" w:name="_Toc373478399"/>
      <w:bookmarkStart w:id="980" w:name="_Toc407135255"/>
      <w:bookmarkStart w:id="981" w:name="_Toc389065317"/>
      <w:bookmarkStart w:id="982" w:name="_Toc4691"/>
      <w:bookmarkStart w:id="983" w:name="_Toc1155368667"/>
      <w:r>
        <w:rPr>
          <w:rFonts w:ascii="Times New Roman" w:hAnsi="Times New Roman" w:eastAsia="黑体" w:cs="Times New Roman"/>
          <w:b/>
          <w:bCs/>
          <w:color w:val="auto"/>
          <w:sz w:val="21"/>
          <w:szCs w:val="21"/>
          <w:highlight w:val="none"/>
          <w:lang w:val="zh-CN" w:eastAsia="zh-CN" w:bidi="ar-SA"/>
        </w:rPr>
        <w:t xml:space="preserve">12.4 </w:t>
      </w:r>
      <w:r>
        <w:rPr>
          <w:rFonts w:hint="eastAsia" w:ascii="Times New Roman" w:hAnsi="Times New Roman" w:eastAsia="黑体" w:cs="黑体"/>
          <w:b/>
          <w:bCs/>
          <w:color w:val="auto"/>
          <w:sz w:val="21"/>
          <w:szCs w:val="21"/>
          <w:highlight w:val="none"/>
          <w:lang w:val="zh-CN" w:eastAsia="zh-CN" w:bidi="ar-SA"/>
        </w:rPr>
        <w:t>工程进度款支付</w:t>
      </w:r>
      <w:bookmarkEnd w:id="976"/>
      <w:bookmarkEnd w:id="977"/>
      <w:bookmarkEnd w:id="978"/>
      <w:bookmarkEnd w:id="979"/>
      <w:bookmarkEnd w:id="980"/>
      <w:bookmarkEnd w:id="981"/>
      <w:bookmarkEnd w:id="982"/>
      <w:bookmarkEnd w:id="983"/>
    </w:p>
    <w:p w14:paraId="1485B98A">
      <w:pPr>
        <w:spacing w:line="400" w:lineRule="exact"/>
        <w:ind w:firstLine="420"/>
        <w:jc w:val="left"/>
        <w:rPr>
          <w:rFonts w:ascii="宋体" w:hAnsi="宋体" w:eastAsia="宋体" w:cs="宋体"/>
          <w:color w:val="auto"/>
          <w:sz w:val="21"/>
          <w:szCs w:val="21"/>
          <w:highlight w:val="none"/>
          <w:lang w:val="en-US" w:eastAsia="zh-CN" w:bidi="ar"/>
        </w:rPr>
      </w:pPr>
      <w:bookmarkStart w:id="984" w:name="_Toc296891039"/>
      <w:bookmarkStart w:id="985" w:name="_Toc296346712"/>
      <w:bookmarkStart w:id="986" w:name="_Toc296347210"/>
      <w:bookmarkStart w:id="987" w:name="_Toc303539163"/>
      <w:bookmarkStart w:id="988" w:name="_Toc297120511"/>
      <w:bookmarkStart w:id="989" w:name="_Toc297048397"/>
      <w:bookmarkStart w:id="990" w:name="_Toc300935006"/>
      <w:bookmarkStart w:id="991" w:name="_Toc297216215"/>
      <w:bookmarkStart w:id="992" w:name="_Toc296891251"/>
      <w:bookmarkStart w:id="993" w:name="_Toc296503211"/>
      <w:bookmarkStart w:id="994" w:name="_Toc292559416"/>
      <w:bookmarkStart w:id="995" w:name="_Toc296944550"/>
      <w:bookmarkStart w:id="996" w:name="_Toc292559921"/>
      <w:bookmarkStart w:id="997" w:name="_Toc297123556"/>
      <w:r>
        <w:rPr>
          <w:rFonts w:ascii="宋体" w:hAnsi="宋体" w:eastAsia="宋体" w:cs="宋体"/>
          <w:color w:val="auto"/>
          <w:sz w:val="21"/>
          <w:szCs w:val="21"/>
          <w:highlight w:val="none"/>
          <w:lang w:val="en-US" w:eastAsia="zh-CN" w:bidi="ar"/>
        </w:rPr>
        <w:t xml:space="preserve">12.4.1 </w:t>
      </w:r>
      <w:r>
        <w:rPr>
          <w:rFonts w:hint="eastAsia" w:ascii="宋体" w:hAnsi="宋体" w:eastAsia="宋体" w:cs="宋体"/>
          <w:color w:val="auto"/>
          <w:sz w:val="21"/>
          <w:szCs w:val="21"/>
          <w:highlight w:val="none"/>
          <w:lang w:val="en-US" w:eastAsia="zh-CN" w:bidi="ar"/>
        </w:rPr>
        <w:t>付款周期</w:t>
      </w:r>
    </w:p>
    <w:p w14:paraId="4853FBCD">
      <w:pPr>
        <w:spacing w:line="400" w:lineRule="exact"/>
        <w:ind w:firstLine="420"/>
        <w:jc w:val="left"/>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(1)合同生效，且监理人和发包人确定施工主要人员和主要材料、设备进场后10个工作日内支付合同价30%</w:t>
      </w:r>
      <w:r>
        <w:rPr>
          <w:rFonts w:hint="eastAsia" w:ascii="宋体" w:hAnsi="宋体" w:cs="宋体"/>
          <w:color w:val="auto"/>
          <w:sz w:val="21"/>
          <w:szCs w:val="21"/>
          <w:highlight w:val="none"/>
          <w:lang w:val="en-US" w:eastAsia="zh-CN" w:bidi="ar"/>
        </w:rPr>
        <w:t>作为</w:t>
      </w:r>
      <w:r>
        <w:rPr>
          <w:rFonts w:hint="eastAsia" w:ascii="宋体" w:hAnsi="宋体" w:eastAsia="宋体" w:cs="宋体"/>
          <w:color w:val="auto"/>
          <w:sz w:val="21"/>
          <w:szCs w:val="21"/>
          <w:highlight w:val="none"/>
          <w:lang w:val="en-US" w:eastAsia="zh-CN" w:bidi="ar"/>
        </w:rPr>
        <w:t>预付款</w:t>
      </w:r>
      <w:r>
        <w:rPr>
          <w:rFonts w:hint="eastAsia" w:ascii="宋体" w:hAnsi="宋体" w:cs="宋体"/>
          <w:color w:val="auto"/>
          <w:sz w:val="21"/>
          <w:szCs w:val="21"/>
          <w:highlight w:val="none"/>
          <w:lang w:val="en-US" w:eastAsia="zh-CN" w:bidi="ar"/>
        </w:rPr>
        <w:t>。</w:t>
      </w:r>
    </w:p>
    <w:p w14:paraId="06D1F687">
      <w:pPr>
        <w:spacing w:line="400" w:lineRule="exact"/>
        <w:ind w:firstLine="420"/>
        <w:jc w:val="left"/>
        <w:rPr>
          <w:rFonts w:hint="eastAsia" w:ascii="宋体" w:hAnsi="宋体" w:eastAsia="宋体" w:cs="宋体"/>
          <w:color w:val="auto"/>
          <w:sz w:val="21"/>
          <w:szCs w:val="21"/>
          <w:highlight w:val="none"/>
          <w:lang w:val="en-US" w:eastAsia="zh-CN" w:bidi="ar"/>
        </w:rPr>
      </w:pPr>
      <w:r>
        <w:rPr>
          <w:rFonts w:hint="eastAsia" w:ascii="宋体" w:hAnsi="宋体" w:cs="Times New Roman"/>
          <w:color w:val="auto"/>
          <w:szCs w:val="21"/>
          <w:highlight w:val="none"/>
          <w:u w:val="none"/>
          <w:lang w:val="en-US" w:eastAsia="zh-CN"/>
        </w:rPr>
        <w:t>（2）项目竣工验收通过后10个工作日内，支付至合同内已完成工程量价款的80%；完成审计结算后10个工作日内，</w:t>
      </w:r>
      <w:r>
        <w:rPr>
          <w:rFonts w:hint="eastAsia" w:ascii="宋体" w:hAnsi="宋体" w:eastAsia="宋体" w:cs="宋体"/>
          <w:color w:val="auto"/>
          <w:szCs w:val="21"/>
          <w:highlight w:val="none"/>
        </w:rPr>
        <w:t>承包人</w:t>
      </w:r>
      <w:r>
        <w:rPr>
          <w:rFonts w:hint="eastAsia" w:ascii="宋体" w:hAnsi="宋体" w:cs="Times New Roman"/>
          <w:color w:val="auto"/>
          <w:szCs w:val="21"/>
          <w:highlight w:val="none"/>
          <w:u w:val="none"/>
          <w:lang w:val="en-US" w:eastAsia="zh-CN"/>
        </w:rPr>
        <w:t>需先将审定金额的3%作为质量保证金转至</w:t>
      </w:r>
      <w:r>
        <w:rPr>
          <w:rFonts w:hint="eastAsia" w:ascii="宋体" w:hAnsi="宋体" w:eastAsia="宋体" w:cs="宋体"/>
          <w:color w:val="auto"/>
          <w:szCs w:val="21"/>
          <w:highlight w:val="none"/>
        </w:rPr>
        <w:t>发包人</w:t>
      </w:r>
      <w:r>
        <w:rPr>
          <w:rFonts w:hint="eastAsia" w:ascii="宋体" w:hAnsi="宋体" w:cs="Times New Roman"/>
          <w:color w:val="auto"/>
          <w:szCs w:val="21"/>
          <w:highlight w:val="none"/>
          <w:u w:val="none"/>
          <w:lang w:val="en-US" w:eastAsia="zh-CN"/>
        </w:rPr>
        <w:t>账户后，</w:t>
      </w:r>
      <w:r>
        <w:rPr>
          <w:rFonts w:hint="eastAsia" w:ascii="宋体" w:hAnsi="宋体" w:eastAsia="宋体" w:cs="宋体"/>
          <w:color w:val="auto"/>
          <w:szCs w:val="21"/>
          <w:highlight w:val="none"/>
        </w:rPr>
        <w:t>发包人</w:t>
      </w:r>
      <w:r>
        <w:rPr>
          <w:rFonts w:hint="eastAsia" w:ascii="宋体" w:hAnsi="宋体" w:cs="Times New Roman"/>
          <w:color w:val="auto"/>
          <w:szCs w:val="21"/>
          <w:highlight w:val="none"/>
          <w:u w:val="none"/>
          <w:lang w:val="en-US" w:eastAsia="zh-CN"/>
        </w:rPr>
        <w:t>支付至项目审定结算价的100%，以上各付款阶段付款前，</w:t>
      </w:r>
      <w:r>
        <w:rPr>
          <w:rFonts w:hint="eastAsia" w:ascii="宋体" w:hAnsi="宋体" w:eastAsia="宋体" w:cs="宋体"/>
          <w:color w:val="auto"/>
          <w:szCs w:val="21"/>
          <w:highlight w:val="none"/>
        </w:rPr>
        <w:t>承包人</w:t>
      </w:r>
      <w:r>
        <w:rPr>
          <w:rFonts w:hint="eastAsia" w:ascii="宋体" w:hAnsi="宋体" w:cs="Times New Roman"/>
          <w:color w:val="auto"/>
          <w:szCs w:val="21"/>
          <w:highlight w:val="none"/>
          <w:u w:val="none"/>
          <w:lang w:val="en-US" w:eastAsia="zh-CN"/>
        </w:rPr>
        <w:t>必须出具等额有效的增值税专用发票，</w:t>
      </w:r>
      <w:r>
        <w:rPr>
          <w:rFonts w:hint="eastAsia" w:ascii="宋体" w:hAnsi="宋体" w:eastAsia="宋体" w:cs="宋体"/>
          <w:color w:val="auto"/>
          <w:szCs w:val="21"/>
          <w:highlight w:val="none"/>
        </w:rPr>
        <w:t>发包人</w:t>
      </w:r>
      <w:r>
        <w:rPr>
          <w:rFonts w:hint="eastAsia" w:ascii="宋体" w:hAnsi="宋体" w:cs="Times New Roman"/>
          <w:color w:val="auto"/>
          <w:szCs w:val="21"/>
          <w:highlight w:val="none"/>
          <w:u w:val="none"/>
          <w:lang w:val="en-US" w:eastAsia="zh-CN"/>
        </w:rPr>
        <w:t>未收到合格有效的发票的，有权不予支付相应款项直至</w:t>
      </w:r>
      <w:r>
        <w:rPr>
          <w:rFonts w:hint="eastAsia" w:ascii="宋体" w:hAnsi="宋体" w:eastAsia="宋体" w:cs="宋体"/>
          <w:color w:val="auto"/>
          <w:szCs w:val="21"/>
          <w:highlight w:val="none"/>
        </w:rPr>
        <w:t>承包人</w:t>
      </w:r>
      <w:r>
        <w:rPr>
          <w:rFonts w:hint="eastAsia" w:ascii="宋体" w:hAnsi="宋体" w:cs="Times New Roman"/>
          <w:color w:val="auto"/>
          <w:szCs w:val="21"/>
          <w:highlight w:val="none"/>
          <w:u w:val="none"/>
          <w:lang w:val="en-US" w:eastAsia="zh-CN"/>
        </w:rPr>
        <w:t>提供合格发票，并不承担延迟付款责任。项目竣工后由</w:t>
      </w:r>
      <w:r>
        <w:rPr>
          <w:rFonts w:hint="eastAsia" w:ascii="宋体" w:hAnsi="宋体" w:eastAsia="宋体" w:cs="宋体"/>
          <w:color w:val="auto"/>
          <w:szCs w:val="21"/>
          <w:highlight w:val="none"/>
        </w:rPr>
        <w:t>发包人</w:t>
      </w:r>
      <w:r>
        <w:rPr>
          <w:rFonts w:hint="eastAsia" w:ascii="宋体" w:hAnsi="宋体" w:cs="Times New Roman"/>
          <w:color w:val="auto"/>
          <w:szCs w:val="21"/>
          <w:highlight w:val="none"/>
          <w:u w:val="none"/>
          <w:lang w:val="en-US" w:eastAsia="zh-CN"/>
        </w:rPr>
        <w:t>负责送审，工程送审价超出审定价的5%的，审计费和因此产生的一切税费由施工单位承担。</w:t>
      </w:r>
    </w:p>
    <w:p w14:paraId="7CD8E0E4">
      <w:pPr>
        <w:spacing w:line="400" w:lineRule="exact"/>
        <w:ind w:firstLine="420"/>
        <w:jc w:val="left"/>
        <w:rPr>
          <w:rFonts w:ascii="Times New Roman" w:hAnsi="Times New Roman" w:eastAsia="宋体" w:cs="Times New Roman"/>
          <w:color w:val="auto"/>
          <w:sz w:val="21"/>
          <w:szCs w:val="21"/>
          <w:highlight w:val="none"/>
        </w:rPr>
      </w:pPr>
      <w:r>
        <w:rPr>
          <w:rFonts w:ascii="宋体" w:hAnsi="宋体" w:eastAsia="宋体" w:cs="宋体"/>
          <w:color w:val="auto"/>
          <w:sz w:val="21"/>
          <w:szCs w:val="21"/>
          <w:highlight w:val="none"/>
          <w:lang w:val="en-US" w:eastAsia="zh-CN" w:bidi="ar"/>
        </w:rPr>
        <w:t xml:space="preserve">12.4.2 </w:t>
      </w:r>
      <w:r>
        <w:rPr>
          <w:rFonts w:hint="eastAsia" w:ascii="宋体" w:hAnsi="宋体" w:eastAsia="宋体" w:cs="宋体"/>
          <w:color w:val="auto"/>
          <w:sz w:val="21"/>
          <w:szCs w:val="21"/>
          <w:highlight w:val="none"/>
          <w:lang w:val="en-US" w:eastAsia="zh-CN" w:bidi="ar"/>
        </w:rPr>
        <w:t>进度付款申请单的编制</w:t>
      </w:r>
    </w:p>
    <w:p w14:paraId="65D7CD14">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关于进度付款申请单编制的约定：</w:t>
      </w:r>
      <w:r>
        <w:rPr>
          <w:rFonts w:hint="eastAsia" w:ascii="Times New Roman" w:hAnsi="Times New Roman" w:eastAsia="宋体" w:cs="Times New Roman"/>
          <w:color w:val="auto"/>
          <w:sz w:val="21"/>
          <w:szCs w:val="21"/>
          <w:highlight w:val="none"/>
          <w:u w:val="single"/>
        </w:rPr>
        <w:t>进度付款申请单进度编制，并经监理及发包人确认（进度付款申请单不能作为最后竣工结算依据）</w:t>
      </w:r>
      <w:r>
        <w:rPr>
          <w:rFonts w:hint="eastAsia" w:ascii="Times New Roman" w:hAnsi="宋体" w:eastAsia="宋体" w:cs="宋体"/>
          <w:color w:val="auto"/>
          <w:sz w:val="21"/>
          <w:szCs w:val="21"/>
          <w:highlight w:val="none"/>
        </w:rPr>
        <w:t>。</w:t>
      </w:r>
    </w:p>
    <w:p w14:paraId="0D8F09DA">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12.4.3 </w:t>
      </w:r>
      <w:r>
        <w:rPr>
          <w:rFonts w:hint="eastAsia" w:ascii="Times New Roman" w:hAnsi="宋体" w:eastAsia="宋体" w:cs="宋体"/>
          <w:color w:val="auto"/>
          <w:sz w:val="21"/>
          <w:szCs w:val="21"/>
          <w:highlight w:val="none"/>
        </w:rPr>
        <w:t>进度付款申请单的提交</w:t>
      </w:r>
    </w:p>
    <w:p w14:paraId="2F964D69">
      <w:pPr>
        <w:spacing w:line="360" w:lineRule="auto"/>
        <w:ind w:firstLine="420"/>
        <w:jc w:val="left"/>
        <w:rPr>
          <w:rFonts w:ascii="Times New Roman" w:hAnsi="Times New Roman" w:eastAsia="宋体" w:cs="Times New Roman"/>
          <w:b/>
          <w:bCs/>
          <w:color w:val="auto"/>
          <w:sz w:val="21"/>
          <w:szCs w:val="21"/>
          <w:highlight w:val="none"/>
          <w:u w:val="singl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宋体" w:eastAsia="宋体" w:cs="宋体"/>
          <w:color w:val="auto"/>
          <w:sz w:val="21"/>
          <w:szCs w:val="21"/>
          <w:highlight w:val="none"/>
        </w:rPr>
        <w:t>）单价合同进度付款申请单提交的约定：</w:t>
      </w:r>
    </w:p>
    <w:p w14:paraId="2E593A74">
      <w:pPr>
        <w:spacing w:line="360" w:lineRule="auto"/>
        <w:ind w:firstLine="420"/>
        <w:jc w:val="left"/>
        <w:rPr>
          <w:rFonts w:hint="eastAsia" w:ascii="宋体" w:hAnsi="宋体" w:eastAsia="宋体" w:cs="宋体"/>
          <w:color w:val="auto"/>
          <w:sz w:val="21"/>
          <w:szCs w:val="21"/>
          <w:highlight w:val="none"/>
          <w:lang w:val="zh-TW" w:eastAsia="zh-CN"/>
        </w:rPr>
      </w:pPr>
      <w:r>
        <w:rPr>
          <w:rFonts w:hint="eastAsia" w:ascii="Times New Roman" w:hAnsi="Times New Roman" w:eastAsia="宋体" w:cs="Times New Roman"/>
          <w:color w:val="auto"/>
          <w:sz w:val="21"/>
          <w:szCs w:val="21"/>
          <w:highlight w:val="none"/>
          <w:u w:val="none"/>
          <w:lang w:val="en-US" w:eastAsia="zh-CN"/>
        </w:rPr>
        <w:t>1）</w:t>
      </w:r>
      <w:r>
        <w:rPr>
          <w:rFonts w:hint="eastAsia" w:ascii="宋体" w:hAnsi="宋体" w:eastAsia="宋体" w:cs="宋体"/>
          <w:color w:val="auto"/>
          <w:sz w:val="21"/>
          <w:szCs w:val="21"/>
          <w:highlight w:val="none"/>
          <w:lang w:val="zh-TW"/>
        </w:rPr>
        <w:t>分部分项工程清单进度款</w:t>
      </w:r>
      <w:r>
        <w:rPr>
          <w:rFonts w:hint="eastAsia" w:ascii="宋体" w:hAnsi="宋体" w:eastAsia="宋体" w:cs="宋体"/>
          <w:color w:val="auto"/>
          <w:sz w:val="21"/>
          <w:szCs w:val="21"/>
          <w:highlight w:val="none"/>
          <w:lang w:val="zh-TW" w:eastAsia="zh-CN"/>
        </w:rPr>
        <w:t>计算：</w:t>
      </w:r>
      <w:r>
        <w:rPr>
          <w:rFonts w:hint="eastAsia" w:ascii="宋体" w:hAnsi="宋体" w:eastAsia="宋体" w:cs="宋体"/>
          <w:color w:val="auto"/>
          <w:sz w:val="21"/>
          <w:szCs w:val="21"/>
          <w:highlight w:val="none"/>
          <w:lang w:val="zh-TW"/>
        </w:rPr>
        <w:t>应按发包人提供的施工图纸、工程变更指令、合同约定</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计算规范</w:t>
      </w:r>
      <w:r>
        <w:rPr>
          <w:rFonts w:hint="eastAsia" w:ascii="宋体" w:hAnsi="宋体" w:eastAsia="宋体" w:cs="宋体"/>
          <w:color w:val="auto"/>
          <w:sz w:val="21"/>
          <w:szCs w:val="21"/>
          <w:highlight w:val="none"/>
          <w:lang w:val="zh-TW"/>
        </w:rPr>
        <w:t>和</w:t>
      </w:r>
      <w:r>
        <w:rPr>
          <w:rFonts w:hint="eastAsia" w:ascii="宋体" w:hAnsi="宋体" w:eastAsia="宋体" w:cs="宋体"/>
          <w:color w:val="auto"/>
          <w:sz w:val="21"/>
          <w:szCs w:val="21"/>
          <w:highlight w:val="none"/>
          <w:lang w:val="zh-TW" w:eastAsia="zh-CN"/>
        </w:rPr>
        <w:t>计价规范</w:t>
      </w:r>
      <w:r>
        <w:rPr>
          <w:rFonts w:hint="eastAsia" w:ascii="宋体" w:hAnsi="宋体" w:eastAsia="宋体" w:cs="宋体"/>
          <w:color w:val="auto"/>
          <w:sz w:val="21"/>
          <w:szCs w:val="21"/>
          <w:highlight w:val="none"/>
          <w:lang w:val="zh-TW"/>
        </w:rPr>
        <w:t>规定，</w:t>
      </w:r>
      <w:r>
        <w:rPr>
          <w:rFonts w:hint="eastAsia" w:ascii="宋体" w:hAnsi="宋体" w:eastAsia="宋体" w:cs="宋体"/>
          <w:color w:val="auto"/>
          <w:sz w:val="21"/>
          <w:szCs w:val="21"/>
          <w:highlight w:val="none"/>
          <w:lang w:val="zh-TW" w:eastAsia="zh-CN"/>
        </w:rPr>
        <w:t>计算</w:t>
      </w:r>
      <w:r>
        <w:rPr>
          <w:rFonts w:hint="default" w:ascii="宋体" w:hAnsi="宋体" w:eastAsia="宋体" w:cs="宋体"/>
          <w:color w:val="auto"/>
          <w:sz w:val="21"/>
          <w:szCs w:val="21"/>
          <w:highlight w:val="none"/>
          <w:lang w:val="en" w:eastAsia="zh-CN"/>
        </w:rPr>
        <w:t>本</w:t>
      </w:r>
      <w:r>
        <w:rPr>
          <w:rFonts w:hint="eastAsia" w:ascii="宋体" w:hAnsi="宋体" w:eastAsia="宋体" w:cs="宋体"/>
          <w:color w:val="auto"/>
          <w:sz w:val="21"/>
          <w:szCs w:val="21"/>
          <w:highlight w:val="none"/>
          <w:lang w:val="zh-TW" w:eastAsia="zh-CN"/>
        </w:rPr>
        <w:t>期实际</w:t>
      </w:r>
      <w:r>
        <w:rPr>
          <w:rFonts w:hint="eastAsia" w:ascii="宋体" w:hAnsi="宋体" w:eastAsia="宋体" w:cs="宋体"/>
          <w:color w:val="auto"/>
          <w:sz w:val="21"/>
          <w:szCs w:val="21"/>
          <w:highlight w:val="none"/>
          <w:lang w:val="zh-TW"/>
        </w:rPr>
        <w:t>完成的相应清单项目工程量，乘以合同单价（合同单价发生调整的，</w:t>
      </w:r>
      <w:r>
        <w:rPr>
          <w:rFonts w:hint="eastAsia" w:ascii="宋体" w:hAnsi="宋体" w:eastAsia="宋体" w:cs="宋体"/>
          <w:color w:val="auto"/>
          <w:sz w:val="21"/>
          <w:szCs w:val="21"/>
          <w:highlight w:val="none"/>
          <w:lang w:val="zh-TW" w:eastAsia="zh-CN"/>
        </w:rPr>
        <w:t>按调整后的</w:t>
      </w:r>
      <w:r>
        <w:rPr>
          <w:rFonts w:hint="eastAsia" w:ascii="宋体" w:hAnsi="宋体" w:eastAsia="宋体" w:cs="宋体"/>
          <w:color w:val="auto"/>
          <w:sz w:val="21"/>
          <w:szCs w:val="21"/>
          <w:highlight w:val="none"/>
          <w:lang w:val="zh-TW"/>
        </w:rPr>
        <w:t>单价）</w:t>
      </w:r>
      <w:r>
        <w:rPr>
          <w:rFonts w:hint="eastAsia" w:ascii="宋体" w:hAnsi="宋体" w:eastAsia="宋体" w:cs="宋体"/>
          <w:color w:val="auto"/>
          <w:sz w:val="21"/>
          <w:szCs w:val="21"/>
          <w:highlight w:val="none"/>
          <w:lang w:val="zh-TW" w:eastAsia="zh-CN"/>
        </w:rPr>
        <w:t>。</w:t>
      </w:r>
    </w:p>
    <w:p w14:paraId="5E666312">
      <w:pPr>
        <w:spacing w:line="360" w:lineRule="auto"/>
        <w:ind w:firstLine="420"/>
        <w:jc w:val="left"/>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bCs/>
          <w:color w:val="auto"/>
          <w:sz w:val="21"/>
          <w:szCs w:val="21"/>
          <w:highlight w:val="none"/>
        </w:rPr>
        <w:t>措施项目进度款</w:t>
      </w:r>
      <w:r>
        <w:rPr>
          <w:rFonts w:hint="eastAsia" w:ascii="宋体" w:hAnsi="宋体" w:eastAsia="宋体" w:cs="宋体"/>
          <w:bCs/>
          <w:color w:val="auto"/>
          <w:sz w:val="21"/>
          <w:szCs w:val="21"/>
          <w:highlight w:val="none"/>
          <w:lang w:eastAsia="zh-CN"/>
        </w:rPr>
        <w:t>计算：技术措施按照当期完成的技术措施项目工程量乘以承包人《技术措施项目清单综合单价分析表》中各子项技术措施项目综合单价计算，当该项技术措施项目累计进度款达到该项技术措施项目费合计金额时，不再计算该项技术措施项目进度款。综合</w:t>
      </w:r>
      <w:r>
        <w:rPr>
          <w:rFonts w:hint="eastAsia" w:ascii="宋体" w:hAnsi="宋体" w:eastAsia="宋体" w:cs="宋体"/>
          <w:bCs/>
          <w:color w:val="auto"/>
          <w:sz w:val="21"/>
          <w:szCs w:val="21"/>
          <w:highlight w:val="none"/>
        </w:rPr>
        <w:t>措施项目</w:t>
      </w:r>
      <w:r>
        <w:rPr>
          <w:rFonts w:hint="eastAsia" w:ascii="宋体" w:hAnsi="宋体" w:eastAsia="宋体" w:cs="宋体"/>
          <w:bCs/>
          <w:color w:val="auto"/>
          <w:sz w:val="21"/>
          <w:szCs w:val="21"/>
          <w:highlight w:val="none"/>
          <w:lang w:eastAsia="zh-CN"/>
        </w:rPr>
        <w:t>中的</w:t>
      </w:r>
      <w:r>
        <w:rPr>
          <w:rFonts w:hint="eastAsia" w:ascii="宋体" w:hAnsi="宋体" w:eastAsia="宋体" w:cs="宋体"/>
          <w:bCs/>
          <w:color w:val="auto"/>
          <w:sz w:val="21"/>
          <w:szCs w:val="21"/>
          <w:highlight w:val="none"/>
        </w:rPr>
        <w:t>文明临设环保费</w:t>
      </w:r>
      <w:r>
        <w:rPr>
          <w:rFonts w:hint="eastAsia" w:ascii="宋体" w:hAnsi="宋体" w:eastAsia="宋体" w:cs="宋体"/>
          <w:bCs/>
          <w:color w:val="auto"/>
          <w:sz w:val="21"/>
          <w:szCs w:val="21"/>
          <w:highlight w:val="none"/>
          <w:lang w:eastAsia="zh-CN"/>
        </w:rPr>
        <w:t>按合同附件</w:t>
      </w:r>
      <w:r>
        <w:rPr>
          <w:rFonts w:hint="eastAsia" w:ascii="宋体" w:hAnsi="宋体" w:eastAsia="宋体" w:cs="宋体"/>
          <w:bCs/>
          <w:color w:val="auto"/>
          <w:sz w:val="21"/>
          <w:szCs w:val="21"/>
          <w:highlight w:val="none"/>
          <w:lang w:val="en-US" w:eastAsia="zh-CN"/>
        </w:rPr>
        <w:t>15《</w:t>
      </w:r>
      <w:r>
        <w:rPr>
          <w:rFonts w:hint="eastAsia" w:ascii="宋体" w:hAnsi="宋体" w:eastAsia="宋体" w:cs="宋体"/>
          <w:bCs/>
          <w:color w:val="auto"/>
          <w:sz w:val="21"/>
          <w:szCs w:val="21"/>
          <w:highlight w:val="none"/>
          <w:lang w:eastAsia="zh-CN"/>
        </w:rPr>
        <w:t>措施项目分拆表</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lang w:eastAsia="zh-CN"/>
        </w:rPr>
        <w:t>支付该部分进度款，其他综合措施项目按该项措施项目占签约合同价中分部分项及技术措施项目费比例乘以当期完成的分部分项及技术措施项目费计算，该项措施费用支付完毕后不再计取</w:t>
      </w:r>
      <w:r>
        <w:rPr>
          <w:rFonts w:hint="eastAsia" w:ascii="宋体" w:hAnsi="宋体" w:eastAsia="宋体" w:cs="宋体"/>
          <w:bCs/>
          <w:color w:val="auto"/>
          <w:sz w:val="21"/>
          <w:szCs w:val="21"/>
          <w:highlight w:val="none"/>
        </w:rPr>
        <w:t>。</w:t>
      </w:r>
    </w:p>
    <w:p w14:paraId="48725AB3">
      <w:pPr>
        <w:spacing w:after="0" w:line="360" w:lineRule="auto"/>
        <w:ind w:firstLine="420"/>
        <w:jc w:val="lef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lang w:val="en-US" w:eastAsia="zh-CN"/>
        </w:rPr>
        <w:t>3）</w:t>
      </w:r>
      <w:r>
        <w:rPr>
          <w:rFonts w:hint="eastAsia" w:ascii="宋体" w:hAnsi="宋体" w:eastAsia="宋体" w:cs="宋体"/>
          <w:bCs w:val="0"/>
          <w:color w:val="auto"/>
          <w:sz w:val="21"/>
          <w:szCs w:val="21"/>
          <w:highlight w:val="none"/>
        </w:rPr>
        <w:t>其他项目</w:t>
      </w:r>
      <w:r>
        <w:rPr>
          <w:rFonts w:hint="eastAsia" w:ascii="宋体" w:hAnsi="宋体" w:eastAsia="宋体" w:cs="宋体"/>
          <w:bCs w:val="0"/>
          <w:color w:val="auto"/>
          <w:sz w:val="21"/>
          <w:szCs w:val="21"/>
          <w:highlight w:val="none"/>
          <w:lang w:eastAsia="zh-CN"/>
        </w:rPr>
        <w:t>费</w:t>
      </w:r>
      <w:r>
        <w:rPr>
          <w:rFonts w:hint="eastAsia" w:ascii="宋体" w:hAnsi="宋体" w:eastAsia="宋体" w:cs="宋体"/>
          <w:bCs w:val="0"/>
          <w:color w:val="auto"/>
          <w:sz w:val="21"/>
          <w:szCs w:val="21"/>
          <w:highlight w:val="none"/>
        </w:rPr>
        <w:t>进度款计算：总承包服务费</w:t>
      </w:r>
      <w:r>
        <w:rPr>
          <w:rFonts w:hint="eastAsia" w:ascii="宋体" w:hAnsi="宋体" w:eastAsia="宋体" w:cs="宋体"/>
          <w:bCs w:val="0"/>
          <w:color w:val="auto"/>
          <w:sz w:val="21"/>
          <w:szCs w:val="21"/>
          <w:highlight w:val="none"/>
          <w:lang w:eastAsia="zh-CN"/>
        </w:rPr>
        <w:t>中的专业工程配合费</w:t>
      </w:r>
      <w:r>
        <w:rPr>
          <w:rFonts w:hint="eastAsia" w:ascii="宋体" w:hAnsi="宋体" w:eastAsia="宋体" w:cs="宋体"/>
          <w:bCs w:val="0"/>
          <w:color w:val="auto"/>
          <w:sz w:val="21"/>
          <w:szCs w:val="21"/>
          <w:highlight w:val="none"/>
        </w:rPr>
        <w:t>应按当期发包人确认的专业分包工程进度款与专业分包合同价的比例乘以相应的服务费计算各分包工程</w:t>
      </w:r>
      <w:r>
        <w:rPr>
          <w:rFonts w:hint="eastAsia" w:ascii="宋体" w:hAnsi="宋体" w:eastAsia="宋体" w:cs="宋体"/>
          <w:bCs w:val="0"/>
          <w:color w:val="auto"/>
          <w:sz w:val="21"/>
          <w:szCs w:val="21"/>
          <w:highlight w:val="none"/>
          <w:lang w:eastAsia="zh-CN"/>
        </w:rPr>
        <w:t>当期</w:t>
      </w:r>
      <w:r>
        <w:rPr>
          <w:rFonts w:hint="eastAsia" w:ascii="宋体" w:hAnsi="宋体" w:eastAsia="宋体" w:cs="宋体"/>
          <w:bCs w:val="0"/>
          <w:color w:val="auto"/>
          <w:sz w:val="21"/>
          <w:szCs w:val="21"/>
          <w:highlight w:val="none"/>
        </w:rPr>
        <w:t>完成的总承包服务费</w:t>
      </w:r>
      <w:r>
        <w:rPr>
          <w:rFonts w:hint="eastAsia" w:ascii="宋体" w:hAnsi="宋体" w:eastAsia="宋体" w:cs="宋体"/>
          <w:bCs w:val="0"/>
          <w:color w:val="auto"/>
          <w:sz w:val="21"/>
          <w:szCs w:val="21"/>
          <w:highlight w:val="none"/>
          <w:lang w:eastAsia="zh-CN"/>
        </w:rPr>
        <w:t>；</w:t>
      </w:r>
      <w:r>
        <w:rPr>
          <w:rFonts w:hint="eastAsia" w:ascii="宋体" w:hAnsi="宋体" w:eastAsia="宋体" w:cs="宋体"/>
          <w:bCs w:val="0"/>
          <w:color w:val="auto"/>
          <w:sz w:val="21"/>
          <w:szCs w:val="21"/>
          <w:highlight w:val="none"/>
          <w:lang w:val="en-US" w:eastAsia="zh-CN"/>
        </w:rPr>
        <w:t>总承包服务费中的</w:t>
      </w:r>
      <w:r>
        <w:rPr>
          <w:rFonts w:hint="eastAsia" w:ascii="宋体" w:hAnsi="宋体" w:eastAsia="宋体" w:cs="宋体"/>
          <w:bCs w:val="0"/>
          <w:color w:val="auto"/>
          <w:sz w:val="21"/>
          <w:szCs w:val="21"/>
          <w:highlight w:val="none"/>
        </w:rPr>
        <w:t>发包人提供材料</w:t>
      </w:r>
      <w:r>
        <w:rPr>
          <w:rFonts w:hint="eastAsia" w:ascii="宋体" w:hAnsi="宋体" w:eastAsia="宋体" w:cs="宋体"/>
          <w:bCs w:val="0"/>
          <w:color w:val="auto"/>
          <w:sz w:val="21"/>
          <w:szCs w:val="21"/>
          <w:highlight w:val="none"/>
          <w:lang w:eastAsia="zh-CN"/>
        </w:rPr>
        <w:t>的保管费应在最后一期进度款一次性支付；</w:t>
      </w:r>
      <w:r>
        <w:rPr>
          <w:rFonts w:hint="eastAsia" w:ascii="宋体" w:hAnsi="宋体" w:eastAsia="宋体" w:cs="宋体"/>
          <w:bCs w:val="0"/>
          <w:color w:val="auto"/>
          <w:sz w:val="21"/>
          <w:szCs w:val="21"/>
          <w:highlight w:val="none"/>
        </w:rPr>
        <w:t>专业工程暂估价项目应按当期发包人确认的专业工程项目完成的进度款计算</w:t>
      </w:r>
      <w:r>
        <w:rPr>
          <w:rFonts w:hint="eastAsia" w:ascii="宋体" w:hAnsi="宋体" w:eastAsia="宋体" w:cs="宋体"/>
          <w:bCs w:val="0"/>
          <w:color w:val="auto"/>
          <w:sz w:val="21"/>
          <w:szCs w:val="21"/>
          <w:highlight w:val="none"/>
          <w:lang w:eastAsia="zh-CN"/>
        </w:rPr>
        <w:t>；</w:t>
      </w:r>
      <w:r>
        <w:rPr>
          <w:rFonts w:hint="eastAsia" w:ascii="宋体" w:hAnsi="宋体" w:eastAsia="宋体" w:cs="宋体"/>
          <w:bCs w:val="0"/>
          <w:color w:val="auto"/>
          <w:sz w:val="21"/>
          <w:szCs w:val="21"/>
          <w:highlight w:val="none"/>
          <w:lang w:val="en-US"/>
        </w:rPr>
        <w:t>零星签证</w:t>
      </w:r>
      <w:r>
        <w:rPr>
          <w:rFonts w:hint="eastAsia" w:ascii="宋体" w:hAnsi="宋体" w:eastAsia="宋体" w:cs="宋体"/>
          <w:bCs w:val="0"/>
          <w:color w:val="auto"/>
          <w:sz w:val="21"/>
          <w:szCs w:val="21"/>
          <w:highlight w:val="none"/>
        </w:rPr>
        <w:t>应按</w:t>
      </w:r>
      <w:r>
        <w:rPr>
          <w:rFonts w:hint="eastAsia" w:ascii="宋体" w:hAnsi="宋体" w:eastAsia="宋体" w:cs="宋体"/>
          <w:bCs w:val="0"/>
          <w:color w:val="auto"/>
          <w:sz w:val="21"/>
          <w:szCs w:val="21"/>
          <w:highlight w:val="none"/>
          <w:lang w:eastAsia="zh-CN"/>
        </w:rPr>
        <w:t>当</w:t>
      </w:r>
      <w:r>
        <w:rPr>
          <w:rFonts w:hint="eastAsia" w:ascii="宋体" w:hAnsi="宋体" w:eastAsia="宋体" w:cs="宋体"/>
          <w:bCs w:val="0"/>
          <w:color w:val="auto"/>
          <w:sz w:val="21"/>
          <w:szCs w:val="21"/>
          <w:highlight w:val="none"/>
        </w:rPr>
        <w:t>期完成的进度款进行计算</w:t>
      </w:r>
      <w:r>
        <w:rPr>
          <w:rFonts w:hint="eastAsia" w:ascii="宋体" w:hAnsi="宋体" w:eastAsia="宋体" w:cs="宋体"/>
          <w:bCs w:val="0"/>
          <w:color w:val="auto"/>
          <w:sz w:val="21"/>
          <w:szCs w:val="21"/>
          <w:highlight w:val="none"/>
          <w:lang w:eastAsia="zh-CN"/>
        </w:rPr>
        <w:t>；</w:t>
      </w:r>
      <w:r>
        <w:rPr>
          <w:rFonts w:hint="eastAsia" w:ascii="宋体" w:hAnsi="宋体" w:eastAsia="宋体" w:cs="宋体"/>
          <w:color w:val="auto"/>
          <w:sz w:val="21"/>
          <w:szCs w:val="21"/>
          <w:highlight w:val="none"/>
          <w:lang w:eastAsia="zh-CN"/>
        </w:rPr>
        <w:t>安全生产费按照</w:t>
      </w:r>
      <w:r>
        <w:rPr>
          <w:rFonts w:hint="default" w:ascii="宋体" w:hAnsi="宋体" w:eastAsia="宋体" w:cs="宋体"/>
          <w:color w:val="auto"/>
          <w:sz w:val="21"/>
          <w:szCs w:val="21"/>
          <w:highlight w:val="none"/>
          <w:lang w:val="en" w:eastAsia="zh-CN"/>
        </w:rPr>
        <w:t>本合同6.1.6规定计算。</w:t>
      </w:r>
    </w:p>
    <w:p w14:paraId="00A8FAD5">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）总价合同进度付款申请单提交的约定</w:t>
      </w:r>
      <w:r>
        <w:rPr>
          <w:rFonts w:hint="eastAsia" w:ascii="Times New Roman" w:hAnsi="宋体" w:eastAsia="宋体" w:cs="宋体"/>
          <w:color w:val="auto"/>
          <w:sz w:val="21"/>
          <w:szCs w:val="21"/>
          <w:highlight w:val="none"/>
          <w:lang w:eastAsia="zh-CN"/>
        </w:rPr>
        <w:t>：</w:t>
      </w:r>
      <w:r>
        <w:rPr>
          <w:rFonts w:hint="eastAsia" w:ascii="宋体" w:hAnsi="宋体" w:eastAsia="宋体" w:cs="宋体"/>
          <w:strike w:val="0"/>
          <w:color w:val="auto"/>
          <w:sz w:val="21"/>
          <w:szCs w:val="21"/>
          <w:highlight w:val="none"/>
          <w:lang w:val="en-US" w:eastAsia="zh-CN" w:bidi="ar"/>
        </w:rPr>
        <w:t>承包人</w:t>
      </w:r>
      <w:r>
        <w:rPr>
          <w:rFonts w:hint="eastAsia" w:ascii="Times New Roman" w:hAnsi="宋体" w:eastAsia="宋体" w:cs="宋体"/>
          <w:color w:val="auto"/>
          <w:sz w:val="21"/>
          <w:szCs w:val="21"/>
          <w:highlight w:val="none"/>
          <w:lang w:eastAsia="zh-CN"/>
        </w:rPr>
        <w:t>按照</w:t>
      </w:r>
      <w:r>
        <w:rPr>
          <w:rFonts w:hint="eastAsia" w:ascii="宋体" w:hAnsi="宋体" w:eastAsia="宋体" w:cs="宋体"/>
          <w:color w:val="auto"/>
          <w:sz w:val="21"/>
          <w:szCs w:val="21"/>
          <w:highlight w:val="none"/>
          <w:lang w:eastAsia="zh-CN"/>
        </w:rPr>
        <w:t>本合同附件</w:t>
      </w:r>
      <w:r>
        <w:rPr>
          <w:rFonts w:hint="eastAsia" w:ascii="宋体" w:hAnsi="宋体" w:eastAsia="宋体" w:cs="宋体"/>
          <w:color w:val="auto"/>
          <w:sz w:val="21"/>
          <w:szCs w:val="21"/>
          <w:highlight w:val="none"/>
          <w:lang w:val="en-US" w:eastAsia="zh-CN"/>
        </w:rPr>
        <w:t>14《进度款</w:t>
      </w:r>
      <w:r>
        <w:rPr>
          <w:rFonts w:hint="eastAsia" w:ascii="Times New Roman" w:hAnsi="宋体" w:eastAsia="宋体" w:cs="宋体"/>
          <w:color w:val="auto"/>
          <w:sz w:val="21"/>
          <w:szCs w:val="21"/>
          <w:highlight w:val="none"/>
          <w:lang w:eastAsia="zh-CN"/>
        </w:rPr>
        <w:t>支付分解表》要求的工程形象进度目标任务完成后，</w:t>
      </w:r>
      <w:r>
        <w:rPr>
          <w:rFonts w:hint="eastAsia" w:ascii="Times New Roman" w:hAnsi="宋体" w:eastAsia="宋体" w:cs="宋体"/>
          <w:color w:val="auto"/>
          <w:sz w:val="21"/>
          <w:szCs w:val="21"/>
          <w:highlight w:val="none"/>
        </w:rPr>
        <w:t>向发包人书面报送</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进度款支付申请（核准）表</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和有关资料</w:t>
      </w:r>
      <w:r>
        <w:rPr>
          <w:rFonts w:hint="eastAsia" w:ascii="宋体" w:hAnsi="宋体" w:eastAsia="宋体" w:cs="宋体"/>
          <w:color w:val="auto"/>
          <w:sz w:val="21"/>
          <w:szCs w:val="21"/>
          <w:highlight w:val="none"/>
          <w:lang w:eastAsia="zh-CN"/>
        </w:rPr>
        <w:t>。固定部分按照支付分解表金额，暂定工程量、暂估价按照实际完成的工程量计算，安全生产费按照</w:t>
      </w:r>
      <w:r>
        <w:rPr>
          <w:rFonts w:hint="default" w:ascii="宋体" w:hAnsi="宋体" w:eastAsia="宋体" w:cs="宋体"/>
          <w:color w:val="auto"/>
          <w:sz w:val="21"/>
          <w:szCs w:val="21"/>
          <w:highlight w:val="none"/>
          <w:lang w:val="en" w:eastAsia="zh-CN"/>
        </w:rPr>
        <w:t>本合同6.1.6规定计算。</w:t>
      </w:r>
    </w:p>
    <w:p w14:paraId="0E591236">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3</w:t>
      </w:r>
      <w:r>
        <w:rPr>
          <w:rFonts w:hint="eastAsia" w:ascii="Times New Roman" w:hAnsi="宋体" w:eastAsia="宋体" w:cs="宋体"/>
          <w:color w:val="auto"/>
          <w:sz w:val="21"/>
          <w:szCs w:val="21"/>
          <w:highlight w:val="none"/>
        </w:rPr>
        <w:t>）</w:t>
      </w:r>
      <w:r>
        <w:rPr>
          <w:rFonts w:hint="eastAsia" w:ascii="宋体" w:hAnsi="宋体" w:eastAsia="宋体" w:cs="宋体"/>
          <w:b w:val="0"/>
          <w:bCs w:val="0"/>
          <w:color w:val="auto"/>
          <w:sz w:val="21"/>
          <w:szCs w:val="21"/>
          <w:highlight w:val="none"/>
        </w:rPr>
        <w:t>发承包双方确认的按本规范规定计算的合同价款调整金额应列入</w:t>
      </w:r>
      <w:r>
        <w:rPr>
          <w:rFonts w:hint="eastAsia" w:ascii="宋体" w:hAnsi="宋体" w:eastAsia="宋体" w:cs="宋体"/>
          <w:b w:val="0"/>
          <w:bCs w:val="0"/>
          <w:color w:val="auto"/>
          <w:sz w:val="21"/>
          <w:szCs w:val="21"/>
          <w:highlight w:val="none"/>
          <w:lang w:eastAsia="zh-CN"/>
        </w:rPr>
        <w:t>当</w:t>
      </w:r>
      <w:r>
        <w:rPr>
          <w:rFonts w:hint="eastAsia" w:ascii="宋体" w:hAnsi="宋体" w:eastAsia="宋体" w:cs="宋体"/>
          <w:b w:val="0"/>
          <w:bCs w:val="0"/>
          <w:color w:val="auto"/>
          <w:sz w:val="21"/>
          <w:szCs w:val="21"/>
          <w:highlight w:val="none"/>
        </w:rPr>
        <w:t>期完成的进度款中。</w:t>
      </w:r>
    </w:p>
    <w:p w14:paraId="19C9DAA7">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12.4.4 </w:t>
      </w:r>
      <w:r>
        <w:rPr>
          <w:rFonts w:hint="eastAsia" w:ascii="Times New Roman" w:hAnsi="宋体" w:eastAsia="宋体" w:cs="宋体"/>
          <w:color w:val="auto"/>
          <w:sz w:val="21"/>
          <w:szCs w:val="21"/>
          <w:highlight w:val="none"/>
        </w:rPr>
        <w:t>进度款审核和支付</w:t>
      </w:r>
    </w:p>
    <w:p w14:paraId="2A30011C">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宋体" w:eastAsia="宋体" w:cs="宋体"/>
          <w:color w:val="auto"/>
          <w:sz w:val="21"/>
          <w:szCs w:val="21"/>
          <w:highlight w:val="none"/>
        </w:rPr>
        <w:t>）监理人审查并报送发包人的期限：</w:t>
      </w:r>
      <w:r>
        <w:rPr>
          <w:rFonts w:hint="eastAsia" w:ascii="Times New Roman" w:hAnsi="Times New Roman"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p w14:paraId="42D19B97">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发包人完成审批并签发进度款支付证书的期限：</w:t>
      </w:r>
      <w:r>
        <w:rPr>
          <w:rFonts w:hint="eastAsia" w:ascii="Times New Roman" w:hAnsi="Times New Roman"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p w14:paraId="17D901D0">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）发包人支付进度款的期限：</w:t>
      </w:r>
      <w:r>
        <w:rPr>
          <w:rFonts w:hint="eastAsia" w:ascii="Times New Roman" w:hAnsi="Times New Roman"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p w14:paraId="61D83EC2">
      <w:pPr>
        <w:spacing w:line="360" w:lineRule="auto"/>
        <w:ind w:firstLine="525"/>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发包人逾期支付进度款的违约金的计算方式：</w:t>
      </w:r>
      <w:r>
        <w:rPr>
          <w:rFonts w:hint="eastAsia" w:ascii="Times New Roman" w:hAnsi="Times New Roman"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p w14:paraId="491675E5">
      <w:pPr>
        <w:spacing w:line="360" w:lineRule="auto"/>
        <w:ind w:firstLine="630"/>
        <w:rPr>
          <w:rFonts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进度款支付方式：</w:t>
      </w:r>
      <w:r>
        <w:rPr>
          <w:rFonts w:hint="eastAsia" w:ascii="Times New Roman" w:hAnsi="宋体" w:eastAsia="宋体" w:cs="宋体"/>
          <w:color w:val="auto"/>
          <w:sz w:val="21"/>
          <w:szCs w:val="21"/>
          <w:highlight w:val="none"/>
          <w:u w:val="single"/>
        </w:rPr>
        <w:t>银行转账</w:t>
      </w:r>
      <w:r>
        <w:rPr>
          <w:rFonts w:hint="eastAsia" w:ascii="Times New Roman" w:hAnsi="宋体" w:eastAsia="宋体" w:cs="宋体"/>
          <w:color w:val="auto"/>
          <w:sz w:val="21"/>
          <w:szCs w:val="21"/>
          <w:highlight w:val="none"/>
        </w:rPr>
        <w:t>。</w:t>
      </w:r>
      <w:r>
        <w:rPr>
          <w:rFonts w:hint="eastAsia" w:ascii="Times New Roman" w:hAnsi="Times New Roman" w:eastAsia="宋体" w:cs="Times New Roman"/>
          <w:color w:val="auto"/>
          <w:sz w:val="21"/>
          <w:szCs w:val="21"/>
          <w:highlight w:val="none"/>
        </w:rPr>
        <w:t>进度款支付申请（核准）表见合同附件11。</w:t>
      </w:r>
    </w:p>
    <w:p w14:paraId="3E96AFAB">
      <w:p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Times New Roman"/>
          <w:color w:val="auto"/>
          <w:sz w:val="21"/>
          <w:szCs w:val="21"/>
          <w:highlight w:val="none"/>
        </w:rPr>
        <w:t>（3）</w:t>
      </w:r>
      <w:r>
        <w:rPr>
          <w:rFonts w:hint="eastAsia" w:ascii="Times New Roman" w:hAnsi="宋体" w:eastAsia="宋体" w:cs="Times New Roman"/>
          <w:color w:val="auto"/>
          <w:sz w:val="21"/>
          <w:szCs w:val="21"/>
          <w:highlight w:val="none"/>
          <w:lang w:eastAsia="zh-CN"/>
        </w:rPr>
        <w:t>人工费</w:t>
      </w:r>
      <w:r>
        <w:rPr>
          <w:rFonts w:hint="eastAsia" w:ascii="Times New Roman" w:hAnsi="宋体" w:eastAsia="宋体" w:cs="Times New Roman"/>
          <w:color w:val="auto"/>
          <w:sz w:val="21"/>
          <w:szCs w:val="21"/>
          <w:highlight w:val="none"/>
        </w:rPr>
        <w:t>支付</w:t>
      </w:r>
    </w:p>
    <w:p w14:paraId="5056E379">
      <w:p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lang w:val="en-US" w:eastAsia="zh-CN"/>
        </w:rPr>
        <w:t>1</w:t>
      </w:r>
      <w:r>
        <w:rPr>
          <w:rFonts w:hint="eastAsia" w:ascii="Times New Roman" w:hAnsi="宋体" w:eastAsia="宋体" w:cs="宋体"/>
          <w:color w:val="auto"/>
          <w:sz w:val="21"/>
          <w:szCs w:val="21"/>
          <w:highlight w:val="none"/>
        </w:rPr>
        <w:t>）人工费专款专用</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用于支付农民工工资</w:t>
      </w:r>
      <w:r>
        <w:rPr>
          <w:rFonts w:hint="eastAsia" w:ascii="Times New Roman" w:hAnsi="宋体" w:eastAsia="宋体" w:cs="宋体"/>
          <w:color w:val="auto"/>
          <w:sz w:val="21"/>
          <w:szCs w:val="21"/>
          <w:highlight w:val="none"/>
          <w:lang w:eastAsia="zh-CN"/>
        </w:rPr>
        <w:t>，应</w:t>
      </w:r>
      <w:r>
        <w:rPr>
          <w:rFonts w:hint="eastAsia" w:ascii="Times New Roman" w:hAnsi="宋体" w:eastAsia="宋体" w:cs="宋体"/>
          <w:color w:val="auto"/>
          <w:sz w:val="21"/>
          <w:szCs w:val="21"/>
          <w:highlight w:val="none"/>
        </w:rPr>
        <w:t>与工程进度款分</w:t>
      </w:r>
      <w:r>
        <w:rPr>
          <w:rFonts w:hint="eastAsia" w:ascii="Times New Roman" w:hAnsi="宋体" w:eastAsia="宋体" w:cs="宋体"/>
          <w:color w:val="auto"/>
          <w:sz w:val="21"/>
          <w:szCs w:val="21"/>
          <w:highlight w:val="none"/>
          <w:lang w:eastAsia="zh-CN"/>
        </w:rPr>
        <w:t>账</w:t>
      </w:r>
      <w:r>
        <w:rPr>
          <w:rFonts w:hint="eastAsia" w:ascii="Times New Roman" w:hAnsi="宋体" w:eastAsia="宋体" w:cs="宋体"/>
          <w:color w:val="auto"/>
          <w:sz w:val="21"/>
          <w:szCs w:val="21"/>
          <w:highlight w:val="none"/>
        </w:rPr>
        <w:t>管理。若因发包人未按照合同约定划拨工程款项导致拖欠工资的，由发包人以未结清的工程款项为限先行垫付所拖欠的工资；承包人向发包人申请工程进度款时必须把农民工工资部分单独列明，如果未单独列明，监理单位不得签支付证书等支付工程款的手续，发包人单位不得审批和支付工程款。发包人每月</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日前将当月应付人工费转入承包人为本项目开立的农民工工资专用账户。</w:t>
      </w:r>
    </w:p>
    <w:p w14:paraId="2C6FB972">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lang w:val="en-US" w:eastAsia="zh-CN"/>
        </w:rPr>
        <w:t>2</w:t>
      </w:r>
      <w:r>
        <w:rPr>
          <w:rFonts w:hint="eastAsia" w:ascii="Times New Roman" w:hAnsi="宋体" w:eastAsia="宋体" w:cs="宋体"/>
          <w:color w:val="auto"/>
          <w:sz w:val="21"/>
          <w:szCs w:val="21"/>
          <w:highlight w:val="none"/>
        </w:rPr>
        <w:t>）农民工工资专用账户：</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u w:val="single"/>
          <w:lang w:val="en-US" w:eastAsia="zh-CN"/>
        </w:rPr>
        <w:t xml:space="preserve">    </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公司</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u w:val="single"/>
          <w:lang w:val="en-US" w:eastAsia="zh-CN"/>
        </w:rPr>
        <w:t xml:space="preserve">    </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项目农民工工资专用账户。账号：</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u w:val="single"/>
          <w:lang w:val="en-US" w:eastAsia="zh-CN"/>
        </w:rPr>
        <w:t xml:space="preserve">      </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56C45158">
      <w:pPr>
        <w:spacing w:line="360" w:lineRule="auto"/>
        <w:ind w:firstLine="525"/>
        <w:jc w:val="left"/>
        <w:rPr>
          <w:rFonts w:ascii="Times New Roman" w:hAnsi="宋体"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12.4.6 </w:t>
      </w:r>
      <w:r>
        <w:rPr>
          <w:rFonts w:hint="eastAsia" w:ascii="Times New Roman" w:hAnsi="宋体" w:eastAsia="宋体" w:cs="宋体"/>
          <w:color w:val="auto"/>
          <w:sz w:val="21"/>
          <w:szCs w:val="21"/>
          <w:highlight w:val="none"/>
        </w:rPr>
        <w:t>支付分解表的编制</w:t>
      </w:r>
    </w:p>
    <w:p w14:paraId="15611E30">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rPr>
        <w:t>）</w:t>
      </w:r>
      <w:r>
        <w:rPr>
          <w:rFonts w:hint="eastAsia" w:ascii="Times New Roman" w:hAnsi="宋体" w:eastAsia="宋体" w:cs="宋体"/>
          <w:color w:val="auto"/>
          <w:sz w:val="21"/>
          <w:szCs w:val="21"/>
          <w:highlight w:val="none"/>
        </w:rPr>
        <w:t>总价合同支付分解表的编制与审批：</w:t>
      </w:r>
      <w:r>
        <w:rPr>
          <w:rFonts w:hint="eastAsia" w:ascii="Times New Roman" w:hAnsi="Times New Roman" w:eastAsia="宋体" w:cs="Times New Roman"/>
          <w:color w:val="auto"/>
          <w:sz w:val="21"/>
          <w:szCs w:val="21"/>
          <w:highlight w:val="none"/>
          <w:u w:val="none"/>
        </w:rPr>
        <w:t>总价合同支付</w:t>
      </w:r>
      <w:r>
        <w:rPr>
          <w:rFonts w:hint="eastAsia" w:ascii="Times New Roman" w:hAnsi="Times New Roman" w:eastAsia="宋体" w:cs="Times New Roman"/>
          <w:color w:val="auto"/>
          <w:sz w:val="21"/>
          <w:szCs w:val="21"/>
          <w:highlight w:val="none"/>
          <w:u w:val="none"/>
          <w:lang w:eastAsia="zh-CN"/>
        </w:rPr>
        <w:t>分</w:t>
      </w:r>
      <w:r>
        <w:rPr>
          <w:rFonts w:hint="eastAsia" w:ascii="Times New Roman" w:hAnsi="Times New Roman" w:eastAsia="宋体" w:cs="Times New Roman"/>
          <w:color w:val="auto"/>
          <w:sz w:val="21"/>
          <w:szCs w:val="21"/>
          <w:highlight w:val="none"/>
          <w:u w:val="none"/>
        </w:rPr>
        <w:t>解表在招标完成后由发包人和承包人共同编制</w:t>
      </w:r>
      <w:r>
        <w:rPr>
          <w:rFonts w:hint="eastAsia" w:ascii="Times New Roman" w:hAnsi="Times New Roman" w:eastAsia="宋体" w:cs="Times New Roman"/>
          <w:color w:val="auto"/>
          <w:sz w:val="21"/>
          <w:szCs w:val="21"/>
          <w:highlight w:val="none"/>
          <w:u w:val="none"/>
          <w:lang w:eastAsia="zh-CN"/>
        </w:rPr>
        <w:t>，由</w:t>
      </w:r>
      <w:r>
        <w:rPr>
          <w:rFonts w:hint="eastAsia" w:ascii="Times New Roman" w:hAnsi="Times New Roman" w:eastAsia="宋体" w:cs="Times New Roman"/>
          <w:color w:val="auto"/>
          <w:sz w:val="21"/>
          <w:szCs w:val="21"/>
          <w:highlight w:val="none"/>
          <w:u w:val="none"/>
        </w:rPr>
        <w:t>发包人审批，并作为本合同内容，具体详见合同附件14。</w:t>
      </w:r>
    </w:p>
    <w:p w14:paraId="57727850">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单价合同的总价项目支付分解表的编制与审批：</w:t>
      </w:r>
      <w:r>
        <w:rPr>
          <w:rFonts w:hint="eastAsia" w:ascii="Times New Roman" w:hAnsi="宋体" w:eastAsia="宋体" w:cs="宋体"/>
          <w:color w:val="auto"/>
          <w:sz w:val="21"/>
          <w:szCs w:val="21"/>
          <w:highlight w:val="none"/>
          <w:lang w:eastAsia="zh-CN"/>
        </w:rPr>
        <w:t>单价合同的</w:t>
      </w:r>
      <w:r>
        <w:rPr>
          <w:rFonts w:hint="eastAsia" w:ascii="Times New Roman" w:hAnsi="宋体" w:eastAsia="宋体" w:cs="宋体"/>
          <w:color w:val="auto"/>
          <w:sz w:val="21"/>
          <w:szCs w:val="21"/>
          <w:highlight w:val="none"/>
        </w:rPr>
        <w:t>总价项目不采用支付分解表的方式计算</w:t>
      </w:r>
      <w:r>
        <w:rPr>
          <w:rFonts w:hint="eastAsia" w:ascii="Times New Roman" w:hAnsi="宋体" w:eastAsia="宋体" w:cs="宋体"/>
          <w:color w:val="auto"/>
          <w:sz w:val="21"/>
          <w:szCs w:val="21"/>
          <w:highlight w:val="none"/>
          <w:lang w:eastAsia="zh-CN"/>
        </w:rPr>
        <w:t>的，具体按</w:t>
      </w:r>
      <w:r>
        <w:rPr>
          <w:rFonts w:hint="eastAsia" w:ascii="Times New Roman" w:hAnsi="宋体" w:eastAsia="宋体" w:cs="宋体"/>
          <w:color w:val="auto"/>
          <w:sz w:val="21"/>
          <w:szCs w:val="21"/>
          <w:highlight w:val="none"/>
          <w:lang w:val="en-US" w:eastAsia="zh-CN"/>
        </w:rPr>
        <w:t>12.4.3约定计算</w:t>
      </w:r>
      <w:r>
        <w:rPr>
          <w:rFonts w:hint="eastAsia" w:ascii="Times New Roman" w:hAnsi="宋体" w:eastAsia="宋体" w:cs="宋体"/>
          <w:color w:val="auto"/>
          <w:sz w:val="21"/>
          <w:szCs w:val="21"/>
          <w:highlight w:val="none"/>
        </w:rPr>
        <w:t>。</w:t>
      </w:r>
    </w:p>
    <w:p w14:paraId="49D004EF">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lang w:val="en-US" w:eastAsia="zh-CN"/>
        </w:rPr>
        <w:t>12.4.7</w:t>
      </w:r>
      <w:r>
        <w:rPr>
          <w:rFonts w:hint="eastAsia" w:ascii="Times New Roman" w:hAnsi="宋体" w:eastAsia="宋体" w:cs="宋体"/>
          <w:color w:val="auto"/>
          <w:sz w:val="21"/>
          <w:szCs w:val="21"/>
          <w:highlight w:val="none"/>
        </w:rPr>
        <w:t>发承包双方签署确认的进度款工程计量成果不作为工程结算依据。</w:t>
      </w:r>
    </w:p>
    <w:p w14:paraId="30C1C659">
      <w:pPr>
        <w:spacing w:line="360" w:lineRule="auto"/>
        <w:ind w:firstLine="525"/>
        <w:jc w:val="left"/>
        <w:rPr>
          <w:rFonts w:hint="eastAsia" w:ascii="Times New Roman" w:hAnsi="宋体" w:eastAsia="宋体" w:cs="宋体"/>
          <w:color w:val="auto"/>
          <w:sz w:val="21"/>
          <w:szCs w:val="21"/>
          <w:highlight w:val="none"/>
        </w:rPr>
      </w:pPr>
    </w:p>
    <w:p w14:paraId="59904E77">
      <w:pPr>
        <w:spacing w:line="360" w:lineRule="auto"/>
        <w:ind w:firstLine="422"/>
        <w:jc w:val="left"/>
        <w:outlineLvl w:val="2"/>
        <w:rPr>
          <w:rFonts w:hint="eastAsia" w:ascii="Times New Roman" w:hAnsi="宋体" w:eastAsia="宋体" w:cs="宋体"/>
          <w:color w:val="auto"/>
          <w:sz w:val="21"/>
          <w:szCs w:val="21"/>
          <w:highlight w:val="none"/>
        </w:rPr>
      </w:pPr>
      <w:r>
        <w:rPr>
          <w:rFonts w:hint="default" w:ascii="Times New Roman" w:hAnsi="Times New Roman" w:eastAsia="黑体" w:cs="Times New Roman"/>
          <w:b/>
          <w:bCs/>
          <w:color w:val="auto"/>
          <w:sz w:val="21"/>
          <w:szCs w:val="21"/>
          <w:highlight w:val="none"/>
          <w:lang w:val="zh-CN" w:eastAsia="zh-CN"/>
        </w:rPr>
        <w:t>1</w:t>
      </w:r>
      <w:r>
        <w:rPr>
          <w:rFonts w:hint="default" w:ascii="Times New Roman" w:hAnsi="Times New Roman" w:eastAsia="黑体" w:cs="Times New Roman"/>
          <w:b/>
          <w:bCs/>
          <w:color w:val="auto"/>
          <w:sz w:val="21"/>
          <w:szCs w:val="21"/>
          <w:highlight w:val="none"/>
          <w:lang w:val="zh-CN"/>
        </w:rPr>
        <w:t>2.5过程结算</w:t>
      </w:r>
    </w:p>
    <w:p w14:paraId="39BCD49A">
      <w:p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本工程是否实施过程结算：□是       </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否。</w:t>
      </w:r>
    </w:p>
    <w:p w14:paraId="3EE4913D">
      <w:p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12.5.1过程结算节点划分：                      </w:t>
      </w:r>
    </w:p>
    <w:p w14:paraId="1512F322">
      <w:p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发承包双方对项目工程过程结算节点的划分如下：</w:t>
      </w:r>
    </w:p>
    <w:p w14:paraId="1A2FE589">
      <w:pPr>
        <w:numPr>
          <w:ilvl w:val="0"/>
          <w:numId w:val="0"/>
        </w:numPr>
        <w:spacing w:line="360" w:lineRule="auto"/>
        <w:ind w:firstLine="525"/>
        <w:jc w:val="left"/>
        <w:rPr>
          <w:rFonts w:hint="default" w:ascii="Times New Roman" w:hAnsi="宋体" w:eastAsia="宋体" w:cs="宋体"/>
          <w:color w:val="auto"/>
          <w:sz w:val="21"/>
          <w:szCs w:val="21"/>
          <w:highlight w:val="none"/>
          <w:u w:val="single"/>
          <w:lang w:val="en-US"/>
        </w:rPr>
      </w:pPr>
      <w:r>
        <w:rPr>
          <w:rFonts w:hint="eastAsia" w:ascii="Times New Roman" w:hAnsi="宋体" w:eastAsia="宋体" w:cs="宋体"/>
          <w:color w:val="auto"/>
          <w:sz w:val="21"/>
          <w:szCs w:val="21"/>
          <w:lang w:val="en-US" w:eastAsia="zh-CN" w:bidi="ar-SA"/>
        </w:rPr>
        <w:t>（1）</w:t>
      </w:r>
      <w:r>
        <w:rPr>
          <w:rFonts w:hint="eastAsia" w:ascii="Times New Roman" w:hAnsi="宋体" w:eastAsia="宋体" w:cs="宋体"/>
          <w:color w:val="auto"/>
          <w:sz w:val="21"/>
          <w:szCs w:val="21"/>
          <w:highlight w:val="none"/>
          <w:u w:val="single"/>
          <w:lang w:val="en-US" w:eastAsia="zh-CN"/>
        </w:rPr>
        <w:t xml:space="preserve">  /  </w:t>
      </w:r>
    </w:p>
    <w:p w14:paraId="3F919582">
      <w:pPr>
        <w:numPr>
          <w:ilvl w:val="0"/>
          <w:numId w:val="0"/>
        </w:num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lang w:val="en-US" w:eastAsia="zh-CN" w:bidi="ar-SA"/>
        </w:rPr>
        <w:t>（2）</w:t>
      </w:r>
      <w:r>
        <w:rPr>
          <w:rFonts w:hint="eastAsia" w:ascii="Times New Roman" w:hAnsi="宋体" w:eastAsia="宋体" w:cs="宋体"/>
          <w:color w:val="auto"/>
          <w:sz w:val="21"/>
          <w:szCs w:val="21"/>
          <w:highlight w:val="none"/>
          <w:u w:val="single"/>
          <w:lang w:val="en-US" w:eastAsia="zh-CN"/>
        </w:rPr>
        <w:t xml:space="preserve">  /  </w:t>
      </w:r>
    </w:p>
    <w:p w14:paraId="655EBB65">
      <w:pPr>
        <w:numPr>
          <w:ilvl w:val="0"/>
          <w:numId w:val="0"/>
        </w:numPr>
        <w:spacing w:line="360" w:lineRule="auto"/>
        <w:ind w:firstLine="525"/>
        <w:jc w:val="left"/>
        <w:rPr>
          <w:rFonts w:hint="eastAsia" w:ascii="Times New Roman" w:hAnsi="宋体" w:eastAsia="宋体" w:cs="宋体"/>
          <w:color w:val="auto"/>
          <w:sz w:val="21"/>
          <w:szCs w:val="21"/>
          <w:highlight w:val="none"/>
          <w:u w:val="single"/>
        </w:rPr>
      </w:pPr>
      <w:r>
        <w:rPr>
          <w:rFonts w:hint="eastAsia" w:ascii="Times New Roman" w:hAnsi="宋体" w:eastAsia="宋体" w:cs="宋体"/>
          <w:color w:val="auto"/>
          <w:sz w:val="21"/>
          <w:szCs w:val="21"/>
          <w:lang w:val="en-US" w:eastAsia="zh-CN" w:bidi="ar-SA"/>
        </w:rPr>
        <w:t>（3）</w:t>
      </w:r>
      <w:r>
        <w:rPr>
          <w:rFonts w:hint="eastAsia" w:ascii="Times New Roman" w:hAnsi="宋体" w:eastAsia="宋体" w:cs="宋体"/>
          <w:color w:val="auto"/>
          <w:sz w:val="21"/>
          <w:szCs w:val="21"/>
          <w:highlight w:val="none"/>
          <w:u w:val="single"/>
          <w:lang w:val="en-US" w:eastAsia="zh-CN"/>
        </w:rPr>
        <w:t xml:space="preserve">  /  </w:t>
      </w:r>
    </w:p>
    <w:p w14:paraId="7D8E2952">
      <w:pPr>
        <w:numPr>
          <w:ilvl w:val="0"/>
          <w:numId w:val="0"/>
        </w:numPr>
        <w:spacing w:line="360" w:lineRule="auto"/>
        <w:ind w:firstLine="525"/>
        <w:jc w:val="left"/>
        <w:rPr>
          <w:rFonts w:hint="eastAsia" w:ascii="Times New Roman" w:hAnsi="宋体" w:eastAsia="宋体" w:cs="宋体"/>
          <w:color w:val="auto"/>
          <w:sz w:val="21"/>
          <w:szCs w:val="21"/>
          <w:highlight w:val="none"/>
          <w:u w:val="single"/>
        </w:rPr>
      </w:pPr>
      <w:r>
        <w:rPr>
          <w:rFonts w:hint="eastAsia" w:ascii="Times New Roman" w:hAnsi="宋体" w:eastAsia="宋体" w:cs="宋体"/>
          <w:color w:val="auto"/>
          <w:sz w:val="21"/>
          <w:szCs w:val="21"/>
          <w:lang w:val="en-US" w:eastAsia="zh-CN" w:bidi="ar-SA"/>
        </w:rPr>
        <w:t>（4）</w:t>
      </w:r>
      <w:r>
        <w:rPr>
          <w:rFonts w:hint="eastAsia" w:ascii="Times New Roman" w:hAnsi="宋体" w:eastAsia="宋体" w:cs="宋体"/>
          <w:color w:val="auto"/>
          <w:sz w:val="21"/>
          <w:szCs w:val="21"/>
          <w:highlight w:val="none"/>
          <w:u w:val="single"/>
          <w:lang w:val="en-US" w:eastAsia="zh-CN"/>
        </w:rPr>
        <w:t xml:space="preserve">  /  </w:t>
      </w:r>
    </w:p>
    <w:p w14:paraId="740FC794">
      <w:p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划分提示</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发承包双方可根据项目大小合理划分，房屋建筑工程施工过程结算节点可分为土方开挖及基坑支护、桩基工程、地下室工程、地上主体结构工程（可分段）和装饰装修及安装工程（可分专业）等。市政基础设施建筑工程施工过程结算节点可采用分段、分单项或分专业合理划分。</w:t>
      </w:r>
    </w:p>
    <w:p w14:paraId="408B1A53">
      <w:p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12.5.2过程结算程序</w:t>
      </w:r>
    </w:p>
    <w:p w14:paraId="7239D55B">
      <w:p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12.5.2.1过程结算应在结算节点工程质量验收合格后进行。</w:t>
      </w:r>
    </w:p>
    <w:p w14:paraId="1740D9E5">
      <w:p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12.5.2.2发承包双方选择以下第</w:t>
      </w:r>
      <w:r>
        <w:rPr>
          <w:rFonts w:hint="eastAsia" w:ascii="Times New Roman"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u w:val="single"/>
          <w:lang w:val="en-US" w:eastAsia="zh-CN"/>
        </w:rPr>
        <w:t>2</w:t>
      </w:r>
      <w:r>
        <w:rPr>
          <w:rFonts w:hint="eastAsia" w:ascii="Times New Roman"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rPr>
        <w:t>种方式完成工程项目的过程结算：</w:t>
      </w:r>
    </w:p>
    <w:p w14:paraId="3E7E1136">
      <w:p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合同未约定竣工结算以财政部门意见为准时，承包方应在施工过程结算节点工程验收合格的</w:t>
      </w:r>
      <w:r>
        <w:rPr>
          <w:rFonts w:hint="eastAsia" w:ascii="Times New Roman" w:hAnsi="宋体" w:eastAsia="宋体" w:cs="宋体"/>
          <w:color w:val="auto"/>
          <w:sz w:val="21"/>
          <w:szCs w:val="21"/>
          <w:highlight w:val="none"/>
          <w:u w:val="single"/>
        </w:rPr>
        <w:t xml:space="preserve">  /  </w:t>
      </w:r>
      <w:r>
        <w:rPr>
          <w:rFonts w:hint="eastAsia" w:ascii="Times New Roman" w:hAnsi="宋体" w:eastAsia="宋体" w:cs="宋体"/>
          <w:color w:val="auto"/>
          <w:sz w:val="21"/>
          <w:szCs w:val="21"/>
          <w:highlight w:val="none"/>
        </w:rPr>
        <w:t>日内（根据过程结算节点工程量约定，但不得超过50天）向发包方递交完整的施工过程结算文件及相应结算资料；发包方收到上述文件资料后应在</w:t>
      </w:r>
      <w:r>
        <w:rPr>
          <w:rFonts w:hint="eastAsia" w:ascii="Times New Roman" w:hAnsi="宋体" w:eastAsia="宋体" w:cs="宋体"/>
          <w:color w:val="auto"/>
          <w:sz w:val="21"/>
          <w:szCs w:val="21"/>
          <w:highlight w:val="none"/>
          <w:u w:val="single"/>
        </w:rPr>
        <w:t xml:space="preserve">  /  </w:t>
      </w:r>
      <w:r>
        <w:rPr>
          <w:rFonts w:hint="eastAsia" w:ascii="Times New Roman" w:hAnsi="宋体" w:eastAsia="宋体" w:cs="宋体"/>
          <w:color w:val="auto"/>
          <w:sz w:val="21"/>
          <w:szCs w:val="21"/>
          <w:highlight w:val="none"/>
        </w:rPr>
        <w:t>日内（根据过程结算节点工程量约定，但审核时限不得超过附表规定的时间）完成施工过程结算的核对、确认。因发包方原因逾期未完成审核或已完成审核但是逾期向承包方提出异议的，可视同发包方认可承包方报送的施工过程结算文件。因承包方原因未在约定期限内 提交施工过程结算文件，发包方可以依据已有资料自行开展施工过程结算活动。</w:t>
      </w:r>
    </w:p>
    <w:p w14:paraId="0FA3D049">
      <w:p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施工过程结算发包方审核时限：</w:t>
      </w:r>
    </w:p>
    <w:tbl>
      <w:tblPr>
        <w:tblStyle w:val="48"/>
        <w:tblW w:w="94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3"/>
        <w:gridCol w:w="3049"/>
      </w:tblGrid>
      <w:tr w14:paraId="4526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356670D9">
            <w:pPr>
              <w:pStyle w:val="288"/>
              <w:keepNext w:val="0"/>
              <w:keepLines w:val="0"/>
              <w:suppressLineNumbers w:val="0"/>
              <w:spacing w:before="0" w:beforeAutospacing="0" w:after="0" w:afterAutospacing="0" w:line="360" w:lineRule="auto"/>
              <w:ind w:left="420" w:right="0" w:firstLine="0"/>
              <w:jc w:val="both"/>
              <w:rPr>
                <w:rFonts w:hint="default" w:ascii="Times New Roman" w:cs="Times New Roman"/>
                <w:color w:val="auto"/>
                <w:sz w:val="21"/>
                <w:szCs w:val="21"/>
                <w:highlight w:val="none"/>
                <w:lang w:val="en-US" w:eastAsia="zh-CN" w:bidi="ar-SA"/>
              </w:rPr>
            </w:pPr>
            <w:r>
              <w:rPr>
                <w:rFonts w:hint="eastAsia" w:ascii="Times New Roman" w:cs="Times New Roman"/>
                <w:color w:val="auto"/>
                <w:sz w:val="21"/>
                <w:szCs w:val="21"/>
                <w:highlight w:val="none"/>
                <w:lang w:val="en-US" w:eastAsia="zh-CN" w:bidi="ar-SA"/>
              </w:rPr>
              <w:t>过程结算金额</w:t>
            </w:r>
          </w:p>
        </w:tc>
        <w:tc>
          <w:tcPr>
            <w:tcW w:w="3049" w:type="dxa"/>
            <w:noWrap w:val="0"/>
            <w:vAlign w:val="center"/>
          </w:tcPr>
          <w:p w14:paraId="5E1D6A17">
            <w:pPr>
              <w:pStyle w:val="288"/>
              <w:keepNext w:val="0"/>
              <w:keepLines w:val="0"/>
              <w:suppressLineNumbers w:val="0"/>
              <w:spacing w:before="0" w:beforeAutospacing="0" w:after="0" w:afterAutospacing="0" w:line="360" w:lineRule="auto"/>
              <w:ind w:left="420" w:right="0" w:firstLine="0"/>
              <w:jc w:val="both"/>
              <w:rPr>
                <w:rFonts w:hint="default" w:ascii="Times New Roman" w:cs="Times New Roman"/>
                <w:color w:val="auto"/>
                <w:sz w:val="21"/>
                <w:szCs w:val="21"/>
                <w:highlight w:val="none"/>
                <w:lang w:val="en-US" w:eastAsia="zh-CN" w:bidi="ar-SA"/>
              </w:rPr>
            </w:pPr>
            <w:r>
              <w:rPr>
                <w:rFonts w:hint="eastAsia" w:ascii="Times New Roman" w:cs="Times New Roman"/>
                <w:color w:val="auto"/>
                <w:sz w:val="21"/>
                <w:szCs w:val="21"/>
                <w:highlight w:val="none"/>
                <w:lang w:val="en-US" w:eastAsia="zh-CN" w:bidi="ar-SA"/>
              </w:rPr>
              <w:t>审核时间</w:t>
            </w:r>
          </w:p>
        </w:tc>
      </w:tr>
      <w:tr w14:paraId="07EB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766AB133">
            <w:pPr>
              <w:pStyle w:val="288"/>
              <w:keepNext w:val="0"/>
              <w:keepLines w:val="0"/>
              <w:suppressLineNumbers w:val="0"/>
              <w:spacing w:before="0" w:beforeAutospacing="0" w:after="0" w:afterAutospacing="0" w:line="360" w:lineRule="auto"/>
              <w:ind w:left="420" w:right="0" w:firstLine="0"/>
              <w:jc w:val="both"/>
              <w:rPr>
                <w:rFonts w:hint="default" w:ascii="Times New Roman" w:cs="Times New Roman"/>
                <w:color w:val="auto"/>
                <w:sz w:val="21"/>
                <w:szCs w:val="21"/>
                <w:highlight w:val="none"/>
                <w:lang w:val="en-US" w:eastAsia="zh-CN" w:bidi="ar-SA"/>
              </w:rPr>
            </w:pPr>
            <w:r>
              <w:rPr>
                <w:rFonts w:hint="default" w:ascii="Times New Roman" w:cs="Times New Roman"/>
                <w:color w:val="auto"/>
                <w:sz w:val="21"/>
                <w:szCs w:val="21"/>
                <w:highlight w:val="none"/>
                <w:lang w:val="en-US" w:eastAsia="zh-CN" w:bidi="ar-SA"/>
              </w:rPr>
              <w:t>500</w:t>
            </w:r>
            <w:r>
              <w:rPr>
                <w:rFonts w:hint="eastAsia" w:ascii="Times New Roman" w:cs="Times New Roman"/>
                <w:color w:val="auto"/>
                <w:sz w:val="21"/>
                <w:szCs w:val="21"/>
                <w:highlight w:val="none"/>
                <w:lang w:val="en-US" w:eastAsia="zh-CN" w:bidi="ar-SA"/>
              </w:rPr>
              <w:t>万元以下</w:t>
            </w:r>
          </w:p>
        </w:tc>
        <w:tc>
          <w:tcPr>
            <w:tcW w:w="3049" w:type="dxa"/>
            <w:noWrap w:val="0"/>
            <w:vAlign w:val="center"/>
          </w:tcPr>
          <w:p w14:paraId="7F5D6E59">
            <w:pPr>
              <w:pStyle w:val="288"/>
              <w:keepNext w:val="0"/>
              <w:keepLines w:val="0"/>
              <w:suppressLineNumbers w:val="0"/>
              <w:spacing w:before="0" w:beforeAutospacing="0" w:after="0" w:afterAutospacing="0" w:line="360" w:lineRule="auto"/>
              <w:ind w:left="420" w:right="0" w:firstLine="0"/>
              <w:jc w:val="both"/>
              <w:rPr>
                <w:rFonts w:hint="default" w:ascii="Times New Roman" w:cs="Times New Roman"/>
                <w:color w:val="auto"/>
                <w:sz w:val="21"/>
                <w:szCs w:val="21"/>
                <w:highlight w:val="none"/>
                <w:lang w:val="en-US" w:eastAsia="zh-CN" w:bidi="ar-SA"/>
              </w:rPr>
            </w:pPr>
            <w:r>
              <w:rPr>
                <w:rFonts w:hint="default" w:ascii="Times New Roman" w:cs="Times New Roman"/>
                <w:color w:val="auto"/>
                <w:sz w:val="21"/>
                <w:szCs w:val="21"/>
                <w:highlight w:val="none"/>
                <w:lang w:val="en-US" w:eastAsia="zh-CN" w:bidi="ar-SA"/>
              </w:rPr>
              <w:t>20</w:t>
            </w:r>
            <w:r>
              <w:rPr>
                <w:rFonts w:hint="eastAsia" w:ascii="Times New Roman" w:cs="Times New Roman"/>
                <w:color w:val="auto"/>
                <w:sz w:val="21"/>
                <w:szCs w:val="21"/>
                <w:highlight w:val="none"/>
                <w:lang w:val="en-US" w:eastAsia="zh-CN" w:bidi="ar-SA"/>
              </w:rPr>
              <w:t>天</w:t>
            </w:r>
          </w:p>
        </w:tc>
      </w:tr>
      <w:tr w14:paraId="31234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2C0FCEC1">
            <w:pPr>
              <w:pStyle w:val="288"/>
              <w:keepNext w:val="0"/>
              <w:keepLines w:val="0"/>
              <w:suppressLineNumbers w:val="0"/>
              <w:spacing w:before="0" w:beforeAutospacing="0" w:after="0" w:afterAutospacing="0" w:line="360" w:lineRule="auto"/>
              <w:ind w:left="420" w:right="0" w:firstLine="0"/>
              <w:jc w:val="both"/>
              <w:rPr>
                <w:rFonts w:hint="default" w:ascii="Times New Roman" w:cs="Times New Roman"/>
                <w:color w:val="auto"/>
                <w:sz w:val="21"/>
                <w:szCs w:val="21"/>
                <w:highlight w:val="none"/>
                <w:lang w:val="en-US" w:eastAsia="zh-CN" w:bidi="ar-SA"/>
              </w:rPr>
            </w:pPr>
            <w:r>
              <w:rPr>
                <w:rFonts w:hint="default" w:ascii="Times New Roman" w:cs="Times New Roman"/>
                <w:color w:val="auto"/>
                <w:sz w:val="21"/>
                <w:szCs w:val="21"/>
                <w:highlight w:val="none"/>
                <w:lang w:val="en-US" w:eastAsia="zh-CN" w:bidi="ar-SA"/>
              </w:rPr>
              <w:t>500</w:t>
            </w:r>
            <w:r>
              <w:rPr>
                <w:rFonts w:hint="eastAsia" w:ascii="Times New Roman" w:cs="Times New Roman"/>
                <w:color w:val="auto"/>
                <w:sz w:val="21"/>
                <w:szCs w:val="21"/>
                <w:highlight w:val="none"/>
                <w:lang w:val="en-US" w:eastAsia="zh-CN" w:bidi="ar-SA"/>
              </w:rPr>
              <w:t>万元</w:t>
            </w:r>
            <w:r>
              <w:rPr>
                <w:rFonts w:hint="default" w:ascii="Times New Roman" w:cs="Times New Roman"/>
                <w:color w:val="auto"/>
                <w:sz w:val="21"/>
                <w:szCs w:val="21"/>
                <w:highlight w:val="none"/>
                <w:lang w:val="en-US" w:eastAsia="zh-CN" w:bidi="ar-SA"/>
              </w:rPr>
              <w:t>-2000</w:t>
            </w:r>
            <w:r>
              <w:rPr>
                <w:rFonts w:hint="eastAsia" w:ascii="Times New Roman" w:cs="Times New Roman"/>
                <w:color w:val="auto"/>
                <w:sz w:val="21"/>
                <w:szCs w:val="21"/>
                <w:highlight w:val="none"/>
                <w:lang w:val="en-US" w:eastAsia="zh-CN" w:bidi="ar-SA"/>
              </w:rPr>
              <w:t>万元</w:t>
            </w:r>
          </w:p>
        </w:tc>
        <w:tc>
          <w:tcPr>
            <w:tcW w:w="3049" w:type="dxa"/>
            <w:noWrap w:val="0"/>
            <w:vAlign w:val="center"/>
          </w:tcPr>
          <w:p w14:paraId="6791FD67">
            <w:pPr>
              <w:pStyle w:val="288"/>
              <w:keepNext w:val="0"/>
              <w:keepLines w:val="0"/>
              <w:suppressLineNumbers w:val="0"/>
              <w:spacing w:before="0" w:beforeAutospacing="0" w:after="0" w:afterAutospacing="0" w:line="360" w:lineRule="auto"/>
              <w:ind w:left="420" w:right="0" w:firstLine="0"/>
              <w:jc w:val="both"/>
              <w:rPr>
                <w:rFonts w:hint="default" w:ascii="Times New Roman" w:cs="Times New Roman"/>
                <w:color w:val="auto"/>
                <w:sz w:val="21"/>
                <w:szCs w:val="21"/>
                <w:highlight w:val="none"/>
                <w:lang w:val="en-US" w:eastAsia="zh-CN" w:bidi="ar-SA"/>
              </w:rPr>
            </w:pPr>
            <w:r>
              <w:rPr>
                <w:rFonts w:hint="default" w:ascii="Times New Roman" w:cs="Times New Roman"/>
                <w:color w:val="auto"/>
                <w:sz w:val="21"/>
                <w:szCs w:val="21"/>
                <w:highlight w:val="none"/>
                <w:lang w:val="en-US" w:eastAsia="zh-CN" w:bidi="ar-SA"/>
              </w:rPr>
              <w:t>30</w:t>
            </w:r>
            <w:r>
              <w:rPr>
                <w:rFonts w:hint="eastAsia" w:ascii="Times New Roman" w:cs="Times New Roman"/>
                <w:color w:val="auto"/>
                <w:sz w:val="21"/>
                <w:szCs w:val="21"/>
                <w:highlight w:val="none"/>
                <w:lang w:val="en-US" w:eastAsia="zh-CN" w:bidi="ar-SA"/>
              </w:rPr>
              <w:t>天</w:t>
            </w:r>
          </w:p>
        </w:tc>
      </w:tr>
      <w:tr w14:paraId="6B68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085BDFC4">
            <w:pPr>
              <w:pStyle w:val="288"/>
              <w:keepNext w:val="0"/>
              <w:keepLines w:val="0"/>
              <w:suppressLineNumbers w:val="0"/>
              <w:spacing w:before="0" w:beforeAutospacing="0" w:after="0" w:afterAutospacing="0" w:line="360" w:lineRule="auto"/>
              <w:ind w:left="420" w:right="0" w:firstLine="0"/>
              <w:jc w:val="both"/>
              <w:rPr>
                <w:rFonts w:hint="default" w:ascii="Times New Roman" w:cs="Times New Roman"/>
                <w:color w:val="auto"/>
                <w:sz w:val="21"/>
                <w:szCs w:val="21"/>
                <w:highlight w:val="none"/>
                <w:lang w:val="en-US" w:eastAsia="zh-CN" w:bidi="ar-SA"/>
              </w:rPr>
            </w:pPr>
            <w:r>
              <w:rPr>
                <w:rFonts w:hint="default" w:ascii="Times New Roman" w:cs="Times New Roman"/>
                <w:color w:val="auto"/>
                <w:sz w:val="21"/>
                <w:szCs w:val="21"/>
                <w:highlight w:val="none"/>
                <w:lang w:val="en-US" w:eastAsia="zh-CN" w:bidi="ar-SA"/>
              </w:rPr>
              <w:t>2000</w:t>
            </w:r>
            <w:r>
              <w:rPr>
                <w:rFonts w:hint="eastAsia" w:ascii="Times New Roman" w:cs="Times New Roman"/>
                <w:color w:val="auto"/>
                <w:sz w:val="21"/>
                <w:szCs w:val="21"/>
                <w:highlight w:val="none"/>
                <w:lang w:val="en-US" w:eastAsia="zh-CN" w:bidi="ar-SA"/>
              </w:rPr>
              <w:t>万元</w:t>
            </w:r>
            <w:r>
              <w:rPr>
                <w:rFonts w:hint="default" w:ascii="Times New Roman" w:cs="Times New Roman"/>
                <w:color w:val="auto"/>
                <w:sz w:val="21"/>
                <w:szCs w:val="21"/>
                <w:highlight w:val="none"/>
                <w:lang w:val="en-US" w:eastAsia="zh-CN" w:bidi="ar-SA"/>
              </w:rPr>
              <w:t>-5000</w:t>
            </w:r>
            <w:r>
              <w:rPr>
                <w:rFonts w:hint="eastAsia" w:ascii="Times New Roman" w:cs="Times New Roman"/>
                <w:color w:val="auto"/>
                <w:sz w:val="21"/>
                <w:szCs w:val="21"/>
                <w:highlight w:val="none"/>
                <w:lang w:val="en-US" w:eastAsia="zh-CN" w:bidi="ar-SA"/>
              </w:rPr>
              <w:t>万元</w:t>
            </w:r>
          </w:p>
        </w:tc>
        <w:tc>
          <w:tcPr>
            <w:tcW w:w="3049" w:type="dxa"/>
            <w:noWrap w:val="0"/>
            <w:vAlign w:val="center"/>
          </w:tcPr>
          <w:p w14:paraId="392E0F8D">
            <w:pPr>
              <w:pStyle w:val="288"/>
              <w:keepNext w:val="0"/>
              <w:keepLines w:val="0"/>
              <w:suppressLineNumbers w:val="0"/>
              <w:spacing w:before="0" w:beforeAutospacing="0" w:after="0" w:afterAutospacing="0" w:line="360" w:lineRule="auto"/>
              <w:ind w:left="420" w:right="0" w:firstLine="0"/>
              <w:jc w:val="both"/>
              <w:rPr>
                <w:rFonts w:hint="default" w:ascii="Times New Roman" w:cs="Times New Roman"/>
                <w:color w:val="auto"/>
                <w:sz w:val="21"/>
                <w:szCs w:val="21"/>
                <w:highlight w:val="none"/>
                <w:lang w:val="en-US" w:eastAsia="zh-CN" w:bidi="ar-SA"/>
              </w:rPr>
            </w:pPr>
            <w:r>
              <w:rPr>
                <w:rFonts w:hint="default" w:ascii="Times New Roman" w:cs="Times New Roman"/>
                <w:color w:val="auto"/>
                <w:sz w:val="21"/>
                <w:szCs w:val="21"/>
                <w:highlight w:val="none"/>
                <w:lang w:val="en-US" w:eastAsia="zh-CN" w:bidi="ar-SA"/>
              </w:rPr>
              <w:t>45</w:t>
            </w:r>
            <w:r>
              <w:rPr>
                <w:rFonts w:hint="eastAsia" w:ascii="Times New Roman" w:cs="Times New Roman"/>
                <w:color w:val="auto"/>
                <w:sz w:val="21"/>
                <w:szCs w:val="21"/>
                <w:highlight w:val="none"/>
                <w:lang w:val="en-US" w:eastAsia="zh-CN" w:bidi="ar-SA"/>
              </w:rPr>
              <w:t>天</w:t>
            </w:r>
          </w:p>
        </w:tc>
      </w:tr>
      <w:tr w14:paraId="34AD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75C33125">
            <w:pPr>
              <w:pStyle w:val="288"/>
              <w:keepNext w:val="0"/>
              <w:keepLines w:val="0"/>
              <w:suppressLineNumbers w:val="0"/>
              <w:spacing w:before="0" w:beforeAutospacing="0" w:after="0" w:afterAutospacing="0" w:line="360" w:lineRule="auto"/>
              <w:ind w:left="420" w:right="0" w:firstLine="0"/>
              <w:jc w:val="both"/>
              <w:rPr>
                <w:rFonts w:hint="default" w:ascii="Times New Roman" w:cs="Times New Roman"/>
                <w:color w:val="auto"/>
                <w:sz w:val="21"/>
                <w:szCs w:val="21"/>
                <w:highlight w:val="none"/>
                <w:lang w:val="en-US" w:eastAsia="zh-CN" w:bidi="ar-SA"/>
              </w:rPr>
            </w:pPr>
            <w:r>
              <w:rPr>
                <w:rFonts w:hint="default" w:ascii="Times New Roman" w:cs="Times New Roman"/>
                <w:color w:val="auto"/>
                <w:sz w:val="21"/>
                <w:szCs w:val="21"/>
                <w:highlight w:val="none"/>
                <w:lang w:val="en-US" w:eastAsia="zh-CN" w:bidi="ar-SA"/>
              </w:rPr>
              <w:t>5000</w:t>
            </w:r>
            <w:r>
              <w:rPr>
                <w:rFonts w:hint="eastAsia" w:ascii="Times New Roman" w:cs="Times New Roman"/>
                <w:color w:val="auto"/>
                <w:sz w:val="21"/>
                <w:szCs w:val="21"/>
                <w:highlight w:val="none"/>
                <w:lang w:val="en-US" w:eastAsia="zh-CN" w:bidi="ar-SA"/>
              </w:rPr>
              <w:t>万元以上</w:t>
            </w:r>
          </w:p>
        </w:tc>
        <w:tc>
          <w:tcPr>
            <w:tcW w:w="3049" w:type="dxa"/>
            <w:noWrap w:val="0"/>
            <w:vAlign w:val="center"/>
          </w:tcPr>
          <w:p w14:paraId="653259AB">
            <w:pPr>
              <w:pStyle w:val="288"/>
              <w:keepNext w:val="0"/>
              <w:keepLines w:val="0"/>
              <w:suppressLineNumbers w:val="0"/>
              <w:spacing w:before="0" w:beforeAutospacing="0" w:after="0" w:afterAutospacing="0" w:line="360" w:lineRule="auto"/>
              <w:ind w:left="420" w:right="0" w:firstLine="0"/>
              <w:jc w:val="both"/>
              <w:rPr>
                <w:rFonts w:hint="default" w:ascii="Times New Roman" w:cs="Times New Roman"/>
                <w:color w:val="auto"/>
                <w:sz w:val="21"/>
                <w:szCs w:val="21"/>
                <w:highlight w:val="none"/>
                <w:lang w:val="en-US" w:eastAsia="zh-CN" w:bidi="ar-SA"/>
              </w:rPr>
            </w:pPr>
            <w:r>
              <w:rPr>
                <w:rFonts w:hint="default" w:ascii="Times New Roman" w:cs="Times New Roman"/>
                <w:color w:val="auto"/>
                <w:sz w:val="21"/>
                <w:szCs w:val="21"/>
                <w:highlight w:val="none"/>
                <w:lang w:val="en-US" w:eastAsia="zh-CN" w:bidi="ar-SA"/>
              </w:rPr>
              <w:t>60</w:t>
            </w:r>
            <w:r>
              <w:rPr>
                <w:rFonts w:hint="eastAsia" w:ascii="Times New Roman" w:cs="Times New Roman"/>
                <w:color w:val="auto"/>
                <w:sz w:val="21"/>
                <w:szCs w:val="21"/>
                <w:highlight w:val="none"/>
                <w:lang w:val="en-US" w:eastAsia="zh-CN" w:bidi="ar-SA"/>
              </w:rPr>
              <w:t>天</w:t>
            </w:r>
          </w:p>
        </w:tc>
      </w:tr>
      <w:tr w14:paraId="7888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65A65C4D">
            <w:pPr>
              <w:pStyle w:val="288"/>
              <w:keepNext w:val="0"/>
              <w:keepLines w:val="0"/>
              <w:suppressLineNumbers w:val="0"/>
              <w:spacing w:before="0" w:beforeAutospacing="0" w:after="0" w:afterAutospacing="0" w:line="360" w:lineRule="auto"/>
              <w:ind w:left="420" w:right="0" w:firstLine="0"/>
              <w:jc w:val="both"/>
              <w:rPr>
                <w:rFonts w:hint="default" w:ascii="Times New Roman" w:cs="Times New Roman"/>
                <w:color w:val="auto"/>
                <w:sz w:val="21"/>
                <w:szCs w:val="21"/>
                <w:highlight w:val="none"/>
                <w:lang w:val="en-US" w:eastAsia="zh-CN" w:bidi="ar-SA"/>
              </w:rPr>
            </w:pPr>
            <w:r>
              <w:rPr>
                <w:rFonts w:hint="eastAsia" w:ascii="Times New Roman" w:cs="Times New Roman"/>
                <w:color w:val="auto"/>
                <w:sz w:val="21"/>
                <w:szCs w:val="21"/>
                <w:highlight w:val="none"/>
                <w:lang w:val="en-US" w:eastAsia="zh-CN" w:bidi="ar-SA"/>
              </w:rPr>
              <w:t>5000万以上每增加</w:t>
            </w:r>
            <w:r>
              <w:rPr>
                <w:rFonts w:hint="default" w:ascii="Times New Roman" w:cs="Times New Roman"/>
                <w:color w:val="auto"/>
                <w:sz w:val="21"/>
                <w:szCs w:val="21"/>
                <w:highlight w:val="none"/>
                <w:lang w:val="en-US" w:eastAsia="zh-CN" w:bidi="ar-SA"/>
              </w:rPr>
              <w:t>0.5</w:t>
            </w:r>
            <w:r>
              <w:rPr>
                <w:rFonts w:hint="eastAsia" w:ascii="Times New Roman" w:cs="Times New Roman"/>
                <w:color w:val="auto"/>
                <w:sz w:val="21"/>
                <w:szCs w:val="21"/>
                <w:highlight w:val="none"/>
                <w:lang w:val="en-US" w:eastAsia="zh-CN" w:bidi="ar-SA"/>
              </w:rPr>
              <w:t>亿（不足0.5亿不增加）</w:t>
            </w:r>
          </w:p>
        </w:tc>
        <w:tc>
          <w:tcPr>
            <w:tcW w:w="3049" w:type="dxa"/>
            <w:noWrap w:val="0"/>
            <w:vAlign w:val="center"/>
          </w:tcPr>
          <w:p w14:paraId="3FACE9EB">
            <w:pPr>
              <w:pStyle w:val="288"/>
              <w:keepNext w:val="0"/>
              <w:keepLines w:val="0"/>
              <w:suppressLineNumbers w:val="0"/>
              <w:spacing w:before="0" w:beforeAutospacing="0" w:after="0" w:afterAutospacing="0" w:line="360" w:lineRule="auto"/>
              <w:ind w:left="420" w:right="0" w:firstLine="0"/>
              <w:jc w:val="both"/>
              <w:rPr>
                <w:rFonts w:hint="eastAsia" w:ascii="Times New Roman" w:cs="Times New Roman"/>
                <w:color w:val="auto"/>
                <w:sz w:val="21"/>
                <w:szCs w:val="21"/>
                <w:highlight w:val="none"/>
                <w:lang w:val="en-US" w:eastAsia="zh-CN" w:bidi="ar-SA"/>
              </w:rPr>
            </w:pPr>
            <w:r>
              <w:rPr>
                <w:rFonts w:hint="eastAsia" w:ascii="Times New Roman" w:cs="Times New Roman"/>
                <w:color w:val="auto"/>
                <w:sz w:val="21"/>
                <w:szCs w:val="21"/>
                <w:highlight w:val="none"/>
                <w:lang w:val="en-US" w:eastAsia="zh-CN" w:bidi="ar-SA"/>
              </w:rPr>
              <w:t>增加10天</w:t>
            </w:r>
          </w:p>
        </w:tc>
      </w:tr>
    </w:tbl>
    <w:p w14:paraId="5F189795">
      <w:pPr>
        <w:spacing w:line="360" w:lineRule="auto"/>
        <w:ind w:firstLine="525"/>
        <w:jc w:val="left"/>
        <w:rPr>
          <w:rFonts w:hint="eastAsia" w:ascii="Times New Roman" w:hAnsi="宋体" w:eastAsia="宋体" w:cs="宋体"/>
          <w:color w:val="auto"/>
          <w:sz w:val="21"/>
          <w:szCs w:val="21"/>
          <w:highlight w:val="none"/>
        </w:rPr>
      </w:pPr>
    </w:p>
    <w:p w14:paraId="6302A93A">
      <w:pPr>
        <w:spacing w:line="360" w:lineRule="auto"/>
        <w:ind w:firstLine="0"/>
        <w:jc w:val="left"/>
        <w:rPr>
          <w:rFonts w:hint="eastAsia" w:ascii="Times New Roman" w:hAnsi="宋体" w:eastAsia="宋体" w:cs="宋体"/>
          <w:color w:val="auto"/>
          <w:sz w:val="21"/>
          <w:szCs w:val="21"/>
          <w:highlight w:val="none"/>
        </w:rPr>
      </w:pPr>
      <w:r>
        <w:rPr>
          <w:rFonts w:hint="default" w:ascii="Times New Roman" w:hAnsi="宋体" w:eastAsia="宋体" w:cs="宋体"/>
          <w:color w:val="auto"/>
          <w:sz w:val="21"/>
          <w:szCs w:val="21"/>
          <w:highlight w:val="none"/>
          <w:lang w:val="en"/>
        </w:rPr>
        <w:t xml:space="preserve">    </w:t>
      </w:r>
      <w:r>
        <w:rPr>
          <w:rFonts w:hint="eastAsia" w:ascii="Times New Roman" w:hAnsi="宋体" w:eastAsia="宋体" w:cs="宋体"/>
          <w:color w:val="auto"/>
          <w:sz w:val="21"/>
          <w:szCs w:val="21"/>
          <w:highlight w:val="none"/>
        </w:rPr>
        <w:t>（2）合同约定竣工结算以财政部门意见为准时，承包方应在施工过程结算节点工程验收合格后的</w:t>
      </w:r>
      <w:r>
        <w:rPr>
          <w:rFonts w:hint="eastAsia" w:ascii="Times New Roman" w:hAnsi="宋体" w:eastAsia="宋体" w:cs="宋体"/>
          <w:color w:val="auto"/>
          <w:sz w:val="21"/>
          <w:szCs w:val="21"/>
          <w:highlight w:val="none"/>
          <w:u w:val="single"/>
          <w:lang w:val="en-US" w:eastAsia="zh-CN"/>
        </w:rPr>
        <w:t>40</w:t>
      </w:r>
      <w:r>
        <w:rPr>
          <w:rFonts w:hint="eastAsia" w:ascii="Times New Roman" w:hAnsi="宋体" w:eastAsia="宋体" w:cs="宋体"/>
          <w:color w:val="auto"/>
          <w:sz w:val="21"/>
          <w:szCs w:val="21"/>
          <w:highlight w:val="none"/>
        </w:rPr>
        <w:t>天内（根据过程结算节点工程量约定，但不得超过50天）向发包方递交完整的施工过程结算文件及相应结算资料；发包方和财政部门收到上述文件资料后应在</w:t>
      </w:r>
      <w:r>
        <w:rPr>
          <w:rFonts w:hint="eastAsia" w:ascii="Times New Roman" w:hAnsi="宋体" w:eastAsia="宋体" w:cs="宋体"/>
          <w:color w:val="auto"/>
          <w:sz w:val="21"/>
          <w:szCs w:val="21"/>
          <w:highlight w:val="none"/>
          <w:u w:val="single"/>
          <w:lang w:val="en-US" w:eastAsia="zh-CN"/>
        </w:rPr>
        <w:t>40</w:t>
      </w:r>
      <w:r>
        <w:rPr>
          <w:rFonts w:hint="eastAsia" w:ascii="Times New Roman" w:hAnsi="宋体" w:eastAsia="宋体" w:cs="宋体"/>
          <w:color w:val="auto"/>
          <w:sz w:val="21"/>
          <w:szCs w:val="21"/>
          <w:highlight w:val="none"/>
        </w:rPr>
        <w:t>天内（根据过程结算节点工程量约定，但共同审核时限不得超过附表规定的时间）完成施工过程结算的核对、确认。因发包方和财政部门原因逾期未完成审核或已完成审核但是逾期向承包方提出异议的，应当视同发包方认可承包方报送的施工过程结算文件。因承包方原因未在约定期限内 提交施工过程结算文件，发包方可以依据已有资料自行开展施工过程结算活动。</w:t>
      </w:r>
    </w:p>
    <w:p w14:paraId="4529D165">
      <w:p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施工过程结算发包方与财政部门共同审核时限</w:t>
      </w:r>
    </w:p>
    <w:tbl>
      <w:tblPr>
        <w:tblStyle w:val="48"/>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1"/>
        <w:gridCol w:w="2918"/>
      </w:tblGrid>
      <w:tr w14:paraId="59A1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6101" w:type="dxa"/>
            <w:noWrap w:val="0"/>
            <w:vAlign w:val="center"/>
          </w:tcPr>
          <w:p w14:paraId="7A906E27">
            <w:pPr>
              <w:pStyle w:val="288"/>
              <w:keepNext w:val="0"/>
              <w:keepLines w:val="0"/>
              <w:suppressLineNumbers w:val="0"/>
              <w:spacing w:before="0" w:beforeAutospacing="0" w:after="0" w:afterAutospacing="0" w:line="360" w:lineRule="auto"/>
              <w:ind w:left="0" w:right="0" w:firstLine="620"/>
              <w:rPr>
                <w:rFonts w:hint="default" w:ascii="Times New Roman" w:cs="Times New Roman"/>
                <w:color w:val="auto"/>
                <w:sz w:val="21"/>
                <w:szCs w:val="21"/>
                <w:highlight w:val="none"/>
                <w:lang w:val="en-US" w:eastAsia="zh-CN" w:bidi="ar-SA"/>
              </w:rPr>
            </w:pPr>
            <w:r>
              <w:rPr>
                <w:rFonts w:hint="eastAsia" w:ascii="Times New Roman" w:cs="Times New Roman"/>
                <w:color w:val="auto"/>
                <w:sz w:val="21"/>
                <w:szCs w:val="21"/>
                <w:highlight w:val="none"/>
                <w:lang w:val="en-US" w:eastAsia="zh-CN" w:bidi="ar-SA"/>
              </w:rPr>
              <w:t>过程结算金额</w:t>
            </w:r>
          </w:p>
        </w:tc>
        <w:tc>
          <w:tcPr>
            <w:tcW w:w="2918" w:type="dxa"/>
            <w:noWrap w:val="0"/>
            <w:vAlign w:val="center"/>
          </w:tcPr>
          <w:p w14:paraId="64B75F78">
            <w:pPr>
              <w:pStyle w:val="288"/>
              <w:keepNext w:val="0"/>
              <w:keepLines w:val="0"/>
              <w:suppressLineNumbers w:val="0"/>
              <w:spacing w:before="0" w:beforeAutospacing="0" w:after="0" w:afterAutospacing="0" w:line="360" w:lineRule="auto"/>
              <w:ind w:left="0" w:right="0" w:firstLine="620"/>
              <w:rPr>
                <w:rFonts w:hint="default" w:ascii="Times New Roman" w:cs="Times New Roman"/>
                <w:color w:val="auto"/>
                <w:sz w:val="21"/>
                <w:szCs w:val="21"/>
                <w:highlight w:val="none"/>
                <w:lang w:val="en-US" w:eastAsia="zh-CN" w:bidi="ar-SA"/>
              </w:rPr>
            </w:pPr>
            <w:r>
              <w:rPr>
                <w:rFonts w:hint="eastAsia" w:ascii="Times New Roman" w:cs="Times New Roman"/>
                <w:color w:val="auto"/>
                <w:sz w:val="21"/>
                <w:szCs w:val="21"/>
                <w:highlight w:val="none"/>
                <w:lang w:val="en-US" w:eastAsia="zh-CN" w:bidi="ar-SA"/>
              </w:rPr>
              <w:t>审核时间</w:t>
            </w:r>
          </w:p>
        </w:tc>
      </w:tr>
      <w:tr w14:paraId="4FED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2EA73F26">
            <w:pPr>
              <w:pStyle w:val="288"/>
              <w:keepNext w:val="0"/>
              <w:keepLines w:val="0"/>
              <w:suppressLineNumbers w:val="0"/>
              <w:spacing w:before="0" w:beforeAutospacing="0" w:after="0" w:afterAutospacing="0" w:line="360" w:lineRule="auto"/>
              <w:ind w:left="0" w:right="0" w:firstLine="620"/>
              <w:rPr>
                <w:rFonts w:hint="default" w:ascii="Times New Roman" w:cs="Times New Roman"/>
                <w:color w:val="auto"/>
                <w:sz w:val="21"/>
                <w:szCs w:val="21"/>
                <w:highlight w:val="none"/>
                <w:lang w:val="en-US" w:eastAsia="zh-CN" w:bidi="ar-SA"/>
              </w:rPr>
            </w:pPr>
            <w:r>
              <w:rPr>
                <w:rFonts w:hint="default" w:ascii="Times New Roman" w:cs="Times New Roman"/>
                <w:color w:val="auto"/>
                <w:sz w:val="21"/>
                <w:szCs w:val="21"/>
                <w:highlight w:val="none"/>
                <w:lang w:val="en-US" w:eastAsia="zh-CN" w:bidi="ar-SA"/>
              </w:rPr>
              <w:t>500</w:t>
            </w:r>
            <w:r>
              <w:rPr>
                <w:rFonts w:hint="eastAsia" w:ascii="Times New Roman" w:cs="Times New Roman"/>
                <w:color w:val="auto"/>
                <w:sz w:val="21"/>
                <w:szCs w:val="21"/>
                <w:highlight w:val="none"/>
                <w:lang w:val="en-US" w:eastAsia="zh-CN" w:bidi="ar-SA"/>
              </w:rPr>
              <w:t>万元以下</w:t>
            </w:r>
          </w:p>
        </w:tc>
        <w:tc>
          <w:tcPr>
            <w:tcW w:w="2918" w:type="dxa"/>
            <w:noWrap w:val="0"/>
            <w:vAlign w:val="center"/>
          </w:tcPr>
          <w:p w14:paraId="3D3003B9">
            <w:pPr>
              <w:pStyle w:val="288"/>
              <w:keepNext w:val="0"/>
              <w:keepLines w:val="0"/>
              <w:suppressLineNumbers w:val="0"/>
              <w:spacing w:before="0" w:beforeAutospacing="0" w:after="0" w:afterAutospacing="0" w:line="360" w:lineRule="auto"/>
              <w:ind w:left="0" w:right="0" w:firstLine="620"/>
              <w:rPr>
                <w:rFonts w:hint="default" w:ascii="Times New Roman" w:cs="Times New Roman"/>
                <w:color w:val="auto"/>
                <w:sz w:val="21"/>
                <w:szCs w:val="21"/>
                <w:highlight w:val="none"/>
                <w:lang w:val="en-US" w:eastAsia="zh-CN" w:bidi="ar-SA"/>
              </w:rPr>
            </w:pPr>
            <w:r>
              <w:rPr>
                <w:rFonts w:hint="eastAsia" w:ascii="Times New Roman" w:cs="Times New Roman"/>
                <w:color w:val="auto"/>
                <w:sz w:val="21"/>
                <w:szCs w:val="21"/>
                <w:highlight w:val="none"/>
                <w:lang w:val="en-US" w:eastAsia="zh-CN" w:bidi="ar-SA"/>
              </w:rPr>
              <w:t>40天</w:t>
            </w:r>
          </w:p>
        </w:tc>
      </w:tr>
      <w:tr w14:paraId="48637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461B2B4E">
            <w:pPr>
              <w:pStyle w:val="288"/>
              <w:keepNext w:val="0"/>
              <w:keepLines w:val="0"/>
              <w:suppressLineNumbers w:val="0"/>
              <w:spacing w:before="0" w:beforeAutospacing="0" w:after="0" w:afterAutospacing="0" w:line="360" w:lineRule="auto"/>
              <w:ind w:left="0" w:right="0" w:firstLine="620"/>
              <w:rPr>
                <w:rFonts w:hint="default" w:ascii="Times New Roman" w:cs="Times New Roman"/>
                <w:color w:val="auto"/>
                <w:sz w:val="21"/>
                <w:szCs w:val="21"/>
                <w:highlight w:val="none"/>
                <w:lang w:val="en-US" w:eastAsia="zh-CN" w:bidi="ar-SA"/>
              </w:rPr>
            </w:pPr>
            <w:r>
              <w:rPr>
                <w:rFonts w:hint="default" w:ascii="Times New Roman" w:cs="Times New Roman"/>
                <w:color w:val="auto"/>
                <w:sz w:val="21"/>
                <w:szCs w:val="21"/>
                <w:highlight w:val="none"/>
                <w:lang w:val="en-US" w:eastAsia="zh-CN" w:bidi="ar-SA"/>
              </w:rPr>
              <w:t>500</w:t>
            </w:r>
            <w:r>
              <w:rPr>
                <w:rFonts w:hint="eastAsia" w:ascii="Times New Roman" w:cs="Times New Roman"/>
                <w:color w:val="auto"/>
                <w:sz w:val="21"/>
                <w:szCs w:val="21"/>
                <w:highlight w:val="none"/>
                <w:lang w:val="en-US" w:eastAsia="zh-CN" w:bidi="ar-SA"/>
              </w:rPr>
              <w:t>万元</w:t>
            </w:r>
            <w:r>
              <w:rPr>
                <w:rFonts w:hint="default" w:ascii="Times New Roman" w:cs="Times New Roman"/>
                <w:color w:val="auto"/>
                <w:sz w:val="21"/>
                <w:szCs w:val="21"/>
                <w:highlight w:val="none"/>
                <w:lang w:val="en-US" w:eastAsia="zh-CN" w:bidi="ar-SA"/>
              </w:rPr>
              <w:t>-2000</w:t>
            </w:r>
            <w:r>
              <w:rPr>
                <w:rFonts w:hint="eastAsia" w:ascii="Times New Roman" w:cs="Times New Roman"/>
                <w:color w:val="auto"/>
                <w:sz w:val="21"/>
                <w:szCs w:val="21"/>
                <w:highlight w:val="none"/>
                <w:lang w:val="en-US" w:eastAsia="zh-CN" w:bidi="ar-SA"/>
              </w:rPr>
              <w:t>万元</w:t>
            </w:r>
          </w:p>
        </w:tc>
        <w:tc>
          <w:tcPr>
            <w:tcW w:w="2918" w:type="dxa"/>
            <w:noWrap w:val="0"/>
            <w:vAlign w:val="center"/>
          </w:tcPr>
          <w:p w14:paraId="5AE755A7">
            <w:pPr>
              <w:pStyle w:val="288"/>
              <w:keepNext w:val="0"/>
              <w:keepLines w:val="0"/>
              <w:suppressLineNumbers w:val="0"/>
              <w:spacing w:before="0" w:beforeAutospacing="0" w:after="0" w:afterAutospacing="0" w:line="360" w:lineRule="auto"/>
              <w:ind w:left="0" w:right="0" w:firstLine="620"/>
              <w:rPr>
                <w:rFonts w:hint="default" w:ascii="Times New Roman" w:cs="Times New Roman"/>
                <w:color w:val="auto"/>
                <w:sz w:val="21"/>
                <w:szCs w:val="21"/>
                <w:highlight w:val="none"/>
                <w:lang w:val="en-US" w:eastAsia="zh-CN" w:bidi="ar-SA"/>
              </w:rPr>
            </w:pPr>
            <w:r>
              <w:rPr>
                <w:rFonts w:hint="eastAsia" w:ascii="Times New Roman" w:cs="Times New Roman"/>
                <w:color w:val="auto"/>
                <w:sz w:val="21"/>
                <w:szCs w:val="21"/>
                <w:highlight w:val="none"/>
                <w:lang w:val="en-US" w:eastAsia="zh-CN" w:bidi="ar-SA"/>
              </w:rPr>
              <w:t>60天</w:t>
            </w:r>
          </w:p>
        </w:tc>
      </w:tr>
      <w:tr w14:paraId="5B87C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5B946ADC">
            <w:pPr>
              <w:pStyle w:val="288"/>
              <w:keepNext w:val="0"/>
              <w:keepLines w:val="0"/>
              <w:suppressLineNumbers w:val="0"/>
              <w:spacing w:before="0" w:beforeAutospacing="0" w:after="0" w:afterAutospacing="0" w:line="360" w:lineRule="auto"/>
              <w:ind w:left="0" w:right="0" w:firstLine="620"/>
              <w:rPr>
                <w:rFonts w:hint="default" w:ascii="Times New Roman" w:cs="Times New Roman"/>
                <w:color w:val="auto"/>
                <w:sz w:val="21"/>
                <w:szCs w:val="21"/>
                <w:highlight w:val="none"/>
                <w:lang w:val="en-US" w:eastAsia="zh-CN" w:bidi="ar-SA"/>
              </w:rPr>
            </w:pPr>
            <w:r>
              <w:rPr>
                <w:rFonts w:hint="default" w:ascii="Times New Roman" w:cs="Times New Roman"/>
                <w:color w:val="auto"/>
                <w:sz w:val="21"/>
                <w:szCs w:val="21"/>
                <w:highlight w:val="none"/>
                <w:lang w:val="en-US" w:eastAsia="zh-CN" w:bidi="ar-SA"/>
              </w:rPr>
              <w:t>2000</w:t>
            </w:r>
            <w:r>
              <w:rPr>
                <w:rFonts w:hint="eastAsia" w:ascii="Times New Roman" w:cs="Times New Roman"/>
                <w:color w:val="auto"/>
                <w:sz w:val="21"/>
                <w:szCs w:val="21"/>
                <w:highlight w:val="none"/>
                <w:lang w:val="en-US" w:eastAsia="zh-CN" w:bidi="ar-SA"/>
              </w:rPr>
              <w:t>万元</w:t>
            </w:r>
            <w:r>
              <w:rPr>
                <w:rFonts w:hint="default" w:ascii="Times New Roman" w:cs="Times New Roman"/>
                <w:color w:val="auto"/>
                <w:sz w:val="21"/>
                <w:szCs w:val="21"/>
                <w:highlight w:val="none"/>
                <w:lang w:val="en-US" w:eastAsia="zh-CN" w:bidi="ar-SA"/>
              </w:rPr>
              <w:t>-5000</w:t>
            </w:r>
            <w:r>
              <w:rPr>
                <w:rFonts w:hint="eastAsia" w:ascii="Times New Roman" w:cs="Times New Roman"/>
                <w:color w:val="auto"/>
                <w:sz w:val="21"/>
                <w:szCs w:val="21"/>
                <w:highlight w:val="none"/>
                <w:lang w:val="en-US" w:eastAsia="zh-CN" w:bidi="ar-SA"/>
              </w:rPr>
              <w:t>万元</w:t>
            </w:r>
          </w:p>
        </w:tc>
        <w:tc>
          <w:tcPr>
            <w:tcW w:w="2918" w:type="dxa"/>
            <w:noWrap w:val="0"/>
            <w:vAlign w:val="center"/>
          </w:tcPr>
          <w:p w14:paraId="70CCFFC3">
            <w:pPr>
              <w:pStyle w:val="288"/>
              <w:keepNext w:val="0"/>
              <w:keepLines w:val="0"/>
              <w:suppressLineNumbers w:val="0"/>
              <w:spacing w:before="0" w:beforeAutospacing="0" w:after="0" w:afterAutospacing="0" w:line="360" w:lineRule="auto"/>
              <w:ind w:left="0" w:right="0" w:firstLine="620"/>
              <w:rPr>
                <w:rFonts w:hint="default" w:ascii="Times New Roman" w:cs="Times New Roman"/>
                <w:color w:val="auto"/>
                <w:sz w:val="21"/>
                <w:szCs w:val="21"/>
                <w:highlight w:val="none"/>
                <w:lang w:val="en-US" w:eastAsia="zh-CN" w:bidi="ar-SA"/>
              </w:rPr>
            </w:pPr>
            <w:r>
              <w:rPr>
                <w:rFonts w:hint="eastAsia" w:ascii="Times New Roman" w:cs="Times New Roman"/>
                <w:color w:val="auto"/>
                <w:sz w:val="21"/>
                <w:szCs w:val="21"/>
                <w:highlight w:val="none"/>
                <w:lang w:val="en-US" w:eastAsia="zh-CN" w:bidi="ar-SA"/>
              </w:rPr>
              <w:t>90天</w:t>
            </w:r>
          </w:p>
        </w:tc>
      </w:tr>
      <w:tr w14:paraId="098C7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28C5A21C">
            <w:pPr>
              <w:pStyle w:val="288"/>
              <w:keepNext w:val="0"/>
              <w:keepLines w:val="0"/>
              <w:suppressLineNumbers w:val="0"/>
              <w:spacing w:before="0" w:beforeAutospacing="0" w:after="0" w:afterAutospacing="0" w:line="360" w:lineRule="auto"/>
              <w:ind w:left="0" w:right="0" w:firstLine="620"/>
              <w:rPr>
                <w:rFonts w:hint="default" w:ascii="Times New Roman" w:cs="Times New Roman"/>
                <w:color w:val="auto"/>
                <w:sz w:val="21"/>
                <w:szCs w:val="21"/>
                <w:highlight w:val="none"/>
                <w:lang w:val="en-US" w:eastAsia="zh-CN" w:bidi="ar-SA"/>
              </w:rPr>
            </w:pPr>
            <w:r>
              <w:rPr>
                <w:rFonts w:hint="default" w:ascii="Times New Roman" w:cs="Times New Roman"/>
                <w:color w:val="auto"/>
                <w:sz w:val="21"/>
                <w:szCs w:val="21"/>
                <w:highlight w:val="none"/>
                <w:lang w:val="en-US" w:eastAsia="zh-CN" w:bidi="ar-SA"/>
              </w:rPr>
              <w:t>5000</w:t>
            </w:r>
            <w:r>
              <w:rPr>
                <w:rFonts w:hint="eastAsia" w:ascii="Times New Roman" w:cs="Times New Roman"/>
                <w:color w:val="auto"/>
                <w:sz w:val="21"/>
                <w:szCs w:val="21"/>
                <w:highlight w:val="none"/>
                <w:lang w:val="en-US" w:eastAsia="zh-CN" w:bidi="ar-SA"/>
              </w:rPr>
              <w:t>万元以上</w:t>
            </w:r>
          </w:p>
        </w:tc>
        <w:tc>
          <w:tcPr>
            <w:tcW w:w="2918" w:type="dxa"/>
            <w:noWrap w:val="0"/>
            <w:vAlign w:val="center"/>
          </w:tcPr>
          <w:p w14:paraId="1776624E">
            <w:pPr>
              <w:pStyle w:val="288"/>
              <w:keepNext w:val="0"/>
              <w:keepLines w:val="0"/>
              <w:suppressLineNumbers w:val="0"/>
              <w:spacing w:before="0" w:beforeAutospacing="0" w:after="0" w:afterAutospacing="0" w:line="360" w:lineRule="auto"/>
              <w:ind w:left="0" w:right="0" w:firstLine="620"/>
              <w:rPr>
                <w:rFonts w:hint="default" w:ascii="Times New Roman" w:cs="Times New Roman"/>
                <w:color w:val="auto"/>
                <w:sz w:val="21"/>
                <w:szCs w:val="21"/>
                <w:highlight w:val="none"/>
                <w:lang w:val="en-US" w:eastAsia="zh-CN" w:bidi="ar-SA"/>
              </w:rPr>
            </w:pPr>
            <w:r>
              <w:rPr>
                <w:rFonts w:hint="eastAsia" w:ascii="Times New Roman" w:cs="Times New Roman"/>
                <w:color w:val="auto"/>
                <w:sz w:val="21"/>
                <w:szCs w:val="21"/>
                <w:highlight w:val="none"/>
                <w:lang w:val="en-US" w:eastAsia="zh-CN" w:bidi="ar-SA"/>
              </w:rPr>
              <w:t>120天</w:t>
            </w:r>
          </w:p>
        </w:tc>
      </w:tr>
      <w:tr w14:paraId="49FA5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6101" w:type="dxa"/>
            <w:noWrap w:val="0"/>
            <w:vAlign w:val="center"/>
          </w:tcPr>
          <w:p w14:paraId="1E72B0EB">
            <w:pPr>
              <w:pStyle w:val="288"/>
              <w:keepNext w:val="0"/>
              <w:keepLines w:val="0"/>
              <w:suppressLineNumbers w:val="0"/>
              <w:spacing w:before="0" w:beforeAutospacing="0" w:after="0" w:afterAutospacing="0" w:line="360" w:lineRule="auto"/>
              <w:ind w:left="0" w:right="0" w:firstLine="620"/>
              <w:rPr>
                <w:rFonts w:hint="default" w:ascii="Times New Roman" w:cs="Times New Roman"/>
                <w:color w:val="auto"/>
                <w:sz w:val="21"/>
                <w:szCs w:val="21"/>
                <w:highlight w:val="none"/>
                <w:lang w:val="en-US" w:eastAsia="zh-CN" w:bidi="ar-SA"/>
              </w:rPr>
            </w:pPr>
            <w:r>
              <w:rPr>
                <w:rFonts w:hint="eastAsia" w:ascii="Times New Roman" w:cs="Times New Roman"/>
                <w:color w:val="auto"/>
                <w:sz w:val="21"/>
                <w:szCs w:val="21"/>
                <w:highlight w:val="none"/>
                <w:lang w:val="en-US" w:eastAsia="zh-CN" w:bidi="ar-SA"/>
              </w:rPr>
              <w:t>5000万以上每增加</w:t>
            </w:r>
            <w:r>
              <w:rPr>
                <w:rFonts w:hint="default" w:ascii="Times New Roman" w:cs="Times New Roman"/>
                <w:color w:val="auto"/>
                <w:sz w:val="21"/>
                <w:szCs w:val="21"/>
                <w:highlight w:val="none"/>
                <w:lang w:val="en-US" w:eastAsia="zh-CN" w:bidi="ar-SA"/>
              </w:rPr>
              <w:t>0.5</w:t>
            </w:r>
            <w:r>
              <w:rPr>
                <w:rFonts w:hint="eastAsia" w:ascii="Times New Roman" w:cs="Times New Roman"/>
                <w:color w:val="auto"/>
                <w:sz w:val="21"/>
                <w:szCs w:val="21"/>
                <w:highlight w:val="none"/>
                <w:lang w:val="en-US" w:eastAsia="zh-CN" w:bidi="ar-SA"/>
              </w:rPr>
              <w:t>亿（不足0.5亿不增加）</w:t>
            </w:r>
          </w:p>
        </w:tc>
        <w:tc>
          <w:tcPr>
            <w:tcW w:w="2918" w:type="dxa"/>
            <w:noWrap w:val="0"/>
            <w:vAlign w:val="center"/>
          </w:tcPr>
          <w:p w14:paraId="4680935F">
            <w:pPr>
              <w:pStyle w:val="288"/>
              <w:keepNext w:val="0"/>
              <w:keepLines w:val="0"/>
              <w:suppressLineNumbers w:val="0"/>
              <w:spacing w:before="0" w:beforeAutospacing="0" w:after="0" w:afterAutospacing="0" w:line="360" w:lineRule="auto"/>
              <w:ind w:left="0" w:right="0" w:firstLine="620"/>
              <w:rPr>
                <w:rFonts w:hint="eastAsia" w:ascii="Times New Roman" w:cs="Times New Roman"/>
                <w:color w:val="auto"/>
                <w:sz w:val="21"/>
                <w:szCs w:val="21"/>
                <w:highlight w:val="none"/>
                <w:lang w:val="en-US" w:eastAsia="zh-CN" w:bidi="ar-SA"/>
              </w:rPr>
            </w:pPr>
            <w:r>
              <w:rPr>
                <w:rFonts w:hint="eastAsia" w:ascii="Times New Roman" w:cs="Times New Roman"/>
                <w:color w:val="auto"/>
                <w:sz w:val="21"/>
                <w:szCs w:val="21"/>
                <w:highlight w:val="none"/>
                <w:lang w:val="en-US" w:eastAsia="zh-CN" w:bidi="ar-SA"/>
              </w:rPr>
              <w:t>增加20天</w:t>
            </w:r>
          </w:p>
        </w:tc>
      </w:tr>
    </w:tbl>
    <w:p w14:paraId="3F151ACC">
      <w:pPr>
        <w:spacing w:line="360" w:lineRule="auto"/>
        <w:ind w:firstLine="525"/>
        <w:jc w:val="left"/>
        <w:rPr>
          <w:rFonts w:hint="eastAsia" w:ascii="Times New Roman" w:hAnsi="宋体" w:eastAsia="宋体" w:cs="宋体"/>
          <w:color w:val="auto"/>
          <w:sz w:val="21"/>
          <w:szCs w:val="21"/>
          <w:highlight w:val="none"/>
        </w:rPr>
      </w:pPr>
    </w:p>
    <w:p w14:paraId="2FAB1B3B">
      <w:pPr>
        <w:spacing w:line="360" w:lineRule="auto"/>
        <w:ind w:firstLine="525"/>
        <w:jc w:val="left"/>
        <w:rPr>
          <w:rFonts w:hint="eastAsia" w:ascii="Times New Roman" w:hAnsi="宋体" w:eastAsia="宋体" w:cs="宋体"/>
          <w:color w:val="auto"/>
          <w:sz w:val="21"/>
          <w:szCs w:val="21"/>
          <w:highlight w:val="none"/>
        </w:rPr>
      </w:pPr>
    </w:p>
    <w:p w14:paraId="4A0C40E0">
      <w:p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12.5.3过程结算文件要求 </w:t>
      </w:r>
    </w:p>
    <w:p w14:paraId="3B57AF1F">
      <w:p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过程结算文件应按竣工结算文件要求进行编制，若合同约定竣工结算以财政部门意见为准，过程结算文件应当按照财政部门的要求进行编制。资料包括施工合同、补充协议、中标通知书、施工图纸、工程招标 投标文件、施工方案、工程量及其相应单价以及各项费用计算、经确认的工程变更、现场签证、工程索赔、扣款扣费文件等。过程结算文件经发承包双方签字认可或符合</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视同认可</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的条件后，直接作为编制竣工结算文件的依据，结算时发包人不得对上述过程结算文件重复审核。过程结算款</w:t>
      </w:r>
      <w:r>
        <w:rPr>
          <w:rFonts w:hint="eastAsia" w:ascii="宋体" w:hAnsi="宋体" w:eastAsia="宋体" w:cs="宋体"/>
          <w:color w:val="auto"/>
          <w:sz w:val="21"/>
          <w:szCs w:val="21"/>
          <w:highlight w:val="none"/>
          <w:lang w:val="zh-TW"/>
        </w:rPr>
        <w:t>支付申请应</w:t>
      </w:r>
      <w:r>
        <w:rPr>
          <w:rFonts w:hint="eastAsia" w:ascii="宋体" w:hAnsi="宋体" w:eastAsia="宋体" w:cs="宋体"/>
          <w:color w:val="auto"/>
          <w:sz w:val="21"/>
          <w:szCs w:val="21"/>
          <w:highlight w:val="none"/>
          <w:lang w:val="zh-TW" w:eastAsia="zh-CN"/>
        </w:rPr>
        <w:t>按</w:t>
      </w:r>
      <w:r>
        <w:rPr>
          <w:rFonts w:hint="default" w:ascii="宋体" w:hAnsi="宋体" w:eastAsia="宋体" w:cs="宋体"/>
          <w:color w:val="auto"/>
          <w:sz w:val="21"/>
          <w:szCs w:val="21"/>
          <w:highlight w:val="none"/>
          <w:lang w:val="en" w:eastAsia="zh-CN"/>
        </w:rPr>
        <w:t>附</w:t>
      </w:r>
      <w:r>
        <w:rPr>
          <w:rFonts w:hint="eastAsia" w:ascii="宋体" w:hAnsi="宋体" w:eastAsia="宋体" w:cs="宋体"/>
          <w:color w:val="auto"/>
          <w:sz w:val="21"/>
          <w:szCs w:val="21"/>
          <w:highlight w:val="none"/>
          <w:lang w:val="en" w:eastAsia="zh-CN"/>
        </w:rPr>
        <w:t>件</w:t>
      </w:r>
      <w:r>
        <w:rPr>
          <w:rFonts w:hint="eastAsia" w:ascii="宋体" w:hAnsi="宋体" w:eastAsia="宋体" w:cs="宋体"/>
          <w:color w:val="auto"/>
          <w:sz w:val="21"/>
          <w:szCs w:val="21"/>
          <w:highlight w:val="none"/>
          <w:lang w:val="en-US" w:eastAsia="zh-CN"/>
        </w:rPr>
        <w:t>11进度款支付申请（核准）表填写</w:t>
      </w:r>
      <w:r>
        <w:rPr>
          <w:rFonts w:hint="eastAsia" w:ascii="Times New Roman" w:hAnsi="宋体" w:eastAsia="宋体" w:cs="宋体"/>
          <w:color w:val="auto"/>
          <w:sz w:val="21"/>
          <w:szCs w:val="21"/>
          <w:highlight w:val="none"/>
        </w:rPr>
        <w:t>。</w:t>
      </w:r>
    </w:p>
    <w:p w14:paraId="1F0264CF">
      <w:p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12.5.4过程结算支付时间及支付比例</w:t>
      </w:r>
    </w:p>
    <w:p w14:paraId="4F43A5E2">
      <w:pPr>
        <w:spacing w:line="360" w:lineRule="auto"/>
        <w:ind w:firstLine="525"/>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（1）支付时间：</w:t>
      </w:r>
      <w:r>
        <w:rPr>
          <w:rFonts w:hint="eastAsia" w:ascii="Times New Roman" w:hAnsi="宋体" w:cs="宋体"/>
          <w:color w:val="auto"/>
          <w:sz w:val="21"/>
          <w:szCs w:val="21"/>
          <w:highlight w:val="none"/>
          <w:u w:val="single"/>
          <w:lang w:val="en-US" w:eastAsia="zh-CN"/>
        </w:rPr>
        <w:t xml:space="preserve">  /  </w:t>
      </w:r>
      <w:r>
        <w:rPr>
          <w:rFonts w:hint="eastAsia" w:ascii="Times New Roman" w:hAnsi="宋体" w:eastAsia="宋体" w:cs="宋体"/>
          <w:color w:val="auto"/>
          <w:sz w:val="21"/>
          <w:szCs w:val="21"/>
          <w:highlight w:val="none"/>
        </w:rPr>
        <w:t>；</w:t>
      </w:r>
    </w:p>
    <w:p w14:paraId="4DDDD266">
      <w:pPr>
        <w:spacing w:line="360" w:lineRule="auto"/>
        <w:ind w:firstLine="525"/>
        <w:jc w:val="left"/>
        <w:rPr>
          <w:rFonts w:hint="eastAsia" w:ascii="Times New Roman" w:hAnsi="宋体" w:eastAsia="宋体" w:cs="宋体"/>
          <w:color w:val="auto"/>
          <w:sz w:val="21"/>
          <w:szCs w:val="21"/>
          <w:highlight w:val="none"/>
          <w:lang w:eastAsia="zh-CN"/>
        </w:rPr>
      </w:pPr>
      <w:r>
        <w:rPr>
          <w:rFonts w:hint="eastAsia" w:ascii="Times New Roman" w:hAnsi="宋体" w:eastAsia="宋体" w:cs="宋体"/>
          <w:color w:val="auto"/>
          <w:sz w:val="21"/>
          <w:szCs w:val="21"/>
          <w:highlight w:val="none"/>
        </w:rPr>
        <w:t>（2）支付比例：</w:t>
      </w:r>
      <w:r>
        <w:rPr>
          <w:rFonts w:hint="eastAsia" w:ascii="Times New Roman" w:hAnsi="宋体" w:eastAsia="宋体" w:cs="宋体"/>
          <w:color w:val="auto"/>
          <w:sz w:val="21"/>
          <w:szCs w:val="21"/>
          <w:highlight w:val="none"/>
          <w:u w:val="single"/>
        </w:rPr>
        <w:t xml:space="preserve">  /  </w:t>
      </w:r>
      <w:r>
        <w:rPr>
          <w:rFonts w:hint="eastAsia"/>
          <w:lang w:eastAsia="zh-CN"/>
        </w:rPr>
        <w:t>。</w:t>
      </w:r>
      <w:bookmarkEnd w:id="732"/>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14:paraId="364FF406">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998" w:name="_Toc296891047"/>
      <w:bookmarkStart w:id="999" w:name="_Toc78449842"/>
      <w:bookmarkStart w:id="1000" w:name="_Toc296891259"/>
      <w:bookmarkStart w:id="1001" w:name="_Toc297216223"/>
      <w:bookmarkStart w:id="1002" w:name="_Toc297120519"/>
      <w:bookmarkStart w:id="1003" w:name="_Toc389065318"/>
      <w:bookmarkStart w:id="1004" w:name="_Toc297048405"/>
      <w:bookmarkStart w:id="1005" w:name="_Toc407135256"/>
      <w:bookmarkStart w:id="1006" w:name="_Toc300935015"/>
      <w:bookmarkStart w:id="1007" w:name="_Toc29308"/>
      <w:bookmarkStart w:id="1008" w:name="_Toc292559929"/>
      <w:bookmarkStart w:id="1009" w:name="_Toc296944558"/>
      <w:bookmarkStart w:id="1010" w:name="_Toc292559424"/>
      <w:bookmarkStart w:id="1011" w:name="_Toc728899116"/>
      <w:bookmarkStart w:id="1012" w:name="_Toc351203645"/>
      <w:bookmarkStart w:id="1013" w:name="_Toc373227753"/>
      <w:bookmarkStart w:id="1014" w:name="_Toc303539172"/>
      <w:bookmarkStart w:id="1015" w:name="_Toc373478400"/>
      <w:bookmarkStart w:id="1016" w:name="_Toc304295593"/>
      <w:bookmarkStart w:id="1017" w:name="_Toc312678053"/>
      <w:bookmarkStart w:id="1018" w:name="_Toc297123564"/>
      <w:bookmarkStart w:id="1019" w:name="_Toc296347218"/>
      <w:bookmarkStart w:id="1020" w:name="_Toc296346720"/>
      <w:bookmarkStart w:id="1021" w:name="_Toc296503219"/>
      <w:r>
        <w:rPr>
          <w:rFonts w:ascii="Arial" w:hAnsi="Arial" w:eastAsia="黑体" w:cs="Times New Roman"/>
          <w:b/>
          <w:bCs/>
          <w:color w:val="auto"/>
          <w:sz w:val="21"/>
          <w:szCs w:val="21"/>
          <w:highlight w:val="none"/>
          <w:lang w:val="zh-CN" w:eastAsia="zh-CN" w:bidi="ar-SA"/>
        </w:rPr>
        <w:t xml:space="preserve">13. </w:t>
      </w:r>
      <w:r>
        <w:rPr>
          <w:rFonts w:hint="eastAsia" w:ascii="Arial" w:hAnsi="Arial" w:eastAsia="黑体" w:cs="黑体"/>
          <w:b/>
          <w:bCs/>
          <w:color w:val="auto"/>
          <w:sz w:val="21"/>
          <w:szCs w:val="21"/>
          <w:highlight w:val="none"/>
          <w:lang w:val="zh-CN" w:eastAsia="zh-CN" w:bidi="ar-SA"/>
        </w:rPr>
        <w:t>验收和工程试车</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14:paraId="47379340">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022" w:name="_Toc389065319"/>
      <w:bookmarkStart w:id="1023" w:name="_Toc373227754"/>
      <w:bookmarkStart w:id="1024" w:name="_Toc23263"/>
      <w:bookmarkStart w:id="1025" w:name="_Toc78449843"/>
      <w:bookmarkStart w:id="1026" w:name="_Toc26423"/>
      <w:bookmarkStart w:id="1027" w:name="_Toc407135257"/>
      <w:bookmarkStart w:id="1028" w:name="_Toc740353520"/>
      <w:bookmarkStart w:id="1029" w:name="_Toc373478401"/>
      <w:r>
        <w:rPr>
          <w:rFonts w:ascii="Times New Roman" w:hAnsi="Times New Roman" w:eastAsia="黑体" w:cs="Times New Roman"/>
          <w:b/>
          <w:bCs/>
          <w:color w:val="auto"/>
          <w:sz w:val="21"/>
          <w:szCs w:val="21"/>
          <w:highlight w:val="none"/>
          <w:lang w:val="zh-CN" w:eastAsia="zh-CN" w:bidi="ar-SA"/>
        </w:rPr>
        <w:t xml:space="preserve">13.1 </w:t>
      </w:r>
      <w:r>
        <w:rPr>
          <w:rFonts w:hint="eastAsia" w:ascii="Times New Roman" w:hAnsi="Times New Roman" w:eastAsia="黑体" w:cs="黑体"/>
          <w:b/>
          <w:bCs/>
          <w:color w:val="auto"/>
          <w:sz w:val="21"/>
          <w:szCs w:val="21"/>
          <w:highlight w:val="none"/>
          <w:lang w:val="zh-CN" w:eastAsia="zh-CN" w:bidi="ar-SA"/>
        </w:rPr>
        <w:t>分部分项工程验收</w:t>
      </w:r>
      <w:bookmarkEnd w:id="1022"/>
      <w:bookmarkEnd w:id="1023"/>
      <w:bookmarkEnd w:id="1024"/>
      <w:bookmarkEnd w:id="1025"/>
      <w:bookmarkEnd w:id="1026"/>
      <w:bookmarkEnd w:id="1027"/>
      <w:bookmarkEnd w:id="1028"/>
      <w:bookmarkEnd w:id="1029"/>
    </w:p>
    <w:p w14:paraId="05C98C22">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13.1.2</w:t>
      </w:r>
      <w:r>
        <w:rPr>
          <w:rFonts w:hint="eastAsia" w:ascii="Times New Roman" w:hAnsi="宋体" w:eastAsia="宋体" w:cs="宋体"/>
          <w:color w:val="auto"/>
          <w:sz w:val="21"/>
          <w:szCs w:val="21"/>
          <w:highlight w:val="none"/>
        </w:rPr>
        <w:t>监理人不能按时进行验收时，应提前</w:t>
      </w:r>
      <w:r>
        <w:rPr>
          <w:rFonts w:hint="eastAsia" w:ascii="Times New Roman" w:hAnsi="Times New Roman" w:eastAsia="宋体" w:cs="Times New Roman"/>
          <w:color w:val="auto"/>
          <w:sz w:val="21"/>
          <w:szCs w:val="21"/>
          <w:highlight w:val="none"/>
          <w:u w:val="single"/>
          <w:lang w:val="en-US" w:eastAsia="zh-CN"/>
        </w:rPr>
        <w:t>24</w:t>
      </w:r>
      <w:r>
        <w:rPr>
          <w:rFonts w:hint="eastAsia" w:ascii="Times New Roman" w:hAnsi="宋体" w:eastAsia="宋体" w:cs="宋体"/>
          <w:color w:val="auto"/>
          <w:sz w:val="21"/>
          <w:szCs w:val="21"/>
          <w:highlight w:val="none"/>
        </w:rPr>
        <w:t>小时提交书面延期要求。</w:t>
      </w:r>
    </w:p>
    <w:p w14:paraId="73731250">
      <w:pPr>
        <w:spacing w:line="360" w:lineRule="auto"/>
        <w:ind w:firstLine="420"/>
        <w:jc w:val="left"/>
        <w:rPr>
          <w:rFonts w:ascii="Times New Roman" w:hAnsi="Times New Roman" w:eastAsia="宋体" w:cs="Times New Roman"/>
          <w:b/>
          <w:bCs/>
          <w:color w:val="auto"/>
          <w:sz w:val="21"/>
          <w:szCs w:val="21"/>
          <w:highlight w:val="none"/>
        </w:rPr>
      </w:pPr>
      <w:r>
        <w:rPr>
          <w:rFonts w:hint="eastAsia" w:ascii="Times New Roman" w:hAnsi="宋体" w:eastAsia="宋体" w:cs="宋体"/>
          <w:color w:val="auto"/>
          <w:sz w:val="21"/>
          <w:szCs w:val="21"/>
          <w:highlight w:val="none"/>
        </w:rPr>
        <w:t>关于延期最长不得超过：</w:t>
      </w:r>
      <w:r>
        <w:rPr>
          <w:rFonts w:hint="eastAsia" w:ascii="Times New Roman" w:hAnsi="Times New Roman" w:eastAsia="宋体" w:cs="Times New Roman"/>
          <w:color w:val="auto"/>
          <w:sz w:val="21"/>
          <w:szCs w:val="21"/>
          <w:highlight w:val="none"/>
          <w:u w:val="single"/>
          <w:lang w:val="en-US" w:eastAsia="zh-CN"/>
        </w:rPr>
        <w:t>48</w:t>
      </w:r>
      <w:r>
        <w:rPr>
          <w:rFonts w:hint="eastAsia" w:ascii="Times New Roman" w:hAnsi="宋体" w:eastAsia="宋体" w:cs="宋体"/>
          <w:color w:val="auto"/>
          <w:sz w:val="21"/>
          <w:szCs w:val="21"/>
          <w:highlight w:val="none"/>
        </w:rPr>
        <w:t>小时。</w:t>
      </w:r>
    </w:p>
    <w:p w14:paraId="0A55B3DE">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030" w:name="_Toc297216224"/>
      <w:bookmarkStart w:id="1031" w:name="_Toc292559428"/>
      <w:bookmarkStart w:id="1032" w:name="_Toc304295596"/>
      <w:bookmarkStart w:id="1033" w:name="_Toc303539173"/>
      <w:bookmarkStart w:id="1034" w:name="_Toc296891051"/>
      <w:bookmarkStart w:id="1035" w:name="_Toc296346724"/>
      <w:bookmarkStart w:id="1036" w:name="_Toc407135258"/>
      <w:bookmarkStart w:id="1037" w:name="_Toc296347222"/>
      <w:bookmarkStart w:id="1038" w:name="_Toc8842"/>
      <w:bookmarkStart w:id="1039" w:name="_Toc300935016"/>
      <w:bookmarkStart w:id="1040" w:name="_Toc297123565"/>
      <w:bookmarkStart w:id="1041" w:name="_Toc312678056"/>
      <w:bookmarkStart w:id="1042" w:name="_Toc373478402"/>
      <w:bookmarkStart w:id="1043" w:name="_Toc292559933"/>
      <w:bookmarkStart w:id="1044" w:name="_Toc296944562"/>
      <w:bookmarkStart w:id="1045" w:name="_Toc24981"/>
      <w:bookmarkStart w:id="1046" w:name="_Toc297048409"/>
      <w:bookmarkStart w:id="1047" w:name="_Toc78449844"/>
      <w:bookmarkStart w:id="1048" w:name="_Toc373227755"/>
      <w:bookmarkStart w:id="1049" w:name="_Toc389065320"/>
      <w:bookmarkStart w:id="1050" w:name="_Toc296891263"/>
      <w:bookmarkStart w:id="1051" w:name="_Toc1578431234"/>
      <w:bookmarkStart w:id="1052" w:name="_Toc297120523"/>
      <w:bookmarkStart w:id="1053" w:name="_Toc296503223"/>
      <w:bookmarkStart w:id="1054" w:name="_Toc267251471"/>
      <w:bookmarkStart w:id="1055" w:name="_Toc267251476"/>
      <w:bookmarkStart w:id="1056" w:name="_Toc267251470"/>
      <w:bookmarkStart w:id="1057" w:name="_Toc267251475"/>
      <w:bookmarkStart w:id="1058" w:name="_Toc267251474"/>
      <w:bookmarkStart w:id="1059" w:name="_Toc267251472"/>
      <w:bookmarkStart w:id="1060" w:name="_Toc267251473"/>
      <w:r>
        <w:rPr>
          <w:rFonts w:ascii="Times New Roman" w:hAnsi="Times New Roman" w:eastAsia="黑体" w:cs="Times New Roman"/>
          <w:b/>
          <w:bCs/>
          <w:color w:val="auto"/>
          <w:sz w:val="21"/>
          <w:szCs w:val="21"/>
          <w:highlight w:val="none"/>
          <w:lang w:val="zh-CN" w:eastAsia="zh-CN" w:bidi="ar-SA"/>
        </w:rPr>
        <w:t xml:space="preserve">13.2 </w:t>
      </w:r>
      <w:r>
        <w:rPr>
          <w:rFonts w:hint="eastAsia" w:ascii="Times New Roman" w:hAnsi="宋体" w:eastAsia="黑体" w:cs="黑体"/>
          <w:b/>
          <w:bCs/>
          <w:color w:val="auto"/>
          <w:sz w:val="21"/>
          <w:szCs w:val="21"/>
          <w:highlight w:val="none"/>
          <w:lang w:val="zh-CN" w:eastAsia="zh-CN" w:bidi="ar-SA"/>
        </w:rPr>
        <w:t>竣工验收</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14:paraId="4AB90199">
      <w:pPr>
        <w:spacing w:line="360" w:lineRule="auto"/>
        <w:ind w:firstLine="420"/>
        <w:jc w:val="left"/>
        <w:rPr>
          <w:rFonts w:ascii="Times New Roman" w:hAnsi="Times New Roman" w:eastAsia="宋体" w:cs="Times New Roman"/>
          <w:color w:val="auto"/>
          <w:sz w:val="21"/>
          <w:szCs w:val="21"/>
          <w:highlight w:val="none"/>
        </w:rPr>
      </w:pPr>
      <w:bookmarkStart w:id="1061" w:name="_Toc280868704"/>
      <w:bookmarkStart w:id="1062" w:name="_Toc280868705"/>
      <w:bookmarkStart w:id="1063" w:name="_Toc280868706"/>
      <w:bookmarkStart w:id="1064" w:name="_Toc280868707"/>
      <w:bookmarkStart w:id="1065" w:name="_Toc280868708"/>
      <w:bookmarkStart w:id="1066" w:name="_Toc280868709"/>
      <w:r>
        <w:rPr>
          <w:rFonts w:ascii="Times New Roman" w:hAnsi="Times New Roman" w:eastAsia="宋体" w:cs="Times New Roman"/>
          <w:color w:val="auto"/>
          <w:sz w:val="21"/>
          <w:szCs w:val="21"/>
          <w:highlight w:val="none"/>
        </w:rPr>
        <w:t>13.2.1</w:t>
      </w:r>
      <w:r>
        <w:rPr>
          <w:rFonts w:hint="eastAsia" w:ascii="Times New Roman" w:hAnsi="宋体" w:eastAsia="宋体" w:cs="宋体"/>
          <w:color w:val="auto"/>
          <w:sz w:val="21"/>
          <w:szCs w:val="21"/>
          <w:highlight w:val="none"/>
        </w:rPr>
        <w:t>竣工验收条件</w:t>
      </w:r>
    </w:p>
    <w:p w14:paraId="6412480C">
      <w:pPr>
        <w:spacing w:line="360" w:lineRule="auto"/>
        <w:ind w:firstLine="420"/>
        <w:rPr>
          <w:rFonts w:ascii="Times New Roman" w:hAnsi="Times New Roman" w:eastAsia="宋体" w:cs="Times New Roman"/>
          <w:color w:val="auto"/>
          <w:sz w:val="21"/>
          <w:szCs w:val="21"/>
          <w:highlight w:val="none"/>
        </w:rPr>
      </w:pPr>
      <w:r>
        <w:rPr>
          <w:rFonts w:hint="eastAsia" w:ascii="Times New Roman" w:hAnsi="Times New Roman" w:eastAsia="宋体" w:cs="宋体"/>
          <w:color w:val="auto"/>
          <w:sz w:val="21"/>
          <w:szCs w:val="21"/>
          <w:highlight w:val="none"/>
        </w:rPr>
        <w:t>（</w:t>
      </w:r>
      <w:r>
        <w:rPr>
          <w:rFonts w:ascii="Times New Roman" w:hAnsi="Times New Roman" w:eastAsia="宋体" w:cs="Times New Roman"/>
          <w:color w:val="auto"/>
          <w:sz w:val="21"/>
          <w:szCs w:val="21"/>
          <w:highlight w:val="none"/>
        </w:rPr>
        <w:t>3</w:t>
      </w:r>
      <w:r>
        <w:rPr>
          <w:rFonts w:hint="eastAsia" w:ascii="Times New Roman" w:hAnsi="Times New Roman" w:eastAsia="宋体" w:cs="宋体"/>
          <w:color w:val="auto"/>
          <w:sz w:val="21"/>
          <w:szCs w:val="21"/>
          <w:highlight w:val="none"/>
        </w:rPr>
        <w:t>）</w:t>
      </w:r>
      <w:r>
        <w:rPr>
          <w:rFonts w:hint="eastAsia" w:ascii="Times New Roman" w:hAnsi="宋体" w:eastAsia="宋体" w:cs="宋体"/>
          <w:color w:val="auto"/>
          <w:sz w:val="21"/>
          <w:szCs w:val="21"/>
          <w:highlight w:val="none"/>
        </w:rPr>
        <w:t>承包人负责整理和提交的竣工验收资料应当符合工程所在地建设行政主管部门和</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或</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城市建设档案管理机构有关施工资料的要求，具体内容包括：</w:t>
      </w:r>
      <w:r>
        <w:rPr>
          <w:rFonts w:hint="eastAsia" w:ascii="Times New Roman" w:hAnsi="Times New Roman" w:eastAsia="宋体" w:cs="Times New Roman"/>
          <w:color w:val="auto"/>
          <w:sz w:val="21"/>
          <w:szCs w:val="21"/>
          <w:highlight w:val="none"/>
          <w:u w:val="single"/>
        </w:rPr>
        <w:t>①工程具备竣工验收条件，承包人按工程竣工验收有关规定，15天内向发包人提交符合要求内容装订成册的完整竣工资料及竣工验收报告、工程竣工图； ②承包人所提交的竣工资料必须符合《建设工程文件归档整理规范》要求</w:t>
      </w:r>
      <w:r>
        <w:rPr>
          <w:rFonts w:hint="eastAsia" w:ascii="Times New Roman" w:hAnsi="宋体" w:eastAsia="宋体" w:cs="宋体"/>
          <w:color w:val="auto"/>
          <w:sz w:val="21"/>
          <w:szCs w:val="21"/>
          <w:highlight w:val="none"/>
        </w:rPr>
        <w:t>。</w:t>
      </w:r>
    </w:p>
    <w:p w14:paraId="08C1DA72">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竣工验收资料的份数：</w:t>
      </w:r>
      <w:r>
        <w:rPr>
          <w:rFonts w:hint="eastAsia" w:ascii="Times New Roman" w:hAnsi="Times New Roman" w:eastAsia="宋体" w:cs="Times New Roman"/>
          <w:color w:val="auto"/>
          <w:sz w:val="21"/>
          <w:szCs w:val="21"/>
          <w:highlight w:val="none"/>
          <w:u w:val="single"/>
        </w:rPr>
        <w:t>一式两份（含电子版），如发包人有需求，按发包人要求提供</w:t>
      </w:r>
      <w:r>
        <w:rPr>
          <w:rFonts w:hint="eastAsia" w:ascii="Times New Roman" w:hAnsi="宋体" w:eastAsia="宋体" w:cs="宋体"/>
          <w:color w:val="auto"/>
          <w:sz w:val="21"/>
          <w:szCs w:val="21"/>
          <w:highlight w:val="none"/>
        </w:rPr>
        <w:t>。</w:t>
      </w:r>
    </w:p>
    <w:p w14:paraId="34FE1865">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承包人提供竣工图的约定：</w:t>
      </w:r>
      <w:r>
        <w:rPr>
          <w:rFonts w:hint="eastAsia" w:ascii="Times New Roman" w:hAnsi="宋体" w:eastAsia="宋体" w:cs="宋体"/>
          <w:color w:val="auto"/>
          <w:sz w:val="21"/>
          <w:szCs w:val="21"/>
          <w:highlight w:val="none"/>
          <w:u w:val="single"/>
        </w:rPr>
        <w:t>竣工验收正式通过后</w:t>
      </w:r>
      <w:r>
        <w:rPr>
          <w:rFonts w:ascii="Times New Roman" w:hAnsi="Times New Roman" w:eastAsia="宋体" w:cs="Times New Roman"/>
          <w:color w:val="auto"/>
          <w:sz w:val="21"/>
          <w:szCs w:val="21"/>
          <w:highlight w:val="none"/>
          <w:u w:val="single"/>
        </w:rPr>
        <w:t>5</w:t>
      </w:r>
      <w:r>
        <w:rPr>
          <w:rFonts w:hint="eastAsia" w:ascii="Times New Roman" w:hAnsi="宋体" w:eastAsia="宋体" w:cs="宋体"/>
          <w:color w:val="auto"/>
          <w:sz w:val="21"/>
          <w:szCs w:val="21"/>
          <w:highlight w:val="none"/>
          <w:u w:val="single"/>
        </w:rPr>
        <w:t>天（工程造价在</w:t>
      </w:r>
      <w:r>
        <w:rPr>
          <w:rFonts w:ascii="Times New Roman" w:hAnsi="Times New Roman" w:eastAsia="宋体" w:cs="Times New Roman"/>
          <w:color w:val="auto"/>
          <w:sz w:val="21"/>
          <w:szCs w:val="21"/>
          <w:highlight w:val="none"/>
          <w:u w:val="single"/>
        </w:rPr>
        <w:t>500</w:t>
      </w:r>
      <w:r>
        <w:rPr>
          <w:rFonts w:hint="eastAsia" w:ascii="Times New Roman" w:hAnsi="宋体" w:eastAsia="宋体" w:cs="宋体"/>
          <w:color w:val="auto"/>
          <w:sz w:val="21"/>
          <w:szCs w:val="21"/>
          <w:highlight w:val="none"/>
          <w:u w:val="single"/>
        </w:rPr>
        <w:t>万元以下含</w:t>
      </w:r>
      <w:r>
        <w:rPr>
          <w:rFonts w:ascii="Times New Roman" w:hAnsi="Times New Roman" w:eastAsia="宋体" w:cs="Times New Roman"/>
          <w:color w:val="auto"/>
          <w:sz w:val="21"/>
          <w:szCs w:val="21"/>
          <w:highlight w:val="none"/>
          <w:u w:val="single"/>
        </w:rPr>
        <w:t>500</w:t>
      </w:r>
      <w:r>
        <w:rPr>
          <w:rFonts w:hint="eastAsia" w:ascii="Times New Roman" w:hAnsi="宋体" w:eastAsia="宋体" w:cs="宋体"/>
          <w:color w:val="auto"/>
          <w:sz w:val="21"/>
          <w:szCs w:val="21"/>
          <w:highlight w:val="none"/>
          <w:u w:val="single"/>
        </w:rPr>
        <w:t>万元）、</w:t>
      </w:r>
      <w:r>
        <w:rPr>
          <w:rFonts w:ascii="Times New Roman" w:hAnsi="Times New Roman" w:eastAsia="宋体" w:cs="Times New Roman"/>
          <w:color w:val="auto"/>
          <w:sz w:val="21"/>
          <w:szCs w:val="21"/>
          <w:highlight w:val="none"/>
          <w:u w:val="single"/>
        </w:rPr>
        <w:t>10</w:t>
      </w:r>
      <w:r>
        <w:rPr>
          <w:rFonts w:hint="eastAsia" w:ascii="Times New Roman" w:hAnsi="宋体" w:eastAsia="宋体" w:cs="宋体"/>
          <w:color w:val="auto"/>
          <w:sz w:val="21"/>
          <w:szCs w:val="21"/>
          <w:highlight w:val="none"/>
          <w:u w:val="single"/>
        </w:rPr>
        <w:t>天（工程造价在</w:t>
      </w:r>
      <w:r>
        <w:rPr>
          <w:rFonts w:ascii="Times New Roman" w:hAnsi="Times New Roman" w:eastAsia="宋体" w:cs="Times New Roman"/>
          <w:color w:val="auto"/>
          <w:sz w:val="21"/>
          <w:szCs w:val="21"/>
          <w:highlight w:val="none"/>
          <w:u w:val="single"/>
        </w:rPr>
        <w:t>500</w:t>
      </w:r>
      <w:r>
        <w:rPr>
          <w:rFonts w:hint="eastAsia" w:ascii="Times New Roman" w:hAnsi="宋体" w:eastAsia="宋体" w:cs="宋体"/>
          <w:color w:val="auto"/>
          <w:sz w:val="21"/>
          <w:szCs w:val="21"/>
          <w:highlight w:val="none"/>
          <w:u w:val="single"/>
        </w:rPr>
        <w:t>万元至</w:t>
      </w:r>
      <w:r>
        <w:rPr>
          <w:rFonts w:ascii="Times New Roman" w:hAnsi="Times New Roman" w:eastAsia="宋体" w:cs="Times New Roman"/>
          <w:color w:val="auto"/>
          <w:sz w:val="21"/>
          <w:szCs w:val="21"/>
          <w:highlight w:val="none"/>
          <w:u w:val="single"/>
        </w:rPr>
        <w:t>1000</w:t>
      </w:r>
      <w:r>
        <w:rPr>
          <w:rFonts w:hint="eastAsia" w:ascii="Times New Roman" w:hAnsi="宋体" w:eastAsia="宋体" w:cs="宋体"/>
          <w:color w:val="auto"/>
          <w:sz w:val="21"/>
          <w:szCs w:val="21"/>
          <w:highlight w:val="none"/>
          <w:u w:val="single"/>
        </w:rPr>
        <w:t>万元之间含</w:t>
      </w:r>
      <w:r>
        <w:rPr>
          <w:rFonts w:ascii="Times New Roman" w:hAnsi="Times New Roman" w:eastAsia="宋体" w:cs="Times New Roman"/>
          <w:color w:val="auto"/>
          <w:sz w:val="21"/>
          <w:szCs w:val="21"/>
          <w:highlight w:val="none"/>
          <w:u w:val="single"/>
        </w:rPr>
        <w:t>1000</w:t>
      </w:r>
      <w:r>
        <w:rPr>
          <w:rFonts w:hint="eastAsia" w:ascii="Times New Roman" w:hAnsi="宋体" w:eastAsia="宋体" w:cs="宋体"/>
          <w:color w:val="auto"/>
          <w:sz w:val="21"/>
          <w:szCs w:val="21"/>
          <w:highlight w:val="none"/>
          <w:u w:val="single"/>
        </w:rPr>
        <w:t>万元）、</w:t>
      </w:r>
      <w:r>
        <w:rPr>
          <w:rFonts w:ascii="Times New Roman" w:hAnsi="Times New Roman" w:eastAsia="宋体" w:cs="Times New Roman"/>
          <w:color w:val="auto"/>
          <w:sz w:val="21"/>
          <w:szCs w:val="21"/>
          <w:highlight w:val="none"/>
          <w:u w:val="single"/>
        </w:rPr>
        <w:t>15</w:t>
      </w:r>
      <w:r>
        <w:rPr>
          <w:rFonts w:hint="eastAsia" w:ascii="Times New Roman" w:hAnsi="宋体" w:eastAsia="宋体" w:cs="宋体"/>
          <w:color w:val="auto"/>
          <w:sz w:val="21"/>
          <w:szCs w:val="21"/>
          <w:highlight w:val="none"/>
          <w:u w:val="single"/>
        </w:rPr>
        <w:t>天（工程造价在</w:t>
      </w:r>
      <w:r>
        <w:rPr>
          <w:rFonts w:ascii="Times New Roman" w:hAnsi="Times New Roman" w:eastAsia="宋体" w:cs="Times New Roman"/>
          <w:color w:val="auto"/>
          <w:sz w:val="21"/>
          <w:szCs w:val="21"/>
          <w:highlight w:val="none"/>
          <w:u w:val="single"/>
        </w:rPr>
        <w:t>1000</w:t>
      </w:r>
      <w:r>
        <w:rPr>
          <w:rFonts w:hint="eastAsia" w:ascii="Times New Roman" w:hAnsi="宋体" w:eastAsia="宋体" w:cs="宋体"/>
          <w:color w:val="auto"/>
          <w:sz w:val="21"/>
          <w:szCs w:val="21"/>
          <w:highlight w:val="none"/>
          <w:u w:val="single"/>
        </w:rPr>
        <w:t>万元以上），提供竣工图的数量分别为</w:t>
      </w:r>
      <w:r>
        <w:rPr>
          <w:rFonts w:ascii="Times New Roman" w:hAnsi="Times New Roman" w:eastAsia="宋体" w:cs="Times New Roman"/>
          <w:color w:val="auto"/>
          <w:sz w:val="21"/>
          <w:szCs w:val="21"/>
          <w:highlight w:val="none"/>
          <w:u w:val="single"/>
        </w:rPr>
        <w:t>2</w:t>
      </w:r>
      <w:r>
        <w:rPr>
          <w:rFonts w:hint="eastAsia" w:ascii="Times New Roman" w:hAnsi="宋体" w:eastAsia="宋体" w:cs="宋体"/>
          <w:color w:val="auto"/>
          <w:sz w:val="21"/>
          <w:szCs w:val="21"/>
          <w:highlight w:val="none"/>
          <w:u w:val="single"/>
        </w:rPr>
        <w:t>套、</w:t>
      </w:r>
      <w:r>
        <w:rPr>
          <w:rFonts w:ascii="Times New Roman" w:hAnsi="Times New Roman" w:eastAsia="宋体" w:cs="Times New Roman"/>
          <w:color w:val="auto"/>
          <w:sz w:val="21"/>
          <w:szCs w:val="21"/>
          <w:highlight w:val="none"/>
          <w:u w:val="single"/>
        </w:rPr>
        <w:t>4</w:t>
      </w:r>
      <w:r>
        <w:rPr>
          <w:rFonts w:hint="eastAsia" w:ascii="Times New Roman" w:hAnsi="宋体" w:eastAsia="宋体" w:cs="宋体"/>
          <w:color w:val="auto"/>
          <w:sz w:val="21"/>
          <w:szCs w:val="21"/>
          <w:highlight w:val="none"/>
          <w:u w:val="single"/>
        </w:rPr>
        <w:t>套、</w:t>
      </w:r>
      <w:r>
        <w:rPr>
          <w:rFonts w:ascii="Times New Roman" w:hAnsi="Times New Roman" w:eastAsia="宋体" w:cs="Times New Roman"/>
          <w:color w:val="auto"/>
          <w:sz w:val="21"/>
          <w:szCs w:val="21"/>
          <w:highlight w:val="none"/>
          <w:u w:val="single"/>
        </w:rPr>
        <w:t>6</w:t>
      </w:r>
      <w:r>
        <w:rPr>
          <w:rFonts w:hint="eastAsia" w:ascii="Times New Roman" w:hAnsi="宋体" w:eastAsia="宋体" w:cs="宋体"/>
          <w:color w:val="auto"/>
          <w:sz w:val="21"/>
          <w:szCs w:val="21"/>
          <w:highlight w:val="none"/>
          <w:u w:val="single"/>
        </w:rPr>
        <w:t>套。</w:t>
      </w:r>
    </w:p>
    <w:p w14:paraId="577B302F">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13.2.2</w:t>
      </w:r>
      <w:r>
        <w:rPr>
          <w:rFonts w:hint="eastAsia" w:ascii="Times New Roman" w:hAnsi="宋体" w:eastAsia="宋体" w:cs="宋体"/>
          <w:color w:val="auto"/>
          <w:sz w:val="21"/>
          <w:szCs w:val="21"/>
          <w:highlight w:val="none"/>
        </w:rPr>
        <w:t>竣工验收程序</w:t>
      </w:r>
      <w:bookmarkEnd w:id="1061"/>
    </w:p>
    <w:p w14:paraId="331F4867">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关于竣工验收程序的约定：</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771BD0F4">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发包人不按照本项约定组织竣工验收、颁发工程接收证书的违约金的计算方法：</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bookmarkEnd w:id="1062"/>
    </w:p>
    <w:p w14:paraId="3351DA7E">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13.2.5</w:t>
      </w:r>
      <w:r>
        <w:rPr>
          <w:rFonts w:hint="eastAsia" w:ascii="Times New Roman" w:hAnsi="宋体" w:eastAsia="宋体" w:cs="宋体"/>
          <w:color w:val="auto"/>
          <w:sz w:val="21"/>
          <w:szCs w:val="21"/>
          <w:highlight w:val="none"/>
        </w:rPr>
        <w:t>移交、接收全部与部分工程</w:t>
      </w:r>
      <w:bookmarkEnd w:id="1063"/>
    </w:p>
    <w:p w14:paraId="3E8DA3C8">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承包人向发包人移交工程的期限：</w:t>
      </w:r>
      <w:r>
        <w:rPr>
          <w:rFonts w:hint="eastAsia" w:ascii="Times New Roman" w:hAnsi="Times New Roman" w:eastAsia="宋体" w:cs="Times New Roman"/>
          <w:color w:val="auto"/>
          <w:sz w:val="21"/>
          <w:szCs w:val="21"/>
          <w:u w:val="single"/>
        </w:rPr>
        <w:t>颁发工程接收证书后7天内</w:t>
      </w:r>
      <w:r>
        <w:rPr>
          <w:rFonts w:hint="eastAsia" w:ascii="Times New Roman" w:hAnsi="宋体" w:eastAsia="宋体" w:cs="宋体"/>
          <w:color w:val="auto"/>
          <w:sz w:val="21"/>
          <w:szCs w:val="21"/>
          <w:highlight w:val="none"/>
        </w:rPr>
        <w:t>。</w:t>
      </w:r>
    </w:p>
    <w:p w14:paraId="0E731702">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发包人未按本合同约定接收全部或部分</w:t>
      </w:r>
      <w:r>
        <w:rPr>
          <w:rFonts w:hint="eastAsia" w:ascii="Times New Roman" w:hAnsi="宋体" w:eastAsia="宋体" w:cs="宋体"/>
          <w:color w:val="auto"/>
          <w:sz w:val="21"/>
          <w:szCs w:val="21"/>
        </w:rPr>
        <w:t>工程的，违约金的计算方法为：</w:t>
      </w:r>
      <w:r>
        <w:rPr>
          <w:rFonts w:hint="eastAsia" w:ascii="Times New Roman" w:hAnsi="Times New Roman" w:eastAsia="宋体" w:cs="Times New Roman"/>
          <w:color w:val="auto"/>
          <w:sz w:val="21"/>
          <w:szCs w:val="21"/>
          <w:u w:val="single"/>
          <w:lang w:val="en-US" w:eastAsia="zh-CN"/>
        </w:rPr>
        <w:t>无</w:t>
      </w:r>
      <w:r>
        <w:rPr>
          <w:rFonts w:hint="eastAsia" w:ascii="Times New Roman" w:hAnsi="宋体" w:eastAsia="宋体" w:cs="宋体"/>
          <w:color w:val="auto"/>
          <w:sz w:val="21"/>
          <w:szCs w:val="21"/>
        </w:rPr>
        <w:t>。</w:t>
      </w:r>
      <w:bookmarkEnd w:id="1064"/>
    </w:p>
    <w:p w14:paraId="63C75684">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承包人未按时移交工程的，违约金的计算方法为：</w:t>
      </w:r>
      <w:r>
        <w:rPr>
          <w:rFonts w:hint="eastAsia" w:ascii="Times New Roman" w:hAnsi="Times New Roman" w:eastAsia="宋体" w:cs="Times New Roman"/>
          <w:color w:val="auto"/>
          <w:sz w:val="21"/>
          <w:szCs w:val="21"/>
          <w:u w:val="single"/>
        </w:rPr>
        <w:t>每延误一天， 应支付合同协议书中约定的签约合同价（扣除暂列金、暂估价）的千分之二（2‰）的违约金</w:t>
      </w:r>
      <w:r>
        <w:rPr>
          <w:rFonts w:hint="eastAsia" w:ascii="Times New Roman" w:hAnsi="Times New Roman" w:eastAsia="宋体" w:cs="Times New Roman"/>
          <w:color w:val="auto"/>
          <w:sz w:val="21"/>
          <w:szCs w:val="21"/>
          <w:highlight w:val="none"/>
          <w:u w:val="single"/>
        </w:rPr>
        <w:t>，违约金最高限额为签约合同价格（扣除暂列金、暂估价及甲供材）的5%。逾期时间自规定竣工日期起计至实际竣工日期（扣除发包人批准顺延的工期），发包人可从应向承包人支付的任何款项中扣除或其他方式收回该项违约金，承包人支付该项违约金不免除承包人应完成工程的责任或合同约定的其他义务、责任</w:t>
      </w:r>
      <w:r>
        <w:rPr>
          <w:rFonts w:hint="eastAsia" w:ascii="Times New Roman" w:hAnsi="宋体" w:eastAsia="宋体" w:cs="宋体"/>
          <w:color w:val="auto"/>
          <w:sz w:val="21"/>
          <w:szCs w:val="21"/>
          <w:highlight w:val="none"/>
        </w:rPr>
        <w:t>。</w:t>
      </w:r>
    </w:p>
    <w:p w14:paraId="4352409C">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067" w:name="_Toc373227756"/>
      <w:bookmarkStart w:id="1068" w:name="_Toc78449845"/>
      <w:bookmarkStart w:id="1069" w:name="_Toc373478403"/>
      <w:bookmarkStart w:id="1070" w:name="_Toc389065321"/>
      <w:bookmarkStart w:id="1071" w:name="_Toc407135259"/>
      <w:bookmarkStart w:id="1072" w:name="_Toc1470255881"/>
      <w:bookmarkStart w:id="1073" w:name="_Toc24630"/>
      <w:bookmarkStart w:id="1074" w:name="_Toc1727"/>
      <w:r>
        <w:rPr>
          <w:rFonts w:ascii="Times New Roman" w:hAnsi="Times New Roman" w:eastAsia="黑体" w:cs="Times New Roman"/>
          <w:b/>
          <w:bCs/>
          <w:color w:val="auto"/>
          <w:sz w:val="21"/>
          <w:szCs w:val="21"/>
          <w:highlight w:val="none"/>
          <w:lang w:val="zh-CN" w:eastAsia="zh-CN" w:bidi="ar-SA"/>
        </w:rPr>
        <w:t xml:space="preserve">13.3 </w:t>
      </w:r>
      <w:r>
        <w:rPr>
          <w:rFonts w:hint="eastAsia" w:ascii="Times New Roman" w:hAnsi="宋体" w:eastAsia="黑体" w:cs="黑体"/>
          <w:b/>
          <w:bCs/>
          <w:color w:val="auto"/>
          <w:sz w:val="21"/>
          <w:szCs w:val="21"/>
          <w:highlight w:val="none"/>
          <w:lang w:val="zh-CN" w:eastAsia="zh-CN" w:bidi="ar-SA"/>
        </w:rPr>
        <w:t>工程试车</w:t>
      </w:r>
      <w:bookmarkEnd w:id="1065"/>
      <w:bookmarkEnd w:id="1067"/>
      <w:bookmarkEnd w:id="1068"/>
      <w:bookmarkEnd w:id="1069"/>
      <w:bookmarkEnd w:id="1070"/>
      <w:bookmarkEnd w:id="1071"/>
      <w:bookmarkEnd w:id="1072"/>
      <w:bookmarkEnd w:id="1073"/>
      <w:bookmarkEnd w:id="1074"/>
    </w:p>
    <w:p w14:paraId="51C8F490">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13.3.1 </w:t>
      </w:r>
      <w:r>
        <w:rPr>
          <w:rFonts w:hint="eastAsia" w:ascii="Times New Roman" w:hAnsi="宋体" w:eastAsia="宋体" w:cs="宋体"/>
          <w:color w:val="auto"/>
          <w:sz w:val="21"/>
          <w:szCs w:val="21"/>
          <w:highlight w:val="none"/>
        </w:rPr>
        <w:t>试车程序</w:t>
      </w:r>
    </w:p>
    <w:p w14:paraId="6DE1E4B5">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工程试车内容：</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0235CD29">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宋体" w:eastAsia="宋体" w:cs="宋体"/>
          <w:color w:val="auto"/>
          <w:sz w:val="21"/>
          <w:szCs w:val="21"/>
          <w:highlight w:val="none"/>
        </w:rPr>
        <w:t>）单机无负荷试车费用由</w:t>
      </w:r>
      <w:r>
        <w:rPr>
          <w:rFonts w:hint="eastAsia" w:ascii="Times New Roman" w:hAnsi="Times New Roman" w:eastAsia="宋体" w:cs="Times New Roman"/>
          <w:color w:val="auto"/>
          <w:sz w:val="21"/>
          <w:szCs w:val="21"/>
          <w:highlight w:val="none"/>
          <w:u w:val="single"/>
          <w:lang w:val="en-US" w:eastAsia="zh-CN"/>
        </w:rPr>
        <w:t xml:space="preserve">  /  </w:t>
      </w:r>
      <w:r>
        <w:rPr>
          <w:rFonts w:hint="eastAsia" w:ascii="Times New Roman" w:hAnsi="宋体" w:eastAsia="宋体" w:cs="宋体"/>
          <w:color w:val="auto"/>
          <w:sz w:val="21"/>
          <w:szCs w:val="21"/>
          <w:highlight w:val="none"/>
        </w:rPr>
        <w:t>承担；</w:t>
      </w:r>
    </w:p>
    <w:p w14:paraId="7BB313BB">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）无负荷联动试车费用由</w:t>
      </w:r>
      <w:r>
        <w:rPr>
          <w:rFonts w:hint="eastAsia" w:ascii="Times New Roman" w:hAnsi="Times New Roman" w:eastAsia="宋体" w:cs="Times New Roman"/>
          <w:color w:val="auto"/>
          <w:sz w:val="21"/>
          <w:szCs w:val="21"/>
          <w:highlight w:val="none"/>
          <w:u w:val="single"/>
        </w:rPr>
        <w:t xml:space="preserve">  /  </w:t>
      </w:r>
      <w:r>
        <w:rPr>
          <w:rFonts w:hint="eastAsia" w:ascii="Times New Roman" w:hAnsi="宋体" w:eastAsia="宋体" w:cs="宋体"/>
          <w:color w:val="auto"/>
          <w:sz w:val="21"/>
          <w:szCs w:val="21"/>
          <w:highlight w:val="none"/>
        </w:rPr>
        <w:t>承担。</w:t>
      </w:r>
    </w:p>
    <w:p w14:paraId="17969A92">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13.3.3 </w:t>
      </w:r>
      <w:r>
        <w:rPr>
          <w:rFonts w:hint="eastAsia" w:ascii="Times New Roman" w:hAnsi="宋体" w:eastAsia="宋体" w:cs="宋体"/>
          <w:color w:val="auto"/>
          <w:sz w:val="21"/>
          <w:szCs w:val="21"/>
          <w:highlight w:val="none"/>
        </w:rPr>
        <w:t>投料试车</w:t>
      </w:r>
    </w:p>
    <w:p w14:paraId="200E1459">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关于投料试车相关事项的约定：</w:t>
      </w:r>
      <w:r>
        <w:rPr>
          <w:rFonts w:hint="eastAsia" w:ascii="Times New Roman" w:hAnsi="Times New Roman" w:eastAsia="宋体" w:cs="Times New Roman"/>
          <w:color w:val="auto"/>
          <w:sz w:val="21"/>
          <w:szCs w:val="21"/>
          <w:highlight w:val="none"/>
          <w:u w:val="single"/>
        </w:rPr>
        <w:t xml:space="preserve">  /  </w:t>
      </w:r>
      <w:r>
        <w:rPr>
          <w:rFonts w:hint="eastAsia" w:ascii="Times New Roman" w:hAnsi="宋体" w:eastAsia="宋体" w:cs="宋体"/>
          <w:color w:val="auto"/>
          <w:sz w:val="21"/>
          <w:szCs w:val="21"/>
          <w:highlight w:val="none"/>
        </w:rPr>
        <w:t>。</w:t>
      </w:r>
    </w:p>
    <w:p w14:paraId="221908E4">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075" w:name="_Toc373227757"/>
      <w:bookmarkStart w:id="1076" w:name="_Toc78449846"/>
      <w:bookmarkStart w:id="1077" w:name="_Toc10307455"/>
      <w:bookmarkStart w:id="1078" w:name="_Toc389065322"/>
      <w:bookmarkStart w:id="1079" w:name="_Toc12147"/>
      <w:bookmarkStart w:id="1080" w:name="_Toc22225"/>
      <w:bookmarkStart w:id="1081" w:name="_Toc407135260"/>
      <w:bookmarkStart w:id="1082" w:name="_Toc373478404"/>
      <w:r>
        <w:rPr>
          <w:rFonts w:ascii="Times New Roman" w:hAnsi="Times New Roman" w:eastAsia="黑体" w:cs="Times New Roman"/>
          <w:b/>
          <w:bCs/>
          <w:color w:val="auto"/>
          <w:sz w:val="21"/>
          <w:szCs w:val="21"/>
          <w:highlight w:val="none"/>
          <w:lang w:val="zh-CN" w:eastAsia="zh-CN" w:bidi="ar-SA"/>
        </w:rPr>
        <w:t xml:space="preserve">13.6 </w:t>
      </w:r>
      <w:r>
        <w:rPr>
          <w:rFonts w:hint="eastAsia" w:ascii="Times New Roman" w:hAnsi="宋体" w:eastAsia="黑体" w:cs="黑体"/>
          <w:b/>
          <w:bCs/>
          <w:color w:val="auto"/>
          <w:sz w:val="21"/>
          <w:szCs w:val="21"/>
          <w:highlight w:val="none"/>
          <w:lang w:val="zh-CN" w:eastAsia="zh-CN" w:bidi="ar-SA"/>
        </w:rPr>
        <w:t>竣工退场</w:t>
      </w:r>
      <w:bookmarkEnd w:id="1075"/>
      <w:bookmarkEnd w:id="1076"/>
      <w:bookmarkEnd w:id="1077"/>
      <w:bookmarkEnd w:id="1078"/>
      <w:bookmarkEnd w:id="1079"/>
      <w:bookmarkEnd w:id="1080"/>
      <w:bookmarkEnd w:id="1081"/>
      <w:bookmarkEnd w:id="1082"/>
    </w:p>
    <w:p w14:paraId="37EF8C5F">
      <w:pPr>
        <w:spacing w:line="360" w:lineRule="auto"/>
        <w:ind w:firstLine="420"/>
        <w:jc w:val="left"/>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13.6.1 </w:t>
      </w:r>
      <w:r>
        <w:rPr>
          <w:rFonts w:hint="eastAsia" w:ascii="Times New Roman" w:hAnsi="宋体" w:eastAsia="宋体" w:cs="宋体"/>
          <w:color w:val="auto"/>
          <w:sz w:val="21"/>
          <w:szCs w:val="21"/>
          <w:highlight w:val="none"/>
        </w:rPr>
        <w:t>竣工退场</w:t>
      </w:r>
    </w:p>
    <w:p w14:paraId="249EDDAE">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承包人完成竣工退场的期限：</w:t>
      </w:r>
      <w:r>
        <w:rPr>
          <w:rFonts w:hint="eastAsia" w:ascii="Times New Roman" w:hAnsi="Times New Roman" w:eastAsia="宋体" w:cs="Times New Roman"/>
          <w:color w:val="auto"/>
          <w:sz w:val="21"/>
          <w:szCs w:val="21"/>
          <w:u w:val="single"/>
        </w:rPr>
        <w:t>颁发工程接收证书后7天内</w:t>
      </w:r>
      <w:r>
        <w:rPr>
          <w:rFonts w:hint="eastAsia" w:ascii="Times New Roman" w:hAnsi="Times New Roman" w:eastAsia="宋体" w:cs="Times New Roman"/>
          <w:color w:val="auto"/>
          <w:sz w:val="21"/>
          <w:szCs w:val="21"/>
          <w:highlight w:val="none"/>
          <w:u w:val="single"/>
        </w:rPr>
        <w:t>。承包人负责按照通用条款本项约定的要求对施工场地进行清理并承担相关费用，直至发包人检验合格为止。承包人的人员逾期撤出施工场地的，按每人每天500元支付违约金给发包人。机械设备和其他财产逾期撤离施工现场的，视为承包人放弃所有权，任由发包人处置，处置所得收益归发包人所有</w:t>
      </w:r>
      <w:r>
        <w:rPr>
          <w:rFonts w:hint="eastAsia" w:ascii="Times New Roman" w:hAnsi="宋体" w:eastAsia="宋体" w:cs="宋体"/>
          <w:color w:val="auto"/>
          <w:sz w:val="21"/>
          <w:szCs w:val="21"/>
          <w:highlight w:val="none"/>
        </w:rPr>
        <w:t>。</w:t>
      </w:r>
    </w:p>
    <w:p w14:paraId="6351AA0B">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1083" w:name="_Toc1385490858"/>
      <w:bookmarkStart w:id="1084" w:name="_Toc389065323"/>
      <w:bookmarkStart w:id="1085" w:name="_Toc351203646"/>
      <w:bookmarkStart w:id="1086" w:name="_Toc78449847"/>
      <w:bookmarkStart w:id="1087" w:name="_Toc407135261"/>
      <w:bookmarkStart w:id="1088" w:name="_Toc373478405"/>
      <w:bookmarkStart w:id="1089" w:name="_Toc24722"/>
      <w:bookmarkStart w:id="1090" w:name="_Toc373227758"/>
      <w:r>
        <w:rPr>
          <w:rFonts w:ascii="Arial" w:hAnsi="Arial" w:eastAsia="黑体" w:cs="Times New Roman"/>
          <w:b/>
          <w:bCs/>
          <w:color w:val="auto"/>
          <w:sz w:val="21"/>
          <w:szCs w:val="21"/>
          <w:highlight w:val="none"/>
          <w:lang w:val="zh-CN" w:eastAsia="zh-CN" w:bidi="ar-SA"/>
        </w:rPr>
        <w:t xml:space="preserve">14. </w:t>
      </w:r>
      <w:r>
        <w:rPr>
          <w:rFonts w:hint="eastAsia" w:ascii="Arial" w:hAnsi="宋体" w:eastAsia="黑体" w:cs="黑体"/>
          <w:b/>
          <w:bCs/>
          <w:color w:val="auto"/>
          <w:sz w:val="21"/>
          <w:szCs w:val="21"/>
          <w:highlight w:val="none"/>
          <w:lang w:val="zh-CN" w:eastAsia="zh-CN" w:bidi="ar-SA"/>
        </w:rPr>
        <w:t>竣工结算</w:t>
      </w:r>
      <w:bookmarkEnd w:id="1083"/>
      <w:bookmarkEnd w:id="1084"/>
      <w:bookmarkEnd w:id="1085"/>
      <w:bookmarkEnd w:id="1086"/>
      <w:bookmarkEnd w:id="1087"/>
      <w:bookmarkEnd w:id="1088"/>
      <w:bookmarkEnd w:id="1089"/>
      <w:bookmarkEnd w:id="1090"/>
    </w:p>
    <w:p w14:paraId="35DC15FC">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091" w:name="_Toc373478406"/>
      <w:bookmarkStart w:id="1092" w:name="_Toc174652718"/>
      <w:bookmarkStart w:id="1093" w:name="_Toc78449848"/>
      <w:bookmarkStart w:id="1094" w:name="_Toc407135262"/>
      <w:bookmarkStart w:id="1095" w:name="_Toc11356"/>
      <w:bookmarkStart w:id="1096" w:name="_Toc389065324"/>
      <w:bookmarkStart w:id="1097" w:name="_Toc2542"/>
      <w:bookmarkStart w:id="1098" w:name="_Toc373227759"/>
      <w:r>
        <w:rPr>
          <w:rFonts w:ascii="Times New Roman" w:hAnsi="Times New Roman" w:eastAsia="黑体" w:cs="Times New Roman"/>
          <w:b/>
          <w:bCs/>
          <w:color w:val="auto"/>
          <w:sz w:val="21"/>
          <w:szCs w:val="21"/>
          <w:highlight w:val="none"/>
          <w:lang w:val="zh-CN" w:eastAsia="zh-CN" w:bidi="ar-SA"/>
        </w:rPr>
        <w:t xml:space="preserve">14.1 </w:t>
      </w:r>
      <w:r>
        <w:rPr>
          <w:rFonts w:hint="eastAsia" w:ascii="Times New Roman" w:hAnsi="宋体" w:eastAsia="黑体" w:cs="黑体"/>
          <w:b/>
          <w:bCs/>
          <w:color w:val="auto"/>
          <w:sz w:val="21"/>
          <w:szCs w:val="21"/>
          <w:highlight w:val="none"/>
          <w:lang w:val="zh-CN" w:eastAsia="zh-CN" w:bidi="ar-SA"/>
        </w:rPr>
        <w:t>竣工付款申请</w:t>
      </w:r>
      <w:bookmarkEnd w:id="1091"/>
      <w:bookmarkEnd w:id="1092"/>
      <w:bookmarkEnd w:id="1093"/>
      <w:bookmarkEnd w:id="1094"/>
      <w:bookmarkEnd w:id="1095"/>
      <w:bookmarkEnd w:id="1096"/>
      <w:bookmarkEnd w:id="1097"/>
      <w:bookmarkEnd w:id="1098"/>
    </w:p>
    <w:p w14:paraId="647B2F39">
      <w:pPr>
        <w:spacing w:line="360" w:lineRule="auto"/>
        <w:ind w:firstLine="420"/>
        <w:jc w:val="left"/>
        <w:rPr>
          <w:rFonts w:hint="eastAsia"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承包人提交竣工付款申请单的期限：</w:t>
      </w:r>
      <w:r>
        <w:rPr>
          <w:rFonts w:hint="eastAsia" w:ascii="Times New Roman" w:hAnsi="Times New Roman" w:eastAsia="宋体" w:cs="Times New Roman"/>
          <w:color w:val="auto"/>
          <w:sz w:val="21"/>
          <w:szCs w:val="21"/>
          <w:highlight w:val="none"/>
          <w:u w:val="single"/>
        </w:rPr>
        <w:t>承包人应在工程竣工验收合格后90天内向发包人提交完整的竣工结算资料，承包方对资料的完整性、真实性和有效性负责。</w:t>
      </w:r>
    </w:p>
    <w:p w14:paraId="4F2FC48C">
      <w:pPr>
        <w:spacing w:line="360" w:lineRule="auto"/>
        <w:ind w:firstLine="420"/>
        <w:jc w:val="left"/>
        <w:rPr>
          <w:rFonts w:hint="eastAsia"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1）承包人未在规定期限内提交竣工结算资料的，责任由承包人自负。逾期提交竣工结算资料的，承包人每天向发包人偿付签约合同价格（扣暂列金、暂估价及甲供材）的3‰违约金，但违约金累计不得超过签约合同价格（扣暂列金、暂估价及甲供材）的5%。</w:t>
      </w:r>
    </w:p>
    <w:p w14:paraId="3A68DEB8">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u w:val="single"/>
        </w:rPr>
        <w:t>（2）发包人提交竣工结算资料不完整的，发包人催告函发出后14天内仍未提供完善资料或没有明确答复，发包人有权根据已有资料进行审查，责任由承包人自负</w:t>
      </w:r>
      <w:r>
        <w:rPr>
          <w:rFonts w:hint="eastAsia" w:ascii="Times New Roman" w:hAnsi="宋体" w:eastAsia="宋体" w:cs="宋体"/>
          <w:color w:val="auto"/>
          <w:sz w:val="21"/>
          <w:szCs w:val="21"/>
          <w:highlight w:val="none"/>
        </w:rPr>
        <w:t>。</w:t>
      </w:r>
    </w:p>
    <w:p w14:paraId="1EC75BBF">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竣工付款申请单应包括的内容：</w:t>
      </w:r>
      <w:r>
        <w:rPr>
          <w:rFonts w:hint="eastAsia" w:ascii="Times New Roman" w:hAnsi="Times New Roman" w:eastAsia="宋体" w:cs="Times New Roman"/>
          <w:color w:val="auto"/>
          <w:sz w:val="21"/>
          <w:szCs w:val="21"/>
          <w:highlight w:val="none"/>
          <w:u w:val="single"/>
        </w:rPr>
        <w:t>按通用合同条款14.1执行</w:t>
      </w:r>
      <w:r>
        <w:rPr>
          <w:rFonts w:hint="eastAsia" w:ascii="Times New Roman" w:hAnsi="宋体" w:eastAsia="宋体" w:cs="宋体"/>
          <w:color w:val="auto"/>
          <w:sz w:val="21"/>
          <w:szCs w:val="21"/>
          <w:highlight w:val="none"/>
        </w:rPr>
        <w:t>。竣工结算款支付申请（核准）表见合同附件12。</w:t>
      </w:r>
    </w:p>
    <w:p w14:paraId="4F344580">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099" w:name="_Toc373478407"/>
      <w:bookmarkStart w:id="1100" w:name="_Toc23646"/>
      <w:bookmarkStart w:id="1101" w:name="_Toc389065325"/>
      <w:bookmarkStart w:id="1102" w:name="_Toc667492935"/>
      <w:bookmarkStart w:id="1103" w:name="_Toc78449849"/>
      <w:bookmarkStart w:id="1104" w:name="_Toc10913"/>
      <w:bookmarkStart w:id="1105" w:name="_Toc373227760"/>
      <w:bookmarkStart w:id="1106" w:name="_Toc407135263"/>
      <w:r>
        <w:rPr>
          <w:rFonts w:ascii="Times New Roman" w:hAnsi="Times New Roman" w:eastAsia="黑体" w:cs="Times New Roman"/>
          <w:b/>
          <w:bCs/>
          <w:color w:val="auto"/>
          <w:sz w:val="21"/>
          <w:szCs w:val="21"/>
          <w:highlight w:val="none"/>
          <w:lang w:val="zh-CN" w:eastAsia="zh-CN" w:bidi="ar-SA"/>
        </w:rPr>
        <w:t xml:space="preserve">14.2 </w:t>
      </w:r>
      <w:r>
        <w:rPr>
          <w:rFonts w:hint="eastAsia" w:ascii="Times New Roman" w:hAnsi="宋体" w:eastAsia="黑体" w:cs="黑体"/>
          <w:b/>
          <w:bCs/>
          <w:color w:val="auto"/>
          <w:sz w:val="21"/>
          <w:szCs w:val="21"/>
          <w:highlight w:val="none"/>
          <w:lang w:val="zh-CN" w:eastAsia="zh-CN" w:bidi="ar-SA"/>
        </w:rPr>
        <w:t>竣工结算审核</w:t>
      </w:r>
      <w:bookmarkEnd w:id="1099"/>
      <w:bookmarkEnd w:id="1100"/>
      <w:bookmarkEnd w:id="1101"/>
      <w:bookmarkEnd w:id="1102"/>
      <w:bookmarkEnd w:id="1103"/>
      <w:bookmarkEnd w:id="1104"/>
      <w:bookmarkEnd w:id="1105"/>
      <w:bookmarkEnd w:id="1106"/>
    </w:p>
    <w:p w14:paraId="56F2B02B">
      <w:pPr>
        <w:spacing w:line="400" w:lineRule="exact"/>
        <w:ind w:firstLine="420"/>
        <w:jc w:val="left"/>
        <w:rPr>
          <w:rFonts w:hint="eastAsia" w:ascii="Times New Roman" w:hAnsi="宋体" w:eastAsia="宋体" w:cs="宋体"/>
          <w:i w:val="0"/>
          <w:caps w:val="0"/>
          <w:color w:val="FF0000"/>
          <w:spacing w:val="0"/>
          <w:sz w:val="21"/>
          <w:szCs w:val="21"/>
          <w:highlight w:val="none"/>
          <w:lang w:val="en-US" w:eastAsia="zh-CN"/>
        </w:rPr>
      </w:pPr>
      <w:r>
        <w:rPr>
          <w:rFonts w:hint="eastAsia" w:ascii="Times New Roman" w:hAnsi="宋体" w:eastAsia="宋体" w:cs="宋体"/>
          <w:i w:val="0"/>
          <w:caps w:val="0"/>
          <w:color w:val="FF0000"/>
          <w:spacing w:val="0"/>
          <w:sz w:val="21"/>
          <w:szCs w:val="21"/>
          <w:highlight w:val="none"/>
          <w:lang w:val="en-US" w:eastAsia="zh-CN"/>
        </w:rPr>
        <w:t>14.2.1承包人</w:t>
      </w:r>
      <w:r>
        <w:rPr>
          <w:rFonts w:hint="eastAsia" w:ascii="宋体" w:hAnsi="宋体" w:cs="宋体"/>
          <w:color w:val="FF0000"/>
          <w:sz w:val="21"/>
          <w:szCs w:val="21"/>
          <w:highlight w:val="none"/>
          <w:u w:val="single"/>
          <w:lang w:eastAsia="zh-CN"/>
        </w:rPr>
        <w:t>☑</w:t>
      </w:r>
      <w:r>
        <w:rPr>
          <w:rFonts w:hint="eastAsia" w:ascii="宋体" w:hAnsi="宋体" w:eastAsia="宋体" w:cs="宋体"/>
          <w:color w:val="FF0000"/>
          <w:sz w:val="21"/>
          <w:szCs w:val="21"/>
          <w:highlight w:val="none"/>
          <w:u w:val="single"/>
        </w:rPr>
        <w:t xml:space="preserve">是 </w:t>
      </w:r>
      <w:r>
        <w:rPr>
          <w:rFonts w:hint="eastAsia" w:ascii="宋体" w:hAnsi="宋体" w:eastAsia="宋体" w:cs="宋体"/>
          <w:color w:val="FF0000"/>
          <w:sz w:val="21"/>
          <w:szCs w:val="21"/>
          <w:highlight w:val="none"/>
          <w:u w:val="single"/>
          <w:lang w:eastAsia="zh-CN"/>
        </w:rPr>
        <w:t>□</w:t>
      </w:r>
      <w:r>
        <w:rPr>
          <w:rFonts w:hint="eastAsia" w:ascii="宋体" w:hAnsi="宋体" w:eastAsia="宋体" w:cs="宋体"/>
          <w:color w:val="FF0000"/>
          <w:sz w:val="21"/>
          <w:szCs w:val="21"/>
          <w:highlight w:val="none"/>
          <w:u w:val="single"/>
        </w:rPr>
        <w:t>否</w:t>
      </w:r>
      <w:r>
        <w:rPr>
          <w:rFonts w:hint="eastAsia" w:ascii="Times New Roman" w:hAnsi="宋体" w:eastAsia="宋体" w:cs="宋体"/>
          <w:i w:val="0"/>
          <w:caps w:val="0"/>
          <w:color w:val="FF0000"/>
          <w:spacing w:val="0"/>
          <w:sz w:val="21"/>
          <w:szCs w:val="21"/>
          <w:highlight w:val="none"/>
          <w:lang w:val="en-US" w:eastAsia="zh-CN"/>
        </w:rPr>
        <w:t>属于中小微企业。</w:t>
      </w:r>
    </w:p>
    <w:p w14:paraId="1432CB72">
      <w:pPr>
        <w:spacing w:line="400" w:lineRule="exact"/>
        <w:ind w:firstLine="420"/>
        <w:jc w:val="left"/>
        <w:rPr>
          <w:rFonts w:hint="eastAsia" w:ascii="Times New Roman" w:hAnsi="宋体" w:eastAsia="宋体" w:cs="宋体"/>
          <w:i w:val="0"/>
          <w:caps w:val="0"/>
          <w:color w:val="auto"/>
          <w:spacing w:val="0"/>
          <w:sz w:val="21"/>
          <w:szCs w:val="21"/>
          <w:highlight w:val="none"/>
          <w:lang w:val="en-US" w:eastAsia="zh-CN"/>
        </w:rPr>
      </w:pPr>
      <w:r>
        <w:rPr>
          <w:rFonts w:hint="eastAsia" w:ascii="Times New Roman" w:hAnsi="宋体" w:eastAsia="宋体" w:cs="宋体"/>
          <w:i w:val="0"/>
          <w:caps w:val="0"/>
          <w:color w:val="auto"/>
          <w:spacing w:val="0"/>
          <w:sz w:val="21"/>
          <w:szCs w:val="21"/>
          <w:highlight w:val="none"/>
          <w:lang w:val="en-US" w:eastAsia="zh-CN"/>
        </w:rPr>
        <w:t>14.2.2</w:t>
      </w:r>
      <w:r>
        <w:rPr>
          <w:rFonts w:hint="eastAsia" w:ascii="宋体" w:hAnsi="宋体" w:eastAsia="宋体" w:cs="宋体"/>
          <w:color w:val="auto"/>
          <w:sz w:val="21"/>
          <w:szCs w:val="21"/>
          <w:highlight w:val="none"/>
          <w:lang w:val="en-US" w:eastAsia="zh-CN"/>
        </w:rPr>
        <w:t>项目推行过程结算的，</w:t>
      </w:r>
      <w:r>
        <w:rPr>
          <w:rFonts w:hint="eastAsia" w:ascii="宋体" w:hAnsi="宋体" w:eastAsia="宋体" w:cs="宋体"/>
          <w:color w:val="auto"/>
          <w:sz w:val="21"/>
          <w:szCs w:val="21"/>
          <w:highlight w:val="none"/>
          <w:lang w:val="zh-TW"/>
        </w:rPr>
        <w:t>承包人应在经发承包双方确认的施工过程结算的基础上，</w:t>
      </w:r>
      <w:r>
        <w:rPr>
          <w:rFonts w:hint="eastAsia" w:ascii="宋体" w:hAnsi="宋体" w:eastAsia="宋体" w:cs="宋体"/>
          <w:color w:val="auto"/>
          <w:sz w:val="21"/>
          <w:szCs w:val="21"/>
          <w:highlight w:val="none"/>
        </w:rPr>
        <w:t>补充完善相关质量合格验收证明等资料，</w:t>
      </w:r>
      <w:r>
        <w:rPr>
          <w:rFonts w:hint="eastAsia" w:ascii="宋体" w:hAnsi="宋体" w:eastAsia="宋体" w:cs="宋体"/>
          <w:color w:val="auto"/>
          <w:sz w:val="21"/>
          <w:szCs w:val="21"/>
          <w:highlight w:val="none"/>
          <w:lang w:val="zh-TW"/>
        </w:rPr>
        <w:t>按合同约定及相关规定编制并向发包人提交完整的工程竣工结算文件。</w:t>
      </w:r>
      <w:r>
        <w:rPr>
          <w:rFonts w:hint="eastAsia" w:ascii="Times New Roman" w:hAnsi="宋体" w:eastAsia="宋体" w:cs="宋体"/>
          <w:i w:val="0"/>
          <w:caps w:val="0"/>
          <w:color w:val="auto"/>
          <w:spacing w:val="0"/>
          <w:sz w:val="21"/>
          <w:szCs w:val="21"/>
          <w:highlight w:val="none"/>
        </w:rPr>
        <w:t>经发承包双方签署确认的施工过程结算文件作为竣工结算文件的组成部分。</w:t>
      </w:r>
      <w:r>
        <w:rPr>
          <w:rFonts w:hint="eastAsia" w:ascii="Times New Roman" w:hAnsi="宋体" w:eastAsia="宋体" w:cs="宋体"/>
          <w:i w:val="0"/>
          <w:caps w:val="0"/>
          <w:color w:val="auto"/>
          <w:spacing w:val="0"/>
          <w:sz w:val="21"/>
          <w:szCs w:val="21"/>
          <w:highlight w:val="none"/>
          <w:lang w:val="en-US" w:eastAsia="zh-CN"/>
        </w:rPr>
        <w:t>根据合同约定具有过程结算效力的过程结算文件作为竣工结算文件的组成部分，竣工后原则上不再重复审核。</w:t>
      </w:r>
    </w:p>
    <w:p w14:paraId="53891709">
      <w:pPr>
        <w:spacing w:line="400" w:lineRule="exact"/>
        <w:ind w:firstLine="420"/>
        <w:outlineLvl w:val="3"/>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14.2.3</w:t>
      </w:r>
      <w:r>
        <w:rPr>
          <w:rFonts w:hint="default" w:ascii="Times New Roman" w:hAnsi="Times New Roman" w:eastAsia="宋体" w:cs="Times New Roman"/>
          <w:color w:val="auto"/>
          <w:sz w:val="21"/>
          <w:szCs w:val="21"/>
          <w:highlight w:val="none"/>
        </w:rPr>
        <w:t>发包</w:t>
      </w:r>
      <w:r>
        <w:rPr>
          <w:rFonts w:hint="default" w:ascii="Times New Roman" w:hAnsi="Times New Roman" w:eastAsia="宋体" w:cs="Times New Roman"/>
          <w:color w:val="auto"/>
          <w:sz w:val="21"/>
          <w:szCs w:val="21"/>
          <w:highlight w:val="none"/>
          <w:u w:val="none"/>
        </w:rPr>
        <w:t>人</w:t>
      </w:r>
      <w:r>
        <w:rPr>
          <w:rFonts w:hint="eastAsia" w:ascii="Times New Roman" w:hAnsi="Times New Roman" w:eastAsia="宋体" w:cs="Times New Roman"/>
          <w:color w:val="auto"/>
          <w:sz w:val="21"/>
          <w:szCs w:val="21"/>
          <w:highlight w:val="none"/>
          <w:u w:val="none"/>
          <w:lang w:val="en-US" w:eastAsia="zh-CN"/>
        </w:rPr>
        <w:t>在期限内</w:t>
      </w:r>
      <w:r>
        <w:rPr>
          <w:rFonts w:hint="eastAsia" w:ascii="Times New Roman" w:hAnsi="Times New Roman" w:eastAsia="宋体" w:cs="Times New Roman"/>
          <w:color w:val="auto"/>
          <w:sz w:val="21"/>
          <w:szCs w:val="21"/>
          <w:highlight w:val="none"/>
          <w:lang w:val="en-US" w:eastAsia="zh-CN"/>
        </w:rPr>
        <w:t>按照第</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2</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none"/>
          <w:lang w:val="en-US" w:eastAsia="zh-CN"/>
        </w:rPr>
        <w:t>种方式</w:t>
      </w:r>
      <w:r>
        <w:rPr>
          <w:rFonts w:hint="eastAsia" w:ascii="Times New Roman" w:hAnsi="Times New Roman" w:eastAsia="宋体" w:cs="Times New Roman"/>
          <w:color w:val="auto"/>
          <w:sz w:val="21"/>
          <w:szCs w:val="21"/>
          <w:highlight w:val="none"/>
          <w:lang w:val="en-US" w:eastAsia="zh-CN"/>
        </w:rPr>
        <w:t>进行</w:t>
      </w:r>
      <w:r>
        <w:rPr>
          <w:rFonts w:hint="default" w:ascii="Times New Roman" w:hAnsi="Times New Roman" w:eastAsia="宋体" w:cs="Times New Roman"/>
          <w:color w:val="auto"/>
          <w:sz w:val="21"/>
          <w:szCs w:val="21"/>
          <w:highlight w:val="none"/>
        </w:rPr>
        <w:t>竣工</w:t>
      </w:r>
      <w:r>
        <w:rPr>
          <w:rFonts w:hint="eastAsia" w:ascii="Times New Roman" w:hAnsi="Times New Roman" w:eastAsia="宋体" w:cs="Times New Roman"/>
          <w:color w:val="auto"/>
          <w:sz w:val="21"/>
          <w:szCs w:val="21"/>
          <w:highlight w:val="none"/>
          <w:lang w:val="en-US" w:eastAsia="zh-CN"/>
        </w:rPr>
        <w:t>结算文件审核</w:t>
      </w:r>
      <w:r>
        <w:rPr>
          <w:rFonts w:hint="default" w:ascii="Times New Roman" w:hAnsi="Times New Roman" w:eastAsia="宋体" w:cs="Times New Roman"/>
          <w:color w:val="auto"/>
          <w:sz w:val="21"/>
          <w:szCs w:val="21"/>
          <w:highlight w:val="none"/>
        </w:rPr>
        <w:t>。</w:t>
      </w:r>
    </w:p>
    <w:p w14:paraId="568EFB93">
      <w:pPr>
        <w:numPr>
          <w:ilvl w:val="0"/>
          <w:numId w:val="0"/>
        </w:numPr>
        <w:spacing w:line="400" w:lineRule="exact"/>
        <w:ind w:firstLine="420"/>
        <w:jc w:val="left"/>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lang w:val="en-US" w:eastAsia="zh-CN" w:bidi="ar-SA"/>
        </w:rPr>
        <w:t>（1）</w:t>
      </w:r>
      <w:r>
        <w:rPr>
          <w:rFonts w:hint="eastAsia" w:ascii="Times New Roman" w:hAnsi="Times New Roman" w:eastAsia="宋体" w:cs="Times New Roman"/>
          <w:color w:val="auto"/>
          <w:sz w:val="21"/>
          <w:szCs w:val="21"/>
          <w:highlight w:val="none"/>
          <w:lang w:val="en-US" w:eastAsia="zh-CN"/>
        </w:rPr>
        <w:t>本工程项目的竣工结算以发包人</w:t>
      </w:r>
      <w:r>
        <w:rPr>
          <w:rFonts w:hint="eastAsia" w:ascii="Times New Roman" w:hAnsi="Times New Roman" w:eastAsia="宋体" w:cs="Times New Roman"/>
          <w:b w:val="0"/>
          <w:bCs w:val="0"/>
          <w:color w:val="auto"/>
          <w:sz w:val="21"/>
          <w:szCs w:val="21"/>
          <w:highlight w:val="none"/>
          <w:lang w:val="en-US" w:eastAsia="zh-CN"/>
        </w:rPr>
        <w:t>审核的结论为准。</w:t>
      </w:r>
    </w:p>
    <w:p w14:paraId="73A813BB">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i w:val="0"/>
          <w:caps w:val="0"/>
          <w:color w:val="auto"/>
          <w:spacing w:val="0"/>
          <w:sz w:val="21"/>
          <w:szCs w:val="21"/>
          <w:highlight w:val="none"/>
        </w:rPr>
        <w:t>发承包双方</w:t>
      </w:r>
      <w:r>
        <w:rPr>
          <w:rFonts w:hint="eastAsia" w:ascii="Times New Roman" w:hAnsi="宋体" w:eastAsia="宋体" w:cs="宋体"/>
          <w:i w:val="0"/>
          <w:caps w:val="0"/>
          <w:color w:val="auto"/>
          <w:spacing w:val="0"/>
          <w:sz w:val="21"/>
          <w:szCs w:val="21"/>
          <w:highlight w:val="none"/>
          <w:lang w:val="en-US" w:eastAsia="zh-CN"/>
        </w:rPr>
        <w:t>可参照下表，约定发包人审核竣工结算文件</w:t>
      </w:r>
      <w:r>
        <w:rPr>
          <w:rFonts w:hint="eastAsia" w:ascii="Times New Roman" w:hAnsi="宋体" w:eastAsia="宋体" w:cs="宋体"/>
          <w:i w:val="0"/>
          <w:caps w:val="0"/>
          <w:color w:val="auto"/>
          <w:spacing w:val="0"/>
          <w:sz w:val="21"/>
          <w:szCs w:val="21"/>
          <w:highlight w:val="none"/>
        </w:rPr>
        <w:t>的期限</w:t>
      </w:r>
      <w:r>
        <w:rPr>
          <w:rFonts w:hint="eastAsia" w:ascii="Times New Roman" w:hAnsi="宋体" w:eastAsia="宋体" w:cs="宋体"/>
          <w:color w:val="auto"/>
          <w:sz w:val="21"/>
          <w:szCs w:val="21"/>
          <w:highlight w:val="none"/>
          <w:lang w:val="en-US" w:eastAsia="zh-CN"/>
        </w:rPr>
        <w:t>。</w:t>
      </w:r>
    </w:p>
    <w:p w14:paraId="029686D3">
      <w:pPr>
        <w:spacing w:line="360" w:lineRule="auto"/>
        <w:ind w:firstLine="420"/>
        <w:jc w:val="left"/>
        <w:rPr>
          <w:rFonts w:ascii="Times New Roman" w:hAnsi="Times New Roman" w:eastAsia="宋体" w:cs="Times New Roman"/>
          <w:color w:val="auto"/>
          <w:sz w:val="21"/>
          <w:szCs w:val="21"/>
          <w:highlight w:val="none"/>
        </w:rPr>
      </w:pP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0C4AD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433C2E87">
            <w:pPr>
              <w:keepNext w:val="0"/>
              <w:keepLines w:val="0"/>
              <w:suppressLineNumbers w:val="0"/>
              <w:spacing w:before="0" w:beforeAutospacing="0" w:after="0" w:afterAutospacing="0" w:line="360" w:lineRule="auto"/>
              <w:ind w:left="0" w:right="0"/>
              <w:rPr>
                <w:rFonts w:hint="default" w:ascii="Calibri" w:hAnsi="Calibri" w:eastAsia="宋体" w:cs="Times New Roman"/>
                <w:color w:val="auto"/>
                <w:sz w:val="21"/>
                <w:szCs w:val="21"/>
                <w:highlight w:val="none"/>
              </w:rPr>
            </w:pPr>
          </w:p>
        </w:tc>
        <w:tc>
          <w:tcPr>
            <w:tcW w:w="2466" w:type="dxa"/>
            <w:noWrap w:val="0"/>
            <w:vAlign w:val="center"/>
          </w:tcPr>
          <w:p w14:paraId="10DDD977">
            <w:pPr>
              <w:keepNext w:val="0"/>
              <w:keepLines w:val="0"/>
              <w:suppressLineNumbers w:val="0"/>
              <w:spacing w:before="0" w:beforeAutospacing="0" w:after="0" w:afterAutospacing="0" w:line="360" w:lineRule="auto"/>
              <w:ind w:left="0" w:right="0" w:firstLine="27"/>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工程竣工结算</w:t>
            </w:r>
            <w:r>
              <w:rPr>
                <w:rFonts w:hint="eastAsia" w:ascii="Calibri" w:hAnsi="宋体" w:eastAsia="宋体" w:cs="宋体"/>
                <w:color w:val="auto"/>
                <w:sz w:val="21"/>
                <w:szCs w:val="21"/>
                <w:highlight w:val="none"/>
                <w:lang w:eastAsia="zh-CN"/>
              </w:rPr>
              <w:t>申请</w:t>
            </w:r>
            <w:r>
              <w:rPr>
                <w:rFonts w:hint="eastAsia" w:ascii="Calibri" w:hAnsi="宋体" w:eastAsia="宋体" w:cs="宋体"/>
                <w:color w:val="auto"/>
                <w:sz w:val="21"/>
                <w:szCs w:val="21"/>
                <w:highlight w:val="none"/>
              </w:rPr>
              <w:t>金额</w:t>
            </w:r>
          </w:p>
        </w:tc>
        <w:tc>
          <w:tcPr>
            <w:tcW w:w="5967" w:type="dxa"/>
            <w:noWrap w:val="0"/>
            <w:vAlign w:val="center"/>
          </w:tcPr>
          <w:p w14:paraId="63CBC457">
            <w:pPr>
              <w:keepNext w:val="0"/>
              <w:keepLines w:val="0"/>
              <w:suppressLineNumbers w:val="0"/>
              <w:spacing w:before="0" w:beforeAutospacing="0" w:after="0" w:afterAutospacing="0" w:line="360" w:lineRule="auto"/>
              <w:ind w:left="0" w:right="0" w:firstLine="441"/>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发包人</w:t>
            </w:r>
            <w:r>
              <w:rPr>
                <w:rFonts w:hint="eastAsia" w:ascii="Calibri" w:hAnsi="宋体" w:eastAsia="宋体" w:cs="宋体"/>
                <w:color w:val="auto"/>
                <w:sz w:val="21"/>
                <w:szCs w:val="21"/>
                <w:highlight w:val="none"/>
                <w:lang w:val="en-US" w:eastAsia="zh-CN"/>
              </w:rPr>
              <w:t>审核</w:t>
            </w:r>
            <w:r>
              <w:rPr>
                <w:rFonts w:hint="eastAsia" w:ascii="Times New Roman" w:hAnsi="宋体" w:eastAsia="宋体" w:cs="宋体"/>
                <w:i w:val="0"/>
                <w:caps w:val="0"/>
                <w:color w:val="auto"/>
                <w:spacing w:val="0"/>
                <w:sz w:val="21"/>
                <w:szCs w:val="21"/>
                <w:highlight w:val="none"/>
                <w:lang w:val="en-US" w:eastAsia="zh-CN"/>
              </w:rPr>
              <w:t>竣工结算文件</w:t>
            </w:r>
            <w:r>
              <w:rPr>
                <w:rFonts w:hint="eastAsia" w:ascii="Times New Roman" w:hAnsi="宋体" w:eastAsia="宋体" w:cs="宋体"/>
                <w:i w:val="0"/>
                <w:caps w:val="0"/>
                <w:color w:val="auto"/>
                <w:spacing w:val="0"/>
                <w:sz w:val="21"/>
                <w:szCs w:val="21"/>
                <w:highlight w:val="none"/>
              </w:rPr>
              <w:t>的</w:t>
            </w:r>
            <w:r>
              <w:rPr>
                <w:rFonts w:hint="eastAsia" w:ascii="Calibri" w:hAnsi="宋体" w:eastAsia="宋体" w:cs="宋体"/>
                <w:color w:val="auto"/>
                <w:sz w:val="21"/>
                <w:szCs w:val="21"/>
                <w:highlight w:val="none"/>
              </w:rPr>
              <w:t>时间</w:t>
            </w:r>
          </w:p>
        </w:tc>
      </w:tr>
      <w:tr w14:paraId="39A7F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2DC64162">
            <w:pPr>
              <w:keepNext w:val="0"/>
              <w:keepLines w:val="0"/>
              <w:suppressLineNumbers w:val="0"/>
              <w:spacing w:before="0" w:beforeAutospacing="0" w:after="0" w:afterAutospacing="0" w:line="360" w:lineRule="auto"/>
              <w:ind w:left="0" w:right="0"/>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1</w:t>
            </w:r>
          </w:p>
        </w:tc>
        <w:tc>
          <w:tcPr>
            <w:tcW w:w="2466" w:type="dxa"/>
            <w:noWrap w:val="0"/>
            <w:vAlign w:val="center"/>
          </w:tcPr>
          <w:p w14:paraId="4AB291D7">
            <w:pPr>
              <w:keepNext w:val="0"/>
              <w:keepLines w:val="0"/>
              <w:suppressLineNumbers w:val="0"/>
              <w:spacing w:before="0" w:beforeAutospacing="0" w:after="0" w:afterAutospacing="0" w:line="360" w:lineRule="auto"/>
              <w:ind w:left="0" w:right="0" w:firstLine="27"/>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500</w:t>
            </w:r>
            <w:r>
              <w:rPr>
                <w:rFonts w:hint="eastAsia" w:ascii="Calibri" w:hAnsi="宋体" w:eastAsia="宋体" w:cs="宋体"/>
                <w:color w:val="auto"/>
                <w:sz w:val="21"/>
                <w:szCs w:val="21"/>
                <w:highlight w:val="none"/>
              </w:rPr>
              <w:t>万元以下</w:t>
            </w:r>
          </w:p>
        </w:tc>
        <w:tc>
          <w:tcPr>
            <w:tcW w:w="5967" w:type="dxa"/>
            <w:noWrap w:val="0"/>
            <w:vAlign w:val="center"/>
          </w:tcPr>
          <w:p w14:paraId="4B7EA71B">
            <w:pPr>
              <w:keepNext w:val="0"/>
              <w:keepLines w:val="0"/>
              <w:suppressLineNumbers w:val="0"/>
              <w:spacing w:before="0" w:beforeAutospacing="0" w:after="0" w:afterAutospacing="0" w:line="360" w:lineRule="auto"/>
              <w:ind w:left="0" w:right="0" w:firstLine="441"/>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从接到竣工结算报告和完整的竣工结算资料之日起</w:t>
            </w:r>
            <w:r>
              <w:rPr>
                <w:rFonts w:hint="default" w:ascii="Calibri" w:hAnsi="Calibri" w:eastAsia="宋体" w:cs="Times New Roman"/>
                <w:color w:val="auto"/>
                <w:sz w:val="21"/>
                <w:szCs w:val="21"/>
                <w:highlight w:val="none"/>
              </w:rPr>
              <w:t>20</w:t>
            </w:r>
            <w:r>
              <w:rPr>
                <w:rFonts w:hint="eastAsia" w:ascii="Calibri" w:hAnsi="宋体" w:eastAsia="宋体" w:cs="宋体"/>
                <w:color w:val="auto"/>
                <w:sz w:val="21"/>
                <w:szCs w:val="21"/>
                <w:highlight w:val="none"/>
              </w:rPr>
              <w:t>天</w:t>
            </w:r>
          </w:p>
        </w:tc>
      </w:tr>
      <w:tr w14:paraId="4C63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C85B77E">
            <w:pPr>
              <w:keepNext w:val="0"/>
              <w:keepLines w:val="0"/>
              <w:suppressLineNumbers w:val="0"/>
              <w:spacing w:before="0" w:beforeAutospacing="0" w:after="0" w:afterAutospacing="0" w:line="360" w:lineRule="auto"/>
              <w:ind w:left="0" w:right="0"/>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2</w:t>
            </w:r>
          </w:p>
        </w:tc>
        <w:tc>
          <w:tcPr>
            <w:tcW w:w="2466" w:type="dxa"/>
            <w:noWrap w:val="0"/>
            <w:vAlign w:val="center"/>
          </w:tcPr>
          <w:p w14:paraId="310F91B3">
            <w:pPr>
              <w:keepNext w:val="0"/>
              <w:keepLines w:val="0"/>
              <w:suppressLineNumbers w:val="0"/>
              <w:spacing w:before="0" w:beforeAutospacing="0" w:after="0" w:afterAutospacing="0" w:line="360" w:lineRule="auto"/>
              <w:ind w:left="0" w:right="0" w:firstLine="27"/>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500</w:t>
            </w:r>
            <w:r>
              <w:rPr>
                <w:rFonts w:hint="eastAsia" w:ascii="Calibri" w:hAnsi="宋体" w:eastAsia="宋体" w:cs="宋体"/>
                <w:color w:val="auto"/>
                <w:sz w:val="21"/>
                <w:szCs w:val="21"/>
                <w:highlight w:val="none"/>
              </w:rPr>
              <w:t>万元</w:t>
            </w:r>
            <w:r>
              <w:rPr>
                <w:rFonts w:hint="default" w:ascii="Calibri" w:hAnsi="Calibri" w:eastAsia="宋体" w:cs="Times New Roman"/>
                <w:color w:val="auto"/>
                <w:sz w:val="21"/>
                <w:szCs w:val="21"/>
                <w:highlight w:val="none"/>
              </w:rPr>
              <w:t>-2000</w:t>
            </w:r>
            <w:r>
              <w:rPr>
                <w:rFonts w:hint="eastAsia" w:ascii="Calibri" w:hAnsi="宋体" w:eastAsia="宋体" w:cs="宋体"/>
                <w:color w:val="auto"/>
                <w:sz w:val="21"/>
                <w:szCs w:val="21"/>
                <w:highlight w:val="none"/>
              </w:rPr>
              <w:t>万元</w:t>
            </w:r>
          </w:p>
        </w:tc>
        <w:tc>
          <w:tcPr>
            <w:tcW w:w="5967" w:type="dxa"/>
            <w:noWrap w:val="0"/>
            <w:vAlign w:val="center"/>
          </w:tcPr>
          <w:p w14:paraId="2719573B">
            <w:pPr>
              <w:keepNext w:val="0"/>
              <w:keepLines w:val="0"/>
              <w:suppressLineNumbers w:val="0"/>
              <w:spacing w:before="0" w:beforeAutospacing="0" w:after="0" w:afterAutospacing="0" w:line="360" w:lineRule="auto"/>
              <w:ind w:left="0" w:right="0" w:firstLine="441"/>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从接到竣工结算报告和完整的竣工结算资料之日起</w:t>
            </w:r>
            <w:r>
              <w:rPr>
                <w:rFonts w:hint="default" w:ascii="Calibri" w:hAnsi="Calibri" w:eastAsia="宋体" w:cs="Times New Roman"/>
                <w:color w:val="auto"/>
                <w:sz w:val="21"/>
                <w:szCs w:val="21"/>
                <w:highlight w:val="none"/>
              </w:rPr>
              <w:t>30</w:t>
            </w:r>
            <w:r>
              <w:rPr>
                <w:rFonts w:hint="eastAsia" w:ascii="Calibri" w:hAnsi="宋体" w:eastAsia="宋体" w:cs="宋体"/>
                <w:color w:val="auto"/>
                <w:sz w:val="21"/>
                <w:szCs w:val="21"/>
                <w:highlight w:val="none"/>
              </w:rPr>
              <w:t>天</w:t>
            </w:r>
          </w:p>
        </w:tc>
      </w:tr>
      <w:tr w14:paraId="001D3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296523E">
            <w:pPr>
              <w:keepNext w:val="0"/>
              <w:keepLines w:val="0"/>
              <w:suppressLineNumbers w:val="0"/>
              <w:spacing w:before="0" w:beforeAutospacing="0" w:after="0" w:afterAutospacing="0" w:line="360" w:lineRule="auto"/>
              <w:ind w:left="0" w:right="0"/>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3</w:t>
            </w:r>
          </w:p>
        </w:tc>
        <w:tc>
          <w:tcPr>
            <w:tcW w:w="2466" w:type="dxa"/>
            <w:noWrap w:val="0"/>
            <w:vAlign w:val="center"/>
          </w:tcPr>
          <w:p w14:paraId="73B53382">
            <w:pPr>
              <w:keepNext w:val="0"/>
              <w:keepLines w:val="0"/>
              <w:suppressLineNumbers w:val="0"/>
              <w:spacing w:before="0" w:beforeAutospacing="0" w:after="0" w:afterAutospacing="0" w:line="360" w:lineRule="auto"/>
              <w:ind w:left="0" w:right="0" w:firstLine="27"/>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2000</w:t>
            </w:r>
            <w:r>
              <w:rPr>
                <w:rFonts w:hint="eastAsia" w:ascii="Calibri" w:hAnsi="宋体" w:eastAsia="宋体" w:cs="宋体"/>
                <w:color w:val="auto"/>
                <w:sz w:val="21"/>
                <w:szCs w:val="21"/>
                <w:highlight w:val="none"/>
              </w:rPr>
              <w:t>万元</w:t>
            </w:r>
            <w:r>
              <w:rPr>
                <w:rFonts w:hint="default" w:ascii="Calibri" w:hAnsi="Calibri" w:eastAsia="宋体" w:cs="Times New Roman"/>
                <w:color w:val="auto"/>
                <w:sz w:val="21"/>
                <w:szCs w:val="21"/>
                <w:highlight w:val="none"/>
              </w:rPr>
              <w:t>-5000</w:t>
            </w:r>
            <w:r>
              <w:rPr>
                <w:rFonts w:hint="eastAsia" w:ascii="Calibri" w:hAnsi="宋体" w:eastAsia="宋体" w:cs="宋体"/>
                <w:color w:val="auto"/>
                <w:sz w:val="21"/>
                <w:szCs w:val="21"/>
                <w:highlight w:val="none"/>
              </w:rPr>
              <w:t>万元</w:t>
            </w:r>
          </w:p>
        </w:tc>
        <w:tc>
          <w:tcPr>
            <w:tcW w:w="5967" w:type="dxa"/>
            <w:noWrap w:val="0"/>
            <w:vAlign w:val="center"/>
          </w:tcPr>
          <w:p w14:paraId="7980679E">
            <w:pPr>
              <w:keepNext w:val="0"/>
              <w:keepLines w:val="0"/>
              <w:suppressLineNumbers w:val="0"/>
              <w:spacing w:before="0" w:beforeAutospacing="0" w:after="0" w:afterAutospacing="0" w:line="360" w:lineRule="auto"/>
              <w:ind w:left="0" w:right="0" w:firstLine="441"/>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从接到竣工结算报告和完整的竣工结算资料之日起</w:t>
            </w:r>
            <w:r>
              <w:rPr>
                <w:rFonts w:hint="default" w:ascii="Calibri" w:hAnsi="Calibri" w:eastAsia="宋体" w:cs="Times New Roman"/>
                <w:color w:val="auto"/>
                <w:sz w:val="21"/>
                <w:szCs w:val="21"/>
                <w:highlight w:val="none"/>
              </w:rPr>
              <w:t>45</w:t>
            </w:r>
            <w:r>
              <w:rPr>
                <w:rFonts w:hint="eastAsia" w:ascii="Calibri" w:hAnsi="宋体" w:eastAsia="宋体" w:cs="宋体"/>
                <w:color w:val="auto"/>
                <w:sz w:val="21"/>
                <w:szCs w:val="21"/>
                <w:highlight w:val="none"/>
              </w:rPr>
              <w:t>天</w:t>
            </w:r>
          </w:p>
        </w:tc>
      </w:tr>
      <w:tr w14:paraId="663F4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3A9B66B6">
            <w:pPr>
              <w:keepNext w:val="0"/>
              <w:keepLines w:val="0"/>
              <w:suppressLineNumbers w:val="0"/>
              <w:spacing w:before="0" w:beforeAutospacing="0" w:after="0" w:afterAutospacing="0" w:line="360" w:lineRule="auto"/>
              <w:ind w:left="0" w:right="0"/>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4</w:t>
            </w:r>
          </w:p>
        </w:tc>
        <w:tc>
          <w:tcPr>
            <w:tcW w:w="2466" w:type="dxa"/>
            <w:noWrap w:val="0"/>
            <w:vAlign w:val="center"/>
          </w:tcPr>
          <w:p w14:paraId="11D22DAD">
            <w:pPr>
              <w:keepNext w:val="0"/>
              <w:keepLines w:val="0"/>
              <w:suppressLineNumbers w:val="0"/>
              <w:spacing w:before="0" w:beforeAutospacing="0" w:after="0" w:afterAutospacing="0" w:line="360" w:lineRule="auto"/>
              <w:ind w:left="0" w:right="0" w:firstLine="27"/>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5000</w:t>
            </w:r>
            <w:r>
              <w:rPr>
                <w:rFonts w:hint="eastAsia" w:ascii="Calibri" w:hAnsi="宋体" w:eastAsia="宋体" w:cs="宋体"/>
                <w:color w:val="auto"/>
                <w:sz w:val="21"/>
                <w:szCs w:val="21"/>
                <w:highlight w:val="none"/>
              </w:rPr>
              <w:t>万元以上</w:t>
            </w:r>
          </w:p>
        </w:tc>
        <w:tc>
          <w:tcPr>
            <w:tcW w:w="5967" w:type="dxa"/>
            <w:noWrap w:val="0"/>
            <w:vAlign w:val="center"/>
          </w:tcPr>
          <w:p w14:paraId="0EFF8F1C">
            <w:pPr>
              <w:keepNext w:val="0"/>
              <w:keepLines w:val="0"/>
              <w:suppressLineNumbers w:val="0"/>
              <w:spacing w:before="0" w:beforeAutospacing="0" w:after="0" w:afterAutospacing="0" w:line="360" w:lineRule="auto"/>
              <w:ind w:left="0" w:right="0" w:firstLine="441"/>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从接到竣工结算报告和完整的竣工结算资料之日起</w:t>
            </w:r>
            <w:r>
              <w:rPr>
                <w:rFonts w:hint="default" w:ascii="Calibri" w:hAnsi="Calibri" w:eastAsia="宋体" w:cs="Times New Roman"/>
                <w:color w:val="auto"/>
                <w:sz w:val="21"/>
                <w:szCs w:val="21"/>
                <w:highlight w:val="none"/>
              </w:rPr>
              <w:t>60</w:t>
            </w:r>
            <w:r>
              <w:rPr>
                <w:rFonts w:hint="eastAsia" w:ascii="Calibri" w:hAnsi="宋体" w:eastAsia="宋体" w:cs="宋体"/>
                <w:color w:val="auto"/>
                <w:sz w:val="21"/>
                <w:szCs w:val="21"/>
                <w:highlight w:val="none"/>
              </w:rPr>
              <w:t>天</w:t>
            </w:r>
          </w:p>
        </w:tc>
      </w:tr>
      <w:tr w14:paraId="6D347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7419F174">
            <w:pPr>
              <w:keepNext w:val="0"/>
              <w:keepLines w:val="0"/>
              <w:suppressLineNumbers w:val="0"/>
              <w:spacing w:before="0" w:beforeAutospacing="0" w:after="0" w:afterAutospacing="0" w:line="360" w:lineRule="auto"/>
              <w:ind w:left="0" w:right="0"/>
              <w:jc w:val="center"/>
              <w:rPr>
                <w:rFonts w:hint="default" w:ascii="Calibri" w:hAnsi="Calibri" w:eastAsia="宋体" w:cs="Times New Roman"/>
                <w:color w:val="auto"/>
                <w:sz w:val="21"/>
                <w:szCs w:val="21"/>
                <w:highlight w:val="none"/>
              </w:rPr>
            </w:pPr>
            <w:r>
              <w:rPr>
                <w:rFonts w:hint="eastAsia" w:ascii="Calibri" w:hAnsi="Calibri" w:eastAsia="宋体" w:cs="Times New Roman"/>
                <w:color w:val="auto"/>
                <w:sz w:val="21"/>
                <w:szCs w:val="21"/>
                <w:highlight w:val="none"/>
              </w:rPr>
              <w:t>5</w:t>
            </w:r>
          </w:p>
        </w:tc>
        <w:tc>
          <w:tcPr>
            <w:tcW w:w="2466" w:type="dxa"/>
            <w:noWrap w:val="0"/>
            <w:vAlign w:val="center"/>
          </w:tcPr>
          <w:p w14:paraId="198737F9">
            <w:pPr>
              <w:keepNext w:val="0"/>
              <w:keepLines w:val="0"/>
              <w:suppressLineNumbers w:val="0"/>
              <w:spacing w:before="0" w:beforeAutospacing="0" w:after="0" w:afterAutospacing="0" w:line="360" w:lineRule="auto"/>
              <w:ind w:left="0" w:right="0" w:firstLine="27"/>
              <w:jc w:val="center"/>
              <w:rPr>
                <w:rFonts w:hint="default" w:ascii="Calibri" w:hAnsi="Calibri" w:eastAsia="宋体" w:cs="Times New Roman"/>
                <w:color w:val="auto"/>
                <w:sz w:val="21"/>
                <w:szCs w:val="21"/>
                <w:highlight w:val="none"/>
              </w:rPr>
            </w:pPr>
            <w:r>
              <w:rPr>
                <w:rFonts w:hint="eastAsia" w:ascii="Calibri" w:hAnsi="Calibri" w:eastAsia="宋体" w:cs="Times New Roman"/>
                <w:color w:val="auto"/>
                <w:sz w:val="21"/>
                <w:szCs w:val="21"/>
                <w:highlight w:val="none"/>
              </w:rPr>
              <w:t>5000万以上每增加</w:t>
            </w:r>
            <w:r>
              <w:rPr>
                <w:rFonts w:hint="default" w:ascii="Calibri" w:hAnsi="Calibri" w:eastAsia="宋体" w:cs="Times New Roman"/>
                <w:color w:val="auto"/>
                <w:sz w:val="21"/>
                <w:szCs w:val="21"/>
                <w:highlight w:val="none"/>
              </w:rPr>
              <w:t>0.5</w:t>
            </w:r>
            <w:r>
              <w:rPr>
                <w:rFonts w:hint="eastAsia" w:ascii="Calibri" w:hAnsi="Calibri" w:eastAsia="宋体" w:cs="Times New Roman"/>
                <w:color w:val="auto"/>
                <w:sz w:val="21"/>
                <w:szCs w:val="21"/>
                <w:highlight w:val="none"/>
              </w:rPr>
              <w:t>亿</w:t>
            </w:r>
            <w:r>
              <w:rPr>
                <w:rFonts w:hint="eastAsia" w:ascii="Calibri" w:hAnsi="Calibri" w:eastAsia="宋体" w:cs="Times New Roman"/>
                <w:color w:val="auto"/>
                <w:sz w:val="21"/>
                <w:szCs w:val="21"/>
                <w:highlight w:val="none"/>
                <w:lang w:eastAsia="zh-CN"/>
              </w:rPr>
              <w:t>（</w:t>
            </w:r>
            <w:r>
              <w:rPr>
                <w:rFonts w:hint="eastAsia" w:ascii="Calibri" w:hAnsi="Calibri" w:eastAsia="宋体" w:cs="Times New Roman"/>
                <w:color w:val="auto"/>
                <w:sz w:val="21"/>
                <w:szCs w:val="21"/>
                <w:highlight w:val="none"/>
              </w:rPr>
              <w:t>不足0.5亿不增加</w:t>
            </w:r>
            <w:r>
              <w:rPr>
                <w:rFonts w:hint="eastAsia" w:ascii="Calibri" w:hAnsi="Calibri" w:eastAsia="宋体" w:cs="Times New Roman"/>
                <w:color w:val="auto"/>
                <w:sz w:val="21"/>
                <w:szCs w:val="21"/>
                <w:highlight w:val="none"/>
                <w:lang w:eastAsia="zh-CN"/>
              </w:rPr>
              <w:t>）</w:t>
            </w:r>
          </w:p>
        </w:tc>
        <w:tc>
          <w:tcPr>
            <w:tcW w:w="5967" w:type="dxa"/>
            <w:noWrap w:val="0"/>
            <w:vAlign w:val="center"/>
          </w:tcPr>
          <w:p w14:paraId="40486040">
            <w:pPr>
              <w:keepNext w:val="0"/>
              <w:keepLines w:val="0"/>
              <w:suppressLineNumbers w:val="0"/>
              <w:spacing w:before="0" w:beforeAutospacing="0" w:after="0" w:afterAutospacing="0" w:line="360" w:lineRule="auto"/>
              <w:ind w:left="0" w:right="0" w:firstLine="441"/>
              <w:jc w:val="center"/>
              <w:rPr>
                <w:rFonts w:hint="eastAsia" w:ascii="Calibri" w:hAnsi="宋体" w:eastAsia="宋体" w:cs="宋体"/>
                <w:color w:val="auto"/>
                <w:sz w:val="21"/>
                <w:szCs w:val="21"/>
                <w:highlight w:val="none"/>
              </w:rPr>
            </w:pPr>
            <w:r>
              <w:rPr>
                <w:rFonts w:hint="eastAsia" w:ascii="Calibri" w:hAnsi="宋体" w:eastAsia="宋体" w:cs="宋体"/>
                <w:color w:val="auto"/>
                <w:sz w:val="21"/>
                <w:szCs w:val="21"/>
                <w:highlight w:val="none"/>
              </w:rPr>
              <w:t>增加10天</w:t>
            </w:r>
          </w:p>
        </w:tc>
      </w:tr>
    </w:tbl>
    <w:p w14:paraId="412E11A0">
      <w:pPr>
        <w:spacing w:line="400" w:lineRule="exact"/>
        <w:ind w:left="0" w:firstLine="0"/>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附注：推行施工过程结算的竣工结算审核时限按本表审核时间的</w:t>
      </w:r>
      <w:r>
        <w:rPr>
          <w:rFonts w:hint="eastAsia" w:ascii="Times New Roman" w:hAnsi="Times New Roman" w:eastAsia="宋体" w:cs="Times New Roman"/>
          <w:color w:val="auto"/>
          <w:sz w:val="21"/>
          <w:szCs w:val="21"/>
          <w:highlight w:val="none"/>
          <w:lang w:val="en-US" w:eastAsia="zh-CN"/>
        </w:rPr>
        <w:t>50%计算。</w:t>
      </w:r>
    </w:p>
    <w:p w14:paraId="7EB06A1E">
      <w:pPr>
        <w:spacing w:line="360" w:lineRule="auto"/>
        <w:ind w:firstLine="420"/>
        <w:jc w:val="left"/>
        <w:rPr>
          <w:rFonts w:hint="eastAsia" w:ascii="Times New Roman" w:hAnsi="宋体" w:eastAsia="宋体" w:cs="宋体"/>
          <w:color w:val="auto"/>
          <w:sz w:val="21"/>
          <w:szCs w:val="21"/>
          <w:highlight w:val="none"/>
        </w:rPr>
      </w:pPr>
    </w:p>
    <w:p w14:paraId="3CD4563C">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发包人约定审核竣工结算申请文件的期限：从接到竣工结算报告和完整的竣工结算资料之日</w:t>
      </w:r>
    </w:p>
    <w:p w14:paraId="272E6F36">
      <w:pPr>
        <w:spacing w:line="360" w:lineRule="auto"/>
        <w:ind w:firstLine="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起</w:t>
      </w:r>
      <w:r>
        <w:rPr>
          <w:rFonts w:hint="eastAsia" w:ascii="Times New Roman" w:hAnsi="宋体" w:eastAsia="宋体" w:cs="宋体"/>
          <w:color w:val="auto"/>
          <w:sz w:val="21"/>
          <w:szCs w:val="21"/>
          <w:highlight w:val="none"/>
          <w:u w:val="single"/>
          <w:lang w:val="en-US" w:eastAsia="zh-CN"/>
        </w:rPr>
        <w:t>20</w:t>
      </w:r>
      <w:r>
        <w:rPr>
          <w:rFonts w:hint="eastAsia" w:ascii="Times New Roman" w:hAnsi="宋体" w:eastAsia="宋体" w:cs="宋体"/>
          <w:color w:val="auto"/>
          <w:sz w:val="21"/>
          <w:szCs w:val="21"/>
          <w:highlight w:val="none"/>
        </w:rPr>
        <w:t>天内审核完毕。没有约定期限的，发包人应当在收到承包人提交的竣工结算申请与竣工结算文件之日起的28天内完成竣工结算审核。</w:t>
      </w:r>
    </w:p>
    <w:p w14:paraId="0A78B647">
      <w:pPr>
        <w:spacing w:line="360" w:lineRule="auto"/>
        <w:ind w:firstLine="420"/>
        <w:jc w:val="left"/>
        <w:rPr>
          <w:rFonts w:hint="eastAsia" w:ascii="Times New Roman" w:hAnsi="宋体" w:eastAsia="宋体" w:cs="宋体"/>
          <w:color w:val="auto"/>
          <w:sz w:val="21"/>
          <w:szCs w:val="21"/>
          <w:highlight w:val="none"/>
        </w:rPr>
      </w:pPr>
    </w:p>
    <w:p w14:paraId="16E9F07A">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工程结算应由承包人或受其委托的工程造价咨询人编制，由发包人或受其委托的工程造价咨询人核对。受其委托的工程造价咨询人编制或核对的结果，经委托人确认后应视为委托人的结果。经发包人或发包人委托的工程造价咨询单位与承包人核对后无异议的竣工结算文件，发承包双方应签字并盖章确认。如其中一方不签认的，应承担违约责任，并承担由此造成的损失。</w:t>
      </w:r>
    </w:p>
    <w:p w14:paraId="6676901C">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除发承包双方共同约定以财政评审结论作为竣工结算的依据以外，不应以财政评审结论作为竣工结算的依据。</w:t>
      </w:r>
    </w:p>
    <w:p w14:paraId="5799DAD2">
      <w:pPr>
        <w:spacing w:line="400" w:lineRule="exact"/>
        <w:ind w:firstLine="420"/>
        <w:jc w:val="left"/>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本工程项目的竣工结算以</w:t>
      </w:r>
      <w:r>
        <w:rPr>
          <w:rFonts w:hint="eastAsia" w:ascii="Times New Roman" w:hAnsi="Times New Roman" w:eastAsia="宋体" w:cs="Times New Roman"/>
          <w:color w:val="auto"/>
          <w:sz w:val="21"/>
          <w:szCs w:val="21"/>
          <w:highlight w:val="none"/>
          <w:u w:val="single"/>
          <w:lang w:val="en-US" w:eastAsia="zh-CN"/>
        </w:rPr>
        <w:t>广西壮族自治区</w:t>
      </w:r>
      <w:r>
        <w:rPr>
          <w:rFonts w:hint="eastAsia" w:ascii="Times New Roman" w:hAnsi="Times New Roman" w:eastAsia="宋体" w:cs="Times New Roman"/>
          <w:color w:val="auto"/>
          <w:sz w:val="21"/>
          <w:szCs w:val="21"/>
          <w:highlight w:val="none"/>
          <w:lang w:val="en-US" w:eastAsia="zh-CN"/>
        </w:rPr>
        <w:t>财政投资评审的结论为准。</w:t>
      </w:r>
    </w:p>
    <w:p w14:paraId="429EB62F">
      <w:pPr>
        <w:spacing w:line="400" w:lineRule="exact"/>
        <w:ind w:firstLine="420"/>
        <w:outlineLvl w:val="3"/>
        <w:rPr>
          <w:rFonts w:hint="eastAsia" w:ascii="Times New Roman" w:hAnsi="宋体" w:eastAsia="宋体" w:cs="宋体"/>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承包人应配合发包人按财政投资评审规定，及时报送的工程竣工结算资料</w:t>
      </w:r>
      <w:r>
        <w:rPr>
          <w:rFonts w:hint="eastAsia" w:ascii="Calibri" w:hAnsi="宋体" w:eastAsia="宋体" w:cs="宋体"/>
          <w:color w:val="auto"/>
          <w:sz w:val="21"/>
          <w:szCs w:val="21"/>
          <w:highlight w:val="none"/>
          <w:lang w:val="en-US" w:eastAsia="zh-CN"/>
        </w:rPr>
        <w:t>，</w:t>
      </w:r>
      <w:r>
        <w:rPr>
          <w:rFonts w:hint="eastAsia" w:ascii="Times New Roman" w:hAnsi="宋体" w:eastAsia="宋体" w:cs="宋体"/>
          <w:color w:val="auto"/>
          <w:sz w:val="21"/>
          <w:szCs w:val="21"/>
          <w:highlight w:val="none"/>
          <w:lang w:val="en-US" w:eastAsia="zh-CN"/>
        </w:rPr>
        <w:t>财政投资评审机构应在规定期限内完成项目竣工结算评审。</w:t>
      </w:r>
    </w:p>
    <w:p w14:paraId="0BEECDD7">
      <w:pPr>
        <w:spacing w:line="400" w:lineRule="exact"/>
        <w:ind w:firstLine="420"/>
        <w:outlineLvl w:val="3"/>
        <w:rPr>
          <w:rFonts w:hint="default" w:ascii="Times New Roman" w:hAnsi="宋体" w:eastAsia="宋体" w:cs="宋体"/>
          <w:color w:val="auto"/>
          <w:sz w:val="21"/>
          <w:szCs w:val="21"/>
          <w:highlight w:val="none"/>
          <w:lang w:val="en-US" w:eastAsia="zh-CN"/>
        </w:rPr>
      </w:pPr>
      <w:r>
        <w:rPr>
          <w:rFonts w:hint="eastAsia" w:ascii="Times New Roman" w:hAnsi="宋体" w:eastAsia="宋体" w:cs="宋体"/>
          <w:color w:val="auto"/>
          <w:sz w:val="21"/>
          <w:szCs w:val="21"/>
          <w:highlight w:val="none"/>
          <w:lang w:val="en-US" w:eastAsia="zh-CN"/>
        </w:rPr>
        <w:t>14.2.4审核异议处理</w:t>
      </w:r>
    </w:p>
    <w:p w14:paraId="1357DA79">
      <w:pPr>
        <w:spacing w:line="400" w:lineRule="exact"/>
        <w:ind w:firstLine="420"/>
        <w:outlineLvl w:val="3"/>
        <w:rPr>
          <w:rFonts w:hint="eastAsia" w:ascii="Times New Roman" w:hAnsi="宋体" w:eastAsia="宋体" w:cs="宋体"/>
          <w:color w:val="auto"/>
          <w:sz w:val="21"/>
          <w:szCs w:val="21"/>
          <w:highlight w:val="none"/>
        </w:rPr>
      </w:pPr>
      <w:r>
        <w:rPr>
          <w:rFonts w:hint="eastAsia" w:ascii="Times New Roman" w:hAnsi="宋体" w:eastAsia="宋体" w:cs="宋体"/>
          <w:i w:val="0"/>
          <w:caps w:val="0"/>
          <w:color w:val="auto"/>
          <w:spacing w:val="0"/>
          <w:sz w:val="21"/>
          <w:szCs w:val="21"/>
          <w:highlight w:val="none"/>
          <w:lang w:val="en-US" w:eastAsia="zh-CN"/>
        </w:rPr>
        <w:t>发包人或财政部门就竣工结算文件提出异议需要补充资料文件的，应一次性告知承包人应当补充的遗漏资料文件。承包人应当在收到发包人或财政部门提出的竣工结算审核异议之日起的14天内予以答复、回应，并及时补充相应的资料文件。</w:t>
      </w:r>
      <w:r>
        <w:rPr>
          <w:rFonts w:hint="eastAsia" w:ascii="Times New Roman" w:hAnsi="宋体" w:eastAsia="宋体" w:cs="宋体"/>
          <w:color w:val="auto"/>
          <w:sz w:val="21"/>
          <w:szCs w:val="21"/>
          <w:highlight w:val="none"/>
        </w:rPr>
        <w:t>因承包人提供的</w:t>
      </w:r>
      <w:r>
        <w:rPr>
          <w:rFonts w:hint="eastAsia" w:ascii="Times New Roman" w:hAnsi="宋体" w:eastAsia="宋体" w:cs="宋体"/>
          <w:color w:val="auto"/>
          <w:sz w:val="21"/>
          <w:szCs w:val="21"/>
          <w:highlight w:val="none"/>
          <w:lang w:val="en-US" w:eastAsia="zh-CN"/>
        </w:rPr>
        <w:t>竣工</w:t>
      </w:r>
      <w:r>
        <w:rPr>
          <w:rFonts w:hint="eastAsia" w:ascii="Times New Roman" w:hAnsi="宋体" w:eastAsia="宋体" w:cs="宋体"/>
          <w:color w:val="auto"/>
          <w:sz w:val="21"/>
          <w:szCs w:val="21"/>
          <w:highlight w:val="none"/>
        </w:rPr>
        <w:t>结算资料不完整而需要补充或承包人不按时对账耽误时间时，</w:t>
      </w:r>
      <w:r>
        <w:rPr>
          <w:rFonts w:hint="eastAsia" w:ascii="Times New Roman" w:hAnsi="宋体" w:eastAsia="宋体" w:cs="宋体"/>
          <w:color w:val="auto"/>
          <w:sz w:val="21"/>
          <w:szCs w:val="21"/>
          <w:highlight w:val="none"/>
          <w:lang w:val="en-US" w:eastAsia="zh-CN"/>
        </w:rPr>
        <w:t>审核</w:t>
      </w:r>
      <w:r>
        <w:rPr>
          <w:rFonts w:hint="eastAsia" w:ascii="Times New Roman" w:hAnsi="宋体" w:eastAsia="宋体" w:cs="宋体"/>
          <w:color w:val="auto"/>
          <w:sz w:val="21"/>
          <w:szCs w:val="21"/>
          <w:highlight w:val="none"/>
        </w:rPr>
        <w:t>时间应相应顺延。</w:t>
      </w:r>
    </w:p>
    <w:p w14:paraId="60C03FC8">
      <w:pPr>
        <w:numPr>
          <w:ilvl w:val="0"/>
          <w:numId w:val="0"/>
        </w:numPr>
        <w:spacing w:line="400" w:lineRule="exact"/>
        <w:ind w:firstLine="420"/>
        <w:rPr>
          <w:rFonts w:hint="eastAsia" w:ascii="Times New Roman" w:hAnsi="宋体" w:eastAsia="宋体" w:cs="宋体"/>
          <w:color w:val="auto"/>
          <w:sz w:val="21"/>
          <w:szCs w:val="21"/>
          <w:highlight w:val="none"/>
          <w:u w:val="none"/>
        </w:rPr>
      </w:pPr>
      <w:r>
        <w:rPr>
          <w:rFonts w:hint="eastAsia" w:ascii="Times New Roman" w:hAnsi="宋体" w:eastAsia="宋体" w:cs="宋体"/>
          <w:color w:val="auto"/>
          <w:sz w:val="21"/>
          <w:szCs w:val="21"/>
          <w:highlight w:val="none"/>
          <w:u w:val="none"/>
        </w:rPr>
        <w:t>承包人对发包人</w:t>
      </w:r>
      <w:r>
        <w:rPr>
          <w:rFonts w:hint="eastAsia" w:ascii="Times New Roman" w:hAnsi="宋体" w:eastAsia="宋体" w:cs="宋体"/>
          <w:color w:val="auto"/>
          <w:sz w:val="21"/>
          <w:szCs w:val="21"/>
          <w:highlight w:val="none"/>
          <w:u w:val="none"/>
          <w:lang w:val="en-US" w:eastAsia="zh-CN"/>
        </w:rPr>
        <w:t>或财政部门</w:t>
      </w:r>
      <w:r>
        <w:rPr>
          <w:rFonts w:hint="eastAsia" w:ascii="Times New Roman" w:hAnsi="宋体" w:eastAsia="宋体" w:cs="宋体"/>
          <w:color w:val="auto"/>
          <w:sz w:val="21"/>
          <w:szCs w:val="21"/>
          <w:highlight w:val="none"/>
          <w:u w:val="none"/>
        </w:rPr>
        <w:t>确认的结算价款或审核意见有异议的，应在收到发包人</w:t>
      </w:r>
      <w:r>
        <w:rPr>
          <w:rFonts w:hint="eastAsia" w:ascii="Times New Roman" w:hAnsi="宋体" w:eastAsia="宋体" w:cs="宋体"/>
          <w:color w:val="auto"/>
          <w:sz w:val="21"/>
          <w:szCs w:val="21"/>
          <w:highlight w:val="none"/>
          <w:u w:val="none"/>
          <w:lang w:val="en-US" w:eastAsia="zh-CN"/>
        </w:rPr>
        <w:t>或财政部门</w:t>
      </w:r>
      <w:r>
        <w:rPr>
          <w:rFonts w:hint="eastAsia" w:ascii="Times New Roman" w:hAnsi="宋体" w:eastAsia="宋体" w:cs="宋体"/>
          <w:color w:val="auto"/>
          <w:sz w:val="21"/>
          <w:szCs w:val="21"/>
          <w:highlight w:val="none"/>
          <w:u w:val="none"/>
        </w:rPr>
        <w:t>确认的价款或审核意见之日起</w:t>
      </w:r>
      <w:r>
        <w:rPr>
          <w:rFonts w:hint="eastAsia" w:ascii="Times New Roman" w:hAnsi="宋体" w:eastAsia="宋体" w:cs="宋体"/>
          <w:color w:val="auto"/>
          <w:sz w:val="21"/>
          <w:szCs w:val="21"/>
          <w:highlight w:val="none"/>
          <w:u w:val="single"/>
          <w:lang w:val="en-US" w:eastAsia="zh-CN"/>
        </w:rPr>
        <w:t>7</w:t>
      </w:r>
      <w:r>
        <w:rPr>
          <w:rFonts w:hint="eastAsia" w:ascii="Times New Roman" w:hAnsi="宋体" w:eastAsia="宋体" w:cs="宋体"/>
          <w:color w:val="auto"/>
          <w:sz w:val="21"/>
          <w:szCs w:val="21"/>
          <w:highlight w:val="none"/>
          <w:u w:val="none"/>
        </w:rPr>
        <w:t>天内提出异议，必要时合同当事人要当面核对，直至完成工程竣工结算。除非有特殊情形，否则从承包人递交竣工结算报告到完成竣工结算的时间应控制在</w:t>
      </w:r>
      <w:r>
        <w:rPr>
          <w:rFonts w:hint="eastAsia" w:ascii="Times New Roman" w:hAnsi="宋体" w:eastAsia="宋体" w:cs="宋体"/>
          <w:color w:val="auto"/>
          <w:sz w:val="21"/>
          <w:szCs w:val="21"/>
          <w:highlight w:val="none"/>
          <w:u w:val="none"/>
          <w:lang w:val="en-US" w:eastAsia="zh-CN"/>
        </w:rPr>
        <w:t>审核竣工结算文件</w:t>
      </w:r>
      <w:r>
        <w:rPr>
          <w:rFonts w:hint="eastAsia" w:ascii="Times New Roman" w:hAnsi="宋体" w:eastAsia="宋体" w:cs="宋体"/>
          <w:color w:val="auto"/>
          <w:sz w:val="21"/>
          <w:szCs w:val="21"/>
          <w:highlight w:val="none"/>
          <w:u w:val="none"/>
        </w:rPr>
        <w:t>期限</w:t>
      </w:r>
      <w:r>
        <w:rPr>
          <w:rFonts w:hint="eastAsia" w:ascii="Times New Roman" w:hAnsi="宋体" w:eastAsia="宋体" w:cs="宋体"/>
          <w:color w:val="auto"/>
          <w:sz w:val="21"/>
          <w:szCs w:val="21"/>
          <w:highlight w:val="none"/>
          <w:u w:val="none"/>
          <w:lang w:val="en-US" w:eastAsia="zh-CN"/>
        </w:rPr>
        <w:t>之</w:t>
      </w:r>
      <w:r>
        <w:rPr>
          <w:rFonts w:hint="eastAsia" w:ascii="Times New Roman" w:hAnsi="宋体" w:eastAsia="宋体" w:cs="宋体"/>
          <w:color w:val="auto"/>
          <w:sz w:val="21"/>
          <w:szCs w:val="21"/>
          <w:highlight w:val="none"/>
          <w:u w:val="none"/>
        </w:rPr>
        <w:t>内。</w:t>
      </w:r>
    </w:p>
    <w:p w14:paraId="019D92F1">
      <w:pPr>
        <w:spacing w:line="400" w:lineRule="exact"/>
        <w:ind w:firstLine="420"/>
        <w:outlineLvl w:val="3"/>
        <w:rPr>
          <w:rFonts w:hint="eastAsia" w:ascii="Times New Roman" w:hAnsi="宋体" w:eastAsia="宋体" w:cs="宋体"/>
          <w:color w:val="auto"/>
          <w:sz w:val="21"/>
          <w:szCs w:val="21"/>
          <w:highlight w:val="none"/>
        </w:rPr>
      </w:pPr>
      <w:r>
        <w:rPr>
          <w:rFonts w:hint="eastAsia" w:ascii="Times New Roman" w:hAnsi="Times New Roman" w:eastAsia="宋体" w:cs="Times New Roman"/>
          <w:color w:val="auto"/>
          <w:sz w:val="21"/>
          <w:szCs w:val="21"/>
          <w:highlight w:val="none"/>
          <w:lang w:val="en-US" w:eastAsia="zh-CN"/>
        </w:rPr>
        <w:t>竣工结算审核期限届满，</w:t>
      </w:r>
      <w:r>
        <w:rPr>
          <w:rFonts w:hint="eastAsia" w:ascii="Times New Roman" w:hAnsi="Times New Roman" w:eastAsia="宋体" w:cs="Times New Roman"/>
          <w:color w:val="auto"/>
          <w:sz w:val="21"/>
          <w:szCs w:val="21"/>
          <w:highlight w:val="none"/>
          <w:lang w:val="en-US"/>
        </w:rPr>
        <w:t>发包人</w:t>
      </w:r>
      <w:r>
        <w:rPr>
          <w:rFonts w:hint="eastAsia" w:ascii="Times New Roman" w:hAnsi="Times New Roman" w:eastAsia="宋体" w:cs="Times New Roman"/>
          <w:color w:val="auto"/>
          <w:sz w:val="21"/>
          <w:szCs w:val="21"/>
          <w:highlight w:val="none"/>
          <w:lang w:val="en-US" w:eastAsia="zh-CN"/>
        </w:rPr>
        <w:t>（财政部门）</w:t>
      </w:r>
      <w:r>
        <w:rPr>
          <w:rFonts w:hint="eastAsia" w:ascii="Times New Roman" w:hAnsi="Times New Roman" w:eastAsia="宋体" w:cs="Times New Roman"/>
          <w:color w:val="auto"/>
          <w:sz w:val="21"/>
          <w:szCs w:val="21"/>
          <w:highlight w:val="none"/>
          <w:lang w:val="en-US"/>
        </w:rPr>
        <w:t>或承包人对</w:t>
      </w:r>
      <w:r>
        <w:rPr>
          <w:rFonts w:hint="eastAsia" w:ascii="Times New Roman" w:hAnsi="Times New Roman" w:eastAsia="宋体" w:cs="Times New Roman"/>
          <w:color w:val="auto"/>
          <w:sz w:val="21"/>
          <w:szCs w:val="21"/>
          <w:highlight w:val="none"/>
          <w:lang w:val="en-US" w:eastAsia="zh-CN"/>
        </w:rPr>
        <w:t>审核</w:t>
      </w:r>
      <w:r>
        <w:rPr>
          <w:rFonts w:hint="eastAsia" w:ascii="Times New Roman" w:hAnsi="Times New Roman" w:eastAsia="宋体" w:cs="Times New Roman"/>
          <w:color w:val="auto"/>
          <w:sz w:val="21"/>
          <w:szCs w:val="21"/>
          <w:highlight w:val="none"/>
          <w:lang w:val="en-US"/>
        </w:rPr>
        <w:t>结果</w:t>
      </w:r>
      <w:r>
        <w:rPr>
          <w:rFonts w:hint="eastAsia" w:ascii="Times New Roman" w:hAnsi="Times New Roman" w:eastAsia="宋体" w:cs="Times New Roman"/>
          <w:color w:val="auto"/>
          <w:sz w:val="21"/>
          <w:szCs w:val="21"/>
          <w:highlight w:val="none"/>
          <w:lang w:val="en-US" w:eastAsia="zh-CN"/>
        </w:rPr>
        <w:t>部分</w:t>
      </w:r>
      <w:r>
        <w:rPr>
          <w:rFonts w:hint="eastAsia" w:ascii="Times New Roman" w:hAnsi="Times New Roman" w:eastAsia="宋体" w:cs="Times New Roman"/>
          <w:color w:val="auto"/>
          <w:sz w:val="21"/>
          <w:szCs w:val="21"/>
          <w:highlight w:val="none"/>
          <w:lang w:val="en-US"/>
        </w:rPr>
        <w:t>存有异议的，</w:t>
      </w:r>
      <w:r>
        <w:rPr>
          <w:rFonts w:hint="eastAsia" w:ascii="Times New Roman" w:hAnsi="Times New Roman" w:eastAsia="宋体" w:cs="Times New Roman"/>
          <w:color w:val="auto"/>
          <w:sz w:val="21"/>
          <w:szCs w:val="21"/>
          <w:highlight w:val="none"/>
          <w:lang w:val="en-US" w:eastAsia="zh-CN"/>
        </w:rPr>
        <w:t>就</w:t>
      </w:r>
      <w:r>
        <w:rPr>
          <w:rFonts w:hint="eastAsia" w:ascii="Times New Roman" w:hAnsi="Times New Roman" w:eastAsia="宋体" w:cs="Times New Roman"/>
          <w:color w:val="auto"/>
          <w:sz w:val="21"/>
          <w:szCs w:val="21"/>
          <w:highlight w:val="none"/>
          <w:lang w:val="en-US"/>
        </w:rPr>
        <w:t>无异议部分办理不完全竣工结算</w:t>
      </w:r>
      <w:r>
        <w:rPr>
          <w:rFonts w:hint="eastAsia" w:ascii="Times New Roman" w:hAnsi="Times New Roman" w:eastAsia="宋体" w:cs="Times New Roman"/>
          <w:color w:val="auto"/>
          <w:sz w:val="21"/>
          <w:szCs w:val="21"/>
          <w:highlight w:val="none"/>
          <w:lang w:val="en-US" w:eastAsia="zh-CN"/>
        </w:rPr>
        <w:t>，发包人应按照不完全竣工结算金额依约向承包人支付对应的工程款</w:t>
      </w:r>
      <w:r>
        <w:rPr>
          <w:rFonts w:hint="eastAsia" w:ascii="Times New Roman" w:hAnsi="Times New Roman" w:eastAsia="宋体" w:cs="Times New Roman"/>
          <w:color w:val="auto"/>
          <w:sz w:val="21"/>
          <w:szCs w:val="21"/>
          <w:highlight w:val="none"/>
          <w:lang w:val="en-US"/>
        </w:rPr>
        <w:t>；</w:t>
      </w:r>
      <w:r>
        <w:rPr>
          <w:rFonts w:hint="eastAsia" w:ascii="Times New Roman" w:hAnsi="Times New Roman" w:eastAsia="宋体" w:cs="Times New Roman"/>
          <w:color w:val="auto"/>
          <w:sz w:val="21"/>
          <w:szCs w:val="21"/>
          <w:highlight w:val="none"/>
          <w:lang w:val="en-US" w:eastAsia="zh-CN"/>
        </w:rPr>
        <w:t>就</w:t>
      </w:r>
      <w:r>
        <w:rPr>
          <w:rFonts w:hint="eastAsia" w:ascii="Times New Roman" w:hAnsi="Times New Roman" w:eastAsia="宋体" w:cs="Times New Roman"/>
          <w:color w:val="auto"/>
          <w:sz w:val="21"/>
          <w:szCs w:val="21"/>
          <w:highlight w:val="none"/>
          <w:lang w:val="en-US"/>
        </w:rPr>
        <w:t>有异议部分</w:t>
      </w:r>
      <w:r>
        <w:rPr>
          <w:rFonts w:hint="eastAsia" w:ascii="Times New Roman" w:hAnsi="Times New Roman" w:eastAsia="宋体" w:cs="Times New Roman"/>
          <w:color w:val="auto"/>
          <w:sz w:val="21"/>
          <w:szCs w:val="21"/>
          <w:highlight w:val="none"/>
          <w:lang w:val="en-US" w:eastAsia="zh-CN"/>
        </w:rPr>
        <w:t>发承包</w:t>
      </w:r>
      <w:r>
        <w:rPr>
          <w:rFonts w:hint="eastAsia" w:ascii="Times New Roman" w:hAnsi="Times New Roman" w:eastAsia="宋体" w:cs="Times New Roman"/>
          <w:color w:val="auto"/>
          <w:sz w:val="21"/>
          <w:szCs w:val="21"/>
          <w:highlight w:val="none"/>
          <w:lang w:val="en-US"/>
        </w:rPr>
        <w:t>双方按</w:t>
      </w:r>
      <w:r>
        <w:rPr>
          <w:rFonts w:hint="eastAsia" w:ascii="Times New Roman" w:hAnsi="Times New Roman" w:eastAsia="宋体" w:cs="Times New Roman"/>
          <w:color w:val="auto"/>
          <w:sz w:val="21"/>
          <w:szCs w:val="21"/>
          <w:highlight w:val="none"/>
          <w:lang w:val="en-US" w:eastAsia="zh-CN"/>
        </w:rPr>
        <w:t>本合同约定的</w:t>
      </w:r>
      <w:r>
        <w:rPr>
          <w:rFonts w:hint="eastAsia" w:ascii="Times New Roman" w:hAnsi="Times New Roman" w:eastAsia="宋体" w:cs="Times New Roman"/>
          <w:color w:val="auto"/>
          <w:sz w:val="21"/>
          <w:szCs w:val="21"/>
          <w:highlight w:val="none"/>
          <w:lang w:val="en-US"/>
        </w:rPr>
        <w:t>争议解决方式处理</w:t>
      </w:r>
      <w:r>
        <w:rPr>
          <w:rFonts w:hint="eastAsia" w:ascii="Times New Roman" w:hAnsi="Times New Roman" w:eastAsia="宋体" w:cs="Times New Roman"/>
          <w:color w:val="auto"/>
          <w:sz w:val="21"/>
          <w:szCs w:val="21"/>
          <w:highlight w:val="none"/>
          <w:lang w:val="en-US" w:eastAsia="zh-CN"/>
        </w:rPr>
        <w:t>，达成一致后，按争议部分的结算金额依约向承包人支付对应的工程款</w:t>
      </w:r>
      <w:r>
        <w:rPr>
          <w:rFonts w:hint="eastAsia" w:ascii="Times New Roman" w:hAnsi="Times New Roman" w:eastAsia="宋体" w:cs="Times New Roman"/>
          <w:color w:val="auto"/>
          <w:sz w:val="21"/>
          <w:szCs w:val="21"/>
          <w:highlight w:val="none"/>
          <w:lang w:val="en-US"/>
        </w:rPr>
        <w:t>。</w:t>
      </w:r>
    </w:p>
    <w:p w14:paraId="3FD2D8F9">
      <w:pPr>
        <w:numPr>
          <w:ilvl w:val="0"/>
          <w:numId w:val="0"/>
        </w:numPr>
        <w:spacing w:line="360" w:lineRule="auto"/>
        <w:ind w:firstLine="420"/>
        <w:jc w:val="left"/>
        <w:rPr>
          <w:rFonts w:hint="eastAsia" w:ascii="Times New Roman" w:hAnsi="宋体" w:eastAsia="宋体" w:cs="宋体"/>
          <w:color w:val="auto"/>
          <w:sz w:val="21"/>
          <w:szCs w:val="21"/>
          <w:highlight w:val="none"/>
          <w:u w:val="single"/>
        </w:rPr>
      </w:pPr>
      <w:r>
        <w:rPr>
          <w:rFonts w:hint="eastAsia" w:ascii="宋体" w:hAnsi="宋体" w:eastAsia="宋体" w:cs="宋体"/>
          <w:color w:val="auto"/>
          <w:sz w:val="21"/>
          <w:szCs w:val="21"/>
          <w:highlight w:val="none"/>
          <w:lang w:val="zh-TW"/>
        </w:rPr>
        <w:t>发包人</w:t>
      </w:r>
      <w:r>
        <w:rPr>
          <w:rFonts w:hint="eastAsia" w:ascii="宋体" w:hAnsi="宋体" w:eastAsia="宋体" w:cs="宋体"/>
          <w:color w:val="auto"/>
          <w:sz w:val="21"/>
          <w:szCs w:val="21"/>
          <w:highlight w:val="none"/>
          <w:lang w:val="en-US" w:eastAsia="zh-CN"/>
        </w:rPr>
        <w:t>或财政部门</w:t>
      </w:r>
      <w:r>
        <w:rPr>
          <w:rFonts w:hint="eastAsia" w:ascii="宋体" w:hAnsi="宋体" w:eastAsia="宋体" w:cs="宋体"/>
          <w:color w:val="auto"/>
          <w:sz w:val="21"/>
          <w:szCs w:val="21"/>
          <w:highlight w:val="none"/>
          <w:lang w:val="zh-TW"/>
        </w:rPr>
        <w:t>在收到承包人竣工结算文件后约定</w:t>
      </w:r>
      <w:r>
        <w:rPr>
          <w:rFonts w:hint="eastAsia" w:ascii="宋体" w:hAnsi="宋体" w:eastAsia="宋体" w:cs="宋体"/>
          <w:color w:val="auto"/>
          <w:sz w:val="21"/>
          <w:szCs w:val="21"/>
          <w:highlight w:val="none"/>
          <w:lang w:val="en-US" w:eastAsia="zh-CN"/>
        </w:rPr>
        <w:t>审核期限</w:t>
      </w:r>
      <w:r>
        <w:rPr>
          <w:rFonts w:hint="eastAsia" w:ascii="宋体" w:hAnsi="宋体" w:eastAsia="宋体" w:cs="宋体"/>
          <w:color w:val="auto"/>
          <w:sz w:val="21"/>
          <w:szCs w:val="21"/>
          <w:highlight w:val="none"/>
          <w:lang w:val="zh-TW"/>
        </w:rPr>
        <w:t>内，未按合同约定或财政投资评审规定核对竣工结算或未提出核对意见的，应视为承包人提交的竣工结算文件已被发包人认可，竣工结算确认完毕。承包人在收到发包人</w:t>
      </w:r>
      <w:r>
        <w:rPr>
          <w:rFonts w:hint="eastAsia" w:ascii="宋体" w:hAnsi="宋体" w:eastAsia="宋体" w:cs="宋体"/>
          <w:color w:val="auto"/>
          <w:sz w:val="21"/>
          <w:szCs w:val="21"/>
          <w:highlight w:val="none"/>
          <w:lang w:val="en-US" w:eastAsia="zh-CN"/>
        </w:rPr>
        <w:t>或财政部门</w:t>
      </w:r>
      <w:r>
        <w:rPr>
          <w:rFonts w:hint="eastAsia" w:ascii="宋体" w:hAnsi="宋体" w:eastAsia="宋体" w:cs="宋体"/>
          <w:color w:val="auto"/>
          <w:sz w:val="21"/>
          <w:szCs w:val="21"/>
          <w:highlight w:val="none"/>
          <w:lang w:val="zh-TW"/>
        </w:rPr>
        <w:t>提出的核对（或复核）意见后，在约定的时间内未按合同约定确认也未提出异议的，应视为发包人</w:t>
      </w:r>
      <w:r>
        <w:rPr>
          <w:rFonts w:hint="eastAsia" w:ascii="宋体" w:hAnsi="宋体" w:eastAsia="宋体" w:cs="宋体"/>
          <w:color w:val="auto"/>
          <w:sz w:val="21"/>
          <w:szCs w:val="21"/>
          <w:highlight w:val="none"/>
          <w:lang w:val="en-US" w:eastAsia="zh-CN"/>
        </w:rPr>
        <w:t>或财政部门</w:t>
      </w:r>
      <w:r>
        <w:rPr>
          <w:rFonts w:hint="eastAsia" w:ascii="宋体" w:hAnsi="宋体" w:eastAsia="宋体" w:cs="宋体"/>
          <w:color w:val="auto"/>
          <w:sz w:val="21"/>
          <w:szCs w:val="21"/>
          <w:highlight w:val="none"/>
          <w:lang w:val="zh-TW"/>
        </w:rPr>
        <w:t>提出的核对意见已被承包人认可，竣工结算确认完毕。</w:t>
      </w:r>
    </w:p>
    <w:p w14:paraId="208C75FF">
      <w:pPr>
        <w:spacing w:line="400" w:lineRule="exact"/>
        <w:ind w:firstLine="411"/>
        <w:jc w:val="left"/>
        <w:rPr>
          <w:rFonts w:hint="eastAsia" w:ascii="Times New Roman" w:hAnsi="宋体" w:eastAsia="宋体" w:cs="宋体"/>
          <w:color w:val="auto"/>
          <w:sz w:val="21"/>
          <w:szCs w:val="21"/>
          <w:highlight w:val="none"/>
          <w:u w:val="none"/>
        </w:rPr>
      </w:pPr>
      <w:r>
        <w:rPr>
          <w:rFonts w:hint="eastAsia" w:ascii="Times New Roman" w:hAnsi="宋体" w:eastAsia="宋体" w:cs="宋体"/>
          <w:color w:val="auto"/>
          <w:sz w:val="21"/>
          <w:szCs w:val="21"/>
          <w:highlight w:val="none"/>
          <w:u w:val="none"/>
          <w:lang w:val="en-US" w:eastAsia="zh-CN"/>
        </w:rPr>
        <w:t>14.2.5</w:t>
      </w:r>
      <w:r>
        <w:rPr>
          <w:rFonts w:hint="eastAsia" w:ascii="Times New Roman" w:hAnsi="宋体" w:eastAsia="宋体" w:cs="宋体"/>
          <w:color w:val="auto"/>
          <w:sz w:val="21"/>
          <w:szCs w:val="21"/>
          <w:highlight w:val="none"/>
          <w:u w:val="none"/>
        </w:rPr>
        <w:t>自竣工结算</w:t>
      </w:r>
      <w:r>
        <w:rPr>
          <w:rFonts w:hint="eastAsia" w:ascii="Times New Roman" w:hAnsi="宋体" w:eastAsia="宋体" w:cs="宋体"/>
          <w:color w:val="auto"/>
          <w:sz w:val="21"/>
          <w:szCs w:val="21"/>
          <w:highlight w:val="none"/>
          <w:u w:val="none"/>
          <w:lang w:eastAsia="zh-CN"/>
        </w:rPr>
        <w:t>（</w:t>
      </w:r>
      <w:r>
        <w:rPr>
          <w:rFonts w:hint="eastAsia" w:ascii="Times New Roman" w:hAnsi="宋体" w:eastAsia="宋体" w:cs="宋体"/>
          <w:color w:val="auto"/>
          <w:sz w:val="21"/>
          <w:szCs w:val="21"/>
          <w:highlight w:val="none"/>
          <w:u w:val="none"/>
          <w:lang w:val="en-US" w:eastAsia="zh-CN"/>
        </w:rPr>
        <w:t>或办理不完全竣工结算</w:t>
      </w:r>
      <w:r>
        <w:rPr>
          <w:rFonts w:hint="eastAsia" w:ascii="Times New Roman" w:hAnsi="宋体" w:eastAsia="宋体" w:cs="宋体"/>
          <w:color w:val="auto"/>
          <w:sz w:val="21"/>
          <w:szCs w:val="21"/>
          <w:highlight w:val="none"/>
          <w:u w:val="none"/>
          <w:lang w:eastAsia="zh-CN"/>
        </w:rPr>
        <w:t>）</w:t>
      </w:r>
      <w:r>
        <w:rPr>
          <w:rFonts w:hint="eastAsia" w:ascii="Times New Roman" w:hAnsi="宋体" w:eastAsia="宋体" w:cs="宋体"/>
          <w:color w:val="auto"/>
          <w:sz w:val="21"/>
          <w:szCs w:val="21"/>
          <w:highlight w:val="none"/>
          <w:u w:val="none"/>
        </w:rPr>
        <w:t>完毕之日起</w:t>
      </w:r>
      <w:r>
        <w:rPr>
          <w:rFonts w:hint="eastAsia" w:ascii="Times New Roman" w:hAnsi="宋体" w:eastAsia="宋体" w:cs="Times New Roman"/>
          <w:color w:val="auto"/>
          <w:sz w:val="21"/>
          <w:szCs w:val="21"/>
          <w:highlight w:val="none"/>
          <w:u w:val="single"/>
          <w:lang w:val="en-US" w:eastAsia="zh-CN"/>
        </w:rPr>
        <w:t>10个工作</w:t>
      </w:r>
      <w:r>
        <w:rPr>
          <w:rFonts w:hint="eastAsia" w:ascii="Times New Roman" w:hAnsi="宋体" w:cs="宋体"/>
          <w:color w:val="auto"/>
          <w:sz w:val="21"/>
          <w:szCs w:val="21"/>
          <w:highlight w:val="none"/>
          <w:u w:val="none"/>
          <w:lang w:val="en-US" w:eastAsia="zh-CN"/>
        </w:rPr>
        <w:t>日</w:t>
      </w:r>
      <w:r>
        <w:rPr>
          <w:rFonts w:hint="eastAsia" w:ascii="Times New Roman" w:hAnsi="宋体" w:eastAsia="宋体" w:cs="宋体"/>
          <w:color w:val="auto"/>
          <w:sz w:val="21"/>
          <w:szCs w:val="21"/>
          <w:highlight w:val="none"/>
          <w:u w:val="none"/>
        </w:rPr>
        <w:t>内，发包人按审定的结算</w:t>
      </w:r>
      <w:r>
        <w:rPr>
          <w:rFonts w:hint="eastAsia" w:ascii="Times New Roman" w:hAnsi="宋体" w:eastAsia="宋体" w:cs="宋体"/>
          <w:color w:val="auto"/>
          <w:sz w:val="21"/>
          <w:szCs w:val="21"/>
          <w:highlight w:val="none"/>
          <w:u w:val="none"/>
          <w:lang w:val="en-US" w:eastAsia="zh-CN"/>
        </w:rPr>
        <w:t>金额</w:t>
      </w:r>
      <w:r>
        <w:rPr>
          <w:rFonts w:hint="eastAsia" w:ascii="Times New Roman" w:hAnsi="宋体" w:eastAsia="宋体" w:cs="宋体"/>
          <w:color w:val="auto"/>
          <w:sz w:val="21"/>
          <w:szCs w:val="21"/>
          <w:highlight w:val="none"/>
          <w:u w:val="none"/>
        </w:rPr>
        <w:t>向承包人支付结算价款。</w:t>
      </w:r>
    </w:p>
    <w:p w14:paraId="00D5A103">
      <w:pPr>
        <w:pStyle w:val="47"/>
        <w:rPr>
          <w:rFonts w:hint="default"/>
          <w:color w:val="auto"/>
          <w:sz w:val="21"/>
          <w:szCs w:val="21"/>
          <w:highlight w:val="none"/>
        </w:rPr>
      </w:pPr>
      <w:r>
        <w:rPr>
          <w:rFonts w:hint="default"/>
          <w:color w:val="auto"/>
          <w:sz w:val="21"/>
          <w:szCs w:val="21"/>
          <w:highlight w:val="none"/>
        </w:rPr>
        <w:t>14.2.</w:t>
      </w:r>
      <w:r>
        <w:rPr>
          <w:rFonts w:hint="eastAsia"/>
          <w:color w:val="auto"/>
          <w:sz w:val="21"/>
          <w:szCs w:val="21"/>
          <w:highlight w:val="none"/>
          <w:lang w:val="en-US" w:eastAsia="zh-CN"/>
        </w:rPr>
        <w:t>6</w:t>
      </w:r>
      <w:r>
        <w:rPr>
          <w:rFonts w:hint="default"/>
          <w:color w:val="auto"/>
          <w:sz w:val="21"/>
          <w:szCs w:val="21"/>
          <w:highlight w:val="none"/>
        </w:rPr>
        <w:t xml:space="preserve"> 承包人必须提供完整、真实的隐蔽工程原始施工、验收记录。如发现施工单位提供的隐蔽工程资料与实际不符时，按不利于施工单位原则结算。</w:t>
      </w:r>
    </w:p>
    <w:p w14:paraId="034E0B39">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107" w:name="_Toc11123"/>
      <w:bookmarkStart w:id="1108" w:name="_Toc373478408"/>
      <w:bookmarkStart w:id="1109" w:name="_Toc78449850"/>
      <w:bookmarkStart w:id="1110" w:name="_Toc373227761"/>
      <w:bookmarkStart w:id="1111" w:name="_Toc389065326"/>
      <w:bookmarkStart w:id="1112" w:name="_Toc407135264"/>
      <w:bookmarkStart w:id="1113" w:name="_Toc540165641"/>
      <w:bookmarkStart w:id="1114" w:name="_Toc29846"/>
      <w:r>
        <w:rPr>
          <w:rFonts w:ascii="Times New Roman" w:hAnsi="Times New Roman" w:eastAsia="黑体" w:cs="Times New Roman"/>
          <w:b/>
          <w:bCs/>
          <w:color w:val="auto"/>
          <w:sz w:val="21"/>
          <w:szCs w:val="21"/>
          <w:highlight w:val="none"/>
          <w:lang w:val="zh-CN" w:eastAsia="zh-CN" w:bidi="ar-SA"/>
        </w:rPr>
        <w:t xml:space="preserve">14.4 </w:t>
      </w:r>
      <w:r>
        <w:rPr>
          <w:rFonts w:hint="eastAsia" w:ascii="Times New Roman" w:hAnsi="宋体" w:eastAsia="黑体" w:cs="黑体"/>
          <w:b/>
          <w:bCs/>
          <w:color w:val="auto"/>
          <w:sz w:val="21"/>
          <w:szCs w:val="21"/>
          <w:highlight w:val="none"/>
          <w:lang w:val="zh-CN" w:eastAsia="zh-CN" w:bidi="ar-SA"/>
        </w:rPr>
        <w:t>最终结清</w:t>
      </w:r>
      <w:bookmarkEnd w:id="1107"/>
      <w:bookmarkEnd w:id="1108"/>
      <w:bookmarkEnd w:id="1109"/>
      <w:bookmarkEnd w:id="1110"/>
      <w:bookmarkEnd w:id="1111"/>
      <w:bookmarkEnd w:id="1112"/>
      <w:bookmarkEnd w:id="1113"/>
      <w:bookmarkEnd w:id="1114"/>
    </w:p>
    <w:p w14:paraId="2BA1BE8E">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14.4.1 </w:t>
      </w:r>
      <w:r>
        <w:rPr>
          <w:rFonts w:hint="eastAsia" w:ascii="Times New Roman" w:hAnsi="宋体" w:eastAsia="宋体" w:cs="宋体"/>
          <w:color w:val="auto"/>
          <w:sz w:val="21"/>
          <w:szCs w:val="21"/>
          <w:highlight w:val="none"/>
        </w:rPr>
        <w:t>最终结清申请单</w:t>
      </w:r>
    </w:p>
    <w:p w14:paraId="2139CC13">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承包人提交最终结清申请单的份数：</w:t>
      </w:r>
      <w:r>
        <w:rPr>
          <w:rFonts w:hint="eastAsia" w:ascii="Times New Roman" w:hAnsi="Times New Roman" w:eastAsia="宋体" w:cs="Times New Roman"/>
          <w:color w:val="auto"/>
          <w:sz w:val="21"/>
          <w:szCs w:val="21"/>
          <w:highlight w:val="none"/>
          <w:u w:val="single"/>
        </w:rPr>
        <w:t>一式五份</w:t>
      </w:r>
      <w:r>
        <w:rPr>
          <w:rFonts w:hint="eastAsia" w:ascii="Times New Roman" w:hAnsi="宋体" w:eastAsia="宋体" w:cs="宋体"/>
          <w:color w:val="auto"/>
          <w:sz w:val="21"/>
          <w:szCs w:val="21"/>
          <w:highlight w:val="none"/>
        </w:rPr>
        <w:t>。</w:t>
      </w:r>
    </w:p>
    <w:p w14:paraId="0553B00F">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承包人提交最终结算申请单的期限：</w:t>
      </w:r>
      <w:r>
        <w:rPr>
          <w:rFonts w:hint="eastAsia" w:ascii="Times New Roman" w:hAnsi="Times New Roman" w:eastAsia="宋体" w:cs="Times New Roman"/>
          <w:color w:val="auto"/>
          <w:sz w:val="21"/>
          <w:szCs w:val="21"/>
          <w:highlight w:val="none"/>
          <w:u w:val="single"/>
        </w:rPr>
        <w:t>按通用合同条款14.4.2执行</w:t>
      </w: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 xml:space="preserve"> </w:t>
      </w:r>
    </w:p>
    <w:p w14:paraId="67536568">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rPr>
        <w:t>工程保修与结清结算款支付申请（核准）表</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rPr>
        <w:t>见合同附件13。</w:t>
      </w:r>
    </w:p>
    <w:p w14:paraId="67F20917">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14.4.2 </w:t>
      </w:r>
      <w:r>
        <w:rPr>
          <w:rFonts w:hint="eastAsia" w:ascii="Times New Roman" w:hAnsi="宋体" w:eastAsia="宋体" w:cs="宋体"/>
          <w:color w:val="auto"/>
          <w:sz w:val="21"/>
          <w:szCs w:val="21"/>
          <w:highlight w:val="none"/>
        </w:rPr>
        <w:t>最终结清证书和支付</w:t>
      </w:r>
    </w:p>
    <w:p w14:paraId="78C7BF83">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宋体" w:eastAsia="宋体" w:cs="宋体"/>
          <w:color w:val="auto"/>
          <w:sz w:val="21"/>
          <w:szCs w:val="21"/>
          <w:highlight w:val="none"/>
        </w:rPr>
        <w:t>）发包人完成最终结清申请单的审批并颁发最终结清证书的期限：</w:t>
      </w:r>
      <w:r>
        <w:rPr>
          <w:rFonts w:hint="eastAsia" w:ascii="Times New Roman" w:hAnsi="Times New Roman" w:eastAsia="宋体" w:cs="Times New Roman"/>
          <w:color w:val="auto"/>
          <w:sz w:val="21"/>
          <w:szCs w:val="21"/>
          <w:highlight w:val="none"/>
          <w:u w:val="single"/>
        </w:rPr>
        <w:t>按通用合同条款14.4.2执行</w:t>
      </w:r>
      <w:r>
        <w:rPr>
          <w:rFonts w:hint="eastAsia" w:ascii="Times New Roman" w:hAnsi="宋体" w:eastAsia="宋体" w:cs="宋体"/>
          <w:color w:val="auto"/>
          <w:sz w:val="21"/>
          <w:szCs w:val="21"/>
          <w:highlight w:val="none"/>
        </w:rPr>
        <w:t>。</w:t>
      </w:r>
    </w:p>
    <w:p w14:paraId="38EAED98">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）发包人完成支付的期限：</w:t>
      </w:r>
      <w:r>
        <w:rPr>
          <w:rFonts w:hint="eastAsia" w:ascii="Times New Roman" w:hAnsi="Times New Roman" w:eastAsia="宋体" w:cs="Times New Roman"/>
          <w:color w:val="auto"/>
          <w:sz w:val="21"/>
          <w:szCs w:val="21"/>
          <w:highlight w:val="none"/>
          <w:u w:val="single"/>
        </w:rPr>
        <w:t>按通用合同条款14.4.2执行</w:t>
      </w:r>
      <w:r>
        <w:rPr>
          <w:rFonts w:hint="eastAsia" w:ascii="Times New Roman" w:hAnsi="宋体" w:eastAsia="宋体" w:cs="宋体"/>
          <w:color w:val="auto"/>
          <w:sz w:val="21"/>
          <w:szCs w:val="21"/>
          <w:highlight w:val="none"/>
        </w:rPr>
        <w:t>。</w:t>
      </w:r>
      <w:bookmarkEnd w:id="1054"/>
      <w:bookmarkEnd w:id="1055"/>
      <w:bookmarkEnd w:id="1056"/>
      <w:bookmarkEnd w:id="1057"/>
      <w:bookmarkEnd w:id="1058"/>
      <w:bookmarkEnd w:id="1059"/>
      <w:bookmarkEnd w:id="1060"/>
      <w:bookmarkEnd w:id="1066"/>
    </w:p>
    <w:p w14:paraId="5958509E">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1115" w:name="_Toc5429"/>
      <w:bookmarkStart w:id="1116" w:name="_Toc78449851"/>
      <w:bookmarkStart w:id="1117" w:name="_Toc407135265"/>
      <w:bookmarkStart w:id="1118" w:name="_Toc351203647"/>
      <w:bookmarkStart w:id="1119" w:name="_Toc1294213766"/>
      <w:bookmarkStart w:id="1120" w:name="_Toc373478409"/>
      <w:bookmarkStart w:id="1121" w:name="_Toc389065327"/>
      <w:bookmarkStart w:id="1122" w:name="_Toc373227762"/>
      <w:bookmarkStart w:id="1123" w:name="_Toc267251483"/>
      <w:bookmarkStart w:id="1124" w:name="_Toc267251484"/>
      <w:bookmarkStart w:id="1125" w:name="_Toc267251482"/>
      <w:bookmarkStart w:id="1126" w:name="_Toc267251485"/>
      <w:bookmarkStart w:id="1127" w:name="_Toc267251488"/>
      <w:bookmarkStart w:id="1128" w:name="_Toc267251489"/>
      <w:bookmarkStart w:id="1129" w:name="_Toc267251490"/>
      <w:bookmarkStart w:id="1130" w:name="_Toc267251486"/>
      <w:bookmarkStart w:id="1131" w:name="_Toc267251493"/>
      <w:bookmarkStart w:id="1132" w:name="_Toc267251491"/>
      <w:bookmarkStart w:id="1133" w:name="_Toc267251497"/>
      <w:bookmarkStart w:id="1134" w:name="_Toc267251502"/>
      <w:bookmarkStart w:id="1135" w:name="_Toc267251503"/>
      <w:bookmarkStart w:id="1136" w:name="_Toc267251498"/>
      <w:bookmarkStart w:id="1137" w:name="_Toc267251496"/>
      <w:bookmarkStart w:id="1138" w:name="_Toc267251501"/>
      <w:bookmarkStart w:id="1139" w:name="_Toc267251495"/>
      <w:bookmarkStart w:id="1140" w:name="_Toc267251492"/>
      <w:bookmarkStart w:id="1141" w:name="_Toc267251494"/>
      <w:bookmarkStart w:id="1142" w:name="_Toc267251499"/>
      <w:bookmarkStart w:id="1143" w:name="_Toc267251506"/>
      <w:bookmarkStart w:id="1144" w:name="_Toc267251504"/>
      <w:bookmarkStart w:id="1145" w:name="_Toc267251507"/>
      <w:bookmarkStart w:id="1146" w:name="_Toc267251508"/>
      <w:bookmarkStart w:id="1147" w:name="_Toc267251514"/>
      <w:bookmarkStart w:id="1148" w:name="_Toc267251515"/>
      <w:bookmarkStart w:id="1149" w:name="_Toc267251513"/>
      <w:bookmarkStart w:id="1150" w:name="_Toc267251509"/>
      <w:bookmarkStart w:id="1151" w:name="_Toc267251510"/>
      <w:bookmarkStart w:id="1152" w:name="_Toc267251511"/>
      <w:r>
        <w:rPr>
          <w:rFonts w:ascii="Arial" w:hAnsi="Arial" w:eastAsia="黑体" w:cs="Times New Roman"/>
          <w:b/>
          <w:bCs/>
          <w:color w:val="auto"/>
          <w:sz w:val="21"/>
          <w:szCs w:val="21"/>
          <w:highlight w:val="none"/>
          <w:lang w:val="zh-CN" w:eastAsia="zh-CN" w:bidi="ar-SA"/>
        </w:rPr>
        <w:t xml:space="preserve">15. </w:t>
      </w:r>
      <w:r>
        <w:rPr>
          <w:rFonts w:hint="eastAsia" w:ascii="Arial" w:hAnsi="Arial" w:eastAsia="黑体" w:cs="黑体"/>
          <w:b/>
          <w:bCs/>
          <w:color w:val="auto"/>
          <w:sz w:val="21"/>
          <w:szCs w:val="21"/>
          <w:highlight w:val="none"/>
          <w:lang w:val="zh-CN" w:eastAsia="zh-CN" w:bidi="ar-SA"/>
        </w:rPr>
        <w:t>缺陷责任期与保修</w:t>
      </w:r>
      <w:bookmarkEnd w:id="1115"/>
      <w:bookmarkEnd w:id="1116"/>
      <w:bookmarkEnd w:id="1117"/>
      <w:bookmarkEnd w:id="1118"/>
      <w:bookmarkEnd w:id="1119"/>
      <w:bookmarkEnd w:id="1120"/>
      <w:bookmarkEnd w:id="1121"/>
      <w:bookmarkEnd w:id="1122"/>
    </w:p>
    <w:p w14:paraId="0E35628F">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153" w:name="_Toc1468458868"/>
      <w:bookmarkStart w:id="1154" w:name="_Toc373478410"/>
      <w:bookmarkStart w:id="1155" w:name="_Toc389065328"/>
      <w:bookmarkStart w:id="1156" w:name="_Toc5211"/>
      <w:bookmarkStart w:id="1157" w:name="_Toc78449852"/>
      <w:bookmarkStart w:id="1158" w:name="_Toc373227763"/>
      <w:bookmarkStart w:id="1159" w:name="_Toc407135266"/>
      <w:bookmarkStart w:id="1160" w:name="_Toc14431"/>
      <w:r>
        <w:rPr>
          <w:rFonts w:ascii="Times New Roman" w:hAnsi="Times New Roman" w:eastAsia="黑体" w:cs="Times New Roman"/>
          <w:b/>
          <w:bCs/>
          <w:color w:val="auto"/>
          <w:sz w:val="21"/>
          <w:szCs w:val="21"/>
          <w:highlight w:val="none"/>
          <w:lang w:val="zh-CN" w:eastAsia="zh-CN" w:bidi="ar-SA"/>
        </w:rPr>
        <w:t xml:space="preserve">15.2 </w:t>
      </w:r>
      <w:r>
        <w:rPr>
          <w:rFonts w:hint="eastAsia" w:ascii="Times New Roman" w:hAnsi="宋体" w:eastAsia="黑体" w:cs="黑体"/>
          <w:b/>
          <w:bCs/>
          <w:color w:val="auto"/>
          <w:sz w:val="21"/>
          <w:szCs w:val="21"/>
          <w:highlight w:val="none"/>
          <w:lang w:val="zh-CN" w:eastAsia="zh-CN" w:bidi="ar-SA"/>
        </w:rPr>
        <w:t>缺陷责任期</w:t>
      </w:r>
      <w:bookmarkEnd w:id="1123"/>
      <w:bookmarkEnd w:id="1153"/>
      <w:bookmarkEnd w:id="1154"/>
      <w:bookmarkEnd w:id="1155"/>
      <w:bookmarkEnd w:id="1156"/>
      <w:bookmarkEnd w:id="1157"/>
      <w:bookmarkEnd w:id="1158"/>
      <w:bookmarkEnd w:id="1159"/>
      <w:bookmarkEnd w:id="1160"/>
    </w:p>
    <w:p w14:paraId="35873F92">
      <w:pPr>
        <w:spacing w:line="360" w:lineRule="auto"/>
        <w:ind w:firstLine="420"/>
        <w:jc w:val="left"/>
        <w:rPr>
          <w:rFonts w:ascii="Times New Roman" w:hAnsi="Times New Roman" w:eastAsia="宋体" w:cs="Times New Roman"/>
          <w:color w:val="FF0000"/>
          <w:sz w:val="21"/>
          <w:szCs w:val="21"/>
          <w:highlight w:val="none"/>
          <w:u w:val="single"/>
        </w:rPr>
      </w:pPr>
      <w:r>
        <w:rPr>
          <w:rFonts w:hint="eastAsia" w:ascii="Times New Roman" w:hAnsi="宋体" w:eastAsia="宋体" w:cs="宋体"/>
          <w:color w:val="FF0000"/>
          <w:sz w:val="21"/>
          <w:szCs w:val="21"/>
          <w:highlight w:val="none"/>
        </w:rPr>
        <w:t>缺陷责任期的具体期限：</w:t>
      </w:r>
      <w:r>
        <w:rPr>
          <w:rFonts w:hint="eastAsia" w:ascii="Times New Roman" w:hAnsi="Times New Roman" w:eastAsia="宋体" w:cs="Times New Roman"/>
          <w:color w:val="FF0000"/>
          <w:sz w:val="21"/>
          <w:szCs w:val="21"/>
          <w:highlight w:val="none"/>
          <w:u w:val="single"/>
        </w:rPr>
        <w:t>自实际竣工日期起24个月</w:t>
      </w:r>
      <w:r>
        <w:rPr>
          <w:rFonts w:hint="eastAsia" w:ascii="Times New Roman" w:hAnsi="宋体" w:eastAsia="宋体" w:cs="宋体"/>
          <w:color w:val="FF0000"/>
          <w:sz w:val="21"/>
          <w:szCs w:val="21"/>
          <w:highlight w:val="none"/>
        </w:rPr>
        <w:t>。</w:t>
      </w:r>
    </w:p>
    <w:p w14:paraId="61526B9C">
      <w:pPr>
        <w:keepNext/>
        <w:keepLines/>
        <w:widowControl w:val="0"/>
        <w:spacing w:line="360" w:lineRule="auto"/>
        <w:jc w:val="both"/>
        <w:outlineLvl w:val="2"/>
        <w:rPr>
          <w:rFonts w:ascii="Times New Roman" w:hAnsi="Times New Roman" w:eastAsia="黑体" w:cs="Times New Roman"/>
          <w:b/>
          <w:bCs/>
          <w:color w:val="FF0000"/>
          <w:sz w:val="21"/>
          <w:szCs w:val="21"/>
          <w:highlight w:val="none"/>
          <w:lang w:val="zh-CN" w:eastAsia="zh-CN" w:bidi="ar-SA"/>
        </w:rPr>
      </w:pPr>
      <w:bookmarkStart w:id="1161" w:name="_Toc407135267"/>
      <w:bookmarkStart w:id="1162" w:name="_Toc23897"/>
      <w:bookmarkStart w:id="1163" w:name="_Toc373227764"/>
      <w:bookmarkStart w:id="1164" w:name="_Toc389065329"/>
      <w:bookmarkStart w:id="1165" w:name="_Toc666080472"/>
      <w:bookmarkStart w:id="1166" w:name="_Toc13775"/>
      <w:bookmarkStart w:id="1167" w:name="_Toc78449853"/>
      <w:bookmarkStart w:id="1168" w:name="_Toc373478411"/>
      <w:r>
        <w:rPr>
          <w:rFonts w:ascii="Times New Roman" w:hAnsi="Times New Roman" w:eastAsia="黑体" w:cs="Times New Roman"/>
          <w:b/>
          <w:bCs/>
          <w:color w:val="auto"/>
          <w:sz w:val="21"/>
          <w:szCs w:val="21"/>
          <w:highlight w:val="none"/>
          <w:lang w:val="zh-CN" w:eastAsia="zh-CN" w:bidi="ar-SA"/>
        </w:rPr>
        <w:t xml:space="preserve">15.3 </w:t>
      </w:r>
      <w:r>
        <w:rPr>
          <w:rFonts w:hint="eastAsia" w:ascii="Times New Roman" w:hAnsi="宋体" w:eastAsia="黑体" w:cs="黑体"/>
          <w:b/>
          <w:bCs/>
          <w:color w:val="FF0000"/>
          <w:sz w:val="21"/>
          <w:szCs w:val="21"/>
          <w:highlight w:val="none"/>
          <w:lang w:val="zh-CN" w:eastAsia="zh-CN" w:bidi="ar-SA"/>
        </w:rPr>
        <w:t>质量保证金</w:t>
      </w:r>
      <w:bookmarkEnd w:id="1161"/>
      <w:bookmarkEnd w:id="1162"/>
      <w:bookmarkEnd w:id="1163"/>
      <w:bookmarkEnd w:id="1164"/>
      <w:bookmarkEnd w:id="1165"/>
      <w:bookmarkEnd w:id="1166"/>
      <w:bookmarkEnd w:id="1167"/>
      <w:bookmarkEnd w:id="1168"/>
    </w:p>
    <w:p w14:paraId="35199FDD">
      <w:pPr>
        <w:spacing w:line="360" w:lineRule="auto"/>
        <w:ind w:firstLine="420"/>
        <w:jc w:val="left"/>
        <w:outlineLvl w:val="0"/>
        <w:rPr>
          <w:rFonts w:ascii="Times New Roman" w:hAnsi="Times New Roman" w:eastAsia="宋体" w:cs="Times New Roman"/>
          <w:color w:val="FF0000"/>
          <w:sz w:val="21"/>
          <w:szCs w:val="21"/>
          <w:highlight w:val="none"/>
        </w:rPr>
      </w:pPr>
      <w:r>
        <w:rPr>
          <w:rFonts w:ascii="Times New Roman" w:hAnsi="Times New Roman" w:eastAsia="宋体" w:cs="Times New Roman"/>
          <w:color w:val="FF0000"/>
          <w:sz w:val="21"/>
          <w:szCs w:val="21"/>
          <w:highlight w:val="none"/>
        </w:rPr>
        <w:t xml:space="preserve">15.3.1 </w:t>
      </w:r>
      <w:r>
        <w:rPr>
          <w:rFonts w:hint="eastAsia" w:ascii="Times New Roman" w:hAnsi="宋体" w:eastAsia="宋体" w:cs="宋体"/>
          <w:color w:val="FF0000"/>
          <w:sz w:val="21"/>
          <w:szCs w:val="21"/>
          <w:highlight w:val="none"/>
        </w:rPr>
        <w:t>承包人提供质量保证金的方式</w:t>
      </w:r>
    </w:p>
    <w:p w14:paraId="79F7243B">
      <w:pPr>
        <w:spacing w:line="360" w:lineRule="auto"/>
        <w:ind w:firstLine="420"/>
        <w:jc w:val="left"/>
        <w:rPr>
          <w:rFonts w:ascii="Times New Roman" w:hAnsi="Times New Roman" w:eastAsia="宋体" w:cs="Times New Roman"/>
          <w:color w:val="FF0000"/>
          <w:sz w:val="21"/>
          <w:szCs w:val="21"/>
          <w:highlight w:val="yellow"/>
        </w:rPr>
      </w:pPr>
      <w:r>
        <w:rPr>
          <w:rFonts w:hint="eastAsia" w:ascii="Times New Roman" w:hAnsi="宋体" w:eastAsia="宋体" w:cs="宋体"/>
          <w:color w:val="FF0000"/>
          <w:sz w:val="21"/>
          <w:szCs w:val="21"/>
          <w:highlight w:val="yellow"/>
        </w:rPr>
        <w:t>质量保证金采用以下第</w:t>
      </w:r>
      <w:r>
        <w:rPr>
          <w:rFonts w:hint="eastAsia" w:ascii="Times New Roman" w:hAnsi="Times New Roman" w:eastAsia="宋体" w:cs="Times New Roman"/>
          <w:color w:val="FF0000"/>
          <w:sz w:val="21"/>
          <w:szCs w:val="21"/>
          <w:highlight w:val="yellow"/>
          <w:u w:val="single"/>
          <w:lang w:eastAsia="zh-CN"/>
        </w:rPr>
        <w:t>（</w:t>
      </w:r>
      <w:r>
        <w:rPr>
          <w:rFonts w:hint="eastAsia" w:ascii="Times New Roman" w:hAnsi="Times New Roman" w:eastAsia="宋体" w:cs="Times New Roman"/>
          <w:color w:val="FF0000"/>
          <w:sz w:val="21"/>
          <w:szCs w:val="21"/>
          <w:highlight w:val="yellow"/>
          <w:u w:val="single"/>
          <w:lang w:val="en-US" w:eastAsia="zh-CN"/>
        </w:rPr>
        <w:t>3</w:t>
      </w:r>
      <w:r>
        <w:rPr>
          <w:rFonts w:hint="eastAsia" w:ascii="Times New Roman" w:hAnsi="Times New Roman" w:eastAsia="宋体" w:cs="Times New Roman"/>
          <w:color w:val="FF0000"/>
          <w:sz w:val="21"/>
          <w:szCs w:val="21"/>
          <w:highlight w:val="yellow"/>
          <w:u w:val="single"/>
          <w:lang w:eastAsia="zh-CN"/>
        </w:rPr>
        <w:t>）</w:t>
      </w:r>
      <w:r>
        <w:rPr>
          <w:rFonts w:hint="eastAsia" w:ascii="Times New Roman" w:hAnsi="宋体" w:eastAsia="宋体" w:cs="宋体"/>
          <w:color w:val="FF0000"/>
          <w:sz w:val="21"/>
          <w:szCs w:val="21"/>
          <w:highlight w:val="yellow"/>
        </w:rPr>
        <w:t>种方式：</w:t>
      </w:r>
    </w:p>
    <w:p w14:paraId="118002D5">
      <w:pPr>
        <w:spacing w:line="360" w:lineRule="auto"/>
        <w:ind w:firstLine="420"/>
        <w:jc w:val="left"/>
        <w:rPr>
          <w:rFonts w:ascii="Times New Roman" w:hAnsi="Times New Roman" w:eastAsia="宋体" w:cs="Times New Roman"/>
          <w:color w:val="FF0000"/>
          <w:sz w:val="21"/>
          <w:szCs w:val="21"/>
          <w:highlight w:val="none"/>
        </w:rPr>
      </w:pPr>
      <w:r>
        <w:rPr>
          <w:rFonts w:hint="eastAsia" w:ascii="Times New Roman" w:hAnsi="宋体" w:eastAsia="宋体" w:cs="宋体"/>
          <w:color w:val="FF0000"/>
          <w:sz w:val="21"/>
          <w:szCs w:val="21"/>
          <w:highlight w:val="none"/>
        </w:rPr>
        <w:t>（</w:t>
      </w:r>
      <w:r>
        <w:rPr>
          <w:rFonts w:ascii="Times New Roman" w:hAnsi="Times New Roman" w:eastAsia="宋体" w:cs="Times New Roman"/>
          <w:color w:val="FF0000"/>
          <w:sz w:val="21"/>
          <w:szCs w:val="21"/>
          <w:highlight w:val="none"/>
        </w:rPr>
        <w:t>1</w:t>
      </w:r>
      <w:r>
        <w:rPr>
          <w:rFonts w:hint="eastAsia" w:ascii="Times New Roman" w:hAnsi="宋体" w:eastAsia="宋体" w:cs="宋体"/>
          <w:color w:val="FF0000"/>
          <w:sz w:val="21"/>
          <w:szCs w:val="21"/>
          <w:highlight w:val="none"/>
        </w:rPr>
        <w:t>）质量保证金保函（银行保函、电子保函、保证保险保函、工程担保保函，保证金额</w:t>
      </w:r>
      <w:r>
        <w:rPr>
          <w:rFonts w:hint="eastAsia" w:ascii="Times New Roman" w:hAnsi="宋体" w:eastAsia="宋体" w:cs="宋体"/>
          <w:color w:val="FF0000"/>
          <w:sz w:val="21"/>
          <w:szCs w:val="21"/>
          <w:highlight w:val="none"/>
          <w:lang w:val="en-US" w:eastAsia="zh-CN"/>
        </w:rPr>
        <w:t>度</w:t>
      </w:r>
      <w:r>
        <w:rPr>
          <w:rFonts w:hint="eastAsia" w:ascii="Times New Roman" w:hAnsi="宋体" w:eastAsia="宋体" w:cs="宋体"/>
          <w:color w:val="FF0000"/>
          <w:sz w:val="21"/>
          <w:szCs w:val="21"/>
          <w:highlight w:val="none"/>
        </w:rPr>
        <w:t>为：</w:t>
      </w:r>
      <w:r>
        <w:rPr>
          <w:rFonts w:ascii="Times New Roman" w:hAnsi="Times New Roman" w:eastAsia="宋体" w:cs="Times New Roman"/>
          <w:color w:val="FF0000"/>
          <w:sz w:val="21"/>
          <w:szCs w:val="21"/>
          <w:highlight w:val="none"/>
          <w:u w:val="single"/>
        </w:rPr>
        <w:t xml:space="preserve">                   </w:t>
      </w:r>
      <w:r>
        <w:rPr>
          <w:rFonts w:hint="eastAsia" w:ascii="Times New Roman" w:hAnsi="宋体" w:eastAsia="宋体" w:cs="宋体"/>
          <w:color w:val="FF0000"/>
          <w:sz w:val="21"/>
          <w:szCs w:val="21"/>
          <w:highlight w:val="none"/>
        </w:rPr>
        <w:t>；</w:t>
      </w:r>
    </w:p>
    <w:p w14:paraId="30B2D0B0">
      <w:pPr>
        <w:spacing w:line="360" w:lineRule="auto"/>
        <w:ind w:firstLine="420"/>
        <w:jc w:val="left"/>
        <w:rPr>
          <w:rFonts w:ascii="Times New Roman" w:hAnsi="Times New Roman" w:eastAsia="宋体" w:cs="Times New Roman"/>
          <w:color w:val="FF0000"/>
          <w:sz w:val="21"/>
          <w:szCs w:val="21"/>
          <w:highlight w:val="none"/>
        </w:rPr>
      </w:pPr>
      <w:r>
        <w:rPr>
          <w:rFonts w:hint="eastAsia" w:ascii="Times New Roman" w:hAnsi="宋体" w:eastAsia="宋体" w:cs="宋体"/>
          <w:color w:val="FF0000"/>
          <w:sz w:val="21"/>
          <w:szCs w:val="21"/>
          <w:highlight w:val="none"/>
        </w:rPr>
        <w:t>（</w:t>
      </w:r>
      <w:r>
        <w:rPr>
          <w:rFonts w:ascii="Times New Roman" w:hAnsi="Times New Roman" w:eastAsia="宋体" w:cs="Times New Roman"/>
          <w:color w:val="FF0000"/>
          <w:sz w:val="21"/>
          <w:szCs w:val="21"/>
          <w:highlight w:val="none"/>
        </w:rPr>
        <w:t>2</w:t>
      </w:r>
      <w:r>
        <w:rPr>
          <w:rFonts w:hint="eastAsia" w:ascii="Times New Roman" w:hAnsi="宋体" w:eastAsia="宋体" w:cs="宋体"/>
          <w:color w:val="FF0000"/>
          <w:sz w:val="21"/>
          <w:szCs w:val="21"/>
          <w:highlight w:val="none"/>
        </w:rPr>
        <w:t>）发包人按工程价款结算总额的</w:t>
      </w:r>
      <w:r>
        <w:rPr>
          <w:rFonts w:ascii="Times New Roman" w:hAnsi="宋体" w:eastAsia="宋体" w:cs="Times New Roman"/>
          <w:color w:val="FF0000"/>
          <w:sz w:val="21"/>
          <w:szCs w:val="21"/>
          <w:highlight w:val="none"/>
          <w:u w:val="single"/>
        </w:rPr>
        <w:t xml:space="preserve">   </w:t>
      </w:r>
      <w:r>
        <w:rPr>
          <w:rFonts w:ascii="Times New Roman" w:hAnsi="Times New Roman" w:eastAsia="宋体" w:cs="Times New Roman"/>
          <w:color w:val="FF0000"/>
          <w:sz w:val="21"/>
          <w:szCs w:val="21"/>
          <w:highlight w:val="none"/>
        </w:rPr>
        <w:t>%</w:t>
      </w:r>
      <w:r>
        <w:rPr>
          <w:rFonts w:hint="eastAsia" w:ascii="Times New Roman" w:hAnsi="Times New Roman" w:eastAsia="宋体" w:cs="宋体"/>
          <w:color w:val="FF0000"/>
          <w:sz w:val="21"/>
          <w:szCs w:val="21"/>
          <w:highlight w:val="none"/>
        </w:rPr>
        <w:t>（不得超过</w:t>
      </w:r>
      <w:r>
        <w:rPr>
          <w:rFonts w:ascii="Times New Roman" w:hAnsi="Times New Roman" w:eastAsia="宋体" w:cs="Times New Roman"/>
          <w:color w:val="FF0000"/>
          <w:sz w:val="21"/>
          <w:szCs w:val="21"/>
          <w:highlight w:val="none"/>
        </w:rPr>
        <w:t>3%</w:t>
      </w:r>
      <w:r>
        <w:rPr>
          <w:rFonts w:hint="eastAsia" w:ascii="Times New Roman" w:hAnsi="Times New Roman" w:eastAsia="宋体" w:cs="宋体"/>
          <w:color w:val="FF0000"/>
          <w:sz w:val="21"/>
          <w:szCs w:val="21"/>
          <w:highlight w:val="none"/>
        </w:rPr>
        <w:t>）</w:t>
      </w:r>
      <w:r>
        <w:rPr>
          <w:rFonts w:hint="eastAsia" w:ascii="Times New Roman" w:hAnsi="宋体" w:eastAsia="宋体" w:cs="宋体"/>
          <w:color w:val="FF0000"/>
          <w:sz w:val="21"/>
          <w:szCs w:val="21"/>
          <w:highlight w:val="none"/>
        </w:rPr>
        <w:t>预留工程质量保证金，待缺陷责任期满后返还；</w:t>
      </w:r>
    </w:p>
    <w:p w14:paraId="36B3D830">
      <w:pPr>
        <w:spacing w:line="360" w:lineRule="auto"/>
        <w:ind w:firstLine="420"/>
        <w:jc w:val="left"/>
        <w:rPr>
          <w:rFonts w:ascii="Times New Roman" w:hAnsi="Times New Roman" w:eastAsia="宋体" w:cs="Times New Roman"/>
          <w:color w:val="FF0000"/>
          <w:sz w:val="21"/>
          <w:szCs w:val="21"/>
          <w:highlight w:val="none"/>
        </w:rPr>
      </w:pPr>
      <w:r>
        <w:rPr>
          <w:rFonts w:hint="eastAsia" w:ascii="Times New Roman" w:hAnsi="宋体" w:eastAsia="宋体" w:cs="宋体"/>
          <w:color w:val="FF0000"/>
          <w:sz w:val="21"/>
          <w:szCs w:val="21"/>
          <w:highlight w:val="none"/>
        </w:rPr>
        <w:t>（</w:t>
      </w:r>
      <w:r>
        <w:rPr>
          <w:rFonts w:ascii="Times New Roman" w:hAnsi="Times New Roman" w:eastAsia="宋体" w:cs="Times New Roman"/>
          <w:color w:val="FF0000"/>
          <w:sz w:val="21"/>
          <w:szCs w:val="21"/>
          <w:highlight w:val="none"/>
        </w:rPr>
        <w:t>3</w:t>
      </w:r>
      <w:r>
        <w:rPr>
          <w:rFonts w:hint="eastAsia" w:ascii="Times New Roman" w:hAnsi="宋体" w:eastAsia="宋体" w:cs="宋体"/>
          <w:color w:val="FF0000"/>
          <w:sz w:val="21"/>
          <w:szCs w:val="21"/>
          <w:highlight w:val="none"/>
        </w:rPr>
        <w:t>）其他方式</w:t>
      </w:r>
      <w:r>
        <w:rPr>
          <w:rFonts w:hint="eastAsia" w:ascii="Times New Roman" w:hAnsi="Times New Roman" w:eastAsia="宋体" w:cs="宋体"/>
          <w:color w:val="FF0000"/>
          <w:sz w:val="21"/>
          <w:szCs w:val="21"/>
          <w:highlight w:val="none"/>
        </w:rPr>
        <w:t>：</w:t>
      </w:r>
      <w:r>
        <w:rPr>
          <w:rFonts w:hint="eastAsia" w:ascii="Times New Roman" w:hAnsi="宋体" w:eastAsia="宋体" w:cs="宋体"/>
          <w:color w:val="FF0000"/>
          <w:sz w:val="21"/>
          <w:szCs w:val="21"/>
          <w:highlight w:val="none"/>
        </w:rPr>
        <w:t>银行转账、电汇或网上支付等</w:t>
      </w:r>
      <w:r>
        <w:rPr>
          <w:rFonts w:hint="eastAsia" w:ascii="Times New Roman" w:hAnsi="宋体" w:eastAsia="宋体" w:cs="宋体"/>
          <w:color w:val="FF0000"/>
          <w:sz w:val="21"/>
          <w:szCs w:val="21"/>
          <w:highlight w:val="none"/>
          <w:lang w:eastAsia="zh-CN"/>
        </w:rPr>
        <w:t>形</w:t>
      </w:r>
      <w:r>
        <w:rPr>
          <w:rFonts w:hint="eastAsia" w:ascii="Times New Roman" w:hAnsi="宋体" w:eastAsia="宋体" w:cs="宋体"/>
          <w:color w:val="FF0000"/>
          <w:sz w:val="21"/>
          <w:szCs w:val="21"/>
          <w:highlight w:val="none"/>
        </w:rPr>
        <w:t>式。</w:t>
      </w:r>
    </w:p>
    <w:p w14:paraId="50432166">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15.3.2 </w:t>
      </w:r>
      <w:r>
        <w:rPr>
          <w:rFonts w:hint="eastAsia" w:ascii="Times New Roman" w:hAnsi="宋体" w:eastAsia="宋体" w:cs="宋体"/>
          <w:color w:val="auto"/>
          <w:sz w:val="21"/>
          <w:szCs w:val="21"/>
          <w:highlight w:val="none"/>
        </w:rPr>
        <w:t>质量保证金的扣留</w:t>
      </w:r>
    </w:p>
    <w:p w14:paraId="5F32DC50">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质量保证金的扣留采取以下第</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3</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宋体" w:eastAsia="宋体" w:cs="宋体"/>
          <w:color w:val="auto"/>
          <w:sz w:val="21"/>
          <w:szCs w:val="21"/>
          <w:highlight w:val="none"/>
        </w:rPr>
        <w:t>种方式：</w:t>
      </w:r>
    </w:p>
    <w:p w14:paraId="046D166C">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宋体" w:eastAsia="宋体" w:cs="宋体"/>
          <w:color w:val="auto"/>
          <w:sz w:val="21"/>
          <w:szCs w:val="21"/>
          <w:highlight w:val="none"/>
        </w:rPr>
        <w:t>）在</w:t>
      </w:r>
      <w:r>
        <w:rPr>
          <w:rFonts w:ascii="Times New Roman" w:hAnsi="宋体" w:eastAsia="宋体" w:cs="宋体"/>
          <w:color w:val="auto"/>
          <w:sz w:val="21"/>
          <w:szCs w:val="21"/>
          <w:highlight w:val="none"/>
        </w:rPr>
        <w:t>不缴纳</w:t>
      </w:r>
      <w:r>
        <w:rPr>
          <w:rFonts w:hint="eastAsia" w:ascii="Times New Roman" w:hAnsi="宋体" w:eastAsia="宋体" w:cs="宋体"/>
          <w:color w:val="auto"/>
          <w:sz w:val="21"/>
          <w:szCs w:val="21"/>
          <w:highlight w:val="none"/>
          <w:lang w:eastAsia="zh-CN"/>
        </w:rPr>
        <w:t>履约</w:t>
      </w:r>
      <w:r>
        <w:rPr>
          <w:rFonts w:hint="eastAsia" w:ascii="Times New Roman" w:hAnsi="宋体" w:eastAsia="宋体" w:cs="宋体"/>
          <w:color w:val="auto"/>
          <w:sz w:val="21"/>
          <w:szCs w:val="21"/>
          <w:highlight w:val="none"/>
        </w:rPr>
        <w:t>保</w:t>
      </w:r>
      <w:r>
        <w:rPr>
          <w:rFonts w:ascii="Times New Roman" w:hAnsi="宋体" w:eastAsia="宋体" w:cs="宋体"/>
          <w:color w:val="auto"/>
          <w:sz w:val="21"/>
          <w:szCs w:val="21"/>
          <w:highlight w:val="none"/>
        </w:rPr>
        <w:t>证金情况下</w:t>
      </w:r>
      <w:r>
        <w:rPr>
          <w:rFonts w:hint="eastAsia" w:ascii="Times New Roman" w:hAnsi="宋体" w:eastAsia="宋体" w:cs="宋体"/>
          <w:color w:val="auto"/>
          <w:sz w:val="21"/>
          <w:szCs w:val="21"/>
          <w:highlight w:val="none"/>
        </w:rPr>
        <w:t>，按支付工程进度款时逐次扣留，质量保证金的计算基数不包括预付款的支付、扣回以及价格调整的金额</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在工程项目竣工前，承包人按专用合同条款第3.7条提供履约担保的，发包人不得同时预留工程质量保证金</w:t>
      </w:r>
      <w:r>
        <w:rPr>
          <w:rFonts w:hint="eastAsia" w:ascii="Times New Roman" w:hAnsi="宋体" w:eastAsia="宋体" w:cs="宋体"/>
          <w:color w:val="auto"/>
          <w:sz w:val="21"/>
          <w:szCs w:val="21"/>
          <w:highlight w:val="none"/>
          <w:lang w:eastAsia="zh-CN"/>
        </w:rPr>
        <w:t>。</w:t>
      </w:r>
    </w:p>
    <w:p w14:paraId="55CE136E">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）工程竣工结算时，一次性扣留质量保证金，</w:t>
      </w:r>
      <w:r>
        <w:rPr>
          <w:rFonts w:ascii="Times New Roman" w:hAnsi="宋体" w:eastAsia="宋体" w:cs="宋体"/>
          <w:color w:val="auto"/>
          <w:sz w:val="21"/>
          <w:szCs w:val="21"/>
          <w:highlight w:val="none"/>
        </w:rPr>
        <w:t>由承包人以银行保函</w:t>
      </w:r>
      <w:r>
        <w:rPr>
          <w:rFonts w:hint="eastAsia" w:ascii="Times New Roman" w:hAnsi="宋体" w:eastAsia="宋体" w:cs="宋体"/>
          <w:color w:val="auto"/>
          <w:sz w:val="21"/>
          <w:szCs w:val="21"/>
          <w:highlight w:val="none"/>
        </w:rPr>
        <w:t>、保证保险</w:t>
      </w:r>
      <w:r>
        <w:rPr>
          <w:rFonts w:ascii="Times New Roman" w:hAnsi="宋体" w:eastAsia="宋体" w:cs="宋体"/>
          <w:color w:val="auto"/>
          <w:sz w:val="21"/>
          <w:szCs w:val="21"/>
          <w:highlight w:val="none"/>
        </w:rPr>
        <w:t>替代预留</w:t>
      </w:r>
      <w:r>
        <w:rPr>
          <w:rFonts w:hint="eastAsia" w:ascii="Times New Roman" w:hAnsi="宋体" w:eastAsia="宋体" w:cs="宋体"/>
          <w:color w:val="auto"/>
          <w:sz w:val="21"/>
          <w:szCs w:val="21"/>
          <w:highlight w:val="none"/>
        </w:rPr>
        <w:t>质量</w:t>
      </w:r>
      <w:r>
        <w:rPr>
          <w:rFonts w:ascii="Times New Roman" w:hAnsi="宋体" w:eastAsia="宋体" w:cs="宋体"/>
          <w:color w:val="auto"/>
          <w:sz w:val="21"/>
          <w:szCs w:val="21"/>
          <w:highlight w:val="none"/>
        </w:rPr>
        <w:t>保证金</w:t>
      </w:r>
      <w:r>
        <w:rPr>
          <w:rFonts w:hint="eastAsia" w:ascii="Times New Roman" w:hAnsi="宋体" w:eastAsia="宋体" w:cs="宋体"/>
          <w:color w:val="auto"/>
          <w:sz w:val="21"/>
          <w:szCs w:val="21"/>
          <w:highlight w:val="none"/>
        </w:rPr>
        <w:t>，</w:t>
      </w:r>
      <w:r>
        <w:rPr>
          <w:rFonts w:ascii="Times New Roman" w:hAnsi="宋体" w:eastAsia="宋体" w:cs="宋体"/>
          <w:color w:val="auto"/>
          <w:sz w:val="21"/>
          <w:szCs w:val="21"/>
          <w:highlight w:val="none"/>
        </w:rPr>
        <w:t>保函金额不得高</w:t>
      </w:r>
      <w:r>
        <w:rPr>
          <w:rFonts w:hint="eastAsia" w:ascii="Times New Roman" w:hAnsi="宋体" w:eastAsia="宋体" w:cs="宋体"/>
          <w:color w:val="auto"/>
          <w:sz w:val="21"/>
          <w:szCs w:val="21"/>
          <w:highlight w:val="none"/>
        </w:rPr>
        <w:t>于</w:t>
      </w:r>
      <w:r>
        <w:rPr>
          <w:rFonts w:ascii="Times New Roman" w:hAnsi="宋体" w:eastAsia="宋体" w:cs="宋体"/>
          <w:color w:val="auto"/>
          <w:sz w:val="21"/>
          <w:szCs w:val="21"/>
          <w:highlight w:val="none"/>
        </w:rPr>
        <w:t>工程价款结算总额的</w:t>
      </w:r>
      <w:r>
        <w:rPr>
          <w:rFonts w:hint="eastAsia" w:ascii="Times New Roman" w:hAnsi="宋体" w:eastAsia="宋体" w:cs="宋体"/>
          <w:color w:val="auto"/>
          <w:sz w:val="21"/>
          <w:szCs w:val="21"/>
          <w:highlight w:val="none"/>
        </w:rPr>
        <w:t>3</w:t>
      </w:r>
      <w:r>
        <w:rPr>
          <w:rFonts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rPr>
        <w:t>；</w:t>
      </w:r>
    </w:p>
    <w:p w14:paraId="5A2DF9D4">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3</w:t>
      </w:r>
      <w:r>
        <w:rPr>
          <w:rFonts w:hint="eastAsia" w:ascii="Times New Roman" w:hAnsi="宋体" w:eastAsia="宋体" w:cs="宋体"/>
          <w:color w:val="auto"/>
          <w:sz w:val="21"/>
          <w:szCs w:val="21"/>
          <w:highlight w:val="none"/>
        </w:rPr>
        <w:t>）其他扣留方式</w:t>
      </w:r>
      <w:r>
        <w:rPr>
          <w:rFonts w:hint="eastAsia" w:ascii="Times New Roman" w:hAnsi="宋体" w:eastAsia="宋体" w:cs="宋体"/>
          <w:color w:val="auto"/>
          <w:sz w:val="21"/>
          <w:szCs w:val="21"/>
          <w:highlight w:val="none"/>
          <w:lang w:eastAsia="zh-CN"/>
        </w:rPr>
        <w:t>：</w:t>
      </w:r>
      <w:r>
        <w:rPr>
          <w:rFonts w:hint="eastAsia" w:ascii="Times New Roman" w:hAnsi="Times New Roman" w:eastAsia="宋体" w:cs="宋体"/>
          <w:color w:val="auto"/>
          <w:sz w:val="21"/>
          <w:szCs w:val="21"/>
          <w:highlight w:val="none"/>
          <w:u w:val="single"/>
          <w:lang w:val="en-US" w:eastAsia="zh-CN"/>
        </w:rPr>
        <w:t>银行转账、电汇或网上支付等形式</w:t>
      </w:r>
      <w:r>
        <w:rPr>
          <w:rFonts w:hint="eastAsia" w:ascii="Times New Roman" w:hAnsi="Times New Roman" w:eastAsia="宋体" w:cs="宋体"/>
          <w:color w:val="auto"/>
          <w:sz w:val="21"/>
          <w:szCs w:val="21"/>
          <w:highlight w:val="none"/>
          <w:u w:val="none"/>
          <w:lang w:val="en-US" w:eastAsia="zh-CN"/>
        </w:rPr>
        <w:t>（如</w:t>
      </w:r>
      <w:r>
        <w:rPr>
          <w:rFonts w:hint="eastAsia" w:ascii="Times New Roman" w:hAnsi="宋体" w:eastAsia="宋体" w:cs="宋体"/>
          <w:color w:val="auto"/>
          <w:sz w:val="21"/>
          <w:szCs w:val="21"/>
          <w:highlight w:val="none"/>
        </w:rPr>
        <w:t>银行转账、电汇或网上支付等</w:t>
      </w:r>
      <w:r>
        <w:rPr>
          <w:rFonts w:hint="eastAsia" w:ascii="Times New Roman" w:hAnsi="宋体" w:eastAsia="宋体" w:cs="宋体"/>
          <w:color w:val="auto"/>
          <w:sz w:val="21"/>
          <w:szCs w:val="21"/>
          <w:highlight w:val="none"/>
          <w:lang w:eastAsia="zh-CN"/>
        </w:rPr>
        <w:t>形</w:t>
      </w:r>
      <w:r>
        <w:rPr>
          <w:rFonts w:hint="eastAsia" w:ascii="Times New Roman" w:hAnsi="宋体" w:eastAsia="宋体" w:cs="宋体"/>
          <w:color w:val="auto"/>
          <w:sz w:val="21"/>
          <w:szCs w:val="21"/>
          <w:highlight w:val="none"/>
        </w:rPr>
        <w:t>式</w:t>
      </w:r>
      <w:r>
        <w:rPr>
          <w:rFonts w:hint="eastAsia" w:ascii="Times New Roman" w:hAnsi="宋体" w:eastAsia="宋体" w:cs="宋体"/>
          <w:color w:val="auto"/>
          <w:sz w:val="21"/>
          <w:szCs w:val="21"/>
          <w:highlight w:val="none"/>
          <w:lang w:eastAsia="zh-CN"/>
        </w:rPr>
        <w:t>）。</w:t>
      </w:r>
    </w:p>
    <w:p w14:paraId="2B68B4C9">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关于质量保证金的补充约定：</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bookmarkEnd w:id="1124"/>
      <w:bookmarkEnd w:id="1125"/>
    </w:p>
    <w:p w14:paraId="01B08DAE">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169" w:name="_Toc407135268"/>
      <w:bookmarkStart w:id="1170" w:name="_Toc389065330"/>
      <w:bookmarkStart w:id="1171" w:name="_Toc78449854"/>
      <w:bookmarkStart w:id="1172" w:name="_Toc26279"/>
      <w:bookmarkStart w:id="1173" w:name="_Toc373227765"/>
      <w:bookmarkStart w:id="1174" w:name="_Toc31747"/>
      <w:bookmarkStart w:id="1175" w:name="_Toc196306762"/>
      <w:bookmarkStart w:id="1176" w:name="_Toc373478412"/>
      <w:r>
        <w:rPr>
          <w:rFonts w:ascii="Times New Roman" w:hAnsi="Times New Roman" w:eastAsia="黑体" w:cs="Times New Roman"/>
          <w:b/>
          <w:bCs/>
          <w:color w:val="auto"/>
          <w:sz w:val="21"/>
          <w:szCs w:val="21"/>
          <w:highlight w:val="none"/>
          <w:lang w:val="zh-CN" w:eastAsia="zh-CN" w:bidi="ar-SA"/>
        </w:rPr>
        <w:t xml:space="preserve">15.4 </w:t>
      </w:r>
      <w:r>
        <w:rPr>
          <w:rFonts w:hint="eastAsia" w:ascii="Times New Roman" w:hAnsi="宋体" w:eastAsia="黑体" w:cs="黑体"/>
          <w:b/>
          <w:bCs/>
          <w:color w:val="auto"/>
          <w:sz w:val="21"/>
          <w:szCs w:val="21"/>
          <w:highlight w:val="none"/>
          <w:lang w:val="zh-CN" w:eastAsia="zh-CN" w:bidi="ar-SA"/>
        </w:rPr>
        <w:t>保修</w:t>
      </w:r>
      <w:bookmarkEnd w:id="1126"/>
      <w:bookmarkEnd w:id="1169"/>
      <w:bookmarkEnd w:id="1170"/>
      <w:bookmarkEnd w:id="1171"/>
      <w:bookmarkEnd w:id="1172"/>
      <w:bookmarkEnd w:id="1173"/>
      <w:bookmarkEnd w:id="1174"/>
      <w:bookmarkEnd w:id="1175"/>
      <w:bookmarkEnd w:id="1176"/>
    </w:p>
    <w:p w14:paraId="7110B9A1">
      <w:pPr>
        <w:spacing w:line="360" w:lineRule="auto"/>
        <w:ind w:firstLine="409"/>
        <w:jc w:val="left"/>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15.4.1 </w:t>
      </w:r>
      <w:r>
        <w:rPr>
          <w:rFonts w:hint="eastAsia" w:ascii="Times New Roman" w:hAnsi="宋体" w:eastAsia="宋体" w:cs="宋体"/>
          <w:color w:val="auto"/>
          <w:sz w:val="21"/>
          <w:szCs w:val="21"/>
          <w:highlight w:val="none"/>
        </w:rPr>
        <w:t>保修责任</w:t>
      </w:r>
    </w:p>
    <w:p w14:paraId="34439869">
      <w:pPr>
        <w:spacing w:line="360" w:lineRule="auto"/>
        <w:ind w:firstLine="409"/>
        <w:jc w:val="left"/>
        <w:rPr>
          <w:rFonts w:ascii="Times New Roman" w:hAnsi="宋体" w:eastAsia="宋体" w:cs="Times New Roman"/>
          <w:color w:val="auto"/>
          <w:sz w:val="21"/>
          <w:szCs w:val="21"/>
          <w:highlight w:val="none"/>
        </w:rPr>
      </w:pPr>
      <w:r>
        <w:rPr>
          <w:rFonts w:hint="eastAsia" w:ascii="Times New Roman" w:hAnsi="宋体" w:eastAsia="宋体" w:cs="宋体"/>
          <w:color w:val="auto"/>
          <w:sz w:val="21"/>
          <w:szCs w:val="21"/>
          <w:highlight w:val="none"/>
        </w:rPr>
        <w:t>工程保修期为：</w:t>
      </w:r>
      <w:r>
        <w:rPr>
          <w:rFonts w:hint="eastAsia" w:ascii="Times New Roman" w:hAnsi="Times New Roman" w:eastAsia="宋体" w:cs="Times New Roman"/>
          <w:color w:val="auto"/>
          <w:sz w:val="21"/>
          <w:szCs w:val="21"/>
          <w:highlight w:val="none"/>
          <w:u w:val="single"/>
        </w:rPr>
        <w:t>详见《工程质量保修书》</w:t>
      </w:r>
      <w:r>
        <w:rPr>
          <w:rFonts w:hint="eastAsia" w:ascii="Times New Roman" w:hAnsi="宋体" w:eastAsia="宋体" w:cs="宋体"/>
          <w:color w:val="auto"/>
          <w:sz w:val="21"/>
          <w:szCs w:val="21"/>
          <w:highlight w:val="none"/>
        </w:rPr>
        <w:t>。</w:t>
      </w:r>
    </w:p>
    <w:p w14:paraId="69E63727">
      <w:pPr>
        <w:spacing w:line="360" w:lineRule="auto"/>
        <w:ind w:firstLine="409"/>
        <w:jc w:val="left"/>
        <w:rPr>
          <w:rFonts w:ascii="Times New Roman" w:hAnsi="Times New Roman" w:eastAsia="宋体" w:cs="Times New Roman"/>
          <w:color w:val="auto"/>
          <w:sz w:val="21"/>
          <w:szCs w:val="21"/>
          <w:highlight w:val="none"/>
          <w:u w:val="single"/>
        </w:rPr>
      </w:pPr>
      <w:r>
        <w:rPr>
          <w:rFonts w:hint="eastAsia" w:ascii="宋体" w:hAnsi="宋体" w:eastAsia="宋体" w:cs="宋体"/>
          <w:color w:val="auto"/>
          <w:sz w:val="21"/>
          <w:szCs w:val="21"/>
          <w:highlight w:val="none"/>
        </w:rPr>
        <w:t>工程保修书具体内容见合同附件2。</w:t>
      </w:r>
    </w:p>
    <w:p w14:paraId="3FFE6EEA">
      <w:pPr>
        <w:spacing w:line="360" w:lineRule="auto"/>
        <w:ind w:firstLine="409"/>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15.4.3 </w:t>
      </w:r>
      <w:r>
        <w:rPr>
          <w:rFonts w:hint="eastAsia" w:ascii="Times New Roman" w:hAnsi="宋体" w:eastAsia="宋体" w:cs="宋体"/>
          <w:color w:val="auto"/>
          <w:sz w:val="21"/>
          <w:szCs w:val="21"/>
          <w:highlight w:val="none"/>
        </w:rPr>
        <w:t>修复通知</w:t>
      </w:r>
    </w:p>
    <w:p w14:paraId="5D3C9288">
      <w:pPr>
        <w:spacing w:line="360" w:lineRule="auto"/>
        <w:ind w:firstLine="409"/>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承包人收到保修通知并到达工程现场的合理时间：</w:t>
      </w:r>
      <w:r>
        <w:rPr>
          <w:rFonts w:hint="eastAsia" w:ascii="Times New Roman" w:hAnsi="Times New Roman" w:eastAsia="宋体" w:cs="Times New Roman"/>
          <w:color w:val="auto"/>
          <w:sz w:val="21"/>
          <w:szCs w:val="21"/>
          <w:highlight w:val="none"/>
          <w:u w:val="single"/>
        </w:rPr>
        <w:t>接到通知后24小时内</w:t>
      </w:r>
      <w:r>
        <w:rPr>
          <w:rFonts w:hint="eastAsia" w:ascii="Times New Roman" w:hAnsi="宋体" w:eastAsia="宋体" w:cs="宋体"/>
          <w:color w:val="auto"/>
          <w:sz w:val="21"/>
          <w:szCs w:val="21"/>
          <w:highlight w:val="none"/>
        </w:rPr>
        <w:t>。</w:t>
      </w:r>
      <w:bookmarkEnd w:id="1127"/>
      <w:bookmarkEnd w:id="1128"/>
      <w:bookmarkEnd w:id="1129"/>
      <w:bookmarkEnd w:id="1130"/>
    </w:p>
    <w:p w14:paraId="5132DD83">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1177" w:name="_Toc373478413"/>
      <w:bookmarkStart w:id="1178" w:name="_Toc351203648"/>
      <w:bookmarkStart w:id="1179" w:name="_Toc1360137061"/>
      <w:bookmarkStart w:id="1180" w:name="_Toc3143"/>
      <w:bookmarkStart w:id="1181" w:name="_Toc78449855"/>
      <w:bookmarkStart w:id="1182" w:name="_Toc373227766"/>
      <w:bookmarkStart w:id="1183" w:name="_Toc389065331"/>
      <w:bookmarkStart w:id="1184" w:name="_Toc407135269"/>
      <w:bookmarkStart w:id="1185" w:name="_Toc280868717"/>
      <w:bookmarkStart w:id="1186" w:name="_Toc280868718"/>
      <w:r>
        <w:rPr>
          <w:rFonts w:ascii="Arial" w:hAnsi="Arial" w:eastAsia="黑体" w:cs="Times New Roman"/>
          <w:b/>
          <w:bCs/>
          <w:color w:val="auto"/>
          <w:sz w:val="21"/>
          <w:szCs w:val="21"/>
          <w:highlight w:val="none"/>
          <w:lang w:val="zh-CN" w:eastAsia="zh-CN" w:bidi="ar-SA"/>
        </w:rPr>
        <w:t xml:space="preserve">16. </w:t>
      </w:r>
      <w:r>
        <w:rPr>
          <w:rFonts w:hint="eastAsia" w:ascii="Arial" w:hAnsi="宋体" w:eastAsia="黑体" w:cs="黑体"/>
          <w:b/>
          <w:bCs/>
          <w:color w:val="auto"/>
          <w:sz w:val="21"/>
          <w:szCs w:val="21"/>
          <w:highlight w:val="none"/>
          <w:lang w:val="zh-CN" w:eastAsia="zh-CN" w:bidi="ar-SA"/>
        </w:rPr>
        <w:t>违约</w:t>
      </w:r>
      <w:bookmarkEnd w:id="1177"/>
      <w:bookmarkEnd w:id="1178"/>
      <w:bookmarkEnd w:id="1179"/>
      <w:bookmarkEnd w:id="1180"/>
      <w:bookmarkEnd w:id="1181"/>
      <w:bookmarkEnd w:id="1182"/>
      <w:bookmarkEnd w:id="1183"/>
      <w:bookmarkEnd w:id="1184"/>
    </w:p>
    <w:p w14:paraId="5C9342CA">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187" w:name="_Toc373478414"/>
      <w:bookmarkStart w:id="1188" w:name="_Toc1973395665"/>
      <w:bookmarkStart w:id="1189" w:name="_Toc373227767"/>
      <w:bookmarkStart w:id="1190" w:name="_Toc19236"/>
      <w:bookmarkStart w:id="1191" w:name="_Toc407135270"/>
      <w:bookmarkStart w:id="1192" w:name="_Toc7570"/>
      <w:bookmarkStart w:id="1193" w:name="_Toc389065332"/>
      <w:bookmarkStart w:id="1194" w:name="_Toc78449856"/>
      <w:r>
        <w:rPr>
          <w:rFonts w:ascii="Times New Roman" w:hAnsi="Times New Roman" w:eastAsia="黑体" w:cs="Times New Roman"/>
          <w:b/>
          <w:bCs/>
          <w:color w:val="auto"/>
          <w:sz w:val="21"/>
          <w:szCs w:val="21"/>
          <w:highlight w:val="none"/>
          <w:lang w:val="zh-CN" w:eastAsia="zh-CN" w:bidi="ar-SA"/>
        </w:rPr>
        <w:t xml:space="preserve">16.1 </w:t>
      </w:r>
      <w:r>
        <w:rPr>
          <w:rFonts w:hint="eastAsia" w:ascii="Times New Roman" w:hAnsi="宋体" w:eastAsia="黑体" w:cs="黑体"/>
          <w:b/>
          <w:bCs/>
          <w:color w:val="auto"/>
          <w:sz w:val="21"/>
          <w:szCs w:val="21"/>
          <w:highlight w:val="none"/>
          <w:lang w:val="zh-CN" w:eastAsia="zh-CN" w:bidi="ar-SA"/>
        </w:rPr>
        <w:t>发包人违约</w:t>
      </w:r>
      <w:bookmarkEnd w:id="1187"/>
      <w:bookmarkEnd w:id="1188"/>
      <w:bookmarkEnd w:id="1189"/>
      <w:bookmarkEnd w:id="1190"/>
      <w:bookmarkEnd w:id="1191"/>
      <w:bookmarkEnd w:id="1192"/>
      <w:bookmarkEnd w:id="1193"/>
      <w:bookmarkEnd w:id="1194"/>
    </w:p>
    <w:p w14:paraId="6C8F5A51">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16.1.1</w:t>
      </w:r>
      <w:r>
        <w:rPr>
          <w:rFonts w:hint="eastAsia" w:ascii="Times New Roman" w:hAnsi="宋体" w:eastAsia="宋体" w:cs="宋体"/>
          <w:color w:val="auto"/>
          <w:sz w:val="21"/>
          <w:szCs w:val="21"/>
          <w:highlight w:val="none"/>
        </w:rPr>
        <w:t>发包人违约的情形</w:t>
      </w:r>
    </w:p>
    <w:p w14:paraId="73094E2C">
      <w:pPr>
        <w:spacing w:line="360" w:lineRule="auto"/>
        <w:ind w:firstLine="420"/>
        <w:jc w:val="left"/>
        <w:rPr>
          <w:rFonts w:ascii="Times New Roman" w:hAnsi="宋体" w:eastAsia="宋体" w:cs="Times New Roman"/>
          <w:color w:val="auto"/>
          <w:sz w:val="21"/>
          <w:szCs w:val="21"/>
          <w:highlight w:val="none"/>
        </w:rPr>
      </w:pPr>
      <w:r>
        <w:rPr>
          <w:rFonts w:hint="eastAsia" w:ascii="Times New Roman" w:hAnsi="宋体" w:eastAsia="宋体" w:cs="宋体"/>
          <w:color w:val="auto"/>
          <w:sz w:val="21"/>
          <w:szCs w:val="21"/>
          <w:highlight w:val="none"/>
        </w:rPr>
        <w:t>发包人违约的其他情形：</w:t>
      </w:r>
      <w:r>
        <w:rPr>
          <w:rFonts w:hint="eastAsia" w:ascii="Times New Roman" w:hAnsi="Times New Roman" w:eastAsia="宋体" w:cs="Times New Roman"/>
          <w:color w:val="auto"/>
          <w:sz w:val="21"/>
          <w:szCs w:val="21"/>
          <w:u w:val="single"/>
        </w:rPr>
        <w:t>按通用合同条款16.1.1执行</w:t>
      </w:r>
      <w:r>
        <w:rPr>
          <w:rFonts w:hint="eastAsia" w:ascii="Times New Roman" w:hAnsi="宋体" w:eastAsia="宋体" w:cs="宋体"/>
          <w:color w:val="auto"/>
          <w:sz w:val="21"/>
          <w:szCs w:val="21"/>
          <w:highlight w:val="none"/>
        </w:rPr>
        <w:t>。</w:t>
      </w:r>
    </w:p>
    <w:p w14:paraId="37A2E412">
      <w:pPr>
        <w:spacing w:line="360" w:lineRule="auto"/>
        <w:ind w:firstLine="420"/>
        <w:jc w:val="left"/>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16.1.2 </w:t>
      </w:r>
      <w:r>
        <w:rPr>
          <w:rFonts w:hint="eastAsia" w:ascii="Times New Roman" w:hAnsi="宋体" w:eastAsia="宋体" w:cs="宋体"/>
          <w:color w:val="auto"/>
          <w:sz w:val="21"/>
          <w:szCs w:val="21"/>
          <w:highlight w:val="none"/>
        </w:rPr>
        <w:t>发包人违约的责任</w:t>
      </w:r>
    </w:p>
    <w:p w14:paraId="2269AC2B">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发包人违约责任的承担方式和计算方法：</w:t>
      </w:r>
    </w:p>
    <w:p w14:paraId="6DB30FB4">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宋体" w:eastAsia="宋体" w:cs="宋体"/>
          <w:color w:val="auto"/>
          <w:sz w:val="21"/>
          <w:szCs w:val="21"/>
          <w:highlight w:val="none"/>
        </w:rPr>
        <w:t>）因发包人原因未能在计划开工日期前</w:t>
      </w:r>
      <w:r>
        <w:rPr>
          <w:rFonts w:ascii="Times New Roman" w:hAnsi="Times New Roman" w:eastAsia="宋体" w:cs="Times New Roman"/>
          <w:color w:val="auto"/>
          <w:sz w:val="21"/>
          <w:szCs w:val="21"/>
          <w:highlight w:val="none"/>
        </w:rPr>
        <w:t>7</w:t>
      </w:r>
      <w:r>
        <w:rPr>
          <w:rFonts w:hint="eastAsia" w:ascii="Times New Roman" w:hAnsi="宋体" w:eastAsia="宋体" w:cs="宋体"/>
          <w:color w:val="auto"/>
          <w:sz w:val="21"/>
          <w:szCs w:val="21"/>
          <w:highlight w:val="none"/>
        </w:rPr>
        <w:t>天内下达开工通知的违约责任：</w:t>
      </w:r>
      <w:r>
        <w:rPr>
          <w:rFonts w:hint="eastAsia" w:ascii="Times New Roman" w:hAnsi="Times New Roman" w:eastAsia="宋体" w:cs="Times New Roman"/>
          <w:color w:val="auto"/>
          <w:sz w:val="21"/>
          <w:szCs w:val="21"/>
          <w:highlight w:val="none"/>
          <w:u w:val="single"/>
        </w:rPr>
        <w:t>工期顺延</w:t>
      </w:r>
      <w:r>
        <w:rPr>
          <w:rFonts w:hint="eastAsia" w:ascii="Times New Roman" w:hAnsi="宋体" w:eastAsia="宋体" w:cs="宋体"/>
          <w:color w:val="auto"/>
          <w:sz w:val="21"/>
          <w:szCs w:val="21"/>
          <w:highlight w:val="none"/>
        </w:rPr>
        <w:t>。</w:t>
      </w:r>
    </w:p>
    <w:p w14:paraId="35225BD5">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）因发包人原因未能按合同约定支付合同价款的违约责任：</w:t>
      </w:r>
      <w:r>
        <w:rPr>
          <w:rFonts w:hint="eastAsia" w:ascii="Times New Roman" w:hAnsi="Times New Roman" w:eastAsia="宋体" w:cs="Times New Roman"/>
          <w:color w:val="auto"/>
          <w:sz w:val="21"/>
          <w:szCs w:val="21"/>
          <w:highlight w:val="none"/>
          <w:u w:val="single"/>
          <w:lang w:val="en-US" w:eastAsia="zh-CN"/>
        </w:rPr>
        <w:t xml:space="preserve">  /  </w:t>
      </w:r>
      <w:r>
        <w:rPr>
          <w:rFonts w:hint="eastAsia" w:ascii="Times New Roman" w:hAnsi="宋体" w:eastAsia="宋体" w:cs="宋体"/>
          <w:color w:val="auto"/>
          <w:sz w:val="21"/>
          <w:szCs w:val="21"/>
          <w:highlight w:val="none"/>
        </w:rPr>
        <w:t>。</w:t>
      </w:r>
    </w:p>
    <w:p w14:paraId="25BBF8DE">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3</w:t>
      </w:r>
      <w:r>
        <w:rPr>
          <w:rFonts w:hint="eastAsia" w:ascii="Times New Roman" w:hAnsi="宋体" w:eastAsia="宋体" w:cs="宋体"/>
          <w:color w:val="auto"/>
          <w:sz w:val="21"/>
          <w:szCs w:val="21"/>
          <w:highlight w:val="none"/>
        </w:rPr>
        <w:t>）发包人违反第</w:t>
      </w:r>
      <w:r>
        <w:rPr>
          <w:rFonts w:ascii="Times New Roman" w:hAnsi="Times New Roman" w:eastAsia="宋体" w:cs="Times New Roman"/>
          <w:color w:val="auto"/>
          <w:sz w:val="21"/>
          <w:szCs w:val="21"/>
          <w:highlight w:val="none"/>
        </w:rPr>
        <w:t>10.1</w:t>
      </w:r>
      <w:r>
        <w:rPr>
          <w:rFonts w:hint="eastAsia" w:ascii="Times New Roman" w:hAnsi="宋体" w:eastAsia="宋体" w:cs="宋体"/>
          <w:color w:val="auto"/>
          <w:sz w:val="21"/>
          <w:szCs w:val="21"/>
          <w:highlight w:val="none"/>
        </w:rPr>
        <w:t>款〔变更的范围〕第（</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）项约定，自行实施被取消的工作或转由他人实施的违约责任：</w:t>
      </w:r>
      <w:r>
        <w:rPr>
          <w:rFonts w:hint="eastAsia" w:ascii="Times New Roman" w:hAnsi="Times New Roman" w:eastAsia="宋体" w:cs="Times New Roman"/>
          <w:color w:val="auto"/>
          <w:sz w:val="21"/>
          <w:szCs w:val="21"/>
          <w:highlight w:val="none"/>
          <w:u w:val="single"/>
        </w:rPr>
        <w:t>按通用条款执行</w:t>
      </w:r>
      <w:r>
        <w:rPr>
          <w:rFonts w:hint="eastAsia" w:ascii="Times New Roman" w:hAnsi="宋体" w:eastAsia="宋体" w:cs="宋体"/>
          <w:color w:val="auto"/>
          <w:sz w:val="21"/>
          <w:szCs w:val="21"/>
          <w:highlight w:val="none"/>
        </w:rPr>
        <w:t>。</w:t>
      </w:r>
    </w:p>
    <w:p w14:paraId="5042CCE0">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4</w:t>
      </w:r>
      <w:r>
        <w:rPr>
          <w:rFonts w:hint="eastAsia" w:ascii="Times New Roman" w:hAnsi="宋体" w:eastAsia="宋体" w:cs="宋体"/>
          <w:color w:val="auto"/>
          <w:sz w:val="21"/>
          <w:szCs w:val="21"/>
          <w:highlight w:val="none"/>
        </w:rPr>
        <w:t>）发包人提供的材料、工程设备的规格、数量或质量不符合合同约定，或因发包人原因导致交货日期延误或交货地点变更等情况的违约责任：</w:t>
      </w:r>
      <w:r>
        <w:rPr>
          <w:rFonts w:hint="eastAsia" w:ascii="Times New Roman" w:hAnsi="Times New Roman" w:eastAsia="宋体" w:cs="Times New Roman"/>
          <w:color w:val="auto"/>
          <w:sz w:val="21"/>
          <w:szCs w:val="21"/>
          <w:highlight w:val="none"/>
          <w:u w:val="single"/>
        </w:rPr>
        <w:t>工期顺延</w:t>
      </w:r>
      <w:r>
        <w:rPr>
          <w:rFonts w:hint="eastAsia" w:ascii="Times New Roman" w:hAnsi="宋体" w:eastAsia="宋体" w:cs="宋体"/>
          <w:color w:val="auto"/>
          <w:sz w:val="21"/>
          <w:szCs w:val="21"/>
          <w:highlight w:val="none"/>
        </w:rPr>
        <w:t>。</w:t>
      </w:r>
    </w:p>
    <w:p w14:paraId="36173FB6">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5</w:t>
      </w:r>
      <w:r>
        <w:rPr>
          <w:rFonts w:hint="eastAsia" w:ascii="Times New Roman" w:hAnsi="宋体" w:eastAsia="宋体" w:cs="宋体"/>
          <w:color w:val="auto"/>
          <w:sz w:val="21"/>
          <w:szCs w:val="21"/>
          <w:highlight w:val="none"/>
        </w:rPr>
        <w:t>）因发包人违反合同约定造成暂停施工的违约责任：</w:t>
      </w:r>
      <w:r>
        <w:rPr>
          <w:rFonts w:hint="eastAsia" w:ascii="Times New Roman" w:hAnsi="Times New Roman" w:eastAsia="宋体" w:cs="Times New Roman"/>
          <w:color w:val="auto"/>
          <w:sz w:val="21"/>
          <w:szCs w:val="21"/>
          <w:highlight w:val="none"/>
          <w:u w:val="single"/>
        </w:rPr>
        <w:t>按通用条款执行</w:t>
      </w:r>
      <w:r>
        <w:rPr>
          <w:rFonts w:hint="eastAsia" w:ascii="Times New Roman" w:hAnsi="宋体" w:eastAsia="宋体" w:cs="宋体"/>
          <w:color w:val="auto"/>
          <w:sz w:val="21"/>
          <w:szCs w:val="21"/>
          <w:highlight w:val="none"/>
        </w:rPr>
        <w:t>。</w:t>
      </w:r>
    </w:p>
    <w:p w14:paraId="71F29A57">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6</w:t>
      </w:r>
      <w:r>
        <w:rPr>
          <w:rFonts w:hint="eastAsia" w:ascii="Times New Roman" w:hAnsi="宋体" w:eastAsia="宋体" w:cs="宋体"/>
          <w:color w:val="auto"/>
          <w:sz w:val="21"/>
          <w:szCs w:val="21"/>
          <w:highlight w:val="none"/>
        </w:rPr>
        <w:t>）发包人无正当理由没有在约定期限内发出复工指示，导致承包人无法复工的违约责任：</w:t>
      </w:r>
      <w:r>
        <w:rPr>
          <w:rFonts w:hint="eastAsia" w:ascii="Times New Roman" w:hAnsi="Times New Roman" w:eastAsia="宋体" w:cs="Times New Roman"/>
          <w:color w:val="auto"/>
          <w:sz w:val="21"/>
          <w:szCs w:val="21"/>
          <w:highlight w:val="none"/>
          <w:u w:val="single"/>
        </w:rPr>
        <w:t>按通用条款执行</w:t>
      </w:r>
      <w:r>
        <w:rPr>
          <w:rFonts w:hint="eastAsia" w:ascii="Times New Roman" w:hAnsi="宋体" w:eastAsia="宋体" w:cs="宋体"/>
          <w:color w:val="auto"/>
          <w:sz w:val="21"/>
          <w:szCs w:val="21"/>
          <w:highlight w:val="none"/>
        </w:rPr>
        <w:t>。</w:t>
      </w:r>
    </w:p>
    <w:p w14:paraId="58137163">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7</w:t>
      </w:r>
      <w:r>
        <w:rPr>
          <w:rFonts w:hint="eastAsia" w:ascii="Times New Roman" w:hAnsi="宋体" w:eastAsia="宋体" w:cs="宋体"/>
          <w:color w:val="auto"/>
          <w:sz w:val="21"/>
          <w:szCs w:val="21"/>
          <w:highlight w:val="none"/>
        </w:rPr>
        <w:t>）其他：</w:t>
      </w:r>
      <w:r>
        <w:rPr>
          <w:rFonts w:hint="eastAsia" w:ascii="Times New Roman" w:hAnsi="Times New Roman" w:eastAsia="宋体" w:cs="Times New Roman"/>
          <w:color w:val="auto"/>
          <w:sz w:val="21"/>
          <w:szCs w:val="21"/>
          <w:highlight w:val="none"/>
          <w:u w:val="single"/>
        </w:rPr>
        <w:t xml:space="preserve">  /  </w:t>
      </w:r>
      <w:r>
        <w:rPr>
          <w:rFonts w:hint="eastAsia" w:ascii="Times New Roman" w:hAnsi="宋体" w:eastAsia="宋体" w:cs="宋体"/>
          <w:color w:val="auto"/>
          <w:sz w:val="21"/>
          <w:szCs w:val="21"/>
          <w:highlight w:val="none"/>
        </w:rPr>
        <w:t>。</w:t>
      </w:r>
    </w:p>
    <w:p w14:paraId="722A47E9">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16.1.3 </w:t>
      </w:r>
      <w:r>
        <w:rPr>
          <w:rFonts w:hint="eastAsia" w:ascii="Times New Roman" w:hAnsi="宋体" w:eastAsia="宋体" w:cs="宋体"/>
          <w:color w:val="auto"/>
          <w:sz w:val="21"/>
          <w:szCs w:val="21"/>
          <w:highlight w:val="none"/>
        </w:rPr>
        <w:t>因发包人违约解除合同</w:t>
      </w:r>
    </w:p>
    <w:p w14:paraId="697BD58C">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承包人按</w:t>
      </w:r>
      <w:r>
        <w:rPr>
          <w:rFonts w:ascii="Times New Roman" w:hAnsi="Times New Roman" w:eastAsia="宋体" w:cs="Times New Roman"/>
          <w:color w:val="auto"/>
          <w:sz w:val="21"/>
          <w:szCs w:val="21"/>
          <w:highlight w:val="none"/>
        </w:rPr>
        <w:t>16.1.1</w:t>
      </w:r>
      <w:r>
        <w:rPr>
          <w:rFonts w:hint="eastAsia" w:ascii="Times New Roman" w:hAnsi="宋体" w:eastAsia="宋体" w:cs="宋体"/>
          <w:color w:val="auto"/>
          <w:sz w:val="21"/>
          <w:szCs w:val="21"/>
          <w:highlight w:val="none"/>
        </w:rPr>
        <w:t>项〔发包人违约的情形〕约定暂停施工满</w:t>
      </w:r>
      <w:r>
        <w:rPr>
          <w:rFonts w:hint="eastAsia" w:ascii="Times New Roman" w:hAnsi="Times New Roman" w:eastAsia="宋体" w:cs="Times New Roman"/>
          <w:color w:val="auto"/>
          <w:sz w:val="21"/>
          <w:szCs w:val="21"/>
          <w:highlight w:val="none"/>
          <w:u w:val="single"/>
        </w:rPr>
        <w:t xml:space="preserve">  /  </w:t>
      </w:r>
      <w:r>
        <w:rPr>
          <w:rFonts w:hint="eastAsia" w:ascii="Times New Roman" w:hAnsi="宋体" w:eastAsia="宋体" w:cs="宋体"/>
          <w:color w:val="auto"/>
          <w:sz w:val="21"/>
          <w:szCs w:val="21"/>
          <w:highlight w:val="none"/>
        </w:rPr>
        <w:t>天后发包人仍不纠正其违约行为并致使合同目的不能实现的，承包人有权解除合同。</w:t>
      </w:r>
    </w:p>
    <w:p w14:paraId="1E8554EC">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195" w:name="_Toc61078193"/>
      <w:bookmarkStart w:id="1196" w:name="_Toc373227768"/>
      <w:bookmarkStart w:id="1197" w:name="_Toc373478415"/>
      <w:bookmarkStart w:id="1198" w:name="_Toc25155"/>
      <w:bookmarkStart w:id="1199" w:name="_Toc28597"/>
      <w:bookmarkStart w:id="1200" w:name="_Toc389065333"/>
      <w:bookmarkStart w:id="1201" w:name="_Toc78449857"/>
      <w:bookmarkStart w:id="1202" w:name="_Toc407135271"/>
      <w:r>
        <w:rPr>
          <w:rFonts w:ascii="Times New Roman" w:hAnsi="Times New Roman" w:eastAsia="黑体" w:cs="Times New Roman"/>
          <w:b/>
          <w:bCs/>
          <w:color w:val="auto"/>
          <w:sz w:val="21"/>
          <w:szCs w:val="21"/>
          <w:highlight w:val="none"/>
          <w:lang w:val="zh-CN" w:eastAsia="zh-CN" w:bidi="ar-SA"/>
        </w:rPr>
        <w:t xml:space="preserve">16.2 </w:t>
      </w:r>
      <w:r>
        <w:rPr>
          <w:rFonts w:hint="eastAsia" w:ascii="Times New Roman" w:hAnsi="宋体" w:eastAsia="黑体" w:cs="黑体"/>
          <w:b/>
          <w:bCs/>
          <w:color w:val="auto"/>
          <w:sz w:val="21"/>
          <w:szCs w:val="21"/>
          <w:highlight w:val="none"/>
          <w:lang w:val="zh-CN" w:eastAsia="zh-CN" w:bidi="ar-SA"/>
        </w:rPr>
        <w:t>承包人违约</w:t>
      </w:r>
      <w:bookmarkEnd w:id="1195"/>
      <w:bookmarkEnd w:id="1196"/>
      <w:bookmarkEnd w:id="1197"/>
      <w:bookmarkEnd w:id="1198"/>
      <w:bookmarkEnd w:id="1199"/>
      <w:bookmarkEnd w:id="1200"/>
      <w:bookmarkEnd w:id="1201"/>
      <w:bookmarkEnd w:id="1202"/>
    </w:p>
    <w:p w14:paraId="4A5814BE">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16.2.1 </w:t>
      </w:r>
      <w:r>
        <w:rPr>
          <w:rFonts w:hint="eastAsia" w:ascii="Times New Roman" w:hAnsi="宋体" w:eastAsia="宋体" w:cs="宋体"/>
          <w:color w:val="auto"/>
          <w:sz w:val="21"/>
          <w:szCs w:val="21"/>
          <w:highlight w:val="none"/>
        </w:rPr>
        <w:t>承包人违约的情形</w:t>
      </w:r>
    </w:p>
    <w:p w14:paraId="4629465A">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承包人违约的其他情形：</w:t>
      </w:r>
      <w:r>
        <w:rPr>
          <w:rFonts w:hint="eastAsia" w:ascii="Times New Roman" w:hAnsi="Times New Roman" w:eastAsia="宋体" w:cs="Times New Roman"/>
          <w:color w:val="auto"/>
          <w:sz w:val="21"/>
          <w:szCs w:val="21"/>
          <w:u w:val="single"/>
        </w:rPr>
        <w:t>按通用合同条款16.1.2执行</w:t>
      </w:r>
      <w:r>
        <w:rPr>
          <w:rFonts w:hint="eastAsia" w:ascii="Times New Roman" w:hAnsi="宋体" w:eastAsia="宋体" w:cs="宋体"/>
          <w:color w:val="auto"/>
          <w:sz w:val="21"/>
          <w:szCs w:val="21"/>
          <w:highlight w:val="none"/>
        </w:rPr>
        <w:t>。</w:t>
      </w:r>
    </w:p>
    <w:p w14:paraId="0DD6EE1D">
      <w:pPr>
        <w:spacing w:line="360" w:lineRule="auto"/>
        <w:ind w:firstLine="420"/>
        <w:jc w:val="left"/>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16.2.2</w:t>
      </w:r>
      <w:r>
        <w:rPr>
          <w:rFonts w:hint="eastAsia" w:ascii="Times New Roman" w:hAnsi="宋体" w:eastAsia="宋体" w:cs="宋体"/>
          <w:color w:val="auto"/>
          <w:sz w:val="21"/>
          <w:szCs w:val="21"/>
          <w:highlight w:val="none"/>
        </w:rPr>
        <w:t>承包人违约的责任</w:t>
      </w:r>
    </w:p>
    <w:p w14:paraId="7A58A78E">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承包人违约责任的承担方式和计算方法：</w:t>
      </w:r>
    </w:p>
    <w:p w14:paraId="286158D4">
      <w:pPr>
        <w:spacing w:line="360" w:lineRule="auto"/>
        <w:ind w:firstLine="420"/>
        <w:jc w:val="left"/>
        <w:rPr>
          <w:rFonts w:ascii="Times New Roman" w:hAnsi="宋体"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宋体" w:eastAsia="宋体" w:cs="宋体"/>
          <w:color w:val="auto"/>
          <w:sz w:val="21"/>
          <w:szCs w:val="21"/>
          <w:highlight w:val="none"/>
        </w:rPr>
        <w:t>）承包人有本合同通用条款第</w:t>
      </w:r>
      <w:r>
        <w:rPr>
          <w:rFonts w:ascii="Times New Roman" w:hAnsi="Times New Roman" w:eastAsia="宋体" w:cs="Times New Roman"/>
          <w:color w:val="auto"/>
          <w:sz w:val="21"/>
          <w:szCs w:val="21"/>
          <w:highlight w:val="none"/>
        </w:rPr>
        <w:t>16.2.1</w:t>
      </w: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3</w:t>
      </w:r>
      <w:r>
        <w:rPr>
          <w:rFonts w:hint="eastAsia" w:ascii="Times New Roman" w:hAnsi="宋体" w:eastAsia="宋体" w:cs="宋体"/>
          <w:color w:val="auto"/>
          <w:sz w:val="21"/>
          <w:szCs w:val="21"/>
          <w:highlight w:val="none"/>
        </w:rPr>
        <w:t>）条内容情形的，承包人无条件返工处理，修复至工程质量要求并承担相关费用，并在发包人规定的时间内完成返工，否则发包人有权扣</w:t>
      </w:r>
      <w:r>
        <w:rPr>
          <w:rFonts w:hint="eastAsia" w:ascii="Times New Roman" w:hAnsi="宋体" w:eastAsia="宋体" w:cs="宋体"/>
          <w:color w:val="auto"/>
          <w:sz w:val="21"/>
          <w:szCs w:val="21"/>
          <w:highlight w:val="none"/>
          <w:lang w:val="en-US" w:eastAsia="zh-CN"/>
        </w:rPr>
        <w:t>除</w:t>
      </w:r>
      <w:r>
        <w:rPr>
          <w:rFonts w:hint="eastAsia" w:ascii="Times New Roman" w:hAnsi="宋体" w:eastAsia="宋体" w:cs="宋体"/>
          <w:color w:val="auto"/>
          <w:sz w:val="21"/>
          <w:szCs w:val="21"/>
          <w:highlight w:val="none"/>
        </w:rPr>
        <w:t>该分项工程</w:t>
      </w:r>
      <w:r>
        <w:rPr>
          <w:rFonts w:ascii="Times New Roman" w:hAnsi="Times New Roman" w:eastAsia="宋体" w:cs="Times New Roman"/>
          <w:color w:val="auto"/>
          <w:sz w:val="21"/>
          <w:szCs w:val="21"/>
          <w:highlight w:val="none"/>
        </w:rPr>
        <w:t>10%</w:t>
      </w:r>
      <w:r>
        <w:rPr>
          <w:rFonts w:hint="eastAsia" w:ascii="Times New Roman" w:hAnsi="宋体" w:eastAsia="宋体" w:cs="宋体"/>
          <w:color w:val="auto"/>
          <w:sz w:val="21"/>
          <w:szCs w:val="21"/>
          <w:highlight w:val="none"/>
        </w:rPr>
        <w:t>的工程款作为</w:t>
      </w:r>
      <w:r>
        <w:rPr>
          <w:rFonts w:hint="eastAsia" w:ascii="Times New Roman" w:hAnsi="宋体" w:eastAsia="宋体" w:cs="宋体"/>
          <w:color w:val="auto"/>
          <w:sz w:val="21"/>
          <w:szCs w:val="21"/>
          <w:highlight w:val="none"/>
          <w:lang w:val="en-US" w:eastAsia="zh-CN"/>
        </w:rPr>
        <w:t>违约金</w:t>
      </w:r>
      <w:r>
        <w:rPr>
          <w:rFonts w:hint="eastAsia" w:ascii="Times New Roman" w:hAnsi="宋体" w:eastAsia="宋体" w:cs="宋体"/>
          <w:color w:val="auto"/>
          <w:sz w:val="21"/>
          <w:szCs w:val="21"/>
          <w:highlight w:val="none"/>
        </w:rPr>
        <w:t>。</w:t>
      </w:r>
    </w:p>
    <w:p w14:paraId="0CB4CB66">
      <w:pPr>
        <w:spacing w:line="360" w:lineRule="auto"/>
        <w:ind w:firstLine="420"/>
        <w:jc w:val="left"/>
        <w:rPr>
          <w:rFonts w:ascii="Times New Roman" w:hAnsi="宋体"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）承包人有本合同通用条款第</w:t>
      </w:r>
      <w:r>
        <w:rPr>
          <w:rFonts w:ascii="Times New Roman" w:hAnsi="Times New Roman" w:eastAsia="宋体" w:cs="Times New Roman"/>
          <w:color w:val="auto"/>
          <w:sz w:val="21"/>
          <w:szCs w:val="21"/>
          <w:highlight w:val="none"/>
        </w:rPr>
        <w:t>16.2.1</w:t>
      </w: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6</w:t>
      </w:r>
      <w:r>
        <w:rPr>
          <w:rFonts w:hint="eastAsia" w:ascii="Times New Roman" w:hAnsi="宋体" w:eastAsia="宋体" w:cs="宋体"/>
          <w:color w:val="auto"/>
          <w:sz w:val="21"/>
          <w:szCs w:val="21"/>
          <w:highlight w:val="none"/>
        </w:rPr>
        <w:t>）条情形的，或经监理人检验认为修复质量不合格而承包人拒绝再进行修补的，发包人将扣除承包人全部质量保证金。</w:t>
      </w:r>
    </w:p>
    <w:p w14:paraId="45C2BA8B">
      <w:pPr>
        <w:spacing w:line="360" w:lineRule="auto"/>
        <w:ind w:firstLine="420"/>
        <w:jc w:val="left"/>
        <w:rPr>
          <w:rFonts w:ascii="Times New Roman" w:hAnsi="宋体"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3</w:t>
      </w:r>
      <w:r>
        <w:rPr>
          <w:rFonts w:hint="eastAsia" w:ascii="Times New Roman" w:hAnsi="宋体" w:eastAsia="宋体" w:cs="宋体"/>
          <w:color w:val="auto"/>
          <w:sz w:val="21"/>
          <w:szCs w:val="21"/>
          <w:highlight w:val="none"/>
        </w:rPr>
        <w:t>）承包人有本专用合同条款</w:t>
      </w:r>
      <w:r>
        <w:rPr>
          <w:rFonts w:ascii="Times New Roman" w:hAnsi="Times New Roman" w:eastAsia="宋体" w:cs="Times New Roman"/>
          <w:color w:val="auto"/>
          <w:sz w:val="21"/>
          <w:szCs w:val="21"/>
          <w:highlight w:val="none"/>
        </w:rPr>
        <w:t>3.</w:t>
      </w:r>
      <w:r>
        <w:rPr>
          <w:rFonts w:hint="eastAsia" w:ascii="Times New Roman" w:hAnsi="Times New Roman" w:eastAsia="宋体" w:cs="Times New Roman"/>
          <w:color w:val="auto"/>
          <w:sz w:val="21"/>
          <w:szCs w:val="21"/>
          <w:highlight w:val="none"/>
          <w:lang w:eastAsia="zh-CN"/>
        </w:rPr>
        <w:t>2.</w:t>
      </w:r>
      <w:r>
        <w:rPr>
          <w:rFonts w:ascii="Times New Roman" w:hAnsi="Times New Roman" w:eastAsia="宋体" w:cs="Times New Roman"/>
          <w:color w:val="auto"/>
          <w:sz w:val="21"/>
          <w:szCs w:val="21"/>
          <w:highlight w:val="none"/>
        </w:rPr>
        <w:t>3.3</w:t>
      </w:r>
      <w:r>
        <w:rPr>
          <w:rFonts w:hint="eastAsia" w:ascii="Times New Roman" w:hAnsi="宋体" w:eastAsia="宋体" w:cs="宋体"/>
          <w:color w:val="auto"/>
          <w:sz w:val="21"/>
          <w:szCs w:val="21"/>
          <w:highlight w:val="none"/>
        </w:rPr>
        <w:t>条违约责任的，发包人有权扣除承包人的违约金。违约金金额均在承包人的履约保证金及计量支付款内扣除。监理人预先下发含有</w:t>
      </w:r>
      <w:r>
        <w:rPr>
          <w:rFonts w:hint="eastAsia" w:ascii="Times New Roman" w:hAnsi="宋体" w:eastAsia="宋体" w:cs="宋体"/>
          <w:color w:val="auto"/>
          <w:sz w:val="21"/>
          <w:szCs w:val="21"/>
          <w:highlight w:val="none"/>
          <w:lang w:val="en-US" w:eastAsia="zh-CN"/>
        </w:rPr>
        <w:t>扣除违约金</w:t>
      </w:r>
      <w:r>
        <w:rPr>
          <w:rFonts w:hint="eastAsia" w:ascii="Times New Roman" w:hAnsi="宋体" w:eastAsia="宋体" w:cs="宋体"/>
          <w:color w:val="auto"/>
          <w:sz w:val="21"/>
          <w:szCs w:val="21"/>
          <w:highlight w:val="none"/>
        </w:rPr>
        <w:t>意向的指令，如承包人不及时采取措施纠正，则在指令下达后十五天下发</w:t>
      </w:r>
      <w:r>
        <w:rPr>
          <w:rFonts w:hint="eastAsia" w:ascii="Times New Roman" w:hAnsi="宋体" w:eastAsia="宋体" w:cs="宋体"/>
          <w:color w:val="auto"/>
          <w:sz w:val="21"/>
          <w:szCs w:val="21"/>
          <w:highlight w:val="none"/>
          <w:lang w:val="en-US" w:eastAsia="zh-CN"/>
        </w:rPr>
        <w:t>扣除违约金</w:t>
      </w:r>
      <w:r>
        <w:rPr>
          <w:rFonts w:hint="eastAsia" w:ascii="Times New Roman" w:hAnsi="宋体" w:eastAsia="宋体" w:cs="宋体"/>
          <w:color w:val="auto"/>
          <w:sz w:val="21"/>
          <w:szCs w:val="21"/>
          <w:highlight w:val="none"/>
        </w:rPr>
        <w:t>通知书（不再陈述</w:t>
      </w:r>
      <w:r>
        <w:rPr>
          <w:rFonts w:hint="eastAsia" w:ascii="Times New Roman" w:hAnsi="宋体" w:eastAsia="宋体" w:cs="宋体"/>
          <w:color w:val="auto"/>
          <w:sz w:val="21"/>
          <w:szCs w:val="21"/>
          <w:highlight w:val="none"/>
          <w:lang w:val="en-US" w:eastAsia="zh-CN"/>
        </w:rPr>
        <w:t>扣除违约金</w:t>
      </w:r>
      <w:r>
        <w:rPr>
          <w:rFonts w:hint="eastAsia" w:ascii="Times New Roman" w:hAnsi="宋体" w:eastAsia="宋体" w:cs="宋体"/>
          <w:color w:val="auto"/>
          <w:sz w:val="21"/>
          <w:szCs w:val="21"/>
          <w:highlight w:val="none"/>
        </w:rPr>
        <w:t>理由）。承包人履约保证金被</w:t>
      </w:r>
      <w:r>
        <w:rPr>
          <w:rFonts w:hint="eastAsia" w:ascii="Times New Roman" w:hAnsi="宋体" w:eastAsia="宋体" w:cs="宋体"/>
          <w:color w:val="auto"/>
          <w:sz w:val="21"/>
          <w:szCs w:val="21"/>
          <w:highlight w:val="none"/>
          <w:lang w:val="en-US" w:eastAsia="zh-CN"/>
        </w:rPr>
        <w:t>扣除</w:t>
      </w:r>
      <w:r>
        <w:rPr>
          <w:rFonts w:hint="eastAsia" w:ascii="Times New Roman" w:hAnsi="宋体" w:eastAsia="宋体" w:cs="宋体"/>
          <w:color w:val="auto"/>
          <w:sz w:val="21"/>
          <w:szCs w:val="21"/>
          <w:highlight w:val="none"/>
        </w:rPr>
        <w:t>后由发包人从最后一次计量支付时扣除相应金额补足履约保证金。承包人在合同期内，完成合同规定的全部工程，且质量合格，在本工程施工竣工验收后十五天内可申请返还全部或部分</w:t>
      </w:r>
      <w:r>
        <w:rPr>
          <w:rFonts w:hint="eastAsia" w:ascii="Times New Roman" w:hAnsi="宋体" w:eastAsia="宋体" w:cs="宋体"/>
          <w:color w:val="auto"/>
          <w:sz w:val="21"/>
          <w:szCs w:val="21"/>
          <w:highlight w:val="none"/>
          <w:lang w:val="en-US" w:eastAsia="zh-CN"/>
        </w:rPr>
        <w:t>违约金</w:t>
      </w:r>
      <w:r>
        <w:rPr>
          <w:rFonts w:hint="eastAsia" w:ascii="Times New Roman" w:hAnsi="宋体" w:eastAsia="宋体" w:cs="宋体"/>
          <w:color w:val="auto"/>
          <w:sz w:val="21"/>
          <w:szCs w:val="21"/>
          <w:highlight w:val="none"/>
        </w:rPr>
        <w:t>，返还金额由监理人审核，发包人批准。</w:t>
      </w:r>
      <w:r>
        <w:rPr>
          <w:rFonts w:hint="eastAsia" w:ascii="Times New Roman" w:hAnsi="宋体" w:eastAsia="宋体" w:cs="宋体"/>
          <w:color w:val="auto"/>
          <w:sz w:val="21"/>
          <w:szCs w:val="21"/>
          <w:highlight w:val="none"/>
          <w:lang w:val="en-US" w:eastAsia="zh-CN"/>
        </w:rPr>
        <w:t>违约金</w:t>
      </w:r>
      <w:r>
        <w:rPr>
          <w:rFonts w:hint="eastAsia" w:ascii="Times New Roman" w:hAnsi="宋体" w:eastAsia="宋体" w:cs="宋体"/>
          <w:color w:val="auto"/>
          <w:sz w:val="21"/>
          <w:szCs w:val="21"/>
          <w:highlight w:val="none"/>
        </w:rPr>
        <w:t>金额返还时不包括银行利息。</w:t>
      </w:r>
    </w:p>
    <w:p w14:paraId="61C92E4C">
      <w:pPr>
        <w:spacing w:line="360" w:lineRule="auto"/>
        <w:ind w:firstLine="420"/>
        <w:jc w:val="left"/>
        <w:rPr>
          <w:rFonts w:ascii="Times New Roman" w:hAnsi="宋体"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16.2.3 </w:t>
      </w:r>
      <w:r>
        <w:rPr>
          <w:rFonts w:hint="eastAsia" w:ascii="Times New Roman" w:hAnsi="宋体" w:eastAsia="宋体" w:cs="宋体"/>
          <w:color w:val="auto"/>
          <w:sz w:val="21"/>
          <w:szCs w:val="21"/>
          <w:highlight w:val="none"/>
        </w:rPr>
        <w:t>因承包人违约解除合同</w:t>
      </w:r>
    </w:p>
    <w:p w14:paraId="23DC35C2">
      <w:pPr>
        <w:spacing w:line="360" w:lineRule="auto"/>
        <w:ind w:firstLine="420"/>
        <w:jc w:val="left"/>
        <w:rPr>
          <w:rFonts w:ascii="Times New Roman" w:hAnsi="宋体" w:eastAsia="宋体" w:cs="Times New Roman"/>
          <w:color w:val="auto"/>
          <w:sz w:val="21"/>
          <w:szCs w:val="21"/>
          <w:highlight w:val="none"/>
        </w:rPr>
      </w:pPr>
      <w:r>
        <w:rPr>
          <w:rFonts w:hint="eastAsia" w:ascii="Times New Roman" w:hAnsi="宋体" w:eastAsia="宋体" w:cs="宋体"/>
          <w:color w:val="auto"/>
          <w:sz w:val="21"/>
          <w:szCs w:val="21"/>
          <w:highlight w:val="none"/>
        </w:rPr>
        <w:t>关于承包人违约解除合同的特别约定：</w:t>
      </w:r>
      <w:r>
        <w:rPr>
          <w:rFonts w:hint="eastAsia" w:ascii="Times New Roman" w:hAnsi="宋体" w:eastAsia="宋体" w:cs="宋体"/>
          <w:color w:val="auto"/>
          <w:sz w:val="21"/>
          <w:szCs w:val="21"/>
          <w:highlight w:val="none"/>
          <w:u w:val="none"/>
        </w:rPr>
        <w:t>承包人有违反以下情况之一的，发包人有权解除合同，并没收其全部履约保证金</w:t>
      </w:r>
      <w:r>
        <w:rPr>
          <w:rFonts w:hint="eastAsia" w:ascii="Times New Roman" w:hAnsi="宋体" w:eastAsia="宋体" w:cs="宋体"/>
          <w:color w:val="auto"/>
          <w:sz w:val="21"/>
          <w:szCs w:val="21"/>
          <w:highlight w:val="none"/>
        </w:rPr>
        <w:t>。</w:t>
      </w:r>
    </w:p>
    <w:p w14:paraId="0B3DFFDC">
      <w:pPr>
        <w:spacing w:line="360" w:lineRule="auto"/>
        <w:ind w:firstLine="420"/>
        <w:jc w:val="left"/>
        <w:rPr>
          <w:rFonts w:ascii="Times New Roman" w:hAnsi="宋体"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（1）</w:t>
      </w:r>
      <w:r>
        <w:rPr>
          <w:rFonts w:hint="eastAsia" w:ascii="Times New Roman" w:hAnsi="宋体" w:eastAsia="宋体" w:cs="宋体"/>
          <w:color w:val="auto"/>
          <w:sz w:val="21"/>
          <w:szCs w:val="21"/>
          <w:highlight w:val="none"/>
        </w:rPr>
        <w:t>承包人无正当理由不按开工通知的要求及时进场组织施工和不按签订协议书时商定的进度计划有效地开展施工准备，造成工期延误的；</w:t>
      </w:r>
    </w:p>
    <w:p w14:paraId="0E0B9015">
      <w:pPr>
        <w:spacing w:line="360" w:lineRule="auto"/>
        <w:ind w:firstLine="420"/>
        <w:jc w:val="left"/>
        <w:rPr>
          <w:rFonts w:ascii="Times New Roman" w:hAnsi="宋体"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（2）</w:t>
      </w:r>
      <w:r>
        <w:rPr>
          <w:rFonts w:hint="eastAsia" w:ascii="Times New Roman" w:hAnsi="宋体" w:eastAsia="宋体" w:cs="宋体"/>
          <w:color w:val="auto"/>
          <w:sz w:val="21"/>
          <w:szCs w:val="21"/>
          <w:highlight w:val="none"/>
        </w:rPr>
        <w:t>承包人违反本合同通用条款第</w:t>
      </w:r>
      <w:r>
        <w:rPr>
          <w:rFonts w:ascii="Times New Roman" w:hAnsi="Times New Roman" w:eastAsia="宋体" w:cs="Times New Roman"/>
          <w:color w:val="auto"/>
          <w:sz w:val="21"/>
          <w:szCs w:val="21"/>
          <w:highlight w:val="none"/>
        </w:rPr>
        <w:t>3.5</w:t>
      </w:r>
      <w:r>
        <w:rPr>
          <w:rFonts w:hint="eastAsia" w:ascii="Times New Roman" w:hAnsi="宋体" w:eastAsia="宋体" w:cs="宋体"/>
          <w:color w:val="auto"/>
          <w:sz w:val="21"/>
          <w:szCs w:val="21"/>
          <w:highlight w:val="none"/>
        </w:rPr>
        <w:t>条规定私自将合同或合同的任何部分或任何权利转让给其他人，或私自将工程或工程的一部分分包出去的；</w:t>
      </w:r>
    </w:p>
    <w:p w14:paraId="3DAB7F78">
      <w:pPr>
        <w:spacing w:line="360" w:lineRule="auto"/>
        <w:ind w:firstLine="420"/>
        <w:jc w:val="left"/>
        <w:rPr>
          <w:rFonts w:ascii="Times New Roman" w:hAnsi="宋体"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（3）</w:t>
      </w:r>
      <w:r>
        <w:rPr>
          <w:rFonts w:hint="eastAsia" w:ascii="Times New Roman" w:hAnsi="宋体" w:eastAsia="宋体" w:cs="宋体"/>
          <w:color w:val="auto"/>
          <w:sz w:val="21"/>
          <w:szCs w:val="21"/>
          <w:highlight w:val="none"/>
        </w:rPr>
        <w:t>未经监理人批准，承包人私自将已按投标文件承诺进入工地的工程设备、施工设备、临时工程或材料撤离工地的；</w:t>
      </w:r>
    </w:p>
    <w:p w14:paraId="39DE2010">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（4）</w:t>
      </w:r>
      <w:r>
        <w:rPr>
          <w:rFonts w:hint="eastAsia" w:ascii="Times New Roman" w:hAnsi="宋体" w:eastAsia="宋体" w:cs="宋体"/>
          <w:color w:val="auto"/>
          <w:sz w:val="21"/>
          <w:szCs w:val="21"/>
          <w:highlight w:val="none"/>
        </w:rPr>
        <w:t>由于承包人原因拒绝按合同进度计划及时完成合同规定的工程，而又未采取有效措施赶上进度，造成工期严重延误的；</w:t>
      </w:r>
    </w:p>
    <w:p w14:paraId="2A1B7773">
      <w:pPr>
        <w:spacing w:line="360" w:lineRule="auto"/>
        <w:ind w:firstLine="42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（5）</w:t>
      </w:r>
      <w:r>
        <w:rPr>
          <w:rFonts w:hint="eastAsia" w:ascii="Times New Roman" w:hAnsi="宋体" w:eastAsia="宋体" w:cs="宋体"/>
          <w:color w:val="auto"/>
          <w:sz w:val="21"/>
          <w:szCs w:val="21"/>
          <w:highlight w:val="none"/>
        </w:rPr>
        <w:t>承包人否认合同有效或拒绝履行合同规定的承包人义务，或由于法律、财务等原因导致承包人无法继续履行或实质上已停止履行合同的义务的；</w:t>
      </w:r>
    </w:p>
    <w:p w14:paraId="7F47838D">
      <w:pPr>
        <w:spacing w:line="360" w:lineRule="auto"/>
        <w:ind w:firstLine="42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（6）</w:t>
      </w:r>
      <w:r>
        <w:rPr>
          <w:rFonts w:hint="eastAsia" w:ascii="Times New Roman" w:hAnsi="宋体" w:eastAsia="宋体" w:cs="宋体"/>
          <w:color w:val="auto"/>
          <w:sz w:val="21"/>
          <w:szCs w:val="21"/>
          <w:highlight w:val="none"/>
        </w:rPr>
        <w:t>合同签订</w:t>
      </w:r>
      <w:r>
        <w:rPr>
          <w:rFonts w:hint="eastAsia" w:ascii="仿宋_GB2312" w:hAnsi="宋体" w:eastAsia="宋体" w:cs="宋体"/>
          <w:color w:val="auto"/>
          <w:sz w:val="21"/>
          <w:szCs w:val="21"/>
          <w:highlight w:val="none"/>
        </w:rPr>
        <w:t>且具备法定开工条件后</w:t>
      </w:r>
      <w:r>
        <w:rPr>
          <w:rFonts w:hint="eastAsia" w:ascii="Times New Roman" w:hAnsi="宋体" w:eastAsia="宋体" w:cs="宋体"/>
          <w:color w:val="auto"/>
          <w:sz w:val="21"/>
          <w:szCs w:val="21"/>
          <w:highlight w:val="none"/>
        </w:rPr>
        <w:t>之日起十五日内，承包人无法按合同规定及投标文件的承诺进场经监理工程师认可的该</w:t>
      </w:r>
      <w:r>
        <w:rPr>
          <w:rFonts w:ascii="Times New Roman" w:hAnsi="宋体" w:eastAsia="宋体" w:cs="宋体"/>
          <w:color w:val="auto"/>
          <w:sz w:val="21"/>
          <w:szCs w:val="21"/>
          <w:highlight w:val="none"/>
        </w:rPr>
        <w:t>施工</w:t>
      </w:r>
      <w:r>
        <w:rPr>
          <w:rFonts w:hint="eastAsia" w:ascii="Times New Roman" w:hAnsi="宋体" w:eastAsia="宋体" w:cs="宋体"/>
          <w:color w:val="auto"/>
          <w:sz w:val="21"/>
          <w:szCs w:val="21"/>
          <w:highlight w:val="none"/>
        </w:rPr>
        <w:t>阶段</w:t>
      </w:r>
      <w:r>
        <w:rPr>
          <w:rFonts w:ascii="Times New Roman" w:hAnsi="宋体" w:eastAsia="宋体" w:cs="宋体"/>
          <w:color w:val="auto"/>
          <w:sz w:val="21"/>
          <w:szCs w:val="21"/>
          <w:highlight w:val="none"/>
        </w:rPr>
        <w:t>应有的</w:t>
      </w:r>
      <w:r>
        <w:rPr>
          <w:rFonts w:hint="eastAsia" w:ascii="Times New Roman" w:hAnsi="宋体" w:eastAsia="宋体" w:cs="宋体"/>
          <w:color w:val="auto"/>
          <w:sz w:val="21"/>
          <w:szCs w:val="21"/>
          <w:highlight w:val="none"/>
        </w:rPr>
        <w:t>全部人员和机械的。</w:t>
      </w:r>
    </w:p>
    <w:p w14:paraId="78C869F5">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发包人继续使用承包人在施工现场的材料、设备、临时工程、承包人文件和由承包人或以其名义编制的其他文件的费用承担方式：</w:t>
      </w:r>
      <w:r>
        <w:rPr>
          <w:rFonts w:hint="eastAsia" w:ascii="Times New Roman" w:hAnsi="Times New Roman" w:eastAsia="宋体" w:cs="Times New Roman"/>
          <w:color w:val="auto"/>
          <w:sz w:val="21"/>
          <w:szCs w:val="21"/>
          <w:highlight w:val="none"/>
          <w:u w:val="single"/>
        </w:rPr>
        <w:t>由承包人承担</w:t>
      </w:r>
      <w:r>
        <w:rPr>
          <w:rFonts w:hint="eastAsia" w:ascii="Times New Roman" w:hAnsi="宋体" w:eastAsia="宋体" w:cs="宋体"/>
          <w:color w:val="auto"/>
          <w:sz w:val="21"/>
          <w:szCs w:val="21"/>
          <w:highlight w:val="none"/>
        </w:rPr>
        <w:t>。</w:t>
      </w:r>
    </w:p>
    <w:p w14:paraId="57D38B58">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1203" w:name="_Toc389065334"/>
      <w:bookmarkStart w:id="1204" w:name="_Toc31157"/>
      <w:bookmarkStart w:id="1205" w:name="_Toc373227769"/>
      <w:bookmarkStart w:id="1206" w:name="_Toc373478416"/>
      <w:bookmarkStart w:id="1207" w:name="_Toc78449858"/>
      <w:bookmarkStart w:id="1208" w:name="_Toc351203649"/>
      <w:bookmarkStart w:id="1209" w:name="_Toc1753556740"/>
      <w:bookmarkStart w:id="1210" w:name="_Toc407135272"/>
      <w:r>
        <w:rPr>
          <w:rFonts w:ascii="Arial" w:hAnsi="Arial" w:eastAsia="黑体" w:cs="Times New Roman"/>
          <w:b/>
          <w:bCs/>
          <w:color w:val="auto"/>
          <w:sz w:val="21"/>
          <w:szCs w:val="21"/>
          <w:highlight w:val="none"/>
          <w:lang w:val="zh-CN" w:eastAsia="zh-CN" w:bidi="ar-SA"/>
        </w:rPr>
        <w:t xml:space="preserve">17. </w:t>
      </w:r>
      <w:r>
        <w:rPr>
          <w:rFonts w:hint="eastAsia" w:ascii="Arial" w:hAnsi="宋体" w:eastAsia="黑体" w:cs="黑体"/>
          <w:b/>
          <w:bCs/>
          <w:color w:val="auto"/>
          <w:sz w:val="21"/>
          <w:szCs w:val="21"/>
          <w:highlight w:val="none"/>
          <w:lang w:val="zh-CN" w:eastAsia="zh-CN" w:bidi="ar-SA"/>
        </w:rPr>
        <w:t>不可抗力</w:t>
      </w:r>
      <w:bookmarkEnd w:id="1203"/>
      <w:bookmarkEnd w:id="1204"/>
      <w:bookmarkEnd w:id="1205"/>
      <w:bookmarkEnd w:id="1206"/>
      <w:bookmarkEnd w:id="1207"/>
      <w:bookmarkEnd w:id="1208"/>
      <w:bookmarkEnd w:id="1209"/>
      <w:bookmarkEnd w:id="1210"/>
      <w:r>
        <w:rPr>
          <w:rFonts w:ascii="Arial" w:hAnsi="Arial" w:eastAsia="黑体" w:cs="Times New Roman"/>
          <w:b/>
          <w:bCs/>
          <w:color w:val="auto"/>
          <w:sz w:val="21"/>
          <w:szCs w:val="21"/>
          <w:highlight w:val="none"/>
          <w:lang w:val="zh-CN" w:eastAsia="zh-CN" w:bidi="ar-SA"/>
        </w:rPr>
        <w:t xml:space="preserve"> </w:t>
      </w:r>
      <w:bookmarkEnd w:id="1185"/>
    </w:p>
    <w:p w14:paraId="55BE7FA2">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211" w:name="_Toc373478417"/>
      <w:bookmarkStart w:id="1212" w:name="_Toc373227770"/>
      <w:bookmarkStart w:id="1213" w:name="_Toc21791"/>
      <w:bookmarkStart w:id="1214" w:name="_Toc12406"/>
      <w:bookmarkStart w:id="1215" w:name="_Toc78449859"/>
      <w:bookmarkStart w:id="1216" w:name="_Toc429574049"/>
      <w:bookmarkStart w:id="1217" w:name="_Toc389065335"/>
      <w:bookmarkStart w:id="1218" w:name="_Toc407135273"/>
      <w:r>
        <w:rPr>
          <w:rFonts w:ascii="Times New Roman" w:hAnsi="Times New Roman" w:eastAsia="黑体" w:cs="Times New Roman"/>
          <w:b/>
          <w:bCs/>
          <w:color w:val="auto"/>
          <w:sz w:val="21"/>
          <w:szCs w:val="21"/>
          <w:highlight w:val="none"/>
          <w:lang w:val="zh-CN" w:eastAsia="zh-CN" w:bidi="ar-SA"/>
        </w:rPr>
        <w:t xml:space="preserve">17.1 </w:t>
      </w:r>
      <w:r>
        <w:rPr>
          <w:rFonts w:hint="eastAsia" w:ascii="Times New Roman" w:hAnsi="Times New Roman" w:eastAsia="黑体" w:cs="黑体"/>
          <w:b/>
          <w:bCs/>
          <w:color w:val="auto"/>
          <w:sz w:val="21"/>
          <w:szCs w:val="21"/>
          <w:highlight w:val="none"/>
          <w:lang w:val="zh-CN" w:eastAsia="zh-CN" w:bidi="ar-SA"/>
        </w:rPr>
        <w:t>不可抗力的确认</w:t>
      </w:r>
      <w:bookmarkEnd w:id="1211"/>
      <w:bookmarkEnd w:id="1212"/>
      <w:bookmarkEnd w:id="1213"/>
      <w:bookmarkEnd w:id="1214"/>
      <w:bookmarkEnd w:id="1215"/>
      <w:bookmarkEnd w:id="1216"/>
      <w:bookmarkEnd w:id="1217"/>
      <w:bookmarkEnd w:id="1218"/>
    </w:p>
    <w:p w14:paraId="5F0B3E51">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除通用合同条款约定的不可抗力事件之外，视为不可抗力的其他情形：</w:t>
      </w:r>
    </w:p>
    <w:p w14:paraId="2AFEBB9E">
      <w:pPr>
        <w:spacing w:line="360" w:lineRule="auto"/>
        <w:ind w:firstLine="420"/>
        <w:jc w:val="left"/>
        <w:rPr>
          <w:rFonts w:hint="eastAsia"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（1）发生烈度6级（含6级）以上的地震；</w:t>
      </w:r>
    </w:p>
    <w:p w14:paraId="74F7E0D1">
      <w:pPr>
        <w:spacing w:line="360" w:lineRule="auto"/>
        <w:ind w:firstLine="420"/>
        <w:jc w:val="left"/>
        <w:rPr>
          <w:rFonts w:hint="eastAsia"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（2）10级以上持续1天的大风；</w:t>
      </w:r>
    </w:p>
    <w:p w14:paraId="7464B97B">
      <w:pPr>
        <w:spacing w:line="360" w:lineRule="auto"/>
        <w:ind w:firstLine="420"/>
        <w:jc w:val="left"/>
        <w:rPr>
          <w:rFonts w:hint="eastAsia"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（3）暴雨级以上持续1天的大雨；</w:t>
      </w:r>
    </w:p>
    <w:p w14:paraId="6159B830">
      <w:pPr>
        <w:spacing w:line="360" w:lineRule="auto"/>
        <w:ind w:firstLine="420"/>
        <w:jc w:val="left"/>
        <w:rPr>
          <w:rFonts w:hint="eastAsia"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（4）50年以上未发生过，持续2天的高温（40℃）天气；</w:t>
      </w:r>
    </w:p>
    <w:p w14:paraId="767C220C">
      <w:pPr>
        <w:spacing w:line="360" w:lineRule="auto"/>
        <w:ind w:firstLine="420"/>
        <w:jc w:val="left"/>
        <w:rPr>
          <w:rFonts w:hint="eastAsia"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（5）50年以上未发生过，持续2天的低温天气；</w:t>
      </w:r>
    </w:p>
    <w:p w14:paraId="244D8518">
      <w:pPr>
        <w:spacing w:line="360" w:lineRule="auto"/>
        <w:ind w:firstLine="420"/>
        <w:jc w:val="left"/>
        <w:rPr>
          <w:rFonts w:hint="eastAsia"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（6）100年以上未发生过的洪水；</w:t>
      </w:r>
    </w:p>
    <w:p w14:paraId="40336BE0">
      <w:pPr>
        <w:spacing w:line="360" w:lineRule="auto"/>
        <w:ind w:firstLine="420"/>
        <w:jc w:val="left"/>
        <w:rPr>
          <w:rFonts w:hint="eastAsia"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（7）战争、恐怖主义、动乱、空中飞行物体坠落；</w:t>
      </w:r>
    </w:p>
    <w:p w14:paraId="207B53ED">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（8）当地气象部门规定的情况，当地地震部门及卫生部门规定的情况</w:t>
      </w:r>
      <w:r>
        <w:rPr>
          <w:rFonts w:hint="eastAsia" w:ascii="Times New Roman" w:hAnsi="宋体" w:eastAsia="宋体" w:cs="宋体"/>
          <w:color w:val="auto"/>
          <w:sz w:val="21"/>
          <w:szCs w:val="21"/>
          <w:highlight w:val="none"/>
        </w:rPr>
        <w:t>。</w:t>
      </w:r>
    </w:p>
    <w:p w14:paraId="22F37FA1">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219" w:name="_Toc373478418"/>
      <w:bookmarkStart w:id="1220" w:name="_Toc1951449751"/>
      <w:bookmarkStart w:id="1221" w:name="_Toc15401"/>
      <w:bookmarkStart w:id="1222" w:name="_Toc407135274"/>
      <w:bookmarkStart w:id="1223" w:name="_Toc78449860"/>
      <w:bookmarkStart w:id="1224" w:name="_Toc29972"/>
      <w:bookmarkStart w:id="1225" w:name="_Toc389065336"/>
      <w:bookmarkStart w:id="1226" w:name="_Toc373227771"/>
      <w:r>
        <w:rPr>
          <w:rFonts w:ascii="Times New Roman" w:hAnsi="Times New Roman" w:eastAsia="黑体" w:cs="Times New Roman"/>
          <w:b/>
          <w:bCs/>
          <w:color w:val="auto"/>
          <w:sz w:val="21"/>
          <w:szCs w:val="21"/>
          <w:highlight w:val="none"/>
          <w:lang w:val="zh-CN" w:eastAsia="zh-CN" w:bidi="ar-SA"/>
        </w:rPr>
        <w:t xml:space="preserve">17.4 </w:t>
      </w:r>
      <w:r>
        <w:rPr>
          <w:rFonts w:hint="eastAsia" w:ascii="Times New Roman" w:hAnsi="Times New Roman" w:eastAsia="黑体" w:cs="黑体"/>
          <w:b/>
          <w:bCs/>
          <w:color w:val="auto"/>
          <w:sz w:val="21"/>
          <w:szCs w:val="21"/>
          <w:highlight w:val="none"/>
          <w:lang w:val="zh-CN" w:eastAsia="zh-CN" w:bidi="ar-SA"/>
        </w:rPr>
        <w:t>因不可抗力解除合同</w:t>
      </w:r>
      <w:bookmarkEnd w:id="1219"/>
      <w:bookmarkEnd w:id="1220"/>
      <w:bookmarkEnd w:id="1221"/>
      <w:bookmarkEnd w:id="1222"/>
      <w:bookmarkEnd w:id="1223"/>
      <w:bookmarkEnd w:id="1224"/>
      <w:bookmarkEnd w:id="1225"/>
      <w:bookmarkEnd w:id="1226"/>
    </w:p>
    <w:p w14:paraId="54C87CEB">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合同解除后，发包人应在商定或确定发包人应支付款项后</w:t>
      </w:r>
      <w:r>
        <w:rPr>
          <w:rFonts w:hint="eastAsia" w:ascii="Times New Roman" w:hAnsi="Times New Roman" w:eastAsia="宋体" w:cs="Times New Roman"/>
          <w:color w:val="auto"/>
          <w:sz w:val="21"/>
          <w:szCs w:val="21"/>
          <w:highlight w:val="none"/>
          <w:u w:val="single"/>
          <w:lang w:val="en-US" w:eastAsia="zh-CN"/>
        </w:rPr>
        <w:t>30</w:t>
      </w:r>
      <w:r>
        <w:rPr>
          <w:rFonts w:hint="eastAsia" w:ascii="Times New Roman" w:hAnsi="宋体" w:eastAsia="宋体" w:cs="宋体"/>
          <w:color w:val="auto"/>
          <w:sz w:val="21"/>
          <w:szCs w:val="21"/>
          <w:highlight w:val="none"/>
        </w:rPr>
        <w:t>天内完成款项的支付。</w:t>
      </w:r>
    </w:p>
    <w:p w14:paraId="36505701">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1227" w:name="_Toc30795"/>
      <w:bookmarkStart w:id="1228" w:name="_Toc56822299"/>
      <w:bookmarkStart w:id="1229" w:name="_Toc389065337"/>
      <w:bookmarkStart w:id="1230" w:name="_Toc373227772"/>
      <w:bookmarkStart w:id="1231" w:name="_Toc407135275"/>
      <w:bookmarkStart w:id="1232" w:name="_Toc78449861"/>
      <w:bookmarkStart w:id="1233" w:name="_Toc351203650"/>
      <w:bookmarkStart w:id="1234" w:name="_Toc373478419"/>
      <w:r>
        <w:rPr>
          <w:rFonts w:ascii="Arial" w:hAnsi="Arial" w:eastAsia="黑体" w:cs="Times New Roman"/>
          <w:b/>
          <w:bCs/>
          <w:color w:val="auto"/>
          <w:sz w:val="21"/>
          <w:szCs w:val="21"/>
          <w:highlight w:val="none"/>
          <w:lang w:val="zh-CN" w:eastAsia="zh-CN" w:bidi="ar-SA"/>
        </w:rPr>
        <w:t xml:space="preserve">18. </w:t>
      </w:r>
      <w:r>
        <w:rPr>
          <w:rFonts w:hint="eastAsia" w:ascii="Arial" w:hAnsi="宋体" w:eastAsia="黑体" w:cs="黑体"/>
          <w:b/>
          <w:bCs/>
          <w:color w:val="auto"/>
          <w:sz w:val="21"/>
          <w:szCs w:val="21"/>
          <w:highlight w:val="none"/>
          <w:lang w:val="zh-CN" w:eastAsia="zh-CN" w:bidi="ar-SA"/>
        </w:rPr>
        <w:t>保险</w:t>
      </w:r>
      <w:bookmarkEnd w:id="1186"/>
      <w:bookmarkEnd w:id="1227"/>
      <w:bookmarkEnd w:id="1228"/>
      <w:bookmarkEnd w:id="1229"/>
      <w:bookmarkEnd w:id="1230"/>
      <w:bookmarkEnd w:id="1231"/>
      <w:bookmarkEnd w:id="1232"/>
      <w:bookmarkEnd w:id="1233"/>
      <w:bookmarkEnd w:id="1234"/>
    </w:p>
    <w:p w14:paraId="7099ED1D">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235" w:name="_Toc78449862"/>
      <w:bookmarkStart w:id="1236" w:name="_Toc373478420"/>
      <w:bookmarkStart w:id="1237" w:name="_Toc407135276"/>
      <w:bookmarkStart w:id="1238" w:name="_Toc16039"/>
      <w:bookmarkStart w:id="1239" w:name="_Toc2075285517"/>
      <w:bookmarkStart w:id="1240" w:name="_Toc373227773"/>
      <w:bookmarkStart w:id="1241" w:name="_Toc389065338"/>
      <w:bookmarkStart w:id="1242" w:name="_Toc6222"/>
      <w:r>
        <w:rPr>
          <w:rFonts w:ascii="Times New Roman" w:hAnsi="Times New Roman" w:eastAsia="黑体" w:cs="Times New Roman"/>
          <w:b/>
          <w:bCs/>
          <w:color w:val="auto"/>
          <w:sz w:val="21"/>
          <w:szCs w:val="21"/>
          <w:highlight w:val="none"/>
          <w:lang w:val="zh-CN" w:eastAsia="zh-CN" w:bidi="ar-SA"/>
        </w:rPr>
        <w:t xml:space="preserve">18.1 </w:t>
      </w:r>
      <w:r>
        <w:rPr>
          <w:rFonts w:hint="eastAsia" w:ascii="Times New Roman" w:hAnsi="宋体" w:eastAsia="黑体" w:cs="黑体"/>
          <w:b/>
          <w:bCs/>
          <w:color w:val="auto"/>
          <w:sz w:val="21"/>
          <w:szCs w:val="21"/>
          <w:highlight w:val="none"/>
          <w:lang w:val="zh-CN" w:eastAsia="zh-CN" w:bidi="ar-SA"/>
        </w:rPr>
        <w:t>工程保险</w:t>
      </w:r>
      <w:bookmarkEnd w:id="1235"/>
      <w:bookmarkEnd w:id="1236"/>
      <w:bookmarkEnd w:id="1237"/>
      <w:bookmarkEnd w:id="1238"/>
      <w:bookmarkEnd w:id="1239"/>
      <w:bookmarkEnd w:id="1240"/>
      <w:bookmarkEnd w:id="1241"/>
      <w:bookmarkEnd w:id="1242"/>
    </w:p>
    <w:p w14:paraId="1BB2931D">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关于工程保险的特别约定：</w:t>
      </w:r>
      <w:r>
        <w:rPr>
          <w:rFonts w:hint="eastAsia" w:ascii="Times New Roman" w:hAnsi="Times New Roman" w:eastAsia="宋体" w:cs="Times New Roman"/>
          <w:color w:val="auto"/>
          <w:sz w:val="21"/>
          <w:szCs w:val="21"/>
          <w:highlight w:val="none"/>
          <w:u w:val="single"/>
        </w:rPr>
        <w:t>承包人按相关规定缴纳工程保险费，费用自行承担</w:t>
      </w:r>
      <w:r>
        <w:rPr>
          <w:rFonts w:hint="eastAsia" w:ascii="Times New Roman" w:hAnsi="宋体" w:eastAsia="宋体" w:cs="宋体"/>
          <w:color w:val="auto"/>
          <w:sz w:val="21"/>
          <w:szCs w:val="21"/>
          <w:highlight w:val="none"/>
        </w:rPr>
        <w:t>。</w:t>
      </w:r>
    </w:p>
    <w:p w14:paraId="7E5370C8">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243" w:name="_Toc380"/>
      <w:bookmarkStart w:id="1244" w:name="_Toc78449863"/>
      <w:bookmarkStart w:id="1245" w:name="_Toc373227774"/>
      <w:bookmarkStart w:id="1246" w:name="_Toc639"/>
      <w:bookmarkStart w:id="1247" w:name="_Toc407135277"/>
      <w:bookmarkStart w:id="1248" w:name="_Toc373478421"/>
      <w:bookmarkStart w:id="1249" w:name="_Toc389065339"/>
      <w:bookmarkStart w:id="1250" w:name="_Toc454766369"/>
      <w:r>
        <w:rPr>
          <w:rFonts w:ascii="Times New Roman" w:hAnsi="Times New Roman" w:eastAsia="黑体" w:cs="Times New Roman"/>
          <w:b/>
          <w:bCs/>
          <w:color w:val="auto"/>
          <w:sz w:val="21"/>
          <w:szCs w:val="21"/>
          <w:highlight w:val="none"/>
          <w:lang w:val="zh-CN" w:eastAsia="zh-CN" w:bidi="ar-SA"/>
        </w:rPr>
        <w:t xml:space="preserve">18.3 </w:t>
      </w:r>
      <w:r>
        <w:rPr>
          <w:rFonts w:hint="eastAsia" w:ascii="Times New Roman" w:hAnsi="宋体" w:eastAsia="黑体" w:cs="黑体"/>
          <w:b/>
          <w:bCs/>
          <w:color w:val="auto"/>
          <w:sz w:val="21"/>
          <w:szCs w:val="21"/>
          <w:highlight w:val="none"/>
          <w:lang w:val="zh-CN" w:eastAsia="zh-CN" w:bidi="ar-SA"/>
        </w:rPr>
        <w:t>其他保险</w:t>
      </w:r>
      <w:bookmarkEnd w:id="1243"/>
      <w:bookmarkEnd w:id="1244"/>
      <w:bookmarkEnd w:id="1245"/>
      <w:bookmarkEnd w:id="1246"/>
      <w:bookmarkEnd w:id="1247"/>
      <w:bookmarkEnd w:id="1248"/>
      <w:bookmarkEnd w:id="1249"/>
      <w:bookmarkEnd w:id="1250"/>
    </w:p>
    <w:p w14:paraId="7D251C36">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关于其他保险的约定：</w:t>
      </w:r>
      <w:r>
        <w:rPr>
          <w:rFonts w:hint="eastAsia" w:ascii="Times New Roman" w:hAnsi="宋体" w:eastAsia="宋体" w:cs="Times New Roman"/>
          <w:color w:val="auto"/>
          <w:sz w:val="21"/>
          <w:szCs w:val="21"/>
          <w:highlight w:val="none"/>
          <w:u w:val="single"/>
        </w:rPr>
        <w:t>承包人必须为施工现场从事施工的所有作业人员和管理人员办理意外伤害保险，费用自行承担</w:t>
      </w:r>
      <w:r>
        <w:rPr>
          <w:rFonts w:hint="eastAsia" w:ascii="Times New Roman" w:hAnsi="宋体" w:eastAsia="宋体" w:cs="宋体"/>
          <w:color w:val="auto"/>
          <w:sz w:val="21"/>
          <w:szCs w:val="21"/>
          <w:highlight w:val="none"/>
        </w:rPr>
        <w:t>。</w:t>
      </w:r>
    </w:p>
    <w:p w14:paraId="2C2B67F0">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承包人是否应为其施工设备等办理财产保险：</w:t>
      </w:r>
      <w:r>
        <w:rPr>
          <w:rFonts w:hint="eastAsia" w:ascii="Times New Roman" w:hAnsi="Times New Roman" w:eastAsia="宋体" w:cs="Times New Roman"/>
          <w:color w:val="auto"/>
          <w:sz w:val="21"/>
          <w:szCs w:val="21"/>
          <w:highlight w:val="none"/>
          <w:u w:val="single"/>
        </w:rPr>
        <w:t>由承包人自行决定</w:t>
      </w:r>
      <w:r>
        <w:rPr>
          <w:rFonts w:hint="eastAsia" w:ascii="Times New Roman" w:hAnsi="宋体" w:eastAsia="宋体" w:cs="宋体"/>
          <w:color w:val="auto"/>
          <w:sz w:val="21"/>
          <w:szCs w:val="21"/>
          <w:highlight w:val="none"/>
        </w:rPr>
        <w:t>。</w:t>
      </w:r>
    </w:p>
    <w:p w14:paraId="4B5F4D5D">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251" w:name="_Toc2102614655"/>
      <w:bookmarkStart w:id="1252" w:name="_Toc389065340"/>
      <w:bookmarkStart w:id="1253" w:name="_Toc373478422"/>
      <w:bookmarkStart w:id="1254" w:name="_Toc373227775"/>
      <w:bookmarkStart w:id="1255" w:name="_Toc9387"/>
      <w:bookmarkStart w:id="1256" w:name="_Toc78449864"/>
      <w:bookmarkStart w:id="1257" w:name="_Toc407135278"/>
      <w:bookmarkStart w:id="1258" w:name="_Toc20403"/>
      <w:r>
        <w:rPr>
          <w:rFonts w:ascii="Times New Roman" w:hAnsi="Times New Roman" w:eastAsia="黑体" w:cs="Times New Roman"/>
          <w:b/>
          <w:bCs/>
          <w:color w:val="auto"/>
          <w:sz w:val="21"/>
          <w:szCs w:val="21"/>
          <w:highlight w:val="none"/>
          <w:lang w:val="zh-CN" w:eastAsia="zh-CN" w:bidi="ar-SA"/>
        </w:rPr>
        <w:t xml:space="preserve">18.7 </w:t>
      </w:r>
      <w:r>
        <w:rPr>
          <w:rFonts w:hint="eastAsia" w:ascii="Times New Roman" w:hAnsi="宋体" w:eastAsia="黑体" w:cs="黑体"/>
          <w:b/>
          <w:bCs/>
          <w:color w:val="auto"/>
          <w:sz w:val="21"/>
          <w:szCs w:val="21"/>
          <w:highlight w:val="none"/>
          <w:lang w:val="zh-CN" w:eastAsia="zh-CN" w:bidi="ar-SA"/>
        </w:rPr>
        <w:t>通知义务</w:t>
      </w:r>
      <w:bookmarkEnd w:id="1251"/>
      <w:bookmarkEnd w:id="1252"/>
      <w:bookmarkEnd w:id="1253"/>
      <w:bookmarkEnd w:id="1254"/>
      <w:bookmarkEnd w:id="1255"/>
      <w:bookmarkEnd w:id="1256"/>
      <w:bookmarkEnd w:id="1257"/>
      <w:bookmarkEnd w:id="1258"/>
    </w:p>
    <w:p w14:paraId="31FF9C0F">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关于变更保险合同时的通知义务的约定：</w:t>
      </w:r>
      <w:r>
        <w:rPr>
          <w:rFonts w:hint="eastAsia" w:ascii="Times New Roman" w:hAnsi="Times New Roman"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bookmarkEnd w:id="1131"/>
      <w:bookmarkEnd w:id="1132"/>
      <w:bookmarkEnd w:id="1133"/>
      <w:bookmarkEnd w:id="1134"/>
      <w:bookmarkEnd w:id="1135"/>
      <w:bookmarkEnd w:id="1136"/>
      <w:bookmarkEnd w:id="1137"/>
      <w:bookmarkEnd w:id="1138"/>
      <w:bookmarkEnd w:id="1139"/>
      <w:bookmarkEnd w:id="1140"/>
      <w:bookmarkEnd w:id="1141"/>
      <w:bookmarkEnd w:id="1142"/>
    </w:p>
    <w:p w14:paraId="57B8C410">
      <w:pPr>
        <w:keepNext/>
        <w:keepLines/>
        <w:widowControl w:val="0"/>
        <w:spacing w:before="60" w:after="60" w:line="413" w:lineRule="auto"/>
        <w:jc w:val="both"/>
        <w:outlineLvl w:val="1"/>
        <w:rPr>
          <w:rFonts w:hint="eastAsia" w:ascii="Arial" w:hAnsi="Arial" w:eastAsia="黑体" w:cs="Times New Roman"/>
          <w:b/>
          <w:bCs/>
          <w:color w:val="auto"/>
          <w:sz w:val="21"/>
          <w:szCs w:val="21"/>
          <w:highlight w:val="none"/>
          <w:lang w:val="zh-CN" w:eastAsia="zh-CN" w:bidi="ar-SA"/>
        </w:rPr>
      </w:pPr>
      <w:bookmarkStart w:id="1259" w:name="_Toc17775"/>
      <w:bookmarkStart w:id="1260" w:name="_Toc389065341"/>
      <w:bookmarkStart w:id="1261" w:name="_Toc1959910599"/>
      <w:bookmarkStart w:id="1262" w:name="_Toc407135279"/>
      <w:bookmarkStart w:id="1263" w:name="_Toc78449865"/>
      <w:bookmarkStart w:id="1264" w:name="_Toc373227776"/>
      <w:bookmarkStart w:id="1265" w:name="_Toc373478423"/>
      <w:bookmarkStart w:id="1266" w:name="_Toc351203651"/>
      <w:r>
        <w:rPr>
          <w:rFonts w:hint="eastAsia" w:ascii="Arial" w:hAnsi="Arial" w:eastAsia="黑体" w:cs="Times New Roman"/>
          <w:b/>
          <w:bCs/>
          <w:color w:val="auto"/>
          <w:sz w:val="21"/>
          <w:szCs w:val="21"/>
          <w:highlight w:val="none"/>
          <w:lang w:val="zh-CN" w:eastAsia="zh-CN" w:bidi="ar-SA"/>
        </w:rPr>
        <w:t>19.索赔</w:t>
      </w:r>
      <w:bookmarkEnd w:id="1259"/>
    </w:p>
    <w:p w14:paraId="1A6180BA">
      <w:pPr>
        <w:keepNext/>
        <w:keepLines/>
        <w:widowControl w:val="0"/>
        <w:spacing w:before="60" w:after="60" w:line="360" w:lineRule="auto"/>
        <w:ind w:firstLine="420"/>
        <w:jc w:val="both"/>
        <w:outlineLvl w:val="1"/>
        <w:rPr>
          <w:rFonts w:hint="eastAsia" w:ascii="Times New Roman" w:hAnsi="宋体" w:eastAsia="宋体" w:cs="宋体"/>
          <w:b w:val="0"/>
          <w:bCs w:val="0"/>
          <w:color w:val="auto"/>
          <w:sz w:val="21"/>
          <w:szCs w:val="21"/>
          <w:highlight w:val="none"/>
          <w:lang w:val="en-US" w:eastAsia="zh-CN" w:bidi="ar-SA"/>
        </w:rPr>
      </w:pPr>
      <w:bookmarkStart w:id="1267" w:name="_Toc874"/>
      <w:bookmarkStart w:id="1268" w:name="_Toc2598"/>
      <w:r>
        <w:rPr>
          <w:rFonts w:hint="eastAsia" w:ascii="Times New Roman" w:hAnsi="宋体" w:eastAsia="宋体" w:cs="宋体"/>
          <w:b w:val="0"/>
          <w:bCs w:val="0"/>
          <w:color w:val="auto"/>
          <w:sz w:val="21"/>
          <w:szCs w:val="21"/>
          <w:highlight w:val="none"/>
          <w:lang w:val="en-US" w:eastAsia="zh-CN" w:bidi="ar-SA"/>
        </w:rPr>
        <w:t>19.6 索赔事项确定</w:t>
      </w:r>
      <w:bookmarkEnd w:id="1267"/>
      <w:bookmarkEnd w:id="1268"/>
    </w:p>
    <w:p w14:paraId="622E1410">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 按本合同约定计算工期延误</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及其引起的索赔费用时，索赔工期所对应的工作应是关键线路上的工作，或索赔事件引起关键线路改变的工作，发包人按本合同约定批准给承包人的工期延长为合同工期延长的时间。发包人对承包人的所有工期延误</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的索赔费用应对每一索赔事件进行独立评估，不包括前期发生的工期延误</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对后期进行的工程造成相应延误</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 xml:space="preserve"> 的费用索赔。</w:t>
      </w:r>
    </w:p>
    <w:p w14:paraId="00589B15">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.2 当发生工期延误事件时，发承包双方根据批准的施工进度计划，确定该事件是否发生在关键线路上，以及是否引发关键线路上的工期延误，并可按以下约定计算索赔的工期：</w:t>
      </w:r>
    </w:p>
    <w:p w14:paraId="55787417">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（1）延误事件为关键线路上的工作，则延误的时间为索赔的工期；</w:t>
      </w:r>
    </w:p>
    <w:p w14:paraId="6BE8FC1A">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（2）延误事件为非关键线路上的工作，当该工作由于延误超过总时差而成为关键工作时，其延误时间与总时差的差值为索赔的工期；</w:t>
      </w:r>
    </w:p>
    <w:p w14:paraId="76514AF5">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（3）工期延误后事件仍为非关键线路上的工作，则不发生工期索赔。</w:t>
      </w:r>
    </w:p>
    <w:p w14:paraId="6ED9424B">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.3 因非承包人的原因发生下列事件，给承包人造成经济损失及费用增加和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工期延误的，承包人可按蒙受的经济损失及费用增加和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受影响延误的工期，提出一项或多项索赔：</w:t>
      </w:r>
    </w:p>
    <w:p w14:paraId="265E9AE2">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（1）因停工、待工、降效、工期延长等造成的人工、材料、施工机具、水电消耗等的费用损失，政府主管部门要求进行的暂停施工按本合同工19.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.7 条约定执行；</w:t>
      </w:r>
    </w:p>
    <w:p w14:paraId="0A1F333F">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（2）因合同工期调整所造成的人工费、材料费、施工机具费物价变化增减的直接费用，但按本合同第11.2.4条约定调整的除外；</w:t>
      </w:r>
    </w:p>
    <w:p w14:paraId="7711764E">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（3）因停工、复工、维护施工现场等发生（包括建设、使用、拆除）的必要措施费用；</w:t>
      </w:r>
    </w:p>
    <w:p w14:paraId="20CEE6E1">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（4）因返工、拆改与修复等发生的直接费用，以及报废（损）的材料的直接损失；</w:t>
      </w:r>
    </w:p>
    <w:p w14:paraId="06B1A030">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（5）因额外增加的检查、检验、试验等发生的相关费用；</w:t>
      </w:r>
    </w:p>
    <w:p w14:paraId="6A5A6416">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（6）因合同价款未能按合同约定支付引起的损失；</w:t>
      </w:r>
    </w:p>
    <w:p w14:paraId="32BA7CF9">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（7）因发掘出文物、古迹以及具有地质研究或考古价值的遗迹、化石、钱币或物品造成的暂缓、间断施工或停工的影响；</w:t>
      </w:r>
    </w:p>
    <w:p w14:paraId="12653676">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（8）承包人可举证的上述费用之外的其他损失；</w:t>
      </w:r>
    </w:p>
    <w:p w14:paraId="60A6DD68">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（9）因事件影响造成的延误（或延长）的合理工期。</w:t>
      </w:r>
    </w:p>
    <w:p w14:paraId="299F8099">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.4  因发包人的原因发生下列事件，给承包人造成经济损失的，承包人除</w:t>
      </w:r>
      <w:r>
        <w:rPr>
          <w:rFonts w:hint="eastAsia" w:ascii="Times New Roman" w:hAnsi="宋体" w:eastAsia="宋体" w:cs="宋体"/>
          <w:b w:val="0"/>
          <w:bCs w:val="0"/>
          <w:color w:val="auto"/>
          <w:sz w:val="21"/>
          <w:szCs w:val="21"/>
          <w:highlight w:val="none"/>
          <w:lang w:val="en-US" w:eastAsia="zh-CN"/>
        </w:rPr>
        <w:t>可</w:t>
      </w:r>
      <w:r>
        <w:rPr>
          <w:rFonts w:hint="eastAsia" w:ascii="Times New Roman" w:hAnsi="宋体" w:eastAsia="宋体" w:cs="宋体"/>
          <w:b w:val="0"/>
          <w:bCs w:val="0"/>
          <w:color w:val="auto"/>
          <w:sz w:val="21"/>
          <w:szCs w:val="21"/>
          <w:highlight w:val="none"/>
          <w:lang w:val="en-US"/>
        </w:rPr>
        <w:t>进行经济损失和（或）工期延误索赔外，可索赔利润。</w:t>
      </w:r>
    </w:p>
    <w:p w14:paraId="3105A58F">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（1）发包人将合同中的某项工作改变为其他承包人负责完成；</w:t>
      </w:r>
    </w:p>
    <w:p w14:paraId="734E7C12">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（2）发包人延迟提供图纸或施工场地；</w:t>
      </w:r>
    </w:p>
    <w:p w14:paraId="79B6418A">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（3）发包人提供材料的质量不合格或延迟提供或改变交货地点等引起工程不合格；</w:t>
      </w:r>
    </w:p>
    <w:p w14:paraId="0E7A3D42">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（4）发包人原因引起承包人测量放线错误、工程返工；</w:t>
      </w:r>
    </w:p>
    <w:p w14:paraId="4D3ADDEC">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（5）发包人提供的工程项目原始数据和基准资料错误；</w:t>
      </w:r>
    </w:p>
    <w:p w14:paraId="0C0B10F9">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（6）发包人对施工场地额外限制、未按时履约审批、干扰正常施工顺序等；</w:t>
      </w:r>
    </w:p>
    <w:p w14:paraId="1CA2FD2A">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（7）发包人原因引起工期延误、暂停施工、工程暂停后无法按时复工；</w:t>
      </w:r>
    </w:p>
    <w:p w14:paraId="1CA5E680">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（8）发包人在工程竣工前提前占用工程；</w:t>
      </w:r>
    </w:p>
    <w:p w14:paraId="071D7260">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（9）发包人原因导致工程试运行失败、缺陷责任期内因非承包人原因引起的缺陷或损坏的修复。</w:t>
      </w:r>
    </w:p>
    <w:p w14:paraId="14D4F0A5">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.5 因发包人的原因引起下列事件给承包人造成经济损失和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工期延长的，发包人应合理延长受影响的工期，并补偿给承包人造成的损失和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直接费用，不包括利润：</w:t>
      </w:r>
    </w:p>
    <w:p w14:paraId="2D509E64">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（1）按发包人或监理人的要求对材料和工程</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包括已覆盖的隐蔽工程</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进行重新检测、且检测结果质量合格引起的直接费用，以及修复受影响工程的费用；</w:t>
      </w:r>
    </w:p>
    <w:p w14:paraId="2D41E769">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（2）额外增加的检查、检验、试验等的直接费用；</w:t>
      </w:r>
    </w:p>
    <w:p w14:paraId="385A3DC7">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（3）工程试运行失败引起的直接费用；</w:t>
      </w:r>
    </w:p>
    <w:p w14:paraId="5375EDCE">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（4）其他情况的直接损失和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费用。</w:t>
      </w:r>
    </w:p>
    <w:p w14:paraId="1A58980C">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除本合同约定发包人购买工程一切险及第三者责任险外，因不可抗力事件引起的人员伤亡、财产损失、费用增加和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工期延误等工程索赔，发承包双方应遵循下列原则承担相应损失及费用：</w:t>
      </w:r>
    </w:p>
    <w:p w14:paraId="1CC975E9">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（1）永久工程、已运至施工现场的材料的损坏及修复费用，以及因不可抗力事件引起施工场地内及工程损坏造成的第三方人员伤亡和财产损失应由发包人承担；</w:t>
      </w:r>
    </w:p>
    <w:p w14:paraId="7B709914">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（2）承包人施工机具的损坏及停工损失和措施项目的损坏、清理、修复费用，以及因承包人原因发生的第三方人员伤亡和财产损失应由承包人承担；</w:t>
      </w:r>
    </w:p>
    <w:p w14:paraId="4BD3CE7D">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（3）发包人和承包人应承担各自人员伤亡和本条第（1）款、第（2）款约定外的其他财产的损失；</w:t>
      </w:r>
    </w:p>
    <w:p w14:paraId="26CC4B17">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（4）因不可抗力引起暂停施工的，停工期间按照发包人要求照管、清理、修复工程的费用和发包人要求留驻施工现场必要的管理与保卫人员工资，以及按发包人要求留驻现场待工人员的工资应由发包人承担；</w:t>
      </w:r>
    </w:p>
    <w:p w14:paraId="5AA288A6">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（5）因不可抗力影响承包人履行合同约定的义务，引起工期延误的，应当顺延工期，发包人要求赶工的，由此增加的赶工费用应由发包人承担；</w:t>
      </w:r>
    </w:p>
    <w:p w14:paraId="100D7B86">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（6）其他情形按法律法规规定执行。</w:t>
      </w:r>
    </w:p>
    <w:p w14:paraId="74072D5D">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.7  除本合同11.3条法律法规及政策性变化引起的价格调整，第19.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.6条第（4）款、第（5）款规定外，因发生具有不可抗力性质的下列例外事件引起工期延误的，受影响的工期应相应顺延，发承包双方应各自承担相应的损失：</w:t>
      </w:r>
    </w:p>
    <w:p w14:paraId="3226E095">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（1）动乱和暴动等类似事件</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不包括工地现场发生的</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w:t>
      </w:r>
    </w:p>
    <w:p w14:paraId="4CFE3B2D">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（2）因国家及地方政府有关部门要求而</w:t>
      </w:r>
      <w:r>
        <w:rPr>
          <w:rFonts w:hint="eastAsia" w:ascii="Times New Roman" w:hAnsi="宋体" w:eastAsia="宋体" w:cs="宋体"/>
          <w:b w:val="0"/>
          <w:bCs w:val="0"/>
          <w:color w:val="auto"/>
          <w:sz w:val="21"/>
          <w:szCs w:val="21"/>
          <w:highlight w:val="none"/>
          <w:lang w:val="en-US" w:eastAsia="zh-CN"/>
        </w:rPr>
        <w:t>必需的</w:t>
      </w:r>
      <w:r>
        <w:rPr>
          <w:rFonts w:hint="eastAsia" w:ascii="Times New Roman" w:hAnsi="宋体" w:eastAsia="宋体" w:cs="宋体"/>
          <w:b w:val="0"/>
          <w:bCs w:val="0"/>
          <w:color w:val="auto"/>
          <w:sz w:val="21"/>
          <w:szCs w:val="21"/>
          <w:highlight w:val="none"/>
          <w:lang w:val="en-US"/>
        </w:rPr>
        <w:t>停工、暂停（暂缓）施工、间断施工或区域性施工管控造成的影响；</w:t>
      </w:r>
    </w:p>
    <w:p w14:paraId="44ACAAF6">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（3）地方建设行政主管部门就安全、环保要求停止施工造成的影响；</w:t>
      </w:r>
    </w:p>
    <w:p w14:paraId="30792C6B">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（4）地方政府主管部门就健康卫生防疫管控要求停止施工造成的影响；</w:t>
      </w:r>
    </w:p>
    <w:p w14:paraId="68594C96">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.8  因发生不可抗力引起工期延长，且在延长工期内遭遇物价变化、法律法规及政策性变化的，所引起的影响费用按本合同11.2条、11.3条、19.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.3条的约定处理，调整受影响项目的合同价格。</w:t>
      </w:r>
    </w:p>
    <w:p w14:paraId="741D65F7">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.9  因发承包双方中的一方原因导致工期延误，且在延长的工期内遭遇不可抗力的，不可抗力事件产生的损失由责任方承担。发承包双方对工期延误均有责任，且在延长的工期内遭遇不可抗力的，按双方责任分担比例承担相应责任。</w:t>
      </w:r>
    </w:p>
    <w:p w14:paraId="78D4F674">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.10  本合同约定发包人负责购买工程一切险及第三者责任险，且保险范围包括相关的施工机具、人员伤亡，如发生本合同19.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条约定的事件，发承包双方按下列原则承担相应损失和增加费用：</w:t>
      </w:r>
    </w:p>
    <w:p w14:paraId="38032391">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（1）发包人按合同约定购买建筑工程一切险及第三者责任险的，承包人通过发包人按保险条款向保险人理赔本合同19.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.6条第（1）款～第（4）款约定的财产损失和增加的费用，保险规定免赔额部分的损失及费用和超出理赔部分的本合同19.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.6条第（2）款、第（3）款约定的损失及费用由发承包双方各自承担，超出理赔部分的本合同19.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条第（1）款、第（4）款约定的损失及费用由发包人承担；</w:t>
      </w:r>
    </w:p>
    <w:p w14:paraId="5BB9DD6F">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（2）发包人未按合同约定购买建筑工程一切险及第三者责任险或购买的保险未生效的，本合同19.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条第（1）款和第（</w:t>
      </w:r>
      <w:r>
        <w:rPr>
          <w:rFonts w:hint="eastAsia" w:ascii="Times New Roman" w:hAnsi="宋体" w:eastAsia="宋体" w:cs="宋体"/>
          <w:b w:val="0"/>
          <w:bCs w:val="0"/>
          <w:color w:val="auto"/>
          <w:sz w:val="21"/>
          <w:szCs w:val="21"/>
          <w:highlight w:val="none"/>
          <w:lang w:val="en-US" w:eastAsia="zh-CN"/>
        </w:rPr>
        <w:t>4</w:t>
      </w:r>
      <w:r>
        <w:rPr>
          <w:rFonts w:hint="eastAsia" w:ascii="Times New Roman" w:hAnsi="宋体" w:eastAsia="宋体" w:cs="宋体"/>
          <w:b w:val="0"/>
          <w:bCs w:val="0"/>
          <w:color w:val="auto"/>
          <w:sz w:val="21"/>
          <w:szCs w:val="21"/>
          <w:highlight w:val="none"/>
          <w:lang w:val="en-US"/>
        </w:rPr>
        <w:t>）款约定的损失及费用由发包人负责，按相关保险条款可以理赔的本合同19.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条第（2）款、第（3）款约定的损失及费用由发包人承担，超出理赔的损失及费用由发承包双方各自承担。</w:t>
      </w:r>
    </w:p>
    <w:p w14:paraId="691D987E">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.11  因发生提前竣工</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赶工）事件引起的工程索赔，发承包双方可按下列原则分别承担相应费用，并调整合同价格和工期：</w:t>
      </w:r>
    </w:p>
    <w:p w14:paraId="2C99ADAE">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（1）发包人要求合同工程提前竣工的，承包人应制定合理的加快工程进度的措施并修订进度计划，经发包人同意后实施，由此增加的提前竣工费用</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赶工费）由发包人承担；</w:t>
      </w:r>
    </w:p>
    <w:p w14:paraId="48E979CD">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（2）非发包人要求，因承包人原因自行提前竣工的，应征得发包人的同意，由此增加的费用应由承包人承担。</w:t>
      </w:r>
    </w:p>
    <w:p w14:paraId="596CA931">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 xml:space="preserve">.12  因承包人原因发生下列事件，引起工期延误和（或）给发包人造成经济损失的，发包人可根据工期受影响延误的时间和（或）经济损失，提出以下一项或多项索赔： </w:t>
      </w:r>
    </w:p>
    <w:p w14:paraId="18A44275">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（1）承包人未尽承包义务、未按合同约定执行发包人的工程指令等引起发包人发生的额外费用或额外支出；</w:t>
      </w:r>
    </w:p>
    <w:p w14:paraId="330A3953">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（2）承包人未按合同要求正确履行对发包人提供材料、专业分包人的总承包服务造成发包人的损失；</w:t>
      </w:r>
    </w:p>
    <w:p w14:paraId="15BF3557">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（3）承包人责任事件造成的发包人向政府部门缴纳的罚款或向第三人的赔偿费用；</w:t>
      </w:r>
    </w:p>
    <w:p w14:paraId="28610A24">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（4）承包人原因引起合同工程发生误期造成发包人的损失；</w:t>
      </w:r>
    </w:p>
    <w:p w14:paraId="6BF3AF40">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（5）承包人完成的工程质量不符合合同约定标准引起发包人的损失；</w:t>
      </w:r>
    </w:p>
    <w:p w14:paraId="60F91D1B">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（6）发包人可举证的上述费用之外的其他损失。</w:t>
      </w:r>
    </w:p>
    <w:p w14:paraId="21A7F357">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.13  因承包人原因引起发包人的损失，发包人可以选择以下一项或多项方式获得补偿：</w:t>
      </w:r>
    </w:p>
    <w:p w14:paraId="54DF715E">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（1）延长质量缺陷保修期限；</w:t>
      </w:r>
    </w:p>
    <w:p w14:paraId="6EDBFB1E">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（2）要求承包人支付受影响发生的额外费用；</w:t>
      </w:r>
    </w:p>
    <w:p w14:paraId="68D8FD58">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（3）要求承包人支付误期赔偿费；</w:t>
      </w:r>
    </w:p>
    <w:p w14:paraId="38F5A6F2">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（4）要求承包人按合同的约定支付违约金。</w:t>
      </w:r>
    </w:p>
    <w:p w14:paraId="5A58F6B6">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.14  发承包双方均应采取措施尽量避免和减少因索赔事件导致的损失扩大，应采取措施的一方当事人不采取积极措施导致损失扩大的，应对扩大的损失承担责任。</w:t>
      </w:r>
    </w:p>
    <w:p w14:paraId="7D296BDE">
      <w:pPr>
        <w:spacing w:line="400" w:lineRule="exact"/>
        <w:ind w:firstLine="420"/>
        <w:jc w:val="left"/>
        <w:rPr>
          <w:rFonts w:ascii="Times New Roman" w:hAnsi="Times New Roman" w:eastAsia="宋体" w:cs="Times New Roman"/>
          <w:color w:val="auto"/>
          <w:sz w:val="21"/>
          <w:szCs w:val="21"/>
          <w:highlight w:val="none"/>
          <w:shd w:val="clear" w:color="auto" w:fill="auto"/>
        </w:rPr>
      </w:pPr>
      <w:r>
        <w:rPr>
          <w:rFonts w:hint="default" w:ascii="Times New Roman" w:hAnsi="Times New Roman" w:eastAsia="宋体" w:cs="Times New Roman"/>
          <w:b w:val="0"/>
          <w:bCs w:val="0"/>
          <w:color w:val="auto"/>
          <w:sz w:val="21"/>
          <w:szCs w:val="21"/>
          <w:highlight w:val="none"/>
          <w:shd w:val="clear" w:color="auto" w:fill="auto"/>
        </w:rPr>
        <w:t>1</w:t>
      </w:r>
      <w:r>
        <w:rPr>
          <w:rFonts w:hint="default" w:ascii="Times New Roman" w:hAnsi="Times New Roman" w:eastAsia="宋体" w:cs="Times New Roman"/>
          <w:b w:val="0"/>
          <w:color w:val="auto"/>
          <w:sz w:val="21"/>
          <w:szCs w:val="21"/>
          <w:highlight w:val="none"/>
          <w:shd w:val="clear" w:color="auto" w:fill="auto"/>
          <w:lang w:val="en-US" w:eastAsia="zh-CN"/>
        </w:rPr>
        <w:t>9</w:t>
      </w:r>
      <w:r>
        <w:rPr>
          <w:rFonts w:hint="default" w:ascii="Times New Roman" w:hAnsi="Times New Roman" w:eastAsia="宋体" w:cs="Times New Roman"/>
          <w:b w:val="0"/>
          <w:color w:val="auto"/>
          <w:sz w:val="21"/>
          <w:szCs w:val="21"/>
          <w:highlight w:val="none"/>
          <w:shd w:val="clear" w:color="auto" w:fill="auto"/>
        </w:rPr>
        <w:t>.</w:t>
      </w:r>
      <w:r>
        <w:rPr>
          <w:rFonts w:hint="eastAsia" w:ascii="Times New Roman" w:hAnsi="Times New Roman" w:eastAsia="宋体" w:cs="Times New Roman"/>
          <w:b w:val="0"/>
          <w:color w:val="auto"/>
          <w:sz w:val="21"/>
          <w:szCs w:val="21"/>
          <w:highlight w:val="none"/>
          <w:shd w:val="clear" w:color="auto" w:fill="auto"/>
          <w:lang w:val="en-US" w:eastAsia="zh-CN"/>
        </w:rPr>
        <w:t>6</w:t>
      </w:r>
      <w:r>
        <w:rPr>
          <w:rFonts w:hint="default" w:ascii="Times New Roman" w:hAnsi="Times New Roman" w:eastAsia="宋体" w:cs="Times New Roman"/>
          <w:b w:val="0"/>
          <w:color w:val="auto"/>
          <w:sz w:val="21"/>
          <w:szCs w:val="21"/>
          <w:highlight w:val="none"/>
          <w:shd w:val="clear" w:color="auto" w:fill="auto"/>
        </w:rPr>
        <w:t>.</w:t>
      </w:r>
      <w:r>
        <w:rPr>
          <w:rFonts w:hint="default" w:ascii="Times New Roman" w:hAnsi="Times New Roman" w:eastAsia="宋体" w:cs="Times New Roman"/>
          <w:b w:val="0"/>
          <w:color w:val="auto"/>
          <w:sz w:val="21"/>
          <w:szCs w:val="21"/>
          <w:highlight w:val="none"/>
          <w:shd w:val="clear" w:color="auto" w:fill="auto"/>
          <w:lang w:val="en-US" w:eastAsia="zh-CN"/>
        </w:rPr>
        <w:t>15</w:t>
      </w:r>
      <w:r>
        <w:rPr>
          <w:rFonts w:hint="default" w:ascii="Times New Roman" w:hAnsi="Times New Roman" w:eastAsia="宋体" w:cs="Times New Roman"/>
          <w:color w:val="auto"/>
          <w:sz w:val="21"/>
          <w:szCs w:val="21"/>
          <w:highlight w:val="none"/>
          <w:shd w:val="clear" w:color="auto" w:fill="auto"/>
        </w:rPr>
        <w:t xml:space="preserve">  在相关索赔事件发生后</w:t>
      </w:r>
      <w:r>
        <w:rPr>
          <w:rFonts w:hint="default" w:ascii="Times New Roman" w:hAnsi="Times New Roman" w:eastAsia="宋体" w:cs="Times New Roman"/>
          <w:color w:val="auto"/>
          <w:sz w:val="21"/>
          <w:szCs w:val="21"/>
          <w:highlight w:val="none"/>
          <w:shd w:val="clear" w:color="auto" w:fill="auto"/>
          <w:lang w:eastAsia="zh-CN"/>
        </w:rPr>
        <w:t>，</w:t>
      </w:r>
      <w:r>
        <w:rPr>
          <w:rFonts w:hint="default" w:ascii="Times New Roman" w:hAnsi="Times New Roman" w:eastAsia="宋体" w:cs="Times New Roman"/>
          <w:color w:val="auto"/>
          <w:sz w:val="21"/>
          <w:szCs w:val="21"/>
          <w:highlight w:val="none"/>
          <w:shd w:val="clear" w:color="auto" w:fill="auto"/>
        </w:rPr>
        <w:t>发承包双方应及时就调整的工期和索赔的费用及时进行确认签署</w:t>
      </w:r>
      <w:r>
        <w:rPr>
          <w:rFonts w:hint="default" w:ascii="Times New Roman" w:hAnsi="Times New Roman" w:eastAsia="宋体" w:cs="Times New Roman"/>
          <w:color w:val="auto"/>
          <w:sz w:val="21"/>
          <w:szCs w:val="21"/>
          <w:highlight w:val="none"/>
          <w:shd w:val="clear" w:color="auto" w:fill="auto"/>
          <w:lang w:eastAsia="zh-CN"/>
        </w:rPr>
        <w:t>，</w:t>
      </w:r>
      <w:r>
        <w:rPr>
          <w:rFonts w:hint="default" w:ascii="Times New Roman" w:hAnsi="Times New Roman" w:eastAsia="宋体" w:cs="Times New Roman"/>
          <w:color w:val="auto"/>
          <w:sz w:val="21"/>
          <w:szCs w:val="21"/>
          <w:highlight w:val="none"/>
          <w:shd w:val="clear" w:color="auto" w:fill="auto"/>
        </w:rPr>
        <w:t>并应作为工程进度款和工程结算的依据。</w:t>
      </w:r>
    </w:p>
    <w:p w14:paraId="17474CB5">
      <w:pPr>
        <w:spacing w:line="400" w:lineRule="exact"/>
        <w:ind w:firstLine="0"/>
        <w:jc w:val="left"/>
        <w:outlineLvl w:val="9"/>
        <w:rPr>
          <w:rFonts w:hint="eastAsia" w:ascii="Times New Roman" w:hAnsi="宋体" w:eastAsia="宋体" w:cs="宋体"/>
          <w:b w:val="0"/>
          <w:bCs w:val="0"/>
          <w:color w:val="auto"/>
          <w:sz w:val="21"/>
          <w:szCs w:val="21"/>
          <w:highlight w:val="none"/>
          <w:lang w:val="en-US"/>
        </w:rPr>
      </w:pPr>
      <w:r>
        <w:rPr>
          <w:rFonts w:hint="eastAsia" w:ascii="Times New Roman" w:hAnsi="Times New Roman" w:eastAsia="宋体" w:cs="Times New Roman"/>
          <w:b w:val="0"/>
          <w:bCs w:val="0"/>
          <w:color w:val="auto"/>
          <w:sz w:val="21"/>
          <w:szCs w:val="21"/>
          <w:highlight w:val="none"/>
          <w:shd w:val="clear" w:color="auto" w:fill="auto"/>
          <w:lang w:val="en-US" w:eastAsia="zh-CN"/>
        </w:rPr>
        <w:t xml:space="preserve">    </w:t>
      </w:r>
      <w:r>
        <w:rPr>
          <w:rFonts w:hint="default" w:ascii="Times New Roman" w:hAnsi="Times New Roman" w:eastAsia="宋体" w:cs="Times New Roman"/>
          <w:b w:val="0"/>
          <w:bCs w:val="0"/>
          <w:color w:val="auto"/>
          <w:sz w:val="21"/>
          <w:szCs w:val="21"/>
          <w:highlight w:val="none"/>
          <w:shd w:val="clear" w:color="auto" w:fill="auto"/>
        </w:rPr>
        <w:t>1</w:t>
      </w:r>
      <w:r>
        <w:rPr>
          <w:rFonts w:hint="eastAsia" w:ascii="Times New Roman" w:hAnsi="Times New Roman" w:eastAsia="宋体" w:cs="Times New Roman"/>
          <w:b w:val="0"/>
          <w:color w:val="auto"/>
          <w:sz w:val="21"/>
          <w:szCs w:val="21"/>
          <w:highlight w:val="none"/>
          <w:shd w:val="clear" w:color="auto" w:fill="auto"/>
          <w:lang w:eastAsia="zh-CN"/>
        </w:rPr>
        <w:t>9</w:t>
      </w:r>
      <w:r>
        <w:rPr>
          <w:rFonts w:hint="default" w:ascii="Times New Roman" w:hAnsi="Times New Roman" w:eastAsia="宋体" w:cs="Times New Roman"/>
          <w:b w:val="0"/>
          <w:color w:val="auto"/>
          <w:sz w:val="21"/>
          <w:szCs w:val="21"/>
          <w:highlight w:val="none"/>
          <w:shd w:val="clear" w:color="auto" w:fill="auto"/>
        </w:rPr>
        <w:t>.</w:t>
      </w:r>
      <w:r>
        <w:rPr>
          <w:rFonts w:hint="eastAsia" w:ascii="Times New Roman" w:hAnsi="Times New Roman" w:eastAsia="宋体" w:cs="Times New Roman"/>
          <w:b w:val="0"/>
          <w:color w:val="auto"/>
          <w:sz w:val="21"/>
          <w:szCs w:val="21"/>
          <w:highlight w:val="none"/>
          <w:shd w:val="clear" w:color="auto" w:fill="auto"/>
          <w:lang w:val="en-US" w:eastAsia="zh-CN"/>
        </w:rPr>
        <w:t>6</w:t>
      </w:r>
      <w:r>
        <w:rPr>
          <w:rFonts w:hint="default" w:ascii="Times New Roman" w:hAnsi="Times New Roman" w:eastAsia="宋体" w:cs="Times New Roman"/>
          <w:b w:val="0"/>
          <w:color w:val="auto"/>
          <w:sz w:val="21"/>
          <w:szCs w:val="21"/>
          <w:highlight w:val="none"/>
          <w:shd w:val="clear" w:color="auto" w:fill="auto"/>
        </w:rPr>
        <w:t>.</w:t>
      </w:r>
      <w:r>
        <w:rPr>
          <w:rFonts w:hint="eastAsia" w:ascii="Times New Roman" w:hAnsi="Times New Roman" w:eastAsia="宋体" w:cs="Times New Roman"/>
          <w:b w:val="0"/>
          <w:color w:val="auto"/>
          <w:sz w:val="21"/>
          <w:szCs w:val="21"/>
          <w:highlight w:val="none"/>
          <w:shd w:val="clear" w:color="auto" w:fill="auto"/>
          <w:lang w:val="en-US" w:eastAsia="zh-CN"/>
        </w:rPr>
        <w:t>16</w:t>
      </w:r>
      <w:r>
        <w:rPr>
          <w:rFonts w:hint="default" w:ascii="Times New Roman" w:hAnsi="Times New Roman" w:eastAsia="宋体" w:cs="Times New Roman"/>
          <w:color w:val="auto"/>
          <w:sz w:val="21"/>
          <w:szCs w:val="21"/>
          <w:highlight w:val="none"/>
          <w:shd w:val="clear" w:color="auto" w:fill="auto"/>
        </w:rPr>
        <w:t xml:space="preserve">  在发承包双方已按合同约定完成了工程竣工结算书签署确定及已办理了竣工结算确定后</w:t>
      </w:r>
      <w:r>
        <w:rPr>
          <w:rFonts w:hint="default" w:ascii="Times New Roman" w:hAnsi="Times New Roman" w:eastAsia="宋体" w:cs="Times New Roman"/>
          <w:color w:val="auto"/>
          <w:sz w:val="21"/>
          <w:szCs w:val="21"/>
          <w:highlight w:val="none"/>
          <w:shd w:val="clear" w:color="auto" w:fill="auto"/>
          <w:lang w:eastAsia="zh-CN"/>
        </w:rPr>
        <w:t>，</w:t>
      </w:r>
      <w:r>
        <w:rPr>
          <w:rFonts w:hint="default" w:ascii="Times New Roman" w:hAnsi="Times New Roman" w:eastAsia="宋体" w:cs="Times New Roman"/>
          <w:color w:val="auto"/>
          <w:sz w:val="21"/>
          <w:szCs w:val="21"/>
          <w:highlight w:val="none"/>
          <w:shd w:val="clear" w:color="auto" w:fill="auto"/>
        </w:rPr>
        <w:t>双方应无权再向对方提出关于竣工结算前所发生事件的工程索赔。</w:t>
      </w:r>
    </w:p>
    <w:p w14:paraId="59E99BAA">
      <w:pPr>
        <w:spacing w:line="360" w:lineRule="auto"/>
        <w:ind w:firstLine="42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w:t>
      </w:r>
      <w:r>
        <w:rPr>
          <w:rFonts w:hint="eastAsia" w:ascii="Times New Roman" w:hAnsi="宋体" w:eastAsia="宋体" w:cs="宋体"/>
          <w:b w:val="0"/>
          <w:bCs w:val="0"/>
          <w:color w:val="auto"/>
          <w:sz w:val="21"/>
          <w:szCs w:val="21"/>
          <w:highlight w:val="none"/>
          <w:lang w:val="en-US" w:eastAsia="zh-CN"/>
        </w:rPr>
        <w:t>7</w:t>
      </w:r>
      <w:r>
        <w:rPr>
          <w:rFonts w:hint="eastAsia" w:ascii="Times New Roman" w:hAnsi="宋体" w:eastAsia="宋体" w:cs="宋体"/>
          <w:b w:val="0"/>
          <w:bCs w:val="0"/>
          <w:color w:val="auto"/>
          <w:sz w:val="21"/>
          <w:szCs w:val="21"/>
          <w:highlight w:val="none"/>
          <w:lang w:val="en-US"/>
        </w:rPr>
        <w:t xml:space="preserve">  发承包双方宜通过协商方式解决工程索赔，经协商不能达成一致意见的，可按本合同第20条争议解决的约定执行，引起合同解除的，按本合同第</w:t>
      </w:r>
      <w:r>
        <w:rPr>
          <w:rFonts w:hint="eastAsia" w:ascii="Times New Roman" w:hAnsi="宋体" w:eastAsia="宋体" w:cs="宋体"/>
          <w:b w:val="0"/>
          <w:bCs w:val="0"/>
          <w:color w:val="auto"/>
          <w:sz w:val="21"/>
          <w:szCs w:val="21"/>
          <w:highlight w:val="none"/>
          <w:lang w:val="en-US" w:eastAsia="zh-CN"/>
        </w:rPr>
        <w:t>16</w:t>
      </w:r>
      <w:r>
        <w:rPr>
          <w:rFonts w:hint="eastAsia" w:ascii="Times New Roman" w:hAnsi="宋体" w:eastAsia="宋体" w:cs="宋体"/>
          <w:b w:val="0"/>
          <w:bCs w:val="0"/>
          <w:color w:val="auto"/>
          <w:sz w:val="21"/>
          <w:szCs w:val="21"/>
          <w:highlight w:val="none"/>
          <w:lang w:val="en-US"/>
        </w:rPr>
        <w:t>条</w:t>
      </w:r>
      <w:r>
        <w:rPr>
          <w:rFonts w:hint="eastAsia" w:ascii="Times New Roman" w:hAnsi="宋体" w:eastAsia="宋体" w:cs="宋体"/>
          <w:b w:val="0"/>
          <w:bCs w:val="0"/>
          <w:strike w:val="0"/>
          <w:color w:val="auto"/>
          <w:sz w:val="21"/>
          <w:szCs w:val="21"/>
          <w:highlight w:val="none"/>
          <w:lang w:val="en-US" w:eastAsia="zh-CN"/>
        </w:rPr>
        <w:t>解除合同相关</w:t>
      </w:r>
      <w:r>
        <w:rPr>
          <w:rFonts w:hint="eastAsia" w:ascii="Times New Roman" w:hAnsi="宋体" w:eastAsia="宋体" w:cs="宋体"/>
          <w:b w:val="0"/>
          <w:bCs w:val="0"/>
          <w:color w:val="auto"/>
          <w:sz w:val="21"/>
          <w:szCs w:val="21"/>
          <w:highlight w:val="none"/>
          <w:lang w:val="en-US"/>
        </w:rPr>
        <w:t>的约定处理。</w:t>
      </w:r>
    </w:p>
    <w:p w14:paraId="2AB00B6C">
      <w:pPr>
        <w:widowControl w:val="0"/>
        <w:pBdr>
          <w:top w:val="none" w:color="000000" w:sz="0" w:space="0"/>
          <w:left w:val="none" w:color="000000" w:sz="0" w:space="0"/>
          <w:bottom w:val="none" w:color="000000" w:sz="0" w:space="1"/>
          <w:right w:val="none" w:color="000000" w:sz="0" w:space="0"/>
          <w:between w:val="none" w:color="000000" w:sz="0" w:space="0"/>
        </w:pBdr>
        <w:jc w:val="center"/>
        <w:rPr>
          <w:rFonts w:ascii="Times New Roman" w:hAnsi="Times New Roman" w:eastAsia="宋体" w:cs="Times New Roman"/>
          <w:color w:val="auto"/>
          <w:sz w:val="21"/>
          <w:szCs w:val="21"/>
          <w:highlight w:val="none"/>
          <w:lang w:val="en-US" w:eastAsia="zh-CN" w:bidi="ar-SA"/>
        </w:rPr>
      </w:pPr>
    </w:p>
    <w:p w14:paraId="18A0BC47">
      <w:pPr>
        <w:keepNext/>
        <w:keepLines/>
        <w:widowControl w:val="0"/>
        <w:spacing w:before="60" w:after="60" w:line="413" w:lineRule="auto"/>
        <w:jc w:val="both"/>
        <w:outlineLvl w:val="1"/>
        <w:rPr>
          <w:rFonts w:ascii="Arial" w:hAnsi="Arial" w:eastAsia="黑体" w:cs="Times New Roman"/>
          <w:b/>
          <w:bCs/>
          <w:color w:val="auto"/>
          <w:sz w:val="21"/>
          <w:szCs w:val="21"/>
          <w:highlight w:val="none"/>
          <w:lang w:val="zh-CN" w:eastAsia="zh-CN" w:bidi="ar-SA"/>
        </w:rPr>
      </w:pPr>
      <w:bookmarkStart w:id="1269" w:name="_Toc20588"/>
      <w:r>
        <w:rPr>
          <w:rFonts w:ascii="Arial" w:hAnsi="Arial" w:eastAsia="黑体" w:cs="Times New Roman"/>
          <w:b/>
          <w:bCs/>
          <w:color w:val="auto"/>
          <w:sz w:val="21"/>
          <w:szCs w:val="21"/>
          <w:highlight w:val="none"/>
          <w:lang w:val="zh-CN" w:eastAsia="zh-CN" w:bidi="ar-SA"/>
        </w:rPr>
        <w:t xml:space="preserve">20. </w:t>
      </w:r>
      <w:r>
        <w:rPr>
          <w:rFonts w:hint="eastAsia" w:ascii="Arial" w:hAnsi="宋体" w:eastAsia="黑体" w:cs="黑体"/>
          <w:b/>
          <w:bCs/>
          <w:color w:val="auto"/>
          <w:sz w:val="21"/>
          <w:szCs w:val="21"/>
          <w:highlight w:val="none"/>
          <w:lang w:val="zh-CN" w:eastAsia="zh-CN" w:bidi="ar-SA"/>
        </w:rPr>
        <w:t>争议解决</w:t>
      </w:r>
      <w:bookmarkEnd w:id="1143"/>
      <w:bookmarkEnd w:id="1144"/>
      <w:bookmarkEnd w:id="1260"/>
      <w:bookmarkEnd w:id="1261"/>
      <w:bookmarkEnd w:id="1262"/>
      <w:bookmarkEnd w:id="1263"/>
      <w:bookmarkEnd w:id="1264"/>
      <w:bookmarkEnd w:id="1265"/>
      <w:bookmarkEnd w:id="1266"/>
      <w:bookmarkEnd w:id="1269"/>
    </w:p>
    <w:p w14:paraId="74166AC3">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270" w:name="_Toc389065342"/>
      <w:bookmarkStart w:id="1271" w:name="_Toc373227777"/>
      <w:bookmarkStart w:id="1272" w:name="_Toc1645489822"/>
      <w:bookmarkStart w:id="1273" w:name="_Toc17992"/>
      <w:bookmarkStart w:id="1274" w:name="_Toc407135280"/>
      <w:bookmarkStart w:id="1275" w:name="_Toc373478424"/>
      <w:bookmarkStart w:id="1276" w:name="_Toc78449866"/>
      <w:bookmarkStart w:id="1277" w:name="_Toc28101"/>
      <w:r>
        <w:rPr>
          <w:rFonts w:ascii="Times New Roman" w:hAnsi="Times New Roman" w:eastAsia="黑体" w:cs="Times New Roman"/>
          <w:b/>
          <w:bCs/>
          <w:color w:val="auto"/>
          <w:sz w:val="21"/>
          <w:szCs w:val="21"/>
          <w:highlight w:val="none"/>
          <w:lang w:val="zh-CN" w:eastAsia="zh-CN" w:bidi="ar-SA"/>
        </w:rPr>
        <w:t xml:space="preserve">20.3 </w:t>
      </w:r>
      <w:r>
        <w:rPr>
          <w:rFonts w:hint="eastAsia" w:ascii="Times New Roman" w:hAnsi="宋体" w:eastAsia="黑体" w:cs="黑体"/>
          <w:b/>
          <w:bCs/>
          <w:color w:val="auto"/>
          <w:sz w:val="21"/>
          <w:szCs w:val="21"/>
          <w:highlight w:val="none"/>
          <w:lang w:val="zh-CN" w:eastAsia="zh-CN" w:bidi="ar-SA"/>
        </w:rPr>
        <w:t>争</w:t>
      </w:r>
      <w:bookmarkEnd w:id="1145"/>
      <w:r>
        <w:rPr>
          <w:rFonts w:hint="eastAsia" w:ascii="Times New Roman" w:hAnsi="宋体" w:eastAsia="黑体" w:cs="黑体"/>
          <w:b/>
          <w:bCs/>
          <w:color w:val="auto"/>
          <w:sz w:val="21"/>
          <w:szCs w:val="21"/>
          <w:highlight w:val="none"/>
          <w:lang w:val="zh-CN" w:eastAsia="zh-CN" w:bidi="ar-SA"/>
        </w:rPr>
        <w:t>议评审</w:t>
      </w:r>
      <w:bookmarkEnd w:id="1270"/>
      <w:bookmarkEnd w:id="1271"/>
      <w:bookmarkEnd w:id="1272"/>
      <w:bookmarkEnd w:id="1273"/>
      <w:bookmarkEnd w:id="1274"/>
      <w:bookmarkEnd w:id="1275"/>
      <w:bookmarkEnd w:id="1276"/>
      <w:bookmarkEnd w:id="1277"/>
    </w:p>
    <w:p w14:paraId="36CFA265">
      <w:pPr>
        <w:spacing w:line="360" w:lineRule="auto"/>
        <w:ind w:left="149" w:firstLine="315"/>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合同当事人是否同意将工程争议提交争议评审小组决定：</w:t>
      </w:r>
      <w:r>
        <w:rPr>
          <w:rFonts w:hint="eastAsia" w:ascii="Times New Roman" w:hAnsi="Times New Roman" w:eastAsia="宋体" w:cs="Times New Roman"/>
          <w:color w:val="auto"/>
          <w:sz w:val="21"/>
          <w:szCs w:val="21"/>
          <w:highlight w:val="none"/>
          <w:u w:val="single"/>
        </w:rPr>
        <w:t>不同意</w:t>
      </w:r>
      <w:r>
        <w:rPr>
          <w:rFonts w:hint="eastAsia" w:ascii="Times New Roman" w:hAnsi="宋体" w:eastAsia="宋体" w:cs="宋体"/>
          <w:color w:val="auto"/>
          <w:sz w:val="21"/>
          <w:szCs w:val="21"/>
          <w:highlight w:val="none"/>
        </w:rPr>
        <w:t>。</w:t>
      </w:r>
    </w:p>
    <w:p w14:paraId="543A0123">
      <w:pPr>
        <w:spacing w:line="360" w:lineRule="auto"/>
        <w:ind w:firstLine="420"/>
        <w:jc w:val="left"/>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20.3.1 </w:t>
      </w:r>
      <w:r>
        <w:rPr>
          <w:rFonts w:hint="eastAsia" w:ascii="Times New Roman" w:hAnsi="宋体" w:eastAsia="宋体" w:cs="宋体"/>
          <w:color w:val="auto"/>
          <w:sz w:val="21"/>
          <w:szCs w:val="21"/>
          <w:highlight w:val="none"/>
        </w:rPr>
        <w:t>争议评审小组的确定</w:t>
      </w:r>
    </w:p>
    <w:p w14:paraId="66492874">
      <w:pPr>
        <w:spacing w:line="360" w:lineRule="auto"/>
        <w:ind w:firstLine="42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争议评审小组成员的确定：</w:t>
      </w:r>
      <w:r>
        <w:rPr>
          <w:rFonts w:hint="eastAsia" w:ascii="Times New Roman" w:hAnsi="Times New Roman" w:eastAsia="宋体" w:cs="Times New Roman"/>
          <w:color w:val="auto"/>
          <w:sz w:val="21"/>
          <w:szCs w:val="21"/>
          <w:highlight w:val="none"/>
          <w:u w:val="single"/>
        </w:rPr>
        <w:t>无</w:t>
      </w:r>
      <w:r>
        <w:rPr>
          <w:rFonts w:hint="eastAsia" w:ascii="Times New Roman" w:hAnsi="宋体" w:eastAsia="宋体" w:cs="宋体"/>
          <w:color w:val="auto"/>
          <w:sz w:val="21"/>
          <w:szCs w:val="21"/>
          <w:highlight w:val="none"/>
        </w:rPr>
        <w:t>。</w:t>
      </w:r>
    </w:p>
    <w:p w14:paraId="02EF29CB">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选定争议评审员的期限：</w:t>
      </w:r>
      <w:r>
        <w:rPr>
          <w:rFonts w:hint="eastAsia" w:ascii="Times New Roman" w:hAnsi="Times New Roman" w:eastAsia="宋体" w:cs="Times New Roman"/>
          <w:color w:val="auto"/>
          <w:sz w:val="21"/>
          <w:szCs w:val="21"/>
          <w:highlight w:val="none"/>
          <w:u w:val="single"/>
        </w:rPr>
        <w:t>无</w:t>
      </w:r>
      <w:r>
        <w:rPr>
          <w:rFonts w:hint="eastAsia" w:ascii="Times New Roman" w:hAnsi="宋体" w:eastAsia="宋体" w:cs="宋体"/>
          <w:color w:val="auto"/>
          <w:sz w:val="21"/>
          <w:szCs w:val="21"/>
          <w:highlight w:val="none"/>
        </w:rPr>
        <w:t>。</w:t>
      </w:r>
    </w:p>
    <w:p w14:paraId="7B99CFB6">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争议评审小组成员的报酬承担方式：</w:t>
      </w:r>
      <w:r>
        <w:rPr>
          <w:rFonts w:hint="eastAsia" w:ascii="Times New Roman" w:hAnsi="Times New Roman" w:eastAsia="宋体" w:cs="Times New Roman"/>
          <w:color w:val="auto"/>
          <w:sz w:val="21"/>
          <w:szCs w:val="21"/>
          <w:highlight w:val="none"/>
          <w:u w:val="single"/>
        </w:rPr>
        <w:t>无</w:t>
      </w:r>
      <w:r>
        <w:rPr>
          <w:rFonts w:hint="eastAsia" w:ascii="Times New Roman" w:hAnsi="宋体" w:eastAsia="宋体" w:cs="宋体"/>
          <w:color w:val="auto"/>
          <w:sz w:val="21"/>
          <w:szCs w:val="21"/>
          <w:highlight w:val="none"/>
        </w:rPr>
        <w:t>。</w:t>
      </w:r>
    </w:p>
    <w:p w14:paraId="3A201AF0">
      <w:pPr>
        <w:spacing w:line="360" w:lineRule="auto"/>
        <w:ind w:firstLine="42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其他事项的约定：</w:t>
      </w:r>
      <w:r>
        <w:rPr>
          <w:rFonts w:hint="eastAsia" w:ascii="Times New Roman" w:hAnsi="Times New Roman" w:eastAsia="宋体" w:cs="Times New Roman"/>
          <w:color w:val="auto"/>
          <w:sz w:val="21"/>
          <w:szCs w:val="21"/>
          <w:highlight w:val="none"/>
          <w:u w:val="single"/>
        </w:rPr>
        <w:t>无</w:t>
      </w:r>
      <w:r>
        <w:rPr>
          <w:rFonts w:hint="eastAsia" w:ascii="Times New Roman" w:hAnsi="宋体" w:eastAsia="宋体" w:cs="宋体"/>
          <w:color w:val="auto"/>
          <w:sz w:val="21"/>
          <w:szCs w:val="21"/>
          <w:highlight w:val="none"/>
        </w:rPr>
        <w:t>。</w:t>
      </w:r>
    </w:p>
    <w:p w14:paraId="2D737A0E">
      <w:pPr>
        <w:spacing w:line="360" w:lineRule="auto"/>
        <w:ind w:firstLine="42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20.3.2 </w:t>
      </w:r>
      <w:r>
        <w:rPr>
          <w:rFonts w:hint="eastAsia" w:ascii="Times New Roman" w:hAnsi="宋体" w:eastAsia="宋体" w:cs="宋体"/>
          <w:color w:val="auto"/>
          <w:sz w:val="21"/>
          <w:szCs w:val="21"/>
          <w:highlight w:val="none"/>
        </w:rPr>
        <w:t>争议评审小组的决定</w:t>
      </w:r>
    </w:p>
    <w:p w14:paraId="30F87824">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合同当事人关于本项的约定：</w:t>
      </w:r>
      <w:r>
        <w:rPr>
          <w:rFonts w:hint="eastAsia" w:ascii="Times New Roman" w:hAnsi="Times New Roman" w:eastAsia="宋体" w:cs="Times New Roman"/>
          <w:color w:val="auto"/>
          <w:sz w:val="21"/>
          <w:szCs w:val="21"/>
          <w:highlight w:val="none"/>
          <w:u w:val="single"/>
        </w:rPr>
        <w:t>无</w:t>
      </w:r>
      <w:r>
        <w:rPr>
          <w:rFonts w:hint="eastAsia" w:ascii="Times New Roman" w:hAnsi="宋体" w:eastAsia="宋体" w:cs="宋体"/>
          <w:color w:val="auto"/>
          <w:sz w:val="21"/>
          <w:szCs w:val="21"/>
          <w:highlight w:val="none"/>
        </w:rPr>
        <w:t>。</w:t>
      </w:r>
    </w:p>
    <w:p w14:paraId="3FD19B2A">
      <w:pPr>
        <w:spacing w:line="360" w:lineRule="auto"/>
        <w:ind w:firstLine="420"/>
        <w:jc w:val="left"/>
        <w:rPr>
          <w:rFonts w:hint="eastAsia" w:ascii="Times New Roman" w:hAnsi="宋体" w:eastAsia="宋体" w:cs="宋体"/>
          <w:color w:val="auto"/>
          <w:sz w:val="21"/>
          <w:szCs w:val="21"/>
          <w:highlight w:val="none"/>
        </w:rPr>
      </w:pPr>
      <w:bookmarkStart w:id="1278" w:name="_Toc373478425"/>
      <w:bookmarkStart w:id="1279" w:name="_Toc407135281"/>
      <w:bookmarkStart w:id="1280" w:name="_Toc78449867"/>
      <w:bookmarkStart w:id="1281" w:name="_Toc389065343"/>
      <w:bookmarkStart w:id="1282" w:name="_Toc1456517022"/>
      <w:bookmarkStart w:id="1283" w:name="_Toc373227778"/>
      <w:r>
        <w:rPr>
          <w:rFonts w:hint="eastAsia" w:ascii="Times New Roman" w:hAnsi="宋体" w:eastAsia="宋体" w:cs="宋体"/>
          <w:color w:val="auto"/>
          <w:sz w:val="21"/>
          <w:szCs w:val="21"/>
          <w:highlight w:val="none"/>
        </w:rPr>
        <w:t>20.3.4 争议评审小组决定的效力</w:t>
      </w:r>
    </w:p>
    <w:p w14:paraId="6C1C3342">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合同当事人未签字确认争议评审小组作出的书面决定的，对双方无约束力，但双方在争议评审期间提交的证明材料、认可的事实可作为后续仲裁或诉讼的证据使用。</w:t>
      </w:r>
    </w:p>
    <w:p w14:paraId="253561AC">
      <w:pPr>
        <w:widowControl w:val="0"/>
        <w:pBdr>
          <w:top w:val="none" w:color="000000" w:sz="0" w:space="0"/>
          <w:left w:val="none" w:color="000000" w:sz="0" w:space="0"/>
          <w:bottom w:val="none" w:color="000000" w:sz="0" w:space="1"/>
          <w:right w:val="none" w:color="000000" w:sz="0" w:space="0"/>
          <w:between w:val="none" w:color="000000" w:sz="0" w:space="0"/>
        </w:pBdr>
        <w:jc w:val="center"/>
        <w:rPr>
          <w:rFonts w:ascii="Times New Roman" w:hAnsi="Times New Roman" w:eastAsia="宋体" w:cs="Times New Roman"/>
          <w:color w:val="auto"/>
          <w:sz w:val="21"/>
          <w:szCs w:val="21"/>
          <w:highlight w:val="none"/>
          <w:lang w:val="en-US" w:eastAsia="zh-CN" w:bidi="ar-SA"/>
        </w:rPr>
      </w:pPr>
    </w:p>
    <w:p w14:paraId="114A108C">
      <w:pPr>
        <w:keepNext/>
        <w:keepLines/>
        <w:widowControl w:val="0"/>
        <w:spacing w:line="360" w:lineRule="auto"/>
        <w:jc w:val="both"/>
        <w:outlineLvl w:val="2"/>
        <w:rPr>
          <w:rFonts w:ascii="Times New Roman" w:hAnsi="Times New Roman" w:eastAsia="黑体" w:cs="Times New Roman"/>
          <w:b/>
          <w:bCs/>
          <w:color w:val="auto"/>
          <w:sz w:val="21"/>
          <w:szCs w:val="21"/>
          <w:highlight w:val="none"/>
          <w:lang w:val="zh-CN" w:eastAsia="zh-CN" w:bidi="ar-SA"/>
        </w:rPr>
      </w:pPr>
      <w:bookmarkStart w:id="1284" w:name="_Toc31980"/>
      <w:bookmarkStart w:id="1285" w:name="_Toc18668"/>
      <w:r>
        <w:rPr>
          <w:rFonts w:ascii="Times New Roman" w:hAnsi="Times New Roman" w:eastAsia="黑体" w:cs="Times New Roman"/>
          <w:b/>
          <w:bCs/>
          <w:color w:val="auto"/>
          <w:sz w:val="21"/>
          <w:szCs w:val="21"/>
          <w:highlight w:val="none"/>
          <w:lang w:val="zh-CN" w:eastAsia="zh-CN" w:bidi="ar-SA"/>
        </w:rPr>
        <w:t xml:space="preserve">20.4 </w:t>
      </w:r>
      <w:r>
        <w:rPr>
          <w:rFonts w:hint="eastAsia" w:ascii="Times New Roman" w:hAnsi="宋体" w:eastAsia="黑体" w:cs="黑体"/>
          <w:b/>
          <w:bCs/>
          <w:color w:val="auto"/>
          <w:sz w:val="21"/>
          <w:szCs w:val="21"/>
          <w:highlight w:val="none"/>
          <w:lang w:val="zh-CN" w:eastAsia="zh-CN" w:bidi="ar-SA"/>
        </w:rPr>
        <w:t>仲裁或诉讼</w:t>
      </w:r>
      <w:bookmarkEnd w:id="1146"/>
      <w:bookmarkEnd w:id="1278"/>
      <w:bookmarkEnd w:id="1279"/>
      <w:bookmarkEnd w:id="1280"/>
      <w:bookmarkEnd w:id="1281"/>
      <w:bookmarkEnd w:id="1282"/>
      <w:bookmarkEnd w:id="1283"/>
      <w:bookmarkEnd w:id="1284"/>
      <w:bookmarkEnd w:id="1285"/>
    </w:p>
    <w:p w14:paraId="7B698AF2">
      <w:pPr>
        <w:spacing w:line="360" w:lineRule="auto"/>
        <w:ind w:firstLine="42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 xml:space="preserve">因合同及合同有关事项发生的争议，□是 </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否 同意先进行调解或争议评审，未达成一致后，按下列第</w:t>
      </w:r>
      <w:r>
        <w:rPr>
          <w:rFonts w:hint="eastAsia" w:ascii="Times New Roman"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u w:val="single"/>
          <w:lang w:val="en-US" w:eastAsia="zh-CN"/>
        </w:rPr>
        <w:t>2</w:t>
      </w:r>
      <w:r>
        <w:rPr>
          <w:rFonts w:hint="eastAsia" w:ascii="Times New Roman"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rPr>
        <w:t>种方式解决：</w:t>
      </w:r>
    </w:p>
    <w:p w14:paraId="0D25568F">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（1）向</w:t>
      </w:r>
      <w:r>
        <w:rPr>
          <w:rFonts w:hint="eastAsia" w:ascii="Times New Roman" w:hAnsi="宋体" w:eastAsia="宋体" w:cs="宋体"/>
          <w:color w:val="auto"/>
          <w:sz w:val="21"/>
          <w:szCs w:val="21"/>
          <w:highlight w:val="none"/>
          <w:u w:val="single"/>
          <w:lang w:val="en-US" w:eastAsia="zh-CN"/>
        </w:rPr>
        <w:t xml:space="preserve">  /  </w:t>
      </w:r>
      <w:r>
        <w:rPr>
          <w:rFonts w:hint="eastAsia" w:ascii="Times New Roman" w:hAnsi="宋体" w:eastAsia="宋体" w:cs="宋体"/>
          <w:color w:val="auto"/>
          <w:sz w:val="21"/>
          <w:szCs w:val="21"/>
          <w:highlight w:val="none"/>
        </w:rPr>
        <w:t>仲裁委员会申请仲裁；</w:t>
      </w:r>
    </w:p>
    <w:p w14:paraId="0EFBB77F">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1）对于未能友好协商，或未能通过调解或争议评审解决的争议，发包人或承包人任一方均有权提交给约定的仲裁委员会仲裁。</w:t>
      </w:r>
    </w:p>
    <w:p w14:paraId="6CD6945E">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2）仲裁可在工程竣工验收之前或之后进行，但发包人、监理人和承包人各自的义务不得因在工程实施期间进行仲裁而有所改变。如果仲裁是在终止合同的情况下进行， 则对合同工程应采取保护措施，措施费由败诉方承担。</w:t>
      </w:r>
    </w:p>
    <w:p w14:paraId="6916567F">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3）仲裁裁决是终局性的并对发包人和承包人双方具有约束力。</w:t>
      </w:r>
    </w:p>
    <w:p w14:paraId="499B9865">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4）全部仲裁费用应由败诉方承担；或按仲裁委员会裁决的比例分担。</w:t>
      </w:r>
    </w:p>
    <w:p w14:paraId="77ECAB4A">
      <w:pPr>
        <w:spacing w:line="360" w:lineRule="auto"/>
        <w:ind w:firstLine="42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）向</w:t>
      </w:r>
      <w:r>
        <w:rPr>
          <w:rFonts w:hint="eastAsia" w:ascii="Times New Roman" w:hAnsi="Times New Roman" w:eastAsia="宋体" w:cs="Times New Roman"/>
          <w:color w:val="auto"/>
          <w:sz w:val="21"/>
          <w:szCs w:val="21"/>
          <w:highlight w:val="none"/>
          <w:u w:val="single"/>
        </w:rPr>
        <w:t>工程所在地有管辖权的</w:t>
      </w:r>
      <w:r>
        <w:rPr>
          <w:rFonts w:hint="eastAsia" w:ascii="Times New Roman" w:hAnsi="宋体" w:eastAsia="宋体" w:cs="宋体"/>
          <w:color w:val="auto"/>
          <w:sz w:val="21"/>
          <w:szCs w:val="21"/>
          <w:highlight w:val="none"/>
        </w:rPr>
        <w:t>人民法院起诉。</w:t>
      </w:r>
      <w:bookmarkEnd w:id="1147"/>
      <w:bookmarkEnd w:id="1148"/>
      <w:bookmarkEnd w:id="1149"/>
      <w:bookmarkEnd w:id="1150"/>
      <w:bookmarkEnd w:id="1151"/>
      <w:bookmarkEnd w:id="1152"/>
    </w:p>
    <w:p w14:paraId="0E9FEEE5">
      <w:pPr>
        <w:spacing w:line="360" w:lineRule="auto"/>
        <w:ind w:firstLine="420"/>
        <w:jc w:val="left"/>
        <w:rPr>
          <w:rFonts w:hint="eastAsia" w:ascii="Times New Roman" w:hAnsi="宋体" w:eastAsia="宋体" w:cs="宋体"/>
          <w:color w:val="auto"/>
          <w:sz w:val="21"/>
          <w:szCs w:val="21"/>
          <w:highlight w:val="none"/>
        </w:rPr>
      </w:pPr>
    </w:p>
    <w:p w14:paraId="22583CE1">
      <w:pPr>
        <w:spacing w:line="360" w:lineRule="auto"/>
        <w:ind w:firstLine="420"/>
        <w:jc w:val="left"/>
        <w:rPr>
          <w:rFonts w:hint="eastAsia" w:ascii="Times New Roman" w:hAnsi="宋体" w:eastAsia="宋体" w:cs="宋体"/>
          <w:color w:val="auto"/>
          <w:sz w:val="21"/>
          <w:szCs w:val="21"/>
          <w:highlight w:val="none"/>
        </w:rPr>
      </w:pPr>
    </w:p>
    <w:p w14:paraId="5095CD17">
      <w:pPr>
        <w:spacing w:line="360" w:lineRule="auto"/>
        <w:ind w:firstLine="420"/>
        <w:jc w:val="left"/>
        <w:rPr>
          <w:rFonts w:hint="eastAsia" w:ascii="Times New Roman" w:hAnsi="宋体" w:eastAsia="宋体" w:cs="宋体"/>
          <w:color w:val="auto"/>
          <w:sz w:val="21"/>
          <w:szCs w:val="21"/>
          <w:highlight w:val="none"/>
        </w:rPr>
      </w:pPr>
    </w:p>
    <w:p w14:paraId="13B76190">
      <w:pPr>
        <w:spacing w:line="360" w:lineRule="auto"/>
        <w:ind w:firstLine="420"/>
        <w:jc w:val="left"/>
        <w:rPr>
          <w:rFonts w:hint="eastAsia" w:ascii="Times New Roman" w:hAnsi="宋体" w:eastAsia="宋体" w:cs="宋体"/>
          <w:color w:val="auto"/>
          <w:sz w:val="21"/>
          <w:szCs w:val="21"/>
          <w:highlight w:val="none"/>
        </w:rPr>
      </w:pPr>
    </w:p>
    <w:p w14:paraId="054D5673">
      <w:pPr>
        <w:spacing w:line="360" w:lineRule="auto"/>
        <w:ind w:firstLine="420"/>
        <w:jc w:val="left"/>
        <w:rPr>
          <w:rFonts w:hint="eastAsia" w:ascii="Times New Roman" w:hAnsi="宋体" w:eastAsia="宋体" w:cs="宋体"/>
          <w:color w:val="auto"/>
          <w:sz w:val="21"/>
          <w:szCs w:val="21"/>
          <w:highlight w:val="none"/>
        </w:rPr>
      </w:pPr>
    </w:p>
    <w:p w14:paraId="5920E763">
      <w:pPr>
        <w:spacing w:line="360" w:lineRule="auto"/>
        <w:ind w:firstLine="420"/>
        <w:jc w:val="left"/>
        <w:rPr>
          <w:rFonts w:hint="eastAsia" w:ascii="Times New Roman" w:hAnsi="宋体" w:eastAsia="宋体" w:cs="宋体"/>
          <w:color w:val="auto"/>
          <w:sz w:val="21"/>
          <w:szCs w:val="21"/>
          <w:highlight w:val="none"/>
        </w:rPr>
      </w:pPr>
    </w:p>
    <w:p w14:paraId="372A8716">
      <w:pPr>
        <w:rPr>
          <w:rFonts w:hint="eastAsia" w:ascii="Times New Roman" w:hAnsi="Times New Roman" w:eastAsia="黑体" w:cs="黑体"/>
          <w:b/>
          <w:bCs/>
          <w:color w:val="auto"/>
          <w:sz w:val="21"/>
          <w:szCs w:val="21"/>
          <w:highlight w:val="none"/>
        </w:rPr>
      </w:pPr>
      <w:bookmarkStart w:id="1286" w:name="_Toc351203652"/>
      <w:r>
        <w:rPr>
          <w:rFonts w:hint="eastAsia" w:ascii="Times New Roman" w:hAnsi="Times New Roman" w:eastAsia="黑体" w:cs="黑体"/>
          <w:b/>
          <w:bCs/>
          <w:color w:val="auto"/>
          <w:sz w:val="21"/>
          <w:szCs w:val="21"/>
          <w:highlight w:val="none"/>
        </w:rPr>
        <w:br w:type="page" w:clear="all"/>
      </w:r>
    </w:p>
    <w:p w14:paraId="471F7C9B">
      <w:pPr>
        <w:spacing w:line="360" w:lineRule="auto"/>
        <w:jc w:val="left"/>
        <w:rPr>
          <w:rFonts w:ascii="Times New Roman" w:hAnsi="Times New Roman" w:eastAsia="黑体" w:cs="Times New Roman"/>
          <w:b/>
          <w:bCs/>
          <w:color w:val="auto"/>
          <w:sz w:val="21"/>
          <w:szCs w:val="21"/>
          <w:highlight w:val="none"/>
        </w:rPr>
      </w:pPr>
      <w:r>
        <w:rPr>
          <w:rFonts w:hint="eastAsia" w:ascii="Times New Roman" w:hAnsi="Times New Roman" w:eastAsia="黑体" w:cs="黑体"/>
          <w:b/>
          <w:bCs/>
          <w:color w:val="auto"/>
          <w:sz w:val="21"/>
          <w:szCs w:val="21"/>
          <w:highlight w:val="none"/>
        </w:rPr>
        <w:t>附件</w:t>
      </w:r>
      <w:bookmarkEnd w:id="1286"/>
    </w:p>
    <w:p w14:paraId="2BE683D7">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w:t>
      </w:r>
      <w:r>
        <w:rPr>
          <w:rFonts w:ascii="宋体" w:hAnsi="宋体" w:eastAsia="宋体" w:cs="宋体"/>
          <w:color w:val="auto"/>
          <w:sz w:val="21"/>
          <w:szCs w:val="21"/>
          <w:highlight w:val="none"/>
        </w:rPr>
        <w:t>1</w:t>
      </w:r>
      <w:r>
        <w:rPr>
          <w:rFonts w:hint="eastAsia" w:ascii="宋体" w:hAnsi="宋体" w:eastAsia="宋体" w:cs="宋体"/>
          <w:color w:val="auto"/>
          <w:sz w:val="21"/>
          <w:szCs w:val="21"/>
          <w:highlight w:val="none"/>
        </w:rPr>
        <w:t>：承包人承揽工程项目一览表</w:t>
      </w:r>
    </w:p>
    <w:p w14:paraId="0ADDF238">
      <w:pPr>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附件2：工程质量保修书</w:t>
      </w:r>
    </w:p>
    <w:p w14:paraId="7F8C0A94">
      <w:pPr>
        <w:spacing w:line="360" w:lineRule="auto"/>
        <w:jc w:val="left"/>
        <w:rPr>
          <w:rFonts w:hint="eastAsia" w:ascii="宋体" w:hAnsi="宋体" w:eastAsia="宋体" w:cs="宋体"/>
          <w:color w:val="auto"/>
          <w:sz w:val="21"/>
          <w:szCs w:val="21"/>
          <w:highlight w:val="none"/>
        </w:rPr>
      </w:pPr>
      <w:r>
        <w:rPr>
          <w:rFonts w:ascii="宋体" w:hAnsi="宋体" w:eastAsia="宋体" w:cs="宋体"/>
          <w:color w:val="auto"/>
          <w:sz w:val="21"/>
          <w:szCs w:val="21"/>
          <w:highlight w:val="none"/>
        </w:rPr>
        <w:t>附件</w:t>
      </w:r>
      <w:r>
        <w:rPr>
          <w:rFonts w:hint="eastAsia" w:ascii="宋体" w:hAnsi="宋体" w:eastAsia="宋体" w:cs="宋体"/>
          <w:color w:val="auto"/>
          <w:sz w:val="21"/>
          <w:szCs w:val="21"/>
          <w:highlight w:val="none"/>
        </w:rPr>
        <w:t>3</w:t>
      </w:r>
      <w:r>
        <w:rPr>
          <w:rFonts w:ascii="宋体" w:hAnsi="宋体" w:eastAsia="宋体" w:cs="宋体"/>
          <w:color w:val="auto"/>
          <w:sz w:val="21"/>
          <w:szCs w:val="21"/>
          <w:highlight w:val="none"/>
        </w:rPr>
        <w:t>：主要建设工程文件目录</w:t>
      </w:r>
    </w:p>
    <w:p w14:paraId="513CBA8A">
      <w:pPr>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附件4：承包人用于本工程施工的机械设备表</w:t>
      </w:r>
    </w:p>
    <w:p w14:paraId="43C4878E">
      <w:pPr>
        <w:spacing w:line="360" w:lineRule="auto"/>
        <w:jc w:val="left"/>
        <w:rPr>
          <w:rFonts w:ascii="宋体"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附件5：承包人主要施工管理人员表</w:t>
      </w:r>
    </w:p>
    <w:p w14:paraId="4CF69D13">
      <w:pPr>
        <w:spacing w:line="360" w:lineRule="auto"/>
        <w:jc w:val="left"/>
        <w:rPr>
          <w:rFonts w:ascii="宋体"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附件6：分包人主要施工管理人员表</w:t>
      </w:r>
    </w:p>
    <w:p w14:paraId="3532827D">
      <w:pPr>
        <w:spacing w:line="360" w:lineRule="auto"/>
        <w:jc w:val="left"/>
        <w:rPr>
          <w:rFonts w:ascii="宋体"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附件7：履约担保格式（独立保函、非独立保函）</w:t>
      </w:r>
    </w:p>
    <w:p w14:paraId="035F13F3">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附件8：预付款担保格式（独立保函、非独立保函）</w:t>
      </w:r>
    </w:p>
    <w:p w14:paraId="53C0391A">
      <w:pPr>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附件9：支付担保格式（独立保函、非独立保函）</w:t>
      </w:r>
    </w:p>
    <w:p w14:paraId="7F3ECA61">
      <w:pPr>
        <w:spacing w:line="360" w:lineRule="auto"/>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附件10：预付款</w:t>
      </w:r>
      <w:r>
        <w:rPr>
          <w:rFonts w:hint="eastAsia" w:ascii="Times New Roman" w:hAnsi="Times New Roman" w:eastAsia="宋体" w:cs="Times New Roman"/>
          <w:color w:val="auto"/>
          <w:sz w:val="21"/>
          <w:szCs w:val="21"/>
          <w:highlight w:val="none"/>
        </w:rPr>
        <w:t>支付申请（核准）表</w:t>
      </w:r>
    </w:p>
    <w:p w14:paraId="0C439E0A">
      <w:pPr>
        <w:spacing w:line="360" w:lineRule="auto"/>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附件11：</w:t>
      </w:r>
      <w:r>
        <w:rPr>
          <w:rFonts w:hint="eastAsia" w:ascii="Times New Roman" w:hAnsi="Times New Roman" w:eastAsia="宋体" w:cs="Times New Roman"/>
          <w:color w:val="auto"/>
          <w:sz w:val="21"/>
          <w:szCs w:val="21"/>
          <w:highlight w:val="none"/>
        </w:rPr>
        <w:t>进度款支付申请（核准）表</w:t>
      </w:r>
    </w:p>
    <w:p w14:paraId="07AD18E2">
      <w:pPr>
        <w:spacing w:line="360" w:lineRule="auto"/>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附件12：竣工</w:t>
      </w:r>
      <w:r>
        <w:rPr>
          <w:rFonts w:hint="eastAsia" w:ascii="宋体" w:hAnsi="宋体" w:eastAsia="宋体" w:cs="宋体"/>
          <w:color w:val="auto"/>
          <w:sz w:val="21"/>
          <w:szCs w:val="21"/>
          <w:highlight w:val="none"/>
          <w:lang w:eastAsia="zh-CN"/>
        </w:rPr>
        <w:t>（施工过程）</w:t>
      </w:r>
      <w:r>
        <w:rPr>
          <w:rFonts w:hint="eastAsia" w:ascii="宋体" w:hAnsi="宋体" w:eastAsia="宋体" w:cs="宋体"/>
          <w:color w:val="auto"/>
          <w:sz w:val="21"/>
          <w:szCs w:val="21"/>
          <w:highlight w:val="none"/>
        </w:rPr>
        <w:t>结算</w:t>
      </w:r>
      <w:r>
        <w:rPr>
          <w:rFonts w:hint="eastAsia" w:ascii="Times New Roman" w:hAnsi="Times New Roman" w:eastAsia="宋体" w:cs="Times New Roman"/>
          <w:color w:val="auto"/>
          <w:sz w:val="21"/>
          <w:szCs w:val="21"/>
          <w:highlight w:val="none"/>
        </w:rPr>
        <w:t>款支付申请（核准）表</w:t>
      </w:r>
    </w:p>
    <w:p w14:paraId="2ED8587D">
      <w:pPr>
        <w:spacing w:line="360" w:lineRule="auto"/>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附件13：工程保修与结清结算支付申请（核准）表</w:t>
      </w:r>
    </w:p>
    <w:p w14:paraId="338C10FA">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附件14：总价合同进度款支付分解表</w:t>
      </w:r>
    </w:p>
    <w:p w14:paraId="7AEF6790">
      <w:pPr>
        <w:spacing w:line="360" w:lineRule="auto"/>
        <w:jc w:val="left"/>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rPr>
        <w:t>附件15</w:t>
      </w:r>
      <w:r>
        <w:rPr>
          <w:rFonts w:hint="eastAsia" w:ascii="Times New Roman" w:hAnsi="Times New Roman" w:eastAsia="宋体" w:cs="Times New Roman"/>
          <w:color w:val="auto"/>
          <w:sz w:val="21"/>
          <w:szCs w:val="21"/>
          <w:highlight w:val="none"/>
          <w:lang w:eastAsia="zh-CN"/>
        </w:rPr>
        <w:t>：措施项目费用分拆表</w:t>
      </w:r>
    </w:p>
    <w:p w14:paraId="7EDC0243">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附件</w:t>
      </w:r>
      <w:r>
        <w:rPr>
          <w:rFonts w:hint="eastAsia" w:ascii="Times New Roman" w:hAnsi="Times New Roman" w:eastAsia="宋体" w:cs="Times New Roman"/>
          <w:color w:val="auto"/>
          <w:sz w:val="21"/>
          <w:szCs w:val="21"/>
          <w:highlight w:val="none"/>
          <w:lang w:val="en-US" w:eastAsia="zh-CN"/>
        </w:rPr>
        <w:t>16：零星签证费用确认单</w:t>
      </w:r>
    </w:p>
    <w:p w14:paraId="39C16A19">
      <w:pPr>
        <w:pBdr>
          <w:top w:val="none" w:color="000000" w:sz="0" w:space="0"/>
          <w:left w:val="none" w:color="000000" w:sz="0" w:space="0"/>
          <w:right w:val="none" w:color="000000" w:sz="0" w:space="0"/>
          <w:between w:val="none" w:color="000000" w:sz="0" w:space="0"/>
        </w:pBdr>
        <w:spacing w:line="360" w:lineRule="auto"/>
        <w:jc w:val="left"/>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附件</w:t>
      </w:r>
      <w:r>
        <w:rPr>
          <w:rFonts w:hint="eastAsia" w:ascii="Times New Roman" w:hAnsi="Times New Roman" w:eastAsia="宋体" w:cs="Times New Roman"/>
          <w:color w:val="auto"/>
          <w:sz w:val="21"/>
          <w:szCs w:val="21"/>
          <w:highlight w:val="none"/>
          <w:lang w:val="en-US" w:eastAsia="zh-CN"/>
        </w:rPr>
        <w:t>17：索赔费用申请（核准）表</w:t>
      </w:r>
    </w:p>
    <w:p w14:paraId="7938BD7E">
      <w:pPr>
        <w:pBdr>
          <w:top w:val="none" w:color="000000" w:sz="0" w:space="0"/>
          <w:left w:val="none" w:color="000000" w:sz="0" w:space="0"/>
          <w:right w:val="none" w:color="000000" w:sz="0" w:space="0"/>
          <w:between w:val="none" w:color="000000" w:sz="0" w:space="0"/>
        </w:pBdr>
        <w:spacing w:line="360" w:lineRule="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附件</w:t>
      </w:r>
      <w:r>
        <w:rPr>
          <w:rFonts w:hint="eastAsia" w:ascii="Times New Roman" w:hAnsi="Times New Roman" w:eastAsia="宋体" w:cs="Times New Roman"/>
          <w:color w:val="auto"/>
          <w:sz w:val="21"/>
          <w:szCs w:val="21"/>
          <w:highlight w:val="none"/>
          <w:lang w:val="en-US" w:eastAsia="zh-CN"/>
        </w:rPr>
        <w:t>18：安全生产费支付申请（核准）表</w:t>
      </w:r>
    </w:p>
    <w:p w14:paraId="426A9D92">
      <w:pPr>
        <w:pBdr>
          <w:top w:val="none" w:color="000000" w:sz="0" w:space="0"/>
          <w:left w:val="none" w:color="000000" w:sz="0" w:space="0"/>
          <w:right w:val="none" w:color="000000" w:sz="0" w:space="0"/>
          <w:between w:val="none" w:color="000000" w:sz="0" w:space="0"/>
        </w:pBdr>
        <w:tabs>
          <w:tab w:val="center" w:pos="4153"/>
          <w:tab w:val="right" w:pos="8306"/>
        </w:tabs>
        <w:spacing w:line="360" w:lineRule="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附件</w:t>
      </w:r>
      <w:r>
        <w:rPr>
          <w:rFonts w:hint="eastAsia" w:ascii="Times New Roman" w:hAnsi="Times New Roman" w:eastAsia="宋体" w:cs="Times New Roman"/>
          <w:color w:val="auto"/>
          <w:sz w:val="21"/>
          <w:szCs w:val="21"/>
          <w:highlight w:val="none"/>
          <w:lang w:val="en-US" w:eastAsia="zh-CN"/>
        </w:rPr>
        <w:t>19：发包人提供材料一览表</w:t>
      </w:r>
    </w:p>
    <w:p w14:paraId="6251B2D2">
      <w:pPr>
        <w:pBdr>
          <w:top w:val="none" w:color="000000" w:sz="0" w:space="0"/>
          <w:left w:val="none" w:color="000000" w:sz="0" w:space="0"/>
          <w:right w:val="none" w:color="000000" w:sz="0" w:space="0"/>
          <w:between w:val="none" w:color="000000" w:sz="0" w:space="0"/>
        </w:pBdr>
        <w:tabs>
          <w:tab w:val="center" w:pos="4153"/>
          <w:tab w:val="right" w:pos="8306"/>
        </w:tabs>
        <w:spacing w:line="360" w:lineRule="auto"/>
        <w:rPr>
          <w:rFonts w:hint="eastAsia"/>
          <w:color w:val="auto"/>
          <w:sz w:val="21"/>
          <w:szCs w:val="21"/>
          <w:highlight w:val="none"/>
        </w:rPr>
        <w:sectPr>
          <w:pgSz w:w="11907" w:h="16840"/>
          <w:pgMar w:top="1440" w:right="1440" w:bottom="1797" w:left="1440" w:header="851" w:footer="850" w:gutter="0"/>
          <w:cols w:space="0" w:num="1"/>
        </w:sectPr>
      </w:pPr>
      <w:r>
        <w:rPr>
          <w:rFonts w:hint="eastAsia" w:ascii="Times New Roman" w:hAnsi="Times New Roman" w:eastAsia="宋体" w:cs="Times New Roman"/>
          <w:color w:val="auto"/>
          <w:sz w:val="21"/>
          <w:szCs w:val="21"/>
          <w:highlight w:val="none"/>
          <w:lang w:eastAsia="zh-CN"/>
        </w:rPr>
        <w:t>附件</w:t>
      </w:r>
      <w:r>
        <w:rPr>
          <w:rFonts w:hint="eastAsia" w:ascii="Times New Roman" w:hAnsi="Times New Roman" w:eastAsia="宋体" w:cs="Times New Roman"/>
          <w:color w:val="auto"/>
          <w:sz w:val="21"/>
          <w:szCs w:val="21"/>
          <w:highlight w:val="none"/>
          <w:lang w:val="en-US" w:eastAsia="zh-CN"/>
        </w:rPr>
        <w:t>20：允许调整价格的主要材料一览表</w:t>
      </w:r>
    </w:p>
    <w:p w14:paraId="3C74E2C6">
      <w:pPr>
        <w:widowControl w:val="0"/>
        <w:pBdr>
          <w:top w:val="none" w:color="000000" w:sz="0" w:space="0"/>
          <w:left w:val="none" w:color="000000" w:sz="0" w:space="0"/>
          <w:bottom w:val="none" w:color="000000" w:sz="0" w:space="1"/>
          <w:right w:val="none" w:color="000000" w:sz="0" w:space="0"/>
          <w:between w:val="none" w:color="000000" w:sz="0" w:space="0"/>
        </w:pBdr>
        <w:jc w:val="center"/>
        <w:rPr>
          <w:rFonts w:hint="eastAsia" w:ascii="Times New Roman" w:hAnsi="Times New Roman" w:eastAsia="宋体" w:cs="Times New Roman"/>
          <w:color w:val="auto"/>
          <w:sz w:val="18"/>
          <w:szCs w:val="18"/>
          <w:highlight w:val="none"/>
          <w:lang w:val="en-US" w:eastAsia="zh-CN" w:bidi="ar-SA"/>
        </w:rPr>
      </w:pPr>
    </w:p>
    <w:p w14:paraId="7B7ABE5D">
      <w:pPr>
        <w:spacing w:before="120" w:after="12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附件</w:t>
      </w:r>
      <w:r>
        <w:rPr>
          <w:rFonts w:ascii="仿宋_GB2312" w:hAnsi="Times New Roman" w:eastAsia="仿宋_GB2312" w:cs="仿宋_GB2312"/>
          <w:color w:val="auto"/>
          <w:sz w:val="30"/>
          <w:szCs w:val="30"/>
          <w:highlight w:val="none"/>
        </w:rPr>
        <w:t>1</w:t>
      </w:r>
      <w:r>
        <w:rPr>
          <w:rFonts w:hint="eastAsia" w:ascii="仿宋_GB2312" w:hAnsi="Times New Roman" w:eastAsia="仿宋_GB2312" w:cs="仿宋_GB2312"/>
          <w:color w:val="auto"/>
          <w:sz w:val="30"/>
          <w:szCs w:val="30"/>
          <w:highlight w:val="none"/>
        </w:rPr>
        <w:t>：承包人承揽工程项目一览表</w:t>
      </w:r>
    </w:p>
    <w:p w14:paraId="446ACD22">
      <w:pPr>
        <w:spacing w:before="120" w:after="120" w:line="440" w:lineRule="exact"/>
        <w:jc w:val="center"/>
        <w:rPr>
          <w:rFonts w:ascii="Times New Roman" w:hAnsi="Times New Roman" w:eastAsia="黑体" w:cs="Times New Roman"/>
          <w:color w:val="auto"/>
          <w:sz w:val="30"/>
          <w:szCs w:val="30"/>
          <w:highlight w:val="none"/>
        </w:rPr>
      </w:pPr>
      <w:r>
        <w:rPr>
          <w:rFonts w:hint="eastAsia" w:ascii="Times New Roman" w:hAnsi="Times New Roman" w:eastAsia="黑体" w:cs="黑体"/>
          <w:color w:val="auto"/>
          <w:sz w:val="30"/>
          <w:szCs w:val="30"/>
          <w:highlight w:val="none"/>
        </w:rPr>
        <w:t>承包人承揽工程项目一览表</w:t>
      </w:r>
    </w:p>
    <w:tbl>
      <w:tblPr>
        <w:tblStyle w:val="4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46"/>
        <w:gridCol w:w="947"/>
        <w:gridCol w:w="1065"/>
        <w:gridCol w:w="1092"/>
        <w:gridCol w:w="558"/>
        <w:gridCol w:w="1025"/>
        <w:gridCol w:w="1398"/>
        <w:gridCol w:w="931"/>
        <w:gridCol w:w="558"/>
        <w:gridCol w:w="558"/>
      </w:tblGrid>
      <w:tr w14:paraId="0489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21" w:type="pct"/>
            <w:noWrap w:val="0"/>
            <w:vAlign w:val="center"/>
          </w:tcPr>
          <w:p w14:paraId="642FF19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r>
              <w:rPr>
                <w:rFonts w:hint="eastAsia" w:ascii="Calibri" w:hAnsi="Calibri" w:eastAsia="仿宋_GB2312" w:cs="仿宋_GB2312"/>
                <w:color w:val="auto"/>
                <w:sz w:val="21"/>
                <w:szCs w:val="21"/>
                <w:highlight w:val="none"/>
                <w:lang w:val="en-US" w:eastAsia="zh-CN" w:bidi="ar-SA"/>
              </w:rPr>
              <w:t>单位工程名称</w:t>
            </w:r>
          </w:p>
        </w:tc>
        <w:tc>
          <w:tcPr>
            <w:tcW w:w="521" w:type="pct"/>
            <w:noWrap w:val="0"/>
            <w:vAlign w:val="center"/>
          </w:tcPr>
          <w:p w14:paraId="1B8C7F2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r>
              <w:rPr>
                <w:rFonts w:hint="eastAsia" w:ascii="Calibri" w:hAnsi="Calibri" w:eastAsia="仿宋_GB2312" w:cs="仿宋_GB2312"/>
                <w:color w:val="auto"/>
                <w:sz w:val="21"/>
                <w:szCs w:val="21"/>
                <w:highlight w:val="none"/>
                <w:lang w:val="en-US" w:eastAsia="zh-CN" w:bidi="ar-SA"/>
              </w:rPr>
              <w:t>建设规模</w:t>
            </w:r>
          </w:p>
        </w:tc>
        <w:tc>
          <w:tcPr>
            <w:tcW w:w="586" w:type="pct"/>
            <w:noWrap w:val="0"/>
            <w:vAlign w:val="center"/>
          </w:tcPr>
          <w:p w14:paraId="7481201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r>
              <w:rPr>
                <w:rFonts w:hint="eastAsia" w:ascii="Calibri" w:hAnsi="Calibri" w:eastAsia="仿宋_GB2312" w:cs="仿宋_GB2312"/>
                <w:color w:val="auto"/>
                <w:sz w:val="21"/>
                <w:szCs w:val="21"/>
                <w:highlight w:val="none"/>
                <w:lang w:val="en-US" w:eastAsia="zh-CN" w:bidi="ar-SA"/>
              </w:rPr>
              <w:t>建筑面积（平方米）</w:t>
            </w:r>
          </w:p>
        </w:tc>
        <w:tc>
          <w:tcPr>
            <w:tcW w:w="601" w:type="pct"/>
            <w:noWrap w:val="0"/>
            <w:vAlign w:val="center"/>
          </w:tcPr>
          <w:p w14:paraId="2885CBF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r>
              <w:rPr>
                <w:rFonts w:hint="eastAsia" w:ascii="Calibri" w:hAnsi="Calibri" w:eastAsia="仿宋_GB2312" w:cs="仿宋_GB2312"/>
                <w:color w:val="auto"/>
                <w:sz w:val="21"/>
                <w:szCs w:val="21"/>
                <w:highlight w:val="none"/>
                <w:lang w:val="en-US" w:eastAsia="zh-CN" w:bidi="ar-SA"/>
              </w:rPr>
              <w:t>结构形式</w:t>
            </w:r>
          </w:p>
        </w:tc>
        <w:tc>
          <w:tcPr>
            <w:tcW w:w="307" w:type="pct"/>
            <w:noWrap w:val="0"/>
            <w:vAlign w:val="center"/>
          </w:tcPr>
          <w:p w14:paraId="6788453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r>
              <w:rPr>
                <w:rFonts w:hint="eastAsia" w:ascii="Calibri" w:hAnsi="Calibri" w:eastAsia="仿宋_GB2312" w:cs="仿宋_GB2312"/>
                <w:color w:val="auto"/>
                <w:sz w:val="21"/>
                <w:szCs w:val="21"/>
                <w:highlight w:val="none"/>
                <w:lang w:val="en-US" w:eastAsia="zh-CN" w:bidi="ar-SA"/>
              </w:rPr>
              <w:t>层数</w:t>
            </w:r>
          </w:p>
        </w:tc>
        <w:tc>
          <w:tcPr>
            <w:tcW w:w="564" w:type="pct"/>
            <w:noWrap w:val="0"/>
            <w:vAlign w:val="center"/>
          </w:tcPr>
          <w:p w14:paraId="17D02EB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r>
              <w:rPr>
                <w:rFonts w:hint="eastAsia" w:ascii="Calibri" w:hAnsi="Calibri" w:eastAsia="仿宋_GB2312" w:cs="仿宋_GB2312"/>
                <w:color w:val="auto"/>
                <w:sz w:val="21"/>
                <w:szCs w:val="21"/>
                <w:highlight w:val="none"/>
                <w:lang w:val="en-US" w:eastAsia="zh-CN" w:bidi="ar-SA"/>
              </w:rPr>
              <w:t>生产能力</w:t>
            </w:r>
          </w:p>
        </w:tc>
        <w:tc>
          <w:tcPr>
            <w:tcW w:w="769" w:type="pct"/>
            <w:noWrap w:val="0"/>
            <w:vAlign w:val="center"/>
          </w:tcPr>
          <w:p w14:paraId="719895C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r>
              <w:rPr>
                <w:rFonts w:hint="eastAsia" w:ascii="Calibri" w:hAnsi="Calibri" w:eastAsia="仿宋_GB2312" w:cs="仿宋_GB2312"/>
                <w:color w:val="auto"/>
                <w:sz w:val="21"/>
                <w:szCs w:val="21"/>
                <w:highlight w:val="none"/>
                <w:lang w:val="en-US" w:eastAsia="zh-CN" w:bidi="ar-SA"/>
              </w:rPr>
              <w:t>设备安装内容</w:t>
            </w:r>
          </w:p>
        </w:tc>
        <w:tc>
          <w:tcPr>
            <w:tcW w:w="512" w:type="pct"/>
            <w:noWrap w:val="0"/>
            <w:vAlign w:val="center"/>
          </w:tcPr>
          <w:p w14:paraId="0852BC8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r>
              <w:rPr>
                <w:rFonts w:hint="eastAsia" w:ascii="Calibri" w:hAnsi="Calibri" w:eastAsia="仿宋_GB2312" w:cs="仿宋_GB2312"/>
                <w:color w:val="auto"/>
                <w:sz w:val="21"/>
                <w:szCs w:val="21"/>
                <w:highlight w:val="none"/>
                <w:lang w:val="en-US" w:eastAsia="zh-CN" w:bidi="ar-SA"/>
              </w:rPr>
              <w:t>合同价格（元）</w:t>
            </w:r>
          </w:p>
        </w:tc>
        <w:tc>
          <w:tcPr>
            <w:tcW w:w="307" w:type="pct"/>
            <w:noWrap w:val="0"/>
            <w:vAlign w:val="center"/>
          </w:tcPr>
          <w:p w14:paraId="248621F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r>
              <w:rPr>
                <w:rFonts w:hint="eastAsia" w:ascii="Calibri" w:hAnsi="Calibri" w:eastAsia="仿宋_GB2312" w:cs="仿宋_GB2312"/>
                <w:color w:val="auto"/>
                <w:sz w:val="21"/>
                <w:szCs w:val="21"/>
                <w:highlight w:val="none"/>
                <w:lang w:val="en-US" w:eastAsia="zh-CN" w:bidi="ar-SA"/>
              </w:rPr>
              <w:t>开工日期</w:t>
            </w:r>
          </w:p>
        </w:tc>
        <w:tc>
          <w:tcPr>
            <w:tcW w:w="307" w:type="pct"/>
            <w:noWrap w:val="0"/>
            <w:vAlign w:val="center"/>
          </w:tcPr>
          <w:p w14:paraId="4133783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r>
              <w:rPr>
                <w:rFonts w:hint="eastAsia" w:ascii="Calibri" w:hAnsi="Calibri" w:eastAsia="仿宋_GB2312" w:cs="仿宋_GB2312"/>
                <w:color w:val="auto"/>
                <w:sz w:val="21"/>
                <w:szCs w:val="21"/>
                <w:highlight w:val="none"/>
                <w:lang w:val="en-US" w:eastAsia="zh-CN" w:bidi="ar-SA"/>
              </w:rPr>
              <w:t>竣工日期</w:t>
            </w:r>
          </w:p>
        </w:tc>
      </w:tr>
      <w:tr w14:paraId="0658F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02F26E7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21" w:type="pct"/>
            <w:noWrap w:val="0"/>
            <w:vAlign w:val="center"/>
          </w:tcPr>
          <w:p w14:paraId="31F2A3D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86" w:type="pct"/>
            <w:noWrap w:val="0"/>
            <w:vAlign w:val="center"/>
          </w:tcPr>
          <w:p w14:paraId="548256E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601" w:type="pct"/>
            <w:noWrap w:val="0"/>
            <w:vAlign w:val="center"/>
          </w:tcPr>
          <w:p w14:paraId="1431359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174EF2A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64" w:type="pct"/>
            <w:noWrap w:val="0"/>
            <w:vAlign w:val="center"/>
          </w:tcPr>
          <w:p w14:paraId="37F1B53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769" w:type="pct"/>
            <w:noWrap w:val="0"/>
            <w:vAlign w:val="center"/>
          </w:tcPr>
          <w:p w14:paraId="3DEBBE4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12" w:type="pct"/>
            <w:noWrap w:val="0"/>
            <w:vAlign w:val="center"/>
          </w:tcPr>
          <w:p w14:paraId="24853A4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6D8CD7A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7E151D1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r>
      <w:tr w14:paraId="4F736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0691E55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21" w:type="pct"/>
            <w:noWrap w:val="0"/>
            <w:vAlign w:val="center"/>
          </w:tcPr>
          <w:p w14:paraId="6A30A43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86" w:type="pct"/>
            <w:noWrap w:val="0"/>
            <w:vAlign w:val="center"/>
          </w:tcPr>
          <w:p w14:paraId="33F9934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601" w:type="pct"/>
            <w:noWrap w:val="0"/>
            <w:vAlign w:val="center"/>
          </w:tcPr>
          <w:p w14:paraId="3E799E0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27B8C5C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64" w:type="pct"/>
            <w:noWrap w:val="0"/>
            <w:vAlign w:val="center"/>
          </w:tcPr>
          <w:p w14:paraId="1B21B2C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769" w:type="pct"/>
            <w:noWrap w:val="0"/>
            <w:vAlign w:val="center"/>
          </w:tcPr>
          <w:p w14:paraId="05F2222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12" w:type="pct"/>
            <w:noWrap w:val="0"/>
            <w:vAlign w:val="center"/>
          </w:tcPr>
          <w:p w14:paraId="0A14668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7CF3BB2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7E468FD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r>
      <w:tr w14:paraId="3E2D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10F1B9B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21" w:type="pct"/>
            <w:noWrap w:val="0"/>
            <w:vAlign w:val="center"/>
          </w:tcPr>
          <w:p w14:paraId="47285BA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86" w:type="pct"/>
            <w:noWrap w:val="0"/>
            <w:vAlign w:val="center"/>
          </w:tcPr>
          <w:p w14:paraId="126887D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601" w:type="pct"/>
            <w:noWrap w:val="0"/>
            <w:vAlign w:val="center"/>
          </w:tcPr>
          <w:p w14:paraId="2FB00E4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0E24922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64" w:type="pct"/>
            <w:noWrap w:val="0"/>
            <w:vAlign w:val="center"/>
          </w:tcPr>
          <w:p w14:paraId="3C0BEDE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769" w:type="pct"/>
            <w:noWrap w:val="0"/>
            <w:vAlign w:val="center"/>
          </w:tcPr>
          <w:p w14:paraId="7BB2919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12" w:type="pct"/>
            <w:noWrap w:val="0"/>
            <w:vAlign w:val="center"/>
          </w:tcPr>
          <w:p w14:paraId="402766C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6248F0C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0AE9166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r>
      <w:tr w14:paraId="3A15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07C8429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21" w:type="pct"/>
            <w:noWrap w:val="0"/>
            <w:vAlign w:val="center"/>
          </w:tcPr>
          <w:p w14:paraId="26E6699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86" w:type="pct"/>
            <w:noWrap w:val="0"/>
            <w:vAlign w:val="center"/>
          </w:tcPr>
          <w:p w14:paraId="44220A9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601" w:type="pct"/>
            <w:noWrap w:val="0"/>
            <w:vAlign w:val="center"/>
          </w:tcPr>
          <w:p w14:paraId="346C014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65949B7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64" w:type="pct"/>
            <w:noWrap w:val="0"/>
            <w:vAlign w:val="center"/>
          </w:tcPr>
          <w:p w14:paraId="3E44935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769" w:type="pct"/>
            <w:noWrap w:val="0"/>
            <w:vAlign w:val="center"/>
          </w:tcPr>
          <w:p w14:paraId="6F1DBE6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12" w:type="pct"/>
            <w:noWrap w:val="0"/>
            <w:vAlign w:val="center"/>
          </w:tcPr>
          <w:p w14:paraId="7327646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6790F92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41D406B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r>
      <w:tr w14:paraId="3F99B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430B978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21" w:type="pct"/>
            <w:noWrap w:val="0"/>
            <w:vAlign w:val="center"/>
          </w:tcPr>
          <w:p w14:paraId="7E8F9EC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86" w:type="pct"/>
            <w:noWrap w:val="0"/>
            <w:vAlign w:val="center"/>
          </w:tcPr>
          <w:p w14:paraId="71DD6FF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601" w:type="pct"/>
            <w:noWrap w:val="0"/>
            <w:vAlign w:val="center"/>
          </w:tcPr>
          <w:p w14:paraId="05C3551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182B178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64" w:type="pct"/>
            <w:noWrap w:val="0"/>
            <w:vAlign w:val="center"/>
          </w:tcPr>
          <w:p w14:paraId="16FDD3D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769" w:type="pct"/>
            <w:noWrap w:val="0"/>
            <w:vAlign w:val="center"/>
          </w:tcPr>
          <w:p w14:paraId="3B97F8B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12" w:type="pct"/>
            <w:noWrap w:val="0"/>
            <w:vAlign w:val="center"/>
          </w:tcPr>
          <w:p w14:paraId="001603C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073974D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313B553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r>
      <w:tr w14:paraId="49DB4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71A2E26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21" w:type="pct"/>
            <w:noWrap w:val="0"/>
            <w:vAlign w:val="center"/>
          </w:tcPr>
          <w:p w14:paraId="087AE14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86" w:type="pct"/>
            <w:noWrap w:val="0"/>
            <w:vAlign w:val="center"/>
          </w:tcPr>
          <w:p w14:paraId="030B8D7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601" w:type="pct"/>
            <w:noWrap w:val="0"/>
            <w:vAlign w:val="center"/>
          </w:tcPr>
          <w:p w14:paraId="19A9BB1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01E6E6C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64" w:type="pct"/>
            <w:noWrap w:val="0"/>
            <w:vAlign w:val="center"/>
          </w:tcPr>
          <w:p w14:paraId="5862B19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769" w:type="pct"/>
            <w:noWrap w:val="0"/>
            <w:vAlign w:val="center"/>
          </w:tcPr>
          <w:p w14:paraId="2E574F3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12" w:type="pct"/>
            <w:noWrap w:val="0"/>
            <w:vAlign w:val="center"/>
          </w:tcPr>
          <w:p w14:paraId="40FB852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5A05CBF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69A23C0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r>
      <w:tr w14:paraId="5BCB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61043FD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21" w:type="pct"/>
            <w:noWrap w:val="0"/>
            <w:vAlign w:val="center"/>
          </w:tcPr>
          <w:p w14:paraId="52F4BA7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86" w:type="pct"/>
            <w:noWrap w:val="0"/>
            <w:vAlign w:val="center"/>
          </w:tcPr>
          <w:p w14:paraId="6284E03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601" w:type="pct"/>
            <w:noWrap w:val="0"/>
            <w:vAlign w:val="center"/>
          </w:tcPr>
          <w:p w14:paraId="16E5B9A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7464DE0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64" w:type="pct"/>
            <w:noWrap w:val="0"/>
            <w:vAlign w:val="center"/>
          </w:tcPr>
          <w:p w14:paraId="384F43E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769" w:type="pct"/>
            <w:noWrap w:val="0"/>
            <w:vAlign w:val="center"/>
          </w:tcPr>
          <w:p w14:paraId="328D335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12" w:type="pct"/>
            <w:noWrap w:val="0"/>
            <w:vAlign w:val="center"/>
          </w:tcPr>
          <w:p w14:paraId="3EDBB08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4AA3102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49AF76F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r>
      <w:tr w14:paraId="4276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7CD5ECA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21" w:type="pct"/>
            <w:noWrap w:val="0"/>
            <w:vAlign w:val="center"/>
          </w:tcPr>
          <w:p w14:paraId="7C538BE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86" w:type="pct"/>
            <w:noWrap w:val="0"/>
            <w:vAlign w:val="center"/>
          </w:tcPr>
          <w:p w14:paraId="27B6841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601" w:type="pct"/>
            <w:noWrap w:val="0"/>
            <w:vAlign w:val="center"/>
          </w:tcPr>
          <w:p w14:paraId="5612094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2E6F63B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64" w:type="pct"/>
            <w:noWrap w:val="0"/>
            <w:vAlign w:val="center"/>
          </w:tcPr>
          <w:p w14:paraId="19A169B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769" w:type="pct"/>
            <w:noWrap w:val="0"/>
            <w:vAlign w:val="center"/>
          </w:tcPr>
          <w:p w14:paraId="3CA5C04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12" w:type="pct"/>
            <w:noWrap w:val="0"/>
            <w:vAlign w:val="center"/>
          </w:tcPr>
          <w:p w14:paraId="187A31E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1D6CBF6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55614B2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r>
      <w:tr w14:paraId="17A9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484FE64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21" w:type="pct"/>
            <w:noWrap w:val="0"/>
            <w:vAlign w:val="center"/>
          </w:tcPr>
          <w:p w14:paraId="575C290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86" w:type="pct"/>
            <w:noWrap w:val="0"/>
            <w:vAlign w:val="center"/>
          </w:tcPr>
          <w:p w14:paraId="69903FE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601" w:type="pct"/>
            <w:noWrap w:val="0"/>
            <w:vAlign w:val="center"/>
          </w:tcPr>
          <w:p w14:paraId="4B559F3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602CCF3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64" w:type="pct"/>
            <w:noWrap w:val="0"/>
            <w:vAlign w:val="center"/>
          </w:tcPr>
          <w:p w14:paraId="383928E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769" w:type="pct"/>
            <w:noWrap w:val="0"/>
            <w:vAlign w:val="center"/>
          </w:tcPr>
          <w:p w14:paraId="0C47A01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12" w:type="pct"/>
            <w:noWrap w:val="0"/>
            <w:vAlign w:val="center"/>
          </w:tcPr>
          <w:p w14:paraId="7DA287C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3DB8791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1741CF1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r>
      <w:tr w14:paraId="0D0A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2A6BFD0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21" w:type="pct"/>
            <w:noWrap w:val="0"/>
            <w:vAlign w:val="center"/>
          </w:tcPr>
          <w:p w14:paraId="1F3AE54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86" w:type="pct"/>
            <w:noWrap w:val="0"/>
            <w:vAlign w:val="center"/>
          </w:tcPr>
          <w:p w14:paraId="48C836C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601" w:type="pct"/>
            <w:noWrap w:val="0"/>
            <w:vAlign w:val="center"/>
          </w:tcPr>
          <w:p w14:paraId="2D5D589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1EE025E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64" w:type="pct"/>
            <w:noWrap w:val="0"/>
            <w:vAlign w:val="center"/>
          </w:tcPr>
          <w:p w14:paraId="4FF39A2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769" w:type="pct"/>
            <w:noWrap w:val="0"/>
            <w:vAlign w:val="center"/>
          </w:tcPr>
          <w:p w14:paraId="7116D4D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512" w:type="pct"/>
            <w:noWrap w:val="0"/>
            <w:vAlign w:val="center"/>
          </w:tcPr>
          <w:p w14:paraId="373483D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7568E82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c>
          <w:tcPr>
            <w:tcW w:w="307" w:type="pct"/>
            <w:noWrap w:val="0"/>
            <w:vAlign w:val="center"/>
          </w:tcPr>
          <w:p w14:paraId="14A6359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1"/>
                <w:szCs w:val="21"/>
                <w:highlight w:val="none"/>
                <w:lang w:val="en-US" w:eastAsia="zh-CN" w:bidi="ar-SA"/>
              </w:rPr>
            </w:pPr>
          </w:p>
        </w:tc>
      </w:tr>
    </w:tbl>
    <w:p w14:paraId="19E669EB">
      <w:pPr>
        <w:spacing w:line="460" w:lineRule="exact"/>
        <w:ind w:firstLine="420"/>
        <w:rPr>
          <w:rFonts w:ascii="Times New Roman" w:hAnsi="Times New Roman" w:eastAsia="宋体" w:cs="Times New Roman"/>
          <w:color w:val="auto"/>
          <w:szCs w:val="21"/>
          <w:highlight w:val="none"/>
        </w:rPr>
      </w:pPr>
    </w:p>
    <w:p w14:paraId="6400C212">
      <w:pPr>
        <w:spacing w:line="460" w:lineRule="exact"/>
        <w:ind w:firstLine="420"/>
        <w:rPr>
          <w:color w:val="auto"/>
          <w:highlight w:val="none"/>
        </w:rPr>
        <w:sectPr>
          <w:pgSz w:w="11907" w:h="16840"/>
          <w:pgMar w:top="1440" w:right="1440" w:bottom="1797" w:left="1440" w:header="851" w:footer="851" w:gutter="0"/>
          <w:cols w:space="720" w:num="1"/>
        </w:sectPr>
      </w:pPr>
    </w:p>
    <w:p w14:paraId="785229B8">
      <w:pPr>
        <w:spacing w:before="120" w:after="12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附件2：</w:t>
      </w:r>
      <w:r>
        <w:rPr>
          <w:rFonts w:hint="eastAsia" w:ascii="仿宋_GB2312" w:hAnsi="Times New Roman" w:eastAsia="仿宋_GB2312" w:cs="仿宋_GB2312"/>
          <w:color w:val="auto"/>
          <w:sz w:val="30"/>
          <w:szCs w:val="30"/>
          <w:highlight w:val="none"/>
          <w:lang w:val="en-US" w:eastAsia="zh-CN"/>
        </w:rPr>
        <w:t>工程质量保修书</w:t>
      </w:r>
    </w:p>
    <w:p w14:paraId="0166668A">
      <w:pPr>
        <w:spacing w:before="120" w:after="120" w:line="440" w:lineRule="exact"/>
        <w:jc w:val="center"/>
        <w:rPr>
          <w:rFonts w:ascii="黑体" w:hAnsi="Times New Roman" w:eastAsia="黑体" w:cs="Times New Roman"/>
          <w:color w:val="auto"/>
          <w:sz w:val="32"/>
          <w:szCs w:val="32"/>
          <w:highlight w:val="none"/>
        </w:rPr>
      </w:pPr>
      <w:r>
        <w:rPr>
          <w:rFonts w:hint="eastAsia" w:ascii="黑体" w:hAnsi="宋体" w:eastAsia="黑体" w:cs="黑体"/>
          <w:color w:val="auto"/>
          <w:sz w:val="32"/>
          <w:szCs w:val="32"/>
          <w:highlight w:val="none"/>
        </w:rPr>
        <w:t>工程质量保修书（房屋建筑工程）</w:t>
      </w:r>
    </w:p>
    <w:p w14:paraId="44207C23">
      <w:pPr>
        <w:spacing w:line="440" w:lineRule="exact"/>
        <w:ind w:firstLine="420"/>
        <w:rPr>
          <w:rFonts w:ascii="Times New Roman" w:hAnsi="Times New Roman" w:eastAsia="宋体" w:cs="Times New Roman"/>
          <w:color w:val="auto"/>
          <w:szCs w:val="21"/>
          <w:highlight w:val="none"/>
        </w:rPr>
      </w:pPr>
      <w:r>
        <w:rPr>
          <w:rFonts w:hint="eastAsia" w:ascii="Times New Roman" w:hAnsi="宋体" w:eastAsia="宋体" w:cs="宋体"/>
          <w:color w:val="auto"/>
          <w:szCs w:val="21"/>
          <w:highlight w:val="none"/>
        </w:rPr>
        <w:t>发包人（全称）：</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p>
    <w:p w14:paraId="7B246661">
      <w:pPr>
        <w:spacing w:line="440" w:lineRule="exact"/>
        <w:ind w:firstLine="420"/>
        <w:rPr>
          <w:rFonts w:ascii="Times New Roman" w:hAnsi="Times New Roman" w:eastAsia="宋体" w:cs="Times New Roman"/>
          <w:color w:val="auto"/>
          <w:szCs w:val="21"/>
          <w:highlight w:val="none"/>
        </w:rPr>
      </w:pPr>
      <w:r>
        <w:rPr>
          <w:rFonts w:hint="eastAsia" w:ascii="Times New Roman" w:hAnsi="宋体" w:eastAsia="宋体" w:cs="宋体"/>
          <w:color w:val="auto"/>
          <w:szCs w:val="21"/>
          <w:highlight w:val="none"/>
        </w:rPr>
        <w:t>承包人（全称）：</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p>
    <w:p w14:paraId="1A7D894E">
      <w:pPr>
        <w:spacing w:line="440" w:lineRule="exact"/>
        <w:rPr>
          <w:rFonts w:ascii="Times New Roman" w:hAnsi="Times New Roman" w:eastAsia="宋体" w:cs="Times New Roman"/>
          <w:color w:val="auto"/>
          <w:szCs w:val="21"/>
          <w:highlight w:val="none"/>
        </w:rPr>
      </w:pPr>
    </w:p>
    <w:p w14:paraId="7C650782">
      <w:pPr>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发包人和承包人根据《中华人民共和国建筑法》和《建设工程质量管理条例》，经协商一致就</w:t>
      </w: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（工程全称）签订工程质量保修书。</w:t>
      </w:r>
    </w:p>
    <w:p w14:paraId="7F6F283B">
      <w:pP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一、工程质量保修范围和内容</w:t>
      </w:r>
    </w:p>
    <w:p w14:paraId="2AF053D0">
      <w:pPr>
        <w:spacing w:line="360" w:lineRule="auto"/>
        <w:ind w:firstLine="420"/>
        <w:rPr>
          <w:rFonts w:ascii="Times New Roman" w:hAnsi="Times New Roman" w:eastAsia="宋体" w:cs="Times New Roman"/>
          <w:color w:val="auto"/>
          <w:szCs w:val="21"/>
          <w:highlight w:val="none"/>
        </w:rPr>
      </w:pPr>
      <w:r>
        <w:rPr>
          <w:rFonts w:hint="eastAsia" w:ascii="Times New Roman" w:hAnsi="宋体" w:eastAsia="宋体" w:cs="宋体"/>
          <w:color w:val="auto"/>
          <w:szCs w:val="21"/>
          <w:highlight w:val="none"/>
        </w:rPr>
        <w:t>承包人在质量保修期内，按照有关法律规定和合同约定，承担工程质量保修责任。</w:t>
      </w:r>
    </w:p>
    <w:p w14:paraId="352E4ACD">
      <w:pPr>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6CAA44F9">
      <w:pPr>
        <w:spacing w:line="360" w:lineRule="auto"/>
        <w:ind w:firstLine="420"/>
        <w:rPr>
          <w:rFonts w:ascii="Times New Roman" w:hAnsi="宋体"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w:t>
      </w:r>
    </w:p>
    <w:p w14:paraId="268FF159">
      <w:pP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二、质量保修期</w:t>
      </w:r>
    </w:p>
    <w:p w14:paraId="4C41073A">
      <w:pPr>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根据《建设工程质量管理条例》及有关规定，工程的质量保修期如下：</w:t>
      </w:r>
    </w:p>
    <w:p w14:paraId="26BFC6D8">
      <w:pPr>
        <w:spacing w:line="360" w:lineRule="auto"/>
        <w:ind w:firstLine="420"/>
        <w:rPr>
          <w:rFonts w:ascii="Times New Roman" w:hAnsi="宋体" w:eastAsia="宋体" w:cs="Times New Roman"/>
          <w:color w:val="auto"/>
          <w:szCs w:val="21"/>
          <w:highlight w:val="yellow"/>
        </w:rPr>
      </w:pPr>
      <w:r>
        <w:rPr>
          <w:rFonts w:hint="eastAsia" w:ascii="Times New Roman" w:hAnsi="Times New Roman" w:eastAsia="宋体" w:cs="Times New Roman"/>
          <w:color w:val="auto"/>
          <w:szCs w:val="21"/>
          <w:highlight w:val="yellow"/>
          <w:lang w:eastAsia="zh-CN"/>
        </w:rPr>
        <w:t>1.</w:t>
      </w:r>
      <w:r>
        <w:rPr>
          <w:rFonts w:hint="eastAsia" w:ascii="Times New Roman" w:hAnsi="宋体" w:eastAsia="宋体" w:cs="宋体"/>
          <w:color w:val="auto"/>
          <w:szCs w:val="21"/>
          <w:highlight w:val="yellow"/>
        </w:rPr>
        <w:t>地基基础工程和主体结构工程为设计文件规定的工程合理使用年限；</w:t>
      </w:r>
    </w:p>
    <w:p w14:paraId="7CF95F68">
      <w:pPr>
        <w:spacing w:line="360" w:lineRule="auto"/>
        <w:ind w:firstLine="420"/>
        <w:rPr>
          <w:rFonts w:ascii="Times New Roman" w:hAnsi="宋体" w:eastAsia="宋体" w:cs="Times New Roman"/>
          <w:color w:val="auto"/>
          <w:szCs w:val="21"/>
          <w:highlight w:val="yellow"/>
        </w:rPr>
      </w:pPr>
      <w:r>
        <w:rPr>
          <w:rFonts w:hint="eastAsia" w:ascii="Times New Roman" w:hAnsi="Times New Roman" w:eastAsia="宋体" w:cs="Times New Roman"/>
          <w:color w:val="auto"/>
          <w:szCs w:val="21"/>
          <w:highlight w:val="yellow"/>
          <w:lang w:eastAsia="zh-CN"/>
        </w:rPr>
        <w:t>2.</w:t>
      </w:r>
      <w:r>
        <w:rPr>
          <w:rFonts w:hint="eastAsia" w:ascii="Times New Roman" w:hAnsi="宋体" w:eastAsia="宋体" w:cs="宋体"/>
          <w:color w:val="auto"/>
          <w:szCs w:val="21"/>
          <w:highlight w:val="yellow"/>
        </w:rPr>
        <w:t>屋面防水工程、有防水要求的卫生间、房间和外墙面的防渗为</w:t>
      </w:r>
      <w:r>
        <w:rPr>
          <w:rFonts w:ascii="Times New Roman" w:hAnsi="Times New Roman" w:eastAsia="宋体" w:cs="Times New Roman"/>
          <w:color w:val="auto"/>
          <w:szCs w:val="21"/>
          <w:highlight w:val="yellow"/>
          <w:u w:val="single"/>
        </w:rPr>
        <w:t xml:space="preserve">        </w:t>
      </w:r>
      <w:r>
        <w:rPr>
          <w:rFonts w:hint="eastAsia" w:ascii="Times New Roman" w:hAnsi="宋体" w:eastAsia="宋体" w:cs="宋体"/>
          <w:color w:val="auto"/>
          <w:szCs w:val="21"/>
          <w:highlight w:val="yellow"/>
        </w:rPr>
        <w:t>年；</w:t>
      </w:r>
    </w:p>
    <w:p w14:paraId="0026A24D">
      <w:pPr>
        <w:spacing w:line="360" w:lineRule="auto"/>
        <w:ind w:firstLine="420"/>
        <w:rPr>
          <w:rFonts w:ascii="Times New Roman" w:hAnsi="宋体" w:eastAsia="宋体" w:cs="Times New Roman"/>
          <w:color w:val="auto"/>
          <w:szCs w:val="21"/>
          <w:highlight w:val="yellow"/>
        </w:rPr>
      </w:pPr>
      <w:r>
        <w:rPr>
          <w:rFonts w:hint="eastAsia" w:ascii="Times New Roman" w:hAnsi="Times New Roman" w:eastAsia="宋体" w:cs="Times New Roman"/>
          <w:color w:val="auto"/>
          <w:szCs w:val="21"/>
          <w:highlight w:val="yellow"/>
          <w:lang w:eastAsia="zh-CN"/>
        </w:rPr>
        <w:t>3.</w:t>
      </w:r>
      <w:r>
        <w:rPr>
          <w:rFonts w:hint="eastAsia" w:ascii="Times New Roman" w:hAnsi="宋体" w:eastAsia="宋体" w:cs="宋体"/>
          <w:color w:val="auto"/>
          <w:szCs w:val="21"/>
          <w:highlight w:val="yellow"/>
        </w:rPr>
        <w:t>装修工程为</w:t>
      </w:r>
      <w:r>
        <w:rPr>
          <w:rFonts w:ascii="Times New Roman" w:hAnsi="Times New Roman" w:eastAsia="宋体" w:cs="Times New Roman"/>
          <w:color w:val="auto"/>
          <w:szCs w:val="21"/>
          <w:highlight w:val="yellow"/>
          <w:u w:val="single"/>
        </w:rPr>
        <w:t xml:space="preserve">         </w:t>
      </w:r>
      <w:r>
        <w:rPr>
          <w:rFonts w:hint="eastAsia" w:ascii="Times New Roman" w:hAnsi="宋体" w:eastAsia="宋体" w:cs="宋体"/>
          <w:color w:val="auto"/>
          <w:szCs w:val="21"/>
          <w:highlight w:val="yellow"/>
        </w:rPr>
        <w:t>年；</w:t>
      </w:r>
    </w:p>
    <w:p w14:paraId="493EB544">
      <w:pPr>
        <w:spacing w:line="360" w:lineRule="auto"/>
        <w:ind w:firstLine="420"/>
        <w:rPr>
          <w:rFonts w:ascii="Times New Roman" w:hAnsi="宋体" w:eastAsia="宋体" w:cs="Times New Roman"/>
          <w:color w:val="auto"/>
          <w:szCs w:val="21"/>
          <w:highlight w:val="yellow"/>
        </w:rPr>
      </w:pPr>
      <w:r>
        <w:rPr>
          <w:rFonts w:hint="eastAsia" w:ascii="Times New Roman" w:hAnsi="Times New Roman" w:eastAsia="宋体" w:cs="Times New Roman"/>
          <w:color w:val="auto"/>
          <w:szCs w:val="21"/>
          <w:highlight w:val="yellow"/>
          <w:lang w:eastAsia="zh-CN"/>
        </w:rPr>
        <w:t>4.</w:t>
      </w:r>
      <w:r>
        <w:rPr>
          <w:rFonts w:hint="eastAsia" w:ascii="Times New Roman" w:hAnsi="宋体" w:eastAsia="宋体" w:cs="宋体"/>
          <w:color w:val="auto"/>
          <w:szCs w:val="21"/>
          <w:highlight w:val="yellow"/>
        </w:rPr>
        <w:t>电气管线、给排水管道、设备安装工程为</w:t>
      </w:r>
      <w:r>
        <w:rPr>
          <w:rFonts w:ascii="Times New Roman" w:hAnsi="Times New Roman" w:eastAsia="宋体" w:cs="Times New Roman"/>
          <w:color w:val="auto"/>
          <w:szCs w:val="21"/>
          <w:highlight w:val="yellow"/>
          <w:u w:val="single"/>
        </w:rPr>
        <w:t xml:space="preserve">         </w:t>
      </w:r>
      <w:r>
        <w:rPr>
          <w:rFonts w:hint="eastAsia" w:ascii="Times New Roman" w:hAnsi="宋体" w:eastAsia="宋体" w:cs="宋体"/>
          <w:color w:val="auto"/>
          <w:szCs w:val="21"/>
          <w:highlight w:val="yellow"/>
        </w:rPr>
        <w:t>年；</w:t>
      </w:r>
    </w:p>
    <w:p w14:paraId="338AD457">
      <w:pPr>
        <w:spacing w:line="360" w:lineRule="auto"/>
        <w:ind w:firstLine="420"/>
        <w:rPr>
          <w:rFonts w:ascii="Times New Roman" w:hAnsi="宋体" w:eastAsia="宋体" w:cs="Times New Roman"/>
          <w:color w:val="auto"/>
          <w:szCs w:val="21"/>
          <w:highlight w:val="yellow"/>
        </w:rPr>
      </w:pPr>
      <w:r>
        <w:rPr>
          <w:rFonts w:hint="eastAsia" w:ascii="Times New Roman" w:hAnsi="Times New Roman" w:eastAsia="宋体" w:cs="Times New Roman"/>
          <w:color w:val="auto"/>
          <w:szCs w:val="21"/>
          <w:highlight w:val="yellow"/>
          <w:lang w:eastAsia="zh-CN"/>
        </w:rPr>
        <w:t>5.</w:t>
      </w:r>
      <w:r>
        <w:rPr>
          <w:rFonts w:hint="eastAsia" w:ascii="Times New Roman" w:hAnsi="宋体" w:eastAsia="宋体" w:cs="宋体"/>
          <w:color w:val="auto"/>
          <w:szCs w:val="21"/>
          <w:highlight w:val="yellow"/>
        </w:rPr>
        <w:t>供热与供冷系统为</w:t>
      </w:r>
      <w:r>
        <w:rPr>
          <w:rFonts w:ascii="Times New Roman" w:hAnsi="Times New Roman" w:eastAsia="宋体" w:cs="Times New Roman"/>
          <w:color w:val="auto"/>
          <w:szCs w:val="21"/>
          <w:highlight w:val="yellow"/>
          <w:u w:val="single"/>
        </w:rPr>
        <w:t xml:space="preserve">         </w:t>
      </w:r>
      <w:r>
        <w:rPr>
          <w:rFonts w:hint="eastAsia" w:ascii="Times New Roman" w:hAnsi="宋体" w:eastAsia="宋体" w:cs="宋体"/>
          <w:color w:val="auto"/>
          <w:szCs w:val="21"/>
          <w:highlight w:val="yellow"/>
        </w:rPr>
        <w:t>个采暖期、供冷期；</w:t>
      </w:r>
    </w:p>
    <w:p w14:paraId="4AC0095D">
      <w:pPr>
        <w:spacing w:line="360" w:lineRule="auto"/>
        <w:ind w:firstLine="420"/>
        <w:rPr>
          <w:rFonts w:ascii="Times New Roman" w:hAnsi="宋体" w:eastAsia="宋体" w:cs="Times New Roman"/>
          <w:color w:val="auto"/>
          <w:szCs w:val="21"/>
          <w:highlight w:val="yellow"/>
        </w:rPr>
      </w:pPr>
      <w:r>
        <w:rPr>
          <w:rFonts w:hint="eastAsia" w:ascii="Times New Roman" w:hAnsi="Times New Roman" w:eastAsia="宋体" w:cs="Times New Roman"/>
          <w:color w:val="auto"/>
          <w:szCs w:val="21"/>
          <w:highlight w:val="yellow"/>
          <w:lang w:eastAsia="zh-CN"/>
        </w:rPr>
        <w:t>6.</w:t>
      </w:r>
      <w:r>
        <w:rPr>
          <w:rFonts w:hint="eastAsia" w:ascii="Times New Roman" w:hAnsi="宋体" w:eastAsia="宋体" w:cs="宋体"/>
          <w:color w:val="auto"/>
          <w:szCs w:val="21"/>
          <w:highlight w:val="yellow"/>
        </w:rPr>
        <w:t>住宅小区内的给排水设施、道路等配套工程为</w:t>
      </w:r>
      <w:r>
        <w:rPr>
          <w:rFonts w:ascii="Times New Roman" w:hAnsi="Times New Roman" w:eastAsia="宋体" w:cs="Times New Roman"/>
          <w:color w:val="auto"/>
          <w:szCs w:val="21"/>
          <w:highlight w:val="yellow"/>
          <w:u w:val="single"/>
        </w:rPr>
        <w:t xml:space="preserve">         </w:t>
      </w:r>
      <w:r>
        <w:rPr>
          <w:rFonts w:hint="eastAsia" w:ascii="Times New Roman" w:hAnsi="宋体" w:eastAsia="宋体" w:cs="宋体"/>
          <w:color w:val="auto"/>
          <w:szCs w:val="21"/>
          <w:highlight w:val="yellow"/>
        </w:rPr>
        <w:t>年；</w:t>
      </w:r>
    </w:p>
    <w:p w14:paraId="52256D36">
      <w:pP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7.</w:t>
      </w:r>
      <w:r>
        <w:rPr>
          <w:rFonts w:hint="eastAsia" w:ascii="Times New Roman" w:hAnsi="宋体" w:eastAsia="宋体" w:cs="宋体"/>
          <w:color w:val="auto"/>
          <w:szCs w:val="21"/>
          <w:highlight w:val="none"/>
        </w:rPr>
        <w:t>其他项目保修期限约定如下：</w:t>
      </w:r>
      <w:r>
        <w:rPr>
          <w:rFonts w:hint="eastAsia" w:ascii="Times New Roman" w:hAnsi="Times New Roman" w:eastAsia="宋体" w:cs="Times New Roman"/>
          <w:color w:val="auto"/>
          <w:szCs w:val="21"/>
          <w:highlight w:val="none"/>
          <w:u w:val="single"/>
        </w:rPr>
        <w:t>按国家有关规定执行</w:t>
      </w:r>
      <w:r>
        <w:rPr>
          <w:rFonts w:hint="eastAsia" w:ascii="Times New Roman" w:hAnsi="宋体" w:eastAsia="宋体" w:cs="宋体"/>
          <w:color w:val="auto"/>
          <w:szCs w:val="21"/>
          <w:highlight w:val="none"/>
        </w:rPr>
        <w:t>。</w:t>
      </w:r>
    </w:p>
    <w:p w14:paraId="41E51262">
      <w:pPr>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质量保修期自工程竣工验收合格之日起计算。</w:t>
      </w:r>
    </w:p>
    <w:p w14:paraId="4B95C75F">
      <w:pP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三、缺陷责任期</w:t>
      </w:r>
    </w:p>
    <w:p w14:paraId="596AAE13">
      <w:pPr>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FF0000"/>
          <w:szCs w:val="21"/>
          <w:highlight w:val="none"/>
        </w:rPr>
        <w:t>工程缺陷责任期为</w:t>
      </w:r>
      <w:r>
        <w:rPr>
          <w:rFonts w:hint="eastAsia" w:ascii="Times New Roman" w:hAnsi="Times New Roman" w:eastAsia="宋体" w:cs="Times New Roman"/>
          <w:color w:val="FF0000"/>
          <w:szCs w:val="21"/>
          <w:highlight w:val="none"/>
          <w:u w:val="single"/>
          <w:lang w:val="en-US" w:eastAsia="zh-CN"/>
        </w:rPr>
        <w:t xml:space="preserve">    </w:t>
      </w:r>
      <w:r>
        <w:rPr>
          <w:rFonts w:hint="eastAsia" w:ascii="Times New Roman" w:hAnsi="宋体" w:eastAsia="宋体" w:cs="宋体"/>
          <w:color w:val="FF0000"/>
          <w:szCs w:val="21"/>
          <w:highlight w:val="none"/>
        </w:rPr>
        <w:t>个月（最长不超过</w:t>
      </w:r>
      <w:r>
        <w:rPr>
          <w:rFonts w:ascii="Times New Roman" w:hAnsi="宋体" w:eastAsia="宋体" w:cs="Times New Roman"/>
          <w:color w:val="FF0000"/>
          <w:szCs w:val="21"/>
          <w:highlight w:val="none"/>
        </w:rPr>
        <w:t>24</w:t>
      </w:r>
      <w:r>
        <w:rPr>
          <w:rFonts w:hint="eastAsia" w:ascii="Times New Roman" w:hAnsi="宋体" w:eastAsia="宋体" w:cs="宋体"/>
          <w:color w:val="FF0000"/>
          <w:szCs w:val="21"/>
          <w:highlight w:val="none"/>
        </w:rPr>
        <w:t>个月）</w:t>
      </w:r>
      <w:r>
        <w:rPr>
          <w:rFonts w:hint="eastAsia" w:ascii="Times New Roman" w:hAnsi="宋体" w:eastAsia="宋体" w:cs="宋体"/>
          <w:color w:val="auto"/>
          <w:szCs w:val="21"/>
          <w:highlight w:val="none"/>
        </w:rPr>
        <w:t>，缺陷责任期自工程竣工验收合格之日起计算。单位工程先于全部工程进行验收，单位工程缺陷责任期自单位工程验收合格之日起算。</w:t>
      </w:r>
    </w:p>
    <w:p w14:paraId="0AAFAA6F">
      <w:pPr>
        <w:spacing w:line="360" w:lineRule="auto"/>
        <w:ind w:firstLine="420"/>
        <w:rPr>
          <w:rFonts w:ascii="Times New Roman" w:hAnsi="宋体" w:eastAsia="宋体" w:cs="Times New Roman"/>
          <w:color w:val="auto"/>
          <w:szCs w:val="21"/>
          <w:highlight w:val="none"/>
        </w:rPr>
      </w:pPr>
      <w:r>
        <w:rPr>
          <w:rFonts w:hint="eastAsia" w:ascii="宋体" w:hAnsi="宋体" w:eastAsia="宋体" w:cs="宋体"/>
          <w:color w:val="auto"/>
          <w:szCs w:val="21"/>
          <w:highlight w:val="none"/>
        </w:rPr>
        <w:t>缺陷责任期</w:t>
      </w:r>
      <w:r>
        <w:rPr>
          <w:rFonts w:hint="eastAsia" w:ascii="Times New Roman" w:hAnsi="宋体" w:eastAsia="宋体" w:cs="宋体"/>
          <w:color w:val="auto"/>
          <w:szCs w:val="21"/>
          <w:highlight w:val="none"/>
          <w:u w:val="single"/>
        </w:rPr>
        <w:t>满</w:t>
      </w:r>
      <w:r>
        <w:rPr>
          <w:rFonts w:hint="eastAsia" w:ascii="仿宋_GB2312" w:hAnsi="宋体" w:eastAsia="宋体" w:cs="Times New Roman"/>
          <w:color w:val="auto"/>
          <w:szCs w:val="21"/>
          <w:highlight w:val="none"/>
        </w:rPr>
        <w:t>之日起</w:t>
      </w:r>
      <w:r>
        <w:rPr>
          <w:rFonts w:hint="eastAsia" w:ascii="仿宋_GB2312" w:hAnsi="宋体" w:eastAsia="宋体" w:cs="Times New Roman"/>
          <w:color w:val="auto"/>
          <w:szCs w:val="21"/>
          <w:highlight w:val="none"/>
          <w:u w:val="single"/>
        </w:rPr>
        <w:t xml:space="preserve"> </w:t>
      </w:r>
      <w:r>
        <w:rPr>
          <w:rFonts w:ascii="仿宋_GB2312" w:hAnsi="宋体" w:eastAsia="宋体" w:cs="Times New Roman"/>
          <w:color w:val="auto"/>
          <w:szCs w:val="21"/>
          <w:highlight w:val="none"/>
          <w:u w:val="single"/>
        </w:rPr>
        <w:t xml:space="preserve">  </w:t>
      </w:r>
      <w:r>
        <w:rPr>
          <w:rFonts w:hint="eastAsia" w:ascii="仿宋_GB2312" w:hAnsi="宋体" w:eastAsia="宋体" w:cs="Times New Roman"/>
          <w:color w:val="auto"/>
          <w:szCs w:val="21"/>
          <w:highlight w:val="none"/>
          <w:u w:val="single"/>
        </w:rPr>
        <w:t xml:space="preserve"> </w:t>
      </w:r>
      <w:r>
        <w:rPr>
          <w:rFonts w:hint="eastAsia" w:ascii="仿宋_GB2312" w:hAnsi="宋体" w:eastAsia="宋体" w:cs="Times New Roman"/>
          <w:color w:val="auto"/>
          <w:szCs w:val="21"/>
          <w:highlight w:val="none"/>
        </w:rPr>
        <w:t>天</w:t>
      </w:r>
      <w:r>
        <w:rPr>
          <w:rFonts w:hint="eastAsia" w:ascii="Times New Roman" w:hAnsi="宋体" w:eastAsia="宋体" w:cs="宋体"/>
          <w:color w:val="auto"/>
          <w:szCs w:val="21"/>
          <w:highlight w:val="none"/>
          <w:u w:val="single"/>
        </w:rPr>
        <w:t>（按</w:t>
      </w:r>
      <w:r>
        <w:rPr>
          <w:rFonts w:ascii="Times New Roman" w:hAnsi="宋体" w:eastAsia="宋体" w:cs="宋体"/>
          <w:color w:val="auto"/>
          <w:szCs w:val="21"/>
          <w:highlight w:val="none"/>
          <w:u w:val="single"/>
        </w:rPr>
        <w:t>合同约定期限）</w:t>
      </w:r>
      <w:r>
        <w:rPr>
          <w:rFonts w:hint="eastAsia" w:ascii="Times New Roman" w:hAnsi="宋体" w:cs="宋体"/>
          <w:color w:val="auto"/>
          <w:szCs w:val="21"/>
          <w:highlight w:val="none"/>
          <w:u w:val="none"/>
          <w:lang w:val="en-US" w:eastAsia="zh-CN"/>
        </w:rPr>
        <w:t>，</w:t>
      </w:r>
      <w:r>
        <w:rPr>
          <w:rFonts w:hint="eastAsia" w:ascii="Times New Roman" w:hAnsi="宋体" w:eastAsia="宋体" w:cs="宋体"/>
          <w:color w:val="auto"/>
          <w:szCs w:val="21"/>
          <w:highlight w:val="none"/>
        </w:rPr>
        <w:t>发包人应退还剩余的质量保证金。</w:t>
      </w:r>
    </w:p>
    <w:p w14:paraId="3F75A60C">
      <w:pP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四、质量保修责任</w:t>
      </w:r>
    </w:p>
    <w:p w14:paraId="005AA0A6">
      <w:pPr>
        <w:spacing w:line="360" w:lineRule="auto"/>
        <w:ind w:left="105" w:firstLine="43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1.</w:t>
      </w:r>
      <w:r>
        <w:rPr>
          <w:rFonts w:hint="eastAsia" w:ascii="Times New Roman" w:hAnsi="宋体" w:eastAsia="宋体" w:cs="宋体"/>
          <w:color w:val="auto"/>
          <w:szCs w:val="21"/>
          <w:highlight w:val="none"/>
        </w:rPr>
        <w:t>属于保修范围、内容的项目，承包人应当在接到保修通知之日起</w:t>
      </w:r>
      <w:r>
        <w:rPr>
          <w:rFonts w:hint="eastAsia" w:ascii="Times New Roman" w:hAnsi="Times New Roman" w:eastAsia="宋体" w:cs="Times New Roman"/>
          <w:color w:val="auto"/>
          <w:szCs w:val="21"/>
          <w:highlight w:val="none"/>
          <w:u w:val="single"/>
          <w:lang w:val="en-US" w:eastAsia="zh-CN"/>
        </w:rPr>
        <w:t>7</w:t>
      </w:r>
      <w:r>
        <w:rPr>
          <w:rFonts w:hint="eastAsia" w:ascii="Times New Roman" w:hAnsi="宋体" w:eastAsia="宋体" w:cs="宋体"/>
          <w:color w:val="auto"/>
          <w:szCs w:val="21"/>
          <w:highlight w:val="none"/>
        </w:rPr>
        <w:t>天内派人保修。承包人不在约定期限内派人保修的，发包人可以委托他人修理，修理费用从质量保证金内扣除。</w:t>
      </w:r>
    </w:p>
    <w:p w14:paraId="1FF512FE">
      <w:pP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2.</w:t>
      </w:r>
      <w:r>
        <w:rPr>
          <w:rFonts w:hint="eastAsia" w:ascii="Times New Roman" w:hAnsi="宋体" w:eastAsia="宋体" w:cs="宋体"/>
          <w:color w:val="auto"/>
          <w:szCs w:val="21"/>
          <w:highlight w:val="none"/>
        </w:rPr>
        <w:t>发生紧急事故需抢修的，承包人在接到事故通知后，应当立即到达事故现场抢修。</w:t>
      </w:r>
    </w:p>
    <w:p w14:paraId="240D3350">
      <w:pP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3.</w:t>
      </w:r>
      <w:r>
        <w:rPr>
          <w:rFonts w:hint="eastAsia" w:ascii="Times New Roman" w:hAnsi="宋体" w:eastAsia="宋体" w:cs="宋体"/>
          <w:color w:val="auto"/>
          <w:szCs w:val="21"/>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73B72AA">
      <w:pP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4.</w:t>
      </w:r>
      <w:r>
        <w:rPr>
          <w:rFonts w:hint="eastAsia" w:ascii="Times New Roman" w:hAnsi="宋体" w:eastAsia="宋体" w:cs="宋体"/>
          <w:color w:val="auto"/>
          <w:szCs w:val="21"/>
          <w:highlight w:val="none"/>
        </w:rPr>
        <w:t>质量保修完成后，由发包人组织验收。</w:t>
      </w:r>
    </w:p>
    <w:p w14:paraId="3523310E">
      <w:pP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五、保修费用</w:t>
      </w:r>
    </w:p>
    <w:p w14:paraId="2879E4AC">
      <w:pPr>
        <w:tabs>
          <w:tab w:val="left" w:pos="7380"/>
        </w:tabs>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保修费用由造成质量缺陷的责任方承担。</w:t>
      </w:r>
    </w:p>
    <w:p w14:paraId="01717B14">
      <w:pPr>
        <w:spacing w:line="360" w:lineRule="auto"/>
        <w:ind w:firstLine="420"/>
        <w:rPr>
          <w:rFonts w:ascii="黑体" w:hAnsi="宋体" w:eastAsia="黑体" w:cs="黑体"/>
          <w:color w:val="auto"/>
          <w:szCs w:val="21"/>
          <w:highlight w:val="none"/>
        </w:rPr>
      </w:pPr>
      <w:r>
        <w:rPr>
          <w:rFonts w:hint="eastAsia" w:ascii="黑体" w:hAnsi="宋体" w:eastAsia="黑体" w:cs="黑体"/>
          <w:color w:val="auto"/>
          <w:szCs w:val="21"/>
          <w:highlight w:val="none"/>
        </w:rPr>
        <w:t>六、双方约定的其他工程质量保修事项：</w:t>
      </w:r>
      <w:r>
        <w:rPr>
          <w:rFonts w:ascii="黑体" w:hAnsi="宋体" w:eastAsia="黑体" w:cs="黑体"/>
          <w:color w:val="auto"/>
          <w:szCs w:val="21"/>
          <w:highlight w:val="none"/>
        </w:rPr>
        <w:t xml:space="preserve"> </w:t>
      </w:r>
    </w:p>
    <w:p w14:paraId="2DD58752">
      <w:pPr>
        <w:spacing w:line="360" w:lineRule="auto"/>
        <w:ind w:firstLine="420"/>
        <w:jc w:val="lef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w:t>
      </w:r>
    </w:p>
    <w:p w14:paraId="23ED6471">
      <w:pPr>
        <w:spacing w:line="360" w:lineRule="auto"/>
        <w:ind w:firstLine="399"/>
        <w:rPr>
          <w:rFonts w:ascii="Times New Roman" w:hAnsi="Times New Roman" w:eastAsia="宋体" w:cs="Times New Roman"/>
          <w:color w:val="auto"/>
          <w:szCs w:val="21"/>
          <w:highlight w:val="none"/>
        </w:rPr>
      </w:pPr>
      <w:r>
        <w:rPr>
          <w:rFonts w:hint="eastAsia" w:ascii="Times New Roman" w:hAnsi="宋体" w:eastAsia="宋体" w:cs="宋体"/>
          <w:color w:val="auto"/>
          <w:szCs w:val="21"/>
          <w:highlight w:val="none"/>
        </w:rPr>
        <w:t>工程质量保修书由发包人、承包人在工程竣工验收前共同签署，作为施工合同附件，其有效期限至保修期满。</w:t>
      </w:r>
    </w:p>
    <w:p w14:paraId="7C91F72B">
      <w:pPr>
        <w:spacing w:line="360" w:lineRule="auto"/>
        <w:ind w:firstLine="420"/>
        <w:rPr>
          <w:rFonts w:ascii="Times New Roman" w:hAnsi="Times New Roman" w:eastAsia="宋体" w:cs="Times New Roman"/>
          <w:color w:val="auto"/>
          <w:szCs w:val="21"/>
          <w:highlight w:val="none"/>
        </w:rPr>
      </w:pPr>
    </w:p>
    <w:p w14:paraId="2F43A522">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发包人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公章</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承包人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公章</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6EFFC262">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地</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址：</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地</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址：</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6DD07834">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法定代表人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法定代表人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2D3C686A">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委托代理人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委托代理人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1FBA553B">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电</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话：</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电</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话：</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021CDB48">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传</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真：</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传</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真：</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045A1A04">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开户银行：</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开户银行：</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2E9B506B">
      <w:pPr>
        <w:tabs>
          <w:tab w:val="left" w:pos="2880"/>
          <w:tab w:val="left" w:pos="3060"/>
          <w:tab w:val="left" w:pos="4500"/>
        </w:tabs>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账</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号：</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账</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号：</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3DD20A6A">
      <w:pPr>
        <w:tabs>
          <w:tab w:val="left" w:pos="7200"/>
          <w:tab w:val="left" w:pos="7380"/>
          <w:tab w:val="left" w:pos="7560"/>
        </w:tabs>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邮政编码：</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邮政编码：</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5B96A6B0">
      <w:pPr>
        <w:spacing w:before="120" w:after="120" w:line="440" w:lineRule="exact"/>
        <w:jc w:val="center"/>
        <w:rPr>
          <w:rFonts w:ascii="黑体" w:hAnsi="宋体" w:eastAsia="黑体" w:cs="Times New Roman"/>
          <w:color w:val="auto"/>
          <w:sz w:val="32"/>
          <w:szCs w:val="32"/>
          <w:highlight w:val="none"/>
        </w:rPr>
      </w:pPr>
    </w:p>
    <w:p w14:paraId="01076F5F">
      <w:pPr>
        <w:spacing w:before="120" w:after="120" w:line="440" w:lineRule="exact"/>
        <w:jc w:val="center"/>
        <w:rPr>
          <w:rFonts w:ascii="黑体" w:hAnsi="宋体" w:eastAsia="黑体" w:cs="Times New Roman"/>
          <w:color w:val="auto"/>
          <w:sz w:val="32"/>
          <w:szCs w:val="32"/>
          <w:highlight w:val="none"/>
        </w:rPr>
      </w:pPr>
    </w:p>
    <w:p w14:paraId="0A85D18D">
      <w:pPr>
        <w:spacing w:before="120" w:after="120" w:line="440" w:lineRule="exact"/>
        <w:jc w:val="center"/>
        <w:rPr>
          <w:rFonts w:ascii="黑体" w:hAnsi="宋体" w:eastAsia="黑体" w:cs="Times New Roman"/>
          <w:color w:val="auto"/>
          <w:sz w:val="32"/>
          <w:szCs w:val="32"/>
          <w:highlight w:val="none"/>
        </w:rPr>
      </w:pPr>
    </w:p>
    <w:p w14:paraId="53192F8A">
      <w:pPr>
        <w:spacing w:before="120" w:after="120" w:line="440" w:lineRule="exact"/>
        <w:jc w:val="center"/>
        <w:rPr>
          <w:rFonts w:ascii="黑体" w:hAnsi="宋体" w:eastAsia="黑体" w:cs="Times New Roman"/>
          <w:color w:val="auto"/>
          <w:sz w:val="32"/>
          <w:szCs w:val="32"/>
          <w:highlight w:val="none"/>
        </w:rPr>
      </w:pPr>
    </w:p>
    <w:p w14:paraId="63E6366F">
      <w:pPr>
        <w:spacing w:before="120" w:after="120" w:line="440" w:lineRule="exact"/>
        <w:jc w:val="center"/>
        <w:rPr>
          <w:rFonts w:ascii="黑体" w:hAnsi="宋体" w:eastAsia="黑体" w:cs="Times New Roman"/>
          <w:color w:val="auto"/>
          <w:sz w:val="32"/>
          <w:szCs w:val="32"/>
          <w:highlight w:val="none"/>
        </w:rPr>
      </w:pPr>
    </w:p>
    <w:p w14:paraId="636BCDF6">
      <w:pPr>
        <w:spacing w:before="120" w:after="120" w:line="440" w:lineRule="exact"/>
        <w:jc w:val="center"/>
        <w:rPr>
          <w:rFonts w:ascii="黑体" w:hAnsi="宋体" w:eastAsia="黑体" w:cs="Times New Roman"/>
          <w:color w:val="auto"/>
          <w:sz w:val="32"/>
          <w:szCs w:val="32"/>
          <w:highlight w:val="none"/>
        </w:rPr>
      </w:pPr>
    </w:p>
    <w:p w14:paraId="3DC9D9EC">
      <w:pPr>
        <w:spacing w:before="120" w:after="120" w:line="440" w:lineRule="exact"/>
        <w:jc w:val="center"/>
        <w:rPr>
          <w:rFonts w:ascii="黑体" w:hAnsi="宋体" w:eastAsia="黑体" w:cs="Times New Roman"/>
          <w:color w:val="auto"/>
          <w:sz w:val="32"/>
          <w:szCs w:val="32"/>
          <w:highlight w:val="none"/>
        </w:rPr>
      </w:pPr>
    </w:p>
    <w:p w14:paraId="3C103353">
      <w:pPr>
        <w:spacing w:before="120" w:after="120" w:line="440" w:lineRule="exact"/>
        <w:jc w:val="center"/>
        <w:rPr>
          <w:rFonts w:ascii="黑体" w:hAnsi="宋体" w:eastAsia="黑体" w:cs="Times New Roman"/>
          <w:color w:val="auto"/>
          <w:sz w:val="32"/>
          <w:szCs w:val="32"/>
          <w:highlight w:val="none"/>
        </w:rPr>
      </w:pPr>
    </w:p>
    <w:p w14:paraId="3AB7CF2F">
      <w:pPr>
        <w:rPr>
          <w:rFonts w:hint="eastAsia" w:ascii="黑体" w:hAnsi="宋体" w:eastAsia="黑体" w:cs="黑体"/>
          <w:color w:val="auto"/>
          <w:sz w:val="32"/>
          <w:szCs w:val="32"/>
          <w:highlight w:val="none"/>
        </w:rPr>
      </w:pPr>
      <w:r>
        <w:rPr>
          <w:rFonts w:hint="eastAsia" w:ascii="黑体" w:hAnsi="宋体" w:eastAsia="黑体" w:cs="黑体"/>
          <w:color w:val="auto"/>
          <w:sz w:val="32"/>
          <w:szCs w:val="32"/>
          <w:highlight w:val="none"/>
        </w:rPr>
        <w:br w:type="page" w:clear="all"/>
      </w:r>
    </w:p>
    <w:p w14:paraId="4CC0E09C">
      <w:pPr>
        <w:spacing w:before="120" w:after="120" w:line="440" w:lineRule="exact"/>
        <w:jc w:val="center"/>
        <w:rPr>
          <w:rFonts w:ascii="黑体" w:hAnsi="Times New Roman" w:eastAsia="黑体" w:cs="Times New Roman"/>
          <w:color w:val="auto"/>
          <w:sz w:val="32"/>
          <w:szCs w:val="32"/>
          <w:highlight w:val="none"/>
        </w:rPr>
      </w:pPr>
      <w:r>
        <w:rPr>
          <w:rFonts w:hint="eastAsia" w:ascii="黑体" w:hAnsi="宋体" w:eastAsia="黑体" w:cs="黑体"/>
          <w:color w:val="auto"/>
          <w:sz w:val="32"/>
          <w:szCs w:val="32"/>
          <w:highlight w:val="none"/>
        </w:rPr>
        <w:t>工程质量保修书（市政公用工程）</w:t>
      </w:r>
    </w:p>
    <w:p w14:paraId="67A9D392">
      <w:pP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发包人（全称）：</w:t>
      </w: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 xml:space="preserve"> </w:t>
      </w:r>
    </w:p>
    <w:p w14:paraId="2B31F920">
      <w:pP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承包人（全称）：</w:t>
      </w: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 xml:space="preserve"> </w:t>
      </w:r>
    </w:p>
    <w:p w14:paraId="56D7B023">
      <w:pPr>
        <w:spacing w:line="360" w:lineRule="auto"/>
        <w:rPr>
          <w:rFonts w:ascii="宋体" w:hAnsi="Times New Roman" w:eastAsia="宋体" w:cs="Times New Roman"/>
          <w:color w:val="auto"/>
          <w:szCs w:val="21"/>
          <w:highlight w:val="none"/>
        </w:rPr>
      </w:pPr>
    </w:p>
    <w:p w14:paraId="1D9E4754">
      <w:pP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发包人和承包人根据《中华人民共和国建筑法》和《建设工程质量管理条例》，经协商一致就</w:t>
      </w: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（工程全称）签订工程质量保修书。</w:t>
      </w:r>
    </w:p>
    <w:p w14:paraId="5C75E281">
      <w:pP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一、工程质量保修范围和内容</w:t>
      </w:r>
    </w:p>
    <w:p w14:paraId="5AC6864E">
      <w:pP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承包人在质量保修期内，按照有关法律规定和合同约定，承担工程质量保修责任。</w:t>
      </w:r>
    </w:p>
    <w:p w14:paraId="13905A78">
      <w:pP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质量保修范围包括</w:t>
      </w: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，以及双方约定的其他项目。具体保修的内容，双方约定如下：</w:t>
      </w:r>
    </w:p>
    <w:p w14:paraId="11CF613D">
      <w:pPr>
        <w:spacing w:line="360" w:lineRule="auto"/>
        <w:ind w:firstLine="420"/>
        <w:rPr>
          <w:rFonts w:ascii="宋体" w:hAnsi="Times New Roman" w:eastAsia="宋体" w:cs="Times New Roman"/>
          <w:color w:val="auto"/>
          <w:szCs w:val="21"/>
          <w:highlight w:val="none"/>
        </w:rPr>
      </w:pP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36D99F79">
      <w:pP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二、质量保修期</w:t>
      </w:r>
    </w:p>
    <w:p w14:paraId="7CF59FC0">
      <w:pP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根据《建设工程质量管理条例》及有关规定，工程的质量保修期如下：</w:t>
      </w:r>
    </w:p>
    <w:p w14:paraId="1320BD04">
      <w:pPr>
        <w:spacing w:line="360" w:lineRule="auto"/>
        <w:ind w:firstLine="426"/>
        <w:rPr>
          <w:rFonts w:ascii="Times New Roman" w:hAnsi="Times New Roman" w:eastAsia="宋体" w:cs="Times New Roman"/>
          <w:color w:val="auto"/>
          <w:szCs w:val="21"/>
          <w:highlight w:val="none"/>
        </w:rPr>
      </w:pPr>
      <w:r>
        <w:rPr>
          <w:rFonts w:hint="eastAsia" w:ascii="宋体" w:hAnsi="宋体" w:eastAsia="宋体" w:cs="宋体"/>
          <w:color w:val="auto"/>
          <w:szCs w:val="21"/>
          <w:highlight w:val="none"/>
          <w:lang w:eastAsia="zh-CN"/>
        </w:rPr>
        <w:t>1.</w:t>
      </w:r>
      <w:r>
        <w:rPr>
          <w:rFonts w:hint="eastAsia" w:ascii="Times New Roman" w:hAnsi="Times New Roman" w:eastAsia="宋体" w:cs="宋体"/>
          <w:color w:val="auto"/>
          <w:szCs w:val="21"/>
          <w:highlight w:val="none"/>
        </w:rPr>
        <w:t>桥梁工程为</w:t>
      </w:r>
      <w:r>
        <w:rPr>
          <w:rFonts w:hint="eastAsia" w:ascii="Times New Roman" w:hAnsi="Times New Roman" w:eastAsia="宋体" w:cs="Times New Roman"/>
          <w:color w:val="auto"/>
          <w:szCs w:val="21"/>
          <w:highlight w:val="none"/>
          <w:u w:val="single"/>
          <w:lang w:val="en-US" w:eastAsia="zh-CN"/>
        </w:rPr>
        <w:t xml:space="preserve">  /  </w:t>
      </w:r>
      <w:r>
        <w:rPr>
          <w:rFonts w:hint="eastAsia" w:ascii="Times New Roman" w:hAnsi="Times New Roman" w:eastAsia="宋体" w:cs="宋体"/>
          <w:color w:val="auto"/>
          <w:szCs w:val="21"/>
          <w:highlight w:val="none"/>
        </w:rPr>
        <w:t>年（建议桥梁隧道主体结构工程为设计文件规定的合理使用年限）；</w:t>
      </w:r>
    </w:p>
    <w:p w14:paraId="35341342">
      <w:pPr>
        <w:spacing w:line="360" w:lineRule="auto"/>
        <w:ind w:firstLine="426"/>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2.</w:t>
      </w:r>
      <w:r>
        <w:rPr>
          <w:rFonts w:hint="eastAsia" w:ascii="Times New Roman" w:hAnsi="Times New Roman" w:eastAsia="宋体" w:cs="宋体"/>
          <w:color w:val="auto"/>
          <w:szCs w:val="21"/>
          <w:highlight w:val="none"/>
        </w:rPr>
        <w:t>道路工程为</w:t>
      </w:r>
      <w:r>
        <w:rPr>
          <w:rFonts w:hint="eastAsia" w:ascii="Times New Roman" w:hAnsi="Times New Roman" w:eastAsia="宋体" w:cs="Times New Roman"/>
          <w:color w:val="auto"/>
          <w:szCs w:val="21"/>
          <w:highlight w:val="none"/>
          <w:u w:val="single"/>
          <w:lang w:val="en-US" w:eastAsia="zh-CN"/>
        </w:rPr>
        <w:t>2</w:t>
      </w:r>
      <w:r>
        <w:rPr>
          <w:rFonts w:hint="eastAsia" w:ascii="Times New Roman" w:hAnsi="Times New Roman" w:eastAsia="宋体" w:cs="宋体"/>
          <w:color w:val="auto"/>
          <w:szCs w:val="21"/>
          <w:highlight w:val="none"/>
        </w:rPr>
        <w:t>年（建议路基、路面、桥面为</w:t>
      </w:r>
      <w:r>
        <w:rPr>
          <w:rFonts w:ascii="Times New Roman" w:hAnsi="Times New Roman" w:eastAsia="宋体" w:cs="Times New Roman"/>
          <w:color w:val="auto"/>
          <w:szCs w:val="21"/>
          <w:highlight w:val="none"/>
        </w:rPr>
        <w:t>2</w:t>
      </w:r>
      <w:r>
        <w:rPr>
          <w:rFonts w:hint="eastAsia" w:ascii="Times New Roman" w:hAnsi="Times New Roman" w:eastAsia="宋体" w:cs="宋体"/>
          <w:color w:val="auto"/>
          <w:szCs w:val="21"/>
          <w:highlight w:val="none"/>
        </w:rPr>
        <w:t>年）；</w:t>
      </w:r>
    </w:p>
    <w:p w14:paraId="01C139A9">
      <w:pPr>
        <w:spacing w:line="360" w:lineRule="auto"/>
        <w:ind w:firstLine="426"/>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3.</w:t>
      </w:r>
      <w:r>
        <w:rPr>
          <w:rFonts w:hint="eastAsia" w:ascii="Times New Roman" w:hAnsi="Times New Roman" w:eastAsia="宋体" w:cs="宋体"/>
          <w:color w:val="auto"/>
          <w:szCs w:val="21"/>
          <w:highlight w:val="none"/>
        </w:rPr>
        <w:t>排水（雨水）工程为</w:t>
      </w:r>
      <w:r>
        <w:rPr>
          <w:rFonts w:hint="eastAsia" w:ascii="Times New Roman" w:hAnsi="Times New Roman" w:eastAsia="宋体" w:cs="Times New Roman"/>
          <w:color w:val="auto"/>
          <w:szCs w:val="21"/>
          <w:highlight w:val="none"/>
          <w:u w:val="single"/>
          <w:lang w:val="en-US" w:eastAsia="zh-CN"/>
        </w:rPr>
        <w:t>3</w:t>
      </w:r>
      <w:r>
        <w:rPr>
          <w:rFonts w:hint="eastAsia" w:ascii="Times New Roman" w:hAnsi="Times New Roman" w:eastAsia="宋体" w:cs="宋体"/>
          <w:color w:val="auto"/>
          <w:szCs w:val="21"/>
          <w:highlight w:val="none"/>
        </w:rPr>
        <w:t>年（建议道路工程中的排水工程为</w:t>
      </w:r>
      <w:r>
        <w:rPr>
          <w:rFonts w:ascii="Times New Roman" w:hAnsi="Times New Roman" w:eastAsia="宋体" w:cs="Times New Roman"/>
          <w:color w:val="auto"/>
          <w:szCs w:val="21"/>
          <w:highlight w:val="none"/>
        </w:rPr>
        <w:t>3</w:t>
      </w:r>
      <w:r>
        <w:rPr>
          <w:rFonts w:hint="eastAsia" w:ascii="Times New Roman" w:hAnsi="Times New Roman" w:eastAsia="宋体" w:cs="宋体"/>
          <w:color w:val="auto"/>
          <w:szCs w:val="21"/>
          <w:highlight w:val="none"/>
        </w:rPr>
        <w:t>年）；</w:t>
      </w:r>
    </w:p>
    <w:p w14:paraId="50695F8D">
      <w:pPr>
        <w:spacing w:line="360" w:lineRule="auto"/>
        <w:ind w:firstLine="426"/>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4.</w:t>
      </w:r>
      <w:r>
        <w:rPr>
          <w:rFonts w:hint="eastAsia" w:ascii="Times New Roman" w:hAnsi="Times New Roman" w:eastAsia="宋体" w:cs="宋体"/>
          <w:color w:val="auto"/>
          <w:szCs w:val="21"/>
          <w:highlight w:val="none"/>
        </w:rPr>
        <w:t>绿化工程为</w:t>
      </w:r>
      <w:r>
        <w:rPr>
          <w:rFonts w:ascii="Times New Roman" w:hAnsi="Times New Roman" w:eastAsia="宋体" w:cs="Times New Roman"/>
          <w:color w:val="auto"/>
          <w:szCs w:val="21"/>
          <w:highlight w:val="none"/>
        </w:rPr>
        <w:t xml:space="preserve"> </w:t>
      </w:r>
      <w:r>
        <w:rPr>
          <w:rFonts w:hint="eastAsia" w:ascii="Times New Roman" w:hAnsi="Times New Roman" w:eastAsia="宋体" w:cs="宋体"/>
          <w:color w:val="auto"/>
          <w:szCs w:val="21"/>
          <w:highlight w:val="none"/>
          <w:u w:val="single"/>
        </w:rPr>
        <w:t>单位工程竣工验收合格后</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宋体"/>
          <w:color w:val="auto"/>
          <w:szCs w:val="21"/>
          <w:highlight w:val="none"/>
          <w:u w:val="single"/>
        </w:rPr>
        <w:t>年</w:t>
      </w:r>
      <w:r>
        <w:rPr>
          <w:rFonts w:hint="eastAsia" w:ascii="Times New Roman" w:hAnsi="Times New Roman" w:eastAsia="宋体" w:cs="宋体"/>
          <w:color w:val="auto"/>
          <w:szCs w:val="21"/>
          <w:highlight w:val="none"/>
        </w:rPr>
        <w:t>；</w:t>
      </w:r>
    </w:p>
    <w:p w14:paraId="2B2E8E58">
      <w:pPr>
        <w:spacing w:line="360" w:lineRule="auto"/>
        <w:ind w:firstLine="426"/>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5.</w:t>
      </w:r>
      <w:r>
        <w:rPr>
          <w:rFonts w:hint="eastAsia" w:ascii="Times New Roman" w:hAnsi="Times New Roman" w:eastAsia="宋体" w:cs="宋体"/>
          <w:color w:val="auto"/>
          <w:szCs w:val="21"/>
          <w:highlight w:val="none"/>
        </w:rPr>
        <w:t>地下防水工程为</w:t>
      </w:r>
      <w:r>
        <w:rPr>
          <w:rFonts w:hint="eastAsia" w:ascii="Times New Roman" w:hAnsi="Times New Roman" w:eastAsia="宋体" w:cs="Times New Roman"/>
          <w:color w:val="auto"/>
          <w:szCs w:val="21"/>
          <w:highlight w:val="none"/>
          <w:u w:val="single"/>
          <w:lang w:val="en-US" w:eastAsia="zh-CN"/>
        </w:rPr>
        <w:t>5</w:t>
      </w:r>
      <w:r>
        <w:rPr>
          <w:rFonts w:hint="eastAsia" w:ascii="Times New Roman" w:hAnsi="Times New Roman" w:eastAsia="宋体" w:cs="宋体"/>
          <w:color w:val="auto"/>
          <w:szCs w:val="21"/>
          <w:highlight w:val="none"/>
        </w:rPr>
        <w:t>年（建议为</w:t>
      </w:r>
      <w:r>
        <w:rPr>
          <w:rFonts w:ascii="Times New Roman" w:hAnsi="Times New Roman" w:eastAsia="宋体" w:cs="Times New Roman"/>
          <w:color w:val="auto"/>
          <w:szCs w:val="21"/>
          <w:highlight w:val="none"/>
        </w:rPr>
        <w:t>5</w:t>
      </w:r>
      <w:r>
        <w:rPr>
          <w:rFonts w:hint="eastAsia" w:ascii="Times New Roman" w:hAnsi="Times New Roman" w:eastAsia="宋体" w:cs="宋体"/>
          <w:color w:val="auto"/>
          <w:szCs w:val="21"/>
          <w:highlight w:val="none"/>
        </w:rPr>
        <w:t>年）；</w:t>
      </w:r>
    </w:p>
    <w:p w14:paraId="2AFEFC90">
      <w:pPr>
        <w:spacing w:line="360" w:lineRule="auto"/>
        <w:ind w:firstLine="426"/>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6.</w:t>
      </w:r>
      <w:r>
        <w:rPr>
          <w:rFonts w:hint="eastAsia" w:ascii="Times New Roman" w:hAnsi="Times New Roman" w:eastAsia="宋体" w:cs="宋体"/>
          <w:color w:val="auto"/>
          <w:szCs w:val="21"/>
          <w:highlight w:val="none"/>
        </w:rPr>
        <w:t>其他附属工程为</w:t>
      </w:r>
      <w:r>
        <w:rPr>
          <w:rFonts w:hint="eastAsia" w:ascii="Times New Roman" w:hAnsi="Times New Roman" w:eastAsia="宋体" w:cs="Times New Roman"/>
          <w:color w:val="auto"/>
          <w:szCs w:val="21"/>
          <w:highlight w:val="none"/>
          <w:u w:val="single"/>
          <w:lang w:val="en-US" w:eastAsia="zh-CN"/>
        </w:rPr>
        <w:t>2</w:t>
      </w:r>
      <w:r>
        <w:rPr>
          <w:rFonts w:hint="eastAsia" w:ascii="Times New Roman" w:hAnsi="Times New Roman" w:eastAsia="宋体" w:cs="宋体"/>
          <w:color w:val="auto"/>
          <w:szCs w:val="21"/>
          <w:highlight w:val="none"/>
        </w:rPr>
        <w:t>年；</w:t>
      </w:r>
    </w:p>
    <w:p w14:paraId="315D015C">
      <w:pP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lang w:eastAsia="zh-CN"/>
        </w:rPr>
        <w:t>7.</w:t>
      </w:r>
      <w:r>
        <w:rPr>
          <w:rFonts w:hint="eastAsia" w:ascii="宋体" w:hAnsi="宋体" w:eastAsia="宋体" w:cs="宋体"/>
          <w:color w:val="auto"/>
          <w:szCs w:val="21"/>
          <w:highlight w:val="none"/>
        </w:rPr>
        <w:t>其他项目保修期限约定如下：</w:t>
      </w:r>
    </w:p>
    <w:p w14:paraId="4C0ED90D">
      <w:pPr>
        <w:spacing w:line="360" w:lineRule="auto"/>
        <w:ind w:firstLine="420"/>
        <w:rPr>
          <w:rFonts w:ascii="宋体" w:hAnsi="Times New Roman" w:eastAsia="宋体" w:cs="Times New Roman"/>
          <w:color w:val="auto"/>
          <w:szCs w:val="21"/>
          <w:highlight w:val="none"/>
        </w:rPr>
      </w:pP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2C4743C4">
      <w:pP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质量保修期自工程竣工验收合格之日起计算。</w:t>
      </w:r>
    </w:p>
    <w:p w14:paraId="15BE3C2A">
      <w:pP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三、缺陷责任期</w:t>
      </w:r>
    </w:p>
    <w:p w14:paraId="4A934CF3">
      <w:pP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工程缺陷责任期为</w:t>
      </w:r>
      <w:r>
        <w:rPr>
          <w:rFonts w:hint="eastAsia" w:ascii="宋体" w:hAnsi="宋体" w:eastAsia="宋体" w:cs="宋体"/>
          <w:color w:val="auto"/>
          <w:szCs w:val="21"/>
          <w:highlight w:val="none"/>
          <w:u w:val="single"/>
          <w:lang w:val="en-US" w:eastAsia="zh-CN"/>
        </w:rPr>
        <w:t>24</w:t>
      </w:r>
      <w:r>
        <w:rPr>
          <w:rFonts w:hint="eastAsia" w:ascii="宋体" w:hAnsi="宋体" w:eastAsia="宋体" w:cs="宋体"/>
          <w:color w:val="auto"/>
          <w:szCs w:val="21"/>
          <w:highlight w:val="none"/>
        </w:rPr>
        <w:t>个月</w:t>
      </w:r>
      <w:r>
        <w:rPr>
          <w:rFonts w:hint="eastAsia" w:ascii="Times New Roman" w:hAnsi="宋体" w:eastAsia="宋体" w:cs="宋体"/>
          <w:color w:val="auto"/>
          <w:szCs w:val="21"/>
          <w:highlight w:val="none"/>
        </w:rPr>
        <w:t>（最长不超过</w:t>
      </w:r>
      <w:r>
        <w:rPr>
          <w:rFonts w:ascii="Times New Roman" w:hAnsi="宋体" w:eastAsia="宋体" w:cs="Times New Roman"/>
          <w:color w:val="auto"/>
          <w:szCs w:val="21"/>
          <w:highlight w:val="none"/>
        </w:rPr>
        <w:t>24</w:t>
      </w:r>
      <w:r>
        <w:rPr>
          <w:rFonts w:hint="eastAsia" w:ascii="Times New Roman" w:hAnsi="宋体" w:eastAsia="宋体" w:cs="宋体"/>
          <w:color w:val="auto"/>
          <w:szCs w:val="21"/>
          <w:highlight w:val="none"/>
        </w:rPr>
        <w:t>个月）</w:t>
      </w:r>
      <w:r>
        <w:rPr>
          <w:rFonts w:hint="eastAsia" w:ascii="宋体" w:hAnsi="宋体" w:eastAsia="宋体" w:cs="宋体"/>
          <w:color w:val="auto"/>
          <w:szCs w:val="21"/>
          <w:highlight w:val="none"/>
        </w:rPr>
        <w:t>，缺陷责任期自工程竣工验收合格之日起计算。单位工程先于全部工程进行验收，单位工程缺陷责任期自单位工程验收合格之日起算。</w:t>
      </w:r>
    </w:p>
    <w:p w14:paraId="2B295E52">
      <w:pP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缺陷责任期</w:t>
      </w:r>
      <w:r>
        <w:rPr>
          <w:rFonts w:hint="eastAsia" w:ascii="Times New Roman" w:hAnsi="宋体" w:eastAsia="宋体" w:cs="宋体"/>
          <w:color w:val="auto"/>
          <w:szCs w:val="21"/>
          <w:highlight w:val="none"/>
          <w:u w:val="single"/>
        </w:rPr>
        <w:t>满</w:t>
      </w:r>
      <w:r>
        <w:rPr>
          <w:rFonts w:hint="eastAsia" w:ascii="仿宋_GB2312" w:hAnsi="宋体" w:eastAsia="宋体" w:cs="Times New Roman"/>
          <w:color w:val="auto"/>
          <w:szCs w:val="21"/>
          <w:highlight w:val="none"/>
        </w:rPr>
        <w:t>之日起</w:t>
      </w:r>
      <w:r>
        <w:rPr>
          <w:rFonts w:hint="eastAsia" w:ascii="仿宋_GB2312" w:hAnsi="宋体" w:eastAsia="宋体" w:cs="Times New Roman"/>
          <w:color w:val="auto"/>
          <w:szCs w:val="21"/>
          <w:highlight w:val="none"/>
          <w:u w:val="single"/>
        </w:rPr>
        <w:t xml:space="preserve"> </w:t>
      </w:r>
      <w:r>
        <w:rPr>
          <w:rFonts w:ascii="仿宋_GB2312" w:hAnsi="宋体" w:eastAsia="宋体" w:cs="Times New Roman"/>
          <w:color w:val="auto"/>
          <w:szCs w:val="21"/>
          <w:highlight w:val="none"/>
          <w:u w:val="single"/>
        </w:rPr>
        <w:t xml:space="preserve">  </w:t>
      </w:r>
      <w:r>
        <w:rPr>
          <w:rFonts w:hint="eastAsia" w:ascii="仿宋_GB2312" w:hAnsi="宋体" w:eastAsia="宋体" w:cs="Times New Roman"/>
          <w:color w:val="auto"/>
          <w:szCs w:val="21"/>
          <w:highlight w:val="none"/>
          <w:u w:val="single"/>
        </w:rPr>
        <w:t xml:space="preserve"> </w:t>
      </w:r>
      <w:r>
        <w:rPr>
          <w:rFonts w:hint="eastAsia" w:ascii="仿宋_GB2312" w:hAnsi="宋体" w:eastAsia="宋体" w:cs="Times New Roman"/>
          <w:color w:val="auto"/>
          <w:szCs w:val="21"/>
          <w:highlight w:val="none"/>
        </w:rPr>
        <w:t>天</w:t>
      </w:r>
      <w:r>
        <w:rPr>
          <w:rFonts w:hint="eastAsia" w:ascii="Times New Roman" w:hAnsi="宋体" w:eastAsia="宋体" w:cs="宋体"/>
          <w:color w:val="auto"/>
          <w:szCs w:val="21"/>
          <w:highlight w:val="none"/>
          <w:u w:val="single"/>
        </w:rPr>
        <w:t>（按</w:t>
      </w:r>
      <w:r>
        <w:rPr>
          <w:rFonts w:ascii="Times New Roman" w:hAnsi="宋体" w:eastAsia="宋体" w:cs="宋体"/>
          <w:color w:val="auto"/>
          <w:szCs w:val="21"/>
          <w:highlight w:val="none"/>
          <w:u w:val="single"/>
        </w:rPr>
        <w:t>合同约定期限）</w:t>
      </w:r>
      <w:r>
        <w:rPr>
          <w:rFonts w:hint="eastAsia" w:ascii="Times New Roman" w:hAnsi="宋体" w:eastAsia="宋体" w:cs="宋体"/>
          <w:color w:val="auto"/>
          <w:szCs w:val="21"/>
          <w:highlight w:val="none"/>
          <w:u w:val="single"/>
        </w:rPr>
        <w:t>，</w:t>
      </w:r>
      <w:r>
        <w:rPr>
          <w:rFonts w:hint="eastAsia" w:ascii="宋体" w:hAnsi="宋体" w:eastAsia="宋体" w:cs="宋体"/>
          <w:color w:val="auto"/>
          <w:szCs w:val="21"/>
          <w:highlight w:val="none"/>
        </w:rPr>
        <w:t>发包人应退还剩余的质量保证金。</w:t>
      </w:r>
    </w:p>
    <w:p w14:paraId="2A2E6849">
      <w:pP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四、质量保修责任</w:t>
      </w:r>
    </w:p>
    <w:p w14:paraId="41E6F44C">
      <w:pP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属于保修范围、内容的项目，承包人应当在接到保修通知之日起</w:t>
      </w: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天内派人保修。承包人不在约定期限内派人保修的，发包人可以委托他人修理</w:t>
      </w:r>
      <w:r>
        <w:rPr>
          <w:rFonts w:hint="eastAsia" w:ascii="Times New Roman" w:hAnsi="宋体" w:eastAsia="宋体" w:cs="宋体"/>
          <w:color w:val="auto"/>
          <w:szCs w:val="21"/>
          <w:highlight w:val="none"/>
        </w:rPr>
        <w:t>，修理费用从质量保证金内扣除。</w:t>
      </w:r>
    </w:p>
    <w:p w14:paraId="0DCB904E">
      <w:pP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发生紧急事故需抢修的，承包人在接到事故通知后，应当立即到达事故现场抢修。</w:t>
      </w:r>
    </w:p>
    <w:p w14:paraId="7DF9E2A9">
      <w:pP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lang w:eastAsia="zh-CN"/>
        </w:rPr>
        <w:t>3.</w:t>
      </w:r>
      <w:r>
        <w:rPr>
          <w:rFonts w:hint="eastAsia" w:ascii="宋体" w:hAnsi="宋体" w:eastAsia="宋体" w:cs="宋体"/>
          <w:color w:val="auto"/>
          <w:szCs w:val="21"/>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5DABFEBB">
      <w:pP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lang w:eastAsia="zh-CN"/>
        </w:rPr>
        <w:t>4.</w:t>
      </w:r>
      <w:r>
        <w:rPr>
          <w:rFonts w:hint="eastAsia" w:ascii="宋体" w:hAnsi="宋体" w:eastAsia="宋体" w:cs="宋体"/>
          <w:color w:val="auto"/>
          <w:szCs w:val="21"/>
          <w:highlight w:val="none"/>
        </w:rPr>
        <w:t>质量保修完成后，由发包人组织验收。</w:t>
      </w:r>
    </w:p>
    <w:p w14:paraId="3485F9C2">
      <w:pP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五、保修费用</w:t>
      </w:r>
    </w:p>
    <w:p w14:paraId="6E60F7EB">
      <w:pP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保修费用由造成质量缺陷的责任方承担。</w:t>
      </w:r>
    </w:p>
    <w:p w14:paraId="64B6FEC0">
      <w:pPr>
        <w:spacing w:line="360" w:lineRule="auto"/>
        <w:ind w:firstLine="420"/>
        <w:rPr>
          <w:rFonts w:ascii="黑体" w:hAnsi="宋体" w:eastAsia="黑体" w:cs="黑体"/>
          <w:color w:val="auto"/>
          <w:szCs w:val="21"/>
          <w:highlight w:val="none"/>
          <w:u w:val="single"/>
        </w:rPr>
      </w:pPr>
      <w:r>
        <w:rPr>
          <w:rFonts w:hint="eastAsia" w:ascii="黑体" w:hAnsi="宋体" w:eastAsia="黑体" w:cs="黑体"/>
          <w:color w:val="auto"/>
          <w:szCs w:val="21"/>
          <w:highlight w:val="none"/>
        </w:rPr>
        <w:t>六、双方约定的其他工程质量保修事项：</w:t>
      </w:r>
      <w:r>
        <w:rPr>
          <w:rFonts w:ascii="黑体" w:hAnsi="宋体" w:eastAsia="黑体" w:cs="黑体"/>
          <w:color w:val="auto"/>
          <w:szCs w:val="21"/>
          <w:highlight w:val="none"/>
          <w:u w:val="single"/>
        </w:rPr>
        <w:t xml:space="preserve">                                          </w:t>
      </w:r>
    </w:p>
    <w:p w14:paraId="66C23140">
      <w:pPr>
        <w:spacing w:line="360" w:lineRule="auto"/>
        <w:jc w:val="left"/>
        <w:rPr>
          <w:rFonts w:ascii="宋体" w:hAnsi="Times New Roman" w:eastAsia="宋体" w:cs="Times New Roman"/>
          <w:color w:val="auto"/>
          <w:szCs w:val="21"/>
          <w:highlight w:val="none"/>
        </w:rPr>
      </w:pP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504A9B61">
      <w:pPr>
        <w:spacing w:line="360" w:lineRule="auto"/>
        <w:ind w:firstLine="399"/>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工程质量保修书由发包人、承包人在工程竣工验收前共同签署，作为施工合同附件，其有效期限至保修期满。</w:t>
      </w:r>
    </w:p>
    <w:p w14:paraId="4C8D66B4">
      <w:pPr>
        <w:spacing w:line="360" w:lineRule="auto"/>
        <w:ind w:firstLine="420"/>
        <w:rPr>
          <w:rFonts w:ascii="宋体" w:hAnsi="Times New Roman" w:eastAsia="宋体" w:cs="Times New Roman"/>
          <w:color w:val="auto"/>
          <w:szCs w:val="21"/>
          <w:highlight w:val="none"/>
        </w:rPr>
      </w:pPr>
    </w:p>
    <w:p w14:paraId="4E705F8F">
      <w:pPr>
        <w:spacing w:line="360" w:lineRule="auto"/>
        <w:ind w:firstLine="420"/>
        <w:rPr>
          <w:rFonts w:ascii="宋体" w:hAnsi="Times New Roman" w:eastAsia="宋体" w:cs="Times New Roman"/>
          <w:color w:val="auto"/>
          <w:szCs w:val="21"/>
          <w:highlight w:val="none"/>
        </w:rPr>
      </w:pPr>
    </w:p>
    <w:p w14:paraId="7FB82E8D">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发包人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公章</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承包人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公章</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3E77EB50">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地</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址：</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地</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址：</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49CF0D99">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法定代表人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法定代表人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0B8DA2AA">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委托代理人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委托代理人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27601702">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电</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话：</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电</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话：</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61DD77C4">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传</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真：</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传</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真：</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0899F8CF">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开户银行：</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开户银行：</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069C28AD">
      <w:pPr>
        <w:tabs>
          <w:tab w:val="left" w:pos="2880"/>
          <w:tab w:val="left" w:pos="3060"/>
          <w:tab w:val="left" w:pos="4500"/>
        </w:tabs>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账</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号：</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账</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号：</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56F8E21E">
      <w:pPr>
        <w:spacing w:line="360" w:lineRule="auto"/>
        <w:rPr>
          <w:rFonts w:ascii="宋体" w:hAnsi="Times New Roman" w:eastAsia="宋体" w:cs="Times New Roman"/>
          <w:color w:val="auto"/>
          <w:szCs w:val="21"/>
          <w:highlight w:val="none"/>
          <w:u w:val="single"/>
        </w:rPr>
      </w:pPr>
      <w:r>
        <w:rPr>
          <w:rFonts w:ascii="Times New Roman" w:hAnsi="宋体" w:eastAsia="宋体" w:cs="Times New Roman"/>
          <w:color w:val="auto"/>
          <w:szCs w:val="21"/>
          <w:highlight w:val="none"/>
        </w:rPr>
        <w:t>邮政编码：</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邮政编码：</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p>
    <w:p w14:paraId="792D0B64">
      <w:pPr>
        <w:spacing w:line="360" w:lineRule="auto"/>
        <w:rPr>
          <w:rFonts w:ascii="宋体" w:hAnsi="Times New Roman" w:eastAsia="宋体" w:cs="Times New Roman"/>
          <w:color w:val="auto"/>
          <w:szCs w:val="21"/>
          <w:highlight w:val="none"/>
        </w:rPr>
      </w:pPr>
    </w:p>
    <w:p w14:paraId="13DB8FBC">
      <w:pPr>
        <w:spacing w:line="360" w:lineRule="auto"/>
        <w:rPr>
          <w:rFonts w:ascii="宋体" w:hAnsi="Times New Roman" w:eastAsia="宋体" w:cs="Times New Roman"/>
          <w:color w:val="auto"/>
          <w:szCs w:val="21"/>
          <w:highlight w:val="none"/>
        </w:rPr>
      </w:pPr>
    </w:p>
    <w:p w14:paraId="3AC7D739">
      <w:pPr>
        <w:spacing w:line="360" w:lineRule="auto"/>
        <w:rPr>
          <w:rFonts w:ascii="宋体" w:hAnsi="Times New Roman" w:eastAsia="宋体" w:cs="Times New Roman"/>
          <w:color w:val="auto"/>
          <w:szCs w:val="21"/>
          <w:highlight w:val="none"/>
        </w:rPr>
      </w:pPr>
    </w:p>
    <w:p w14:paraId="10837953">
      <w:pPr>
        <w:spacing w:line="360" w:lineRule="auto"/>
        <w:rPr>
          <w:rFonts w:ascii="宋体" w:hAnsi="Times New Roman" w:eastAsia="宋体" w:cs="Times New Roman"/>
          <w:color w:val="auto"/>
          <w:szCs w:val="21"/>
          <w:highlight w:val="none"/>
        </w:rPr>
      </w:pPr>
    </w:p>
    <w:p w14:paraId="1E2AC407">
      <w:pPr>
        <w:spacing w:line="360" w:lineRule="auto"/>
        <w:rPr>
          <w:rFonts w:ascii="宋体" w:hAnsi="Times New Roman" w:eastAsia="宋体" w:cs="Times New Roman"/>
          <w:color w:val="auto"/>
          <w:szCs w:val="21"/>
          <w:highlight w:val="none"/>
        </w:rPr>
      </w:pPr>
    </w:p>
    <w:p w14:paraId="62E425DB">
      <w:pPr>
        <w:spacing w:before="120" w:after="120" w:line="440" w:lineRule="exact"/>
        <w:jc w:val="left"/>
        <w:rPr>
          <w:rFonts w:ascii="Times New Roman" w:hAnsi="Times New Roman" w:eastAsia="黑体" w:cs="Times New Roman"/>
          <w:color w:val="auto"/>
          <w:sz w:val="30"/>
          <w:szCs w:val="30"/>
          <w:highlight w:val="none"/>
        </w:rPr>
      </w:pPr>
      <w:r>
        <w:rPr>
          <w:rFonts w:ascii="Times New Roman" w:hAnsi="Times New Roman" w:eastAsia="仿宋_GB2312" w:cs="仿宋_GB2312"/>
          <w:color w:val="auto"/>
          <w:sz w:val="30"/>
          <w:szCs w:val="30"/>
          <w:highlight w:val="none"/>
        </w:rPr>
        <w:br w:type="page" w:clear="all"/>
      </w:r>
      <w:r>
        <w:rPr>
          <w:rFonts w:hint="eastAsia" w:ascii="仿宋_GB2312" w:hAnsi="Times New Roman" w:eastAsia="仿宋_GB2312" w:cs="仿宋_GB2312"/>
          <w:color w:val="auto"/>
          <w:sz w:val="30"/>
          <w:szCs w:val="30"/>
          <w:highlight w:val="none"/>
        </w:rPr>
        <w:t>附件3：</w:t>
      </w:r>
      <w:r>
        <w:rPr>
          <w:rFonts w:hint="eastAsia" w:ascii="仿宋_GB2312" w:hAnsi="Times New Roman" w:eastAsia="仿宋_GB2312" w:cs="仿宋_GB2312"/>
          <w:color w:val="auto"/>
          <w:sz w:val="30"/>
          <w:szCs w:val="30"/>
          <w:highlight w:val="none"/>
          <w:lang w:val="en-US" w:eastAsia="zh-CN"/>
        </w:rPr>
        <w:t>主要建设工程文件目录</w:t>
      </w:r>
    </w:p>
    <w:p w14:paraId="3BCEDD19">
      <w:pPr>
        <w:spacing w:before="120" w:after="120" w:line="440" w:lineRule="exact"/>
        <w:jc w:val="center"/>
        <w:rPr>
          <w:rFonts w:ascii="Times New Roman" w:hAnsi="Times New Roman" w:eastAsia="黑体" w:cs="Times New Roman"/>
          <w:color w:val="auto"/>
          <w:sz w:val="30"/>
          <w:szCs w:val="30"/>
          <w:highlight w:val="none"/>
        </w:rPr>
      </w:pPr>
      <w:r>
        <w:rPr>
          <w:rFonts w:ascii="Times New Roman" w:hAnsi="Times New Roman" w:eastAsia="黑体" w:cs="Times New Roman"/>
          <w:color w:val="auto"/>
          <w:sz w:val="30"/>
          <w:szCs w:val="30"/>
          <w:highlight w:val="none"/>
        </w:rPr>
        <w:t>主要建设工程文件目录</w:t>
      </w:r>
    </w:p>
    <w:tbl>
      <w:tblPr>
        <w:tblStyle w:val="4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3E7B64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single" w:color="auto" w:sz="6" w:space="0"/>
            </w:tcBorders>
            <w:noWrap w:val="0"/>
            <w:vAlign w:val="center"/>
          </w:tcPr>
          <w:p w14:paraId="6DE0641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30"/>
                <w:highlight w:val="none"/>
                <w:lang w:val="en-US" w:eastAsia="zh-CN" w:bidi="ar-SA"/>
              </w:rPr>
            </w:pPr>
            <w:r>
              <w:rPr>
                <w:rFonts w:hint="default" w:ascii="Calibri" w:hAnsi="Calibri" w:eastAsia="仿宋_GB2312" w:cs="Times New Roman"/>
                <w:color w:val="auto"/>
                <w:sz w:val="28"/>
                <w:szCs w:val="30"/>
                <w:highlight w:val="none"/>
                <w:lang w:val="en-US" w:eastAsia="zh-CN" w:bidi="ar-SA"/>
              </w:rPr>
              <w:t>文件名称</w:t>
            </w:r>
          </w:p>
        </w:tc>
        <w:tc>
          <w:tcPr>
            <w:tcW w:w="1276" w:type="dxa"/>
            <w:tcBorders>
              <w:top w:val="single" w:color="auto" w:sz="12" w:space="0"/>
              <w:bottom w:val="single" w:color="auto" w:sz="6" w:space="0"/>
            </w:tcBorders>
            <w:noWrap w:val="0"/>
            <w:vAlign w:val="center"/>
          </w:tcPr>
          <w:p w14:paraId="41EBE8A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30"/>
                <w:highlight w:val="none"/>
                <w:lang w:val="en-US" w:eastAsia="zh-CN" w:bidi="ar-SA"/>
              </w:rPr>
            </w:pPr>
            <w:r>
              <w:rPr>
                <w:rFonts w:hint="default" w:ascii="Calibri" w:hAnsi="Calibri" w:eastAsia="仿宋_GB2312" w:cs="Times New Roman"/>
                <w:color w:val="auto"/>
                <w:sz w:val="28"/>
                <w:szCs w:val="30"/>
                <w:highlight w:val="none"/>
                <w:lang w:val="en-US" w:eastAsia="zh-CN" w:bidi="ar-SA"/>
              </w:rPr>
              <w:t>套数</w:t>
            </w:r>
          </w:p>
        </w:tc>
        <w:tc>
          <w:tcPr>
            <w:tcW w:w="1450" w:type="dxa"/>
            <w:tcBorders>
              <w:top w:val="single" w:color="auto" w:sz="12" w:space="0"/>
              <w:bottom w:val="single" w:color="auto" w:sz="6" w:space="0"/>
            </w:tcBorders>
            <w:noWrap w:val="0"/>
            <w:vAlign w:val="center"/>
          </w:tcPr>
          <w:p w14:paraId="5ED1A2F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30"/>
                <w:highlight w:val="none"/>
                <w:lang w:val="en-US" w:eastAsia="zh-CN" w:bidi="ar-SA"/>
              </w:rPr>
            </w:pPr>
            <w:r>
              <w:rPr>
                <w:rFonts w:hint="default" w:ascii="Calibri" w:hAnsi="Calibri" w:eastAsia="仿宋_GB2312" w:cs="Times New Roman"/>
                <w:color w:val="auto"/>
                <w:sz w:val="28"/>
                <w:szCs w:val="30"/>
                <w:highlight w:val="none"/>
                <w:lang w:val="en-US" w:eastAsia="zh-CN" w:bidi="ar-SA"/>
              </w:rPr>
              <w:t>费用</w:t>
            </w:r>
            <w:r>
              <w:rPr>
                <w:rFonts w:hint="eastAsia" w:ascii="Calibri" w:hAnsi="Calibri" w:eastAsia="仿宋_GB2312" w:cs="Times New Roman"/>
                <w:color w:val="auto"/>
                <w:sz w:val="28"/>
                <w:szCs w:val="30"/>
                <w:highlight w:val="none"/>
                <w:lang w:val="en-US" w:eastAsia="zh-CN" w:bidi="ar-SA"/>
              </w:rPr>
              <w:t>（元）</w:t>
            </w:r>
          </w:p>
        </w:tc>
        <w:tc>
          <w:tcPr>
            <w:tcW w:w="1243" w:type="dxa"/>
            <w:tcBorders>
              <w:top w:val="single" w:color="auto" w:sz="12" w:space="0"/>
              <w:bottom w:val="single" w:color="auto" w:sz="6" w:space="0"/>
            </w:tcBorders>
            <w:noWrap w:val="0"/>
            <w:vAlign w:val="center"/>
          </w:tcPr>
          <w:p w14:paraId="0B7644B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30"/>
                <w:highlight w:val="none"/>
                <w:lang w:val="en-US" w:eastAsia="zh-CN" w:bidi="ar-SA"/>
              </w:rPr>
            </w:pPr>
            <w:r>
              <w:rPr>
                <w:rFonts w:hint="default" w:ascii="Calibri" w:hAnsi="Calibri" w:eastAsia="仿宋_GB2312" w:cs="Times New Roman"/>
                <w:color w:val="auto"/>
                <w:sz w:val="28"/>
                <w:szCs w:val="30"/>
                <w:highlight w:val="none"/>
                <w:lang w:val="en-US" w:eastAsia="zh-CN" w:bidi="ar-SA"/>
              </w:rPr>
              <w:t>质量</w:t>
            </w:r>
          </w:p>
        </w:tc>
        <w:tc>
          <w:tcPr>
            <w:tcW w:w="1450" w:type="dxa"/>
            <w:tcBorders>
              <w:top w:val="single" w:color="auto" w:sz="12" w:space="0"/>
              <w:bottom w:val="single" w:color="auto" w:sz="6" w:space="0"/>
            </w:tcBorders>
            <w:noWrap w:val="0"/>
            <w:vAlign w:val="top"/>
          </w:tcPr>
          <w:p w14:paraId="1CB4764C">
            <w:pPr>
              <w:keepNext w:val="0"/>
              <w:keepLines w:val="0"/>
              <w:suppressLineNumbers w:val="0"/>
              <w:spacing w:before="0" w:beforeAutospacing="0" w:after="0" w:afterAutospacing="0" w:line="440" w:lineRule="exact"/>
              <w:ind w:left="0" w:right="0"/>
              <w:jc w:val="center"/>
              <w:rPr>
                <w:rFonts w:hint="default" w:ascii="Calibri" w:hAnsi="Calibri" w:eastAsia="仿宋_GB2312" w:cs="Times New Roman"/>
                <w:color w:val="auto"/>
                <w:sz w:val="28"/>
                <w:szCs w:val="30"/>
                <w:highlight w:val="none"/>
              </w:rPr>
            </w:pPr>
            <w:r>
              <w:rPr>
                <w:rFonts w:hint="default" w:ascii="Calibri" w:hAnsi="Calibri" w:eastAsia="仿宋_GB2312" w:cs="Times New Roman"/>
                <w:color w:val="auto"/>
                <w:sz w:val="28"/>
                <w:szCs w:val="30"/>
                <w:highlight w:val="none"/>
              </w:rPr>
              <w:t>移交时间</w:t>
            </w:r>
          </w:p>
        </w:tc>
        <w:tc>
          <w:tcPr>
            <w:tcW w:w="1667" w:type="dxa"/>
            <w:tcBorders>
              <w:top w:val="single" w:color="auto" w:sz="12" w:space="0"/>
              <w:bottom w:val="single" w:color="auto" w:sz="6" w:space="0"/>
            </w:tcBorders>
            <w:noWrap w:val="0"/>
            <w:vAlign w:val="top"/>
          </w:tcPr>
          <w:p w14:paraId="77AB2FF6">
            <w:pPr>
              <w:keepNext w:val="0"/>
              <w:keepLines w:val="0"/>
              <w:suppressLineNumbers w:val="0"/>
              <w:spacing w:before="0" w:beforeAutospacing="0" w:after="0" w:afterAutospacing="0" w:line="440" w:lineRule="exact"/>
              <w:ind w:left="0" w:right="0"/>
              <w:jc w:val="center"/>
              <w:rPr>
                <w:rFonts w:hint="default" w:ascii="Calibri" w:hAnsi="Calibri" w:eastAsia="仿宋_GB2312" w:cs="Times New Roman"/>
                <w:color w:val="auto"/>
                <w:sz w:val="28"/>
                <w:szCs w:val="30"/>
                <w:highlight w:val="none"/>
              </w:rPr>
            </w:pPr>
            <w:r>
              <w:rPr>
                <w:rFonts w:hint="default" w:ascii="Calibri" w:hAnsi="Calibri" w:eastAsia="仿宋_GB2312" w:cs="Times New Roman"/>
                <w:color w:val="auto"/>
                <w:sz w:val="28"/>
                <w:szCs w:val="30"/>
                <w:highlight w:val="none"/>
              </w:rPr>
              <w:t>责任人</w:t>
            </w:r>
          </w:p>
        </w:tc>
      </w:tr>
      <w:tr w14:paraId="457E11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bottom w:val="single" w:color="auto" w:sz="6" w:space="0"/>
            </w:tcBorders>
            <w:noWrap w:val="0"/>
            <w:vAlign w:val="center"/>
          </w:tcPr>
          <w:p w14:paraId="2D404EC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76" w:type="dxa"/>
            <w:tcBorders>
              <w:top w:val="single" w:color="auto" w:sz="6" w:space="0"/>
              <w:bottom w:val="single" w:color="auto" w:sz="6" w:space="0"/>
            </w:tcBorders>
            <w:noWrap w:val="0"/>
            <w:vAlign w:val="center"/>
          </w:tcPr>
          <w:p w14:paraId="3649844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tcBorders>
              <w:top w:val="single" w:color="auto" w:sz="6" w:space="0"/>
              <w:bottom w:val="single" w:color="auto" w:sz="6" w:space="0"/>
            </w:tcBorders>
            <w:noWrap w:val="0"/>
            <w:vAlign w:val="center"/>
          </w:tcPr>
          <w:p w14:paraId="42671E5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43" w:type="dxa"/>
            <w:tcBorders>
              <w:top w:val="single" w:color="auto" w:sz="6" w:space="0"/>
              <w:bottom w:val="single" w:color="auto" w:sz="6" w:space="0"/>
            </w:tcBorders>
            <w:noWrap w:val="0"/>
            <w:vAlign w:val="center"/>
          </w:tcPr>
          <w:p w14:paraId="136A321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tcBorders>
              <w:top w:val="single" w:color="auto" w:sz="6" w:space="0"/>
              <w:bottom w:val="single" w:color="auto" w:sz="6" w:space="0"/>
            </w:tcBorders>
            <w:noWrap w:val="0"/>
            <w:vAlign w:val="center"/>
          </w:tcPr>
          <w:p w14:paraId="04E9548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667" w:type="dxa"/>
            <w:tcBorders>
              <w:top w:val="single" w:color="auto" w:sz="6" w:space="0"/>
              <w:bottom w:val="single" w:color="auto" w:sz="6" w:space="0"/>
            </w:tcBorders>
            <w:noWrap w:val="0"/>
            <w:vAlign w:val="center"/>
          </w:tcPr>
          <w:p w14:paraId="3877818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33F41F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4969B46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76" w:type="dxa"/>
            <w:tcBorders>
              <w:top w:val="nil"/>
            </w:tcBorders>
            <w:noWrap w:val="0"/>
            <w:vAlign w:val="center"/>
          </w:tcPr>
          <w:p w14:paraId="13C3AC3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tcBorders>
              <w:top w:val="nil"/>
            </w:tcBorders>
            <w:noWrap w:val="0"/>
            <w:vAlign w:val="center"/>
          </w:tcPr>
          <w:p w14:paraId="7E69E0A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43" w:type="dxa"/>
            <w:tcBorders>
              <w:top w:val="nil"/>
            </w:tcBorders>
            <w:noWrap w:val="0"/>
            <w:vAlign w:val="center"/>
          </w:tcPr>
          <w:p w14:paraId="502BC39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tcBorders>
              <w:top w:val="nil"/>
            </w:tcBorders>
            <w:noWrap w:val="0"/>
            <w:vAlign w:val="center"/>
          </w:tcPr>
          <w:p w14:paraId="7DB59A0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667" w:type="dxa"/>
            <w:tcBorders>
              <w:top w:val="nil"/>
            </w:tcBorders>
            <w:noWrap w:val="0"/>
            <w:vAlign w:val="center"/>
          </w:tcPr>
          <w:p w14:paraId="24CF353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77F71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08D66EF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76" w:type="dxa"/>
            <w:noWrap w:val="0"/>
            <w:vAlign w:val="center"/>
          </w:tcPr>
          <w:p w14:paraId="7B1018C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noWrap w:val="0"/>
            <w:vAlign w:val="center"/>
          </w:tcPr>
          <w:p w14:paraId="3698041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43" w:type="dxa"/>
            <w:noWrap w:val="0"/>
            <w:vAlign w:val="center"/>
          </w:tcPr>
          <w:p w14:paraId="63E567F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noWrap w:val="0"/>
            <w:vAlign w:val="center"/>
          </w:tcPr>
          <w:p w14:paraId="394F791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667" w:type="dxa"/>
            <w:noWrap w:val="0"/>
            <w:vAlign w:val="center"/>
          </w:tcPr>
          <w:p w14:paraId="1FC7C6F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718EAC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42AEE8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76" w:type="dxa"/>
            <w:noWrap w:val="0"/>
            <w:vAlign w:val="center"/>
          </w:tcPr>
          <w:p w14:paraId="6EAC52A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noWrap w:val="0"/>
            <w:vAlign w:val="center"/>
          </w:tcPr>
          <w:p w14:paraId="0BFC22B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43" w:type="dxa"/>
            <w:noWrap w:val="0"/>
            <w:vAlign w:val="center"/>
          </w:tcPr>
          <w:p w14:paraId="651C235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noWrap w:val="0"/>
            <w:vAlign w:val="center"/>
          </w:tcPr>
          <w:p w14:paraId="72B719D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667" w:type="dxa"/>
            <w:noWrap w:val="0"/>
            <w:vAlign w:val="center"/>
          </w:tcPr>
          <w:p w14:paraId="6F77EDD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46A588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9B4237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76" w:type="dxa"/>
            <w:noWrap w:val="0"/>
            <w:vAlign w:val="center"/>
          </w:tcPr>
          <w:p w14:paraId="1D80CB0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noWrap w:val="0"/>
            <w:vAlign w:val="center"/>
          </w:tcPr>
          <w:p w14:paraId="4E1AA5C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43" w:type="dxa"/>
            <w:noWrap w:val="0"/>
            <w:vAlign w:val="center"/>
          </w:tcPr>
          <w:p w14:paraId="17CF118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noWrap w:val="0"/>
            <w:vAlign w:val="center"/>
          </w:tcPr>
          <w:p w14:paraId="5569203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667" w:type="dxa"/>
            <w:noWrap w:val="0"/>
            <w:vAlign w:val="center"/>
          </w:tcPr>
          <w:p w14:paraId="60034D3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38E766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7EF352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76" w:type="dxa"/>
            <w:noWrap w:val="0"/>
            <w:vAlign w:val="center"/>
          </w:tcPr>
          <w:p w14:paraId="44CF130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noWrap w:val="0"/>
            <w:vAlign w:val="center"/>
          </w:tcPr>
          <w:p w14:paraId="589B760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43" w:type="dxa"/>
            <w:noWrap w:val="0"/>
            <w:vAlign w:val="center"/>
          </w:tcPr>
          <w:p w14:paraId="74EE3A7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noWrap w:val="0"/>
            <w:vAlign w:val="center"/>
          </w:tcPr>
          <w:p w14:paraId="24635DD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667" w:type="dxa"/>
            <w:noWrap w:val="0"/>
            <w:vAlign w:val="center"/>
          </w:tcPr>
          <w:p w14:paraId="1AD8450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5BD960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1985223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76" w:type="dxa"/>
            <w:noWrap w:val="0"/>
            <w:vAlign w:val="center"/>
          </w:tcPr>
          <w:p w14:paraId="2541CC2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noWrap w:val="0"/>
            <w:vAlign w:val="center"/>
          </w:tcPr>
          <w:p w14:paraId="1FAB84C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43" w:type="dxa"/>
            <w:noWrap w:val="0"/>
            <w:vAlign w:val="center"/>
          </w:tcPr>
          <w:p w14:paraId="0C7856E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noWrap w:val="0"/>
            <w:vAlign w:val="center"/>
          </w:tcPr>
          <w:p w14:paraId="237CB7A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667" w:type="dxa"/>
            <w:noWrap w:val="0"/>
            <w:vAlign w:val="center"/>
          </w:tcPr>
          <w:p w14:paraId="24B52F9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68FFA0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86116E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76" w:type="dxa"/>
            <w:noWrap w:val="0"/>
            <w:vAlign w:val="center"/>
          </w:tcPr>
          <w:p w14:paraId="72B7CB6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noWrap w:val="0"/>
            <w:vAlign w:val="center"/>
          </w:tcPr>
          <w:p w14:paraId="2826FAF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43" w:type="dxa"/>
            <w:noWrap w:val="0"/>
            <w:vAlign w:val="center"/>
          </w:tcPr>
          <w:p w14:paraId="744AD6A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noWrap w:val="0"/>
            <w:vAlign w:val="center"/>
          </w:tcPr>
          <w:p w14:paraId="1522DBE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667" w:type="dxa"/>
            <w:noWrap w:val="0"/>
            <w:vAlign w:val="center"/>
          </w:tcPr>
          <w:p w14:paraId="4308329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5390D6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34356FF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32B9097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7B08942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5FB4344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63A4DED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0756A95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4FA6F8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52A67C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76" w:type="dxa"/>
            <w:noWrap w:val="0"/>
            <w:vAlign w:val="center"/>
          </w:tcPr>
          <w:p w14:paraId="41CD49A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noWrap w:val="0"/>
            <w:vAlign w:val="center"/>
          </w:tcPr>
          <w:p w14:paraId="1E3B7C7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243" w:type="dxa"/>
            <w:noWrap w:val="0"/>
            <w:vAlign w:val="center"/>
          </w:tcPr>
          <w:p w14:paraId="5A93BD7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50" w:type="dxa"/>
            <w:noWrap w:val="0"/>
            <w:vAlign w:val="center"/>
          </w:tcPr>
          <w:p w14:paraId="11E141E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667" w:type="dxa"/>
            <w:noWrap w:val="0"/>
            <w:vAlign w:val="center"/>
          </w:tcPr>
          <w:p w14:paraId="36F06BD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68A123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40DD0FC">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175B17A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0A76A2F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3B919AE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081BEFEC">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3F68C0D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404C05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7EABA4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2757199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5DA6F17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143AB9C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70F58EC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52FBB25D">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0C638B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4A0888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0444708F">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4BA2FE8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7FC3FFCF">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57ECCD8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5C0AB9F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16AF53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81A0DD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6E7AE1D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75C67A6F">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57BCDCB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562862CF">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4446137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1377F1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4DE54C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1A7B9FD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1F7D36D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7371462D">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0E59D7A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10BB6A4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738198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DAAA29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2977876C">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671B4B7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30CB463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59FBB2B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1E82AF2C">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152620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33AC9F2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38E5692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3FFBF54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3DA1A9B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12C1135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6B9F3FF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722F2A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6F76EF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610DED4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2DFD105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017B502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59D78BD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7BCCD91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0D80AB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6C42E8C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4863AAB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56EF269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779289D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5AB3BB2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3ECAE68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bl>
    <w:p w14:paraId="60325596">
      <w:pPr>
        <w:spacing w:line="440" w:lineRule="exact"/>
        <w:rPr>
          <w:rFonts w:hint="eastAsia" w:ascii="Times New Roman" w:hAnsi="Times New Roman" w:eastAsia="仿宋_GB2312" w:cs="Times New Roman"/>
          <w:color w:val="auto"/>
          <w:sz w:val="30"/>
          <w:szCs w:val="30"/>
          <w:highlight w:val="none"/>
        </w:rPr>
      </w:pPr>
    </w:p>
    <w:p w14:paraId="48974C2F">
      <w:pPr>
        <w:spacing w:before="120" w:after="120" w:line="440" w:lineRule="exact"/>
        <w:jc w:val="left"/>
        <w:rPr>
          <w:rFonts w:ascii="Times New Roman" w:hAnsi="Times New Roman" w:eastAsia="黑体" w:cs="Times New Roman"/>
          <w:color w:val="auto"/>
          <w:sz w:val="30"/>
          <w:szCs w:val="30"/>
          <w:highlight w:val="none"/>
        </w:rPr>
      </w:pPr>
      <w:r>
        <w:rPr>
          <w:rFonts w:ascii="Times New Roman" w:hAnsi="Times New Roman" w:eastAsia="仿宋_GB2312" w:cs="Times New Roman"/>
          <w:color w:val="auto"/>
          <w:sz w:val="30"/>
          <w:szCs w:val="30"/>
          <w:highlight w:val="none"/>
        </w:rPr>
        <w:br w:type="page" w:clear="all"/>
      </w:r>
      <w:r>
        <w:rPr>
          <w:rFonts w:hint="eastAsia" w:ascii="仿宋_GB2312" w:hAnsi="Times New Roman" w:eastAsia="仿宋_GB2312" w:cs="仿宋_GB2312"/>
          <w:color w:val="auto"/>
          <w:sz w:val="30"/>
          <w:szCs w:val="30"/>
          <w:highlight w:val="none"/>
        </w:rPr>
        <w:t>附件4：</w:t>
      </w:r>
      <w:r>
        <w:rPr>
          <w:rFonts w:hint="eastAsia" w:ascii="仿宋_GB2312" w:hAnsi="Times New Roman" w:eastAsia="仿宋_GB2312" w:cs="仿宋_GB2312"/>
          <w:color w:val="auto"/>
          <w:sz w:val="30"/>
          <w:szCs w:val="30"/>
          <w:highlight w:val="none"/>
          <w:lang w:val="en-US" w:eastAsia="zh-CN"/>
        </w:rPr>
        <w:t>承包人用于本工程施工的机械设备表</w:t>
      </w:r>
    </w:p>
    <w:p w14:paraId="7B9BD6A8">
      <w:pPr>
        <w:spacing w:line="440" w:lineRule="exact"/>
        <w:rPr>
          <w:rFonts w:ascii="Times New Roman" w:hAnsi="Times New Roman" w:eastAsia="黑体" w:cs="Times New Roman"/>
          <w:color w:val="auto"/>
          <w:sz w:val="30"/>
          <w:szCs w:val="30"/>
          <w:highlight w:val="none"/>
        </w:rPr>
      </w:pPr>
    </w:p>
    <w:p w14:paraId="0FBCB438">
      <w:pPr>
        <w:spacing w:before="120" w:after="120" w:line="440" w:lineRule="exact"/>
        <w:jc w:val="center"/>
        <w:rPr>
          <w:rFonts w:ascii="Times New Roman" w:hAnsi="Times New Roman" w:eastAsia="黑体" w:cs="Times New Roman"/>
          <w:color w:val="auto"/>
          <w:sz w:val="30"/>
          <w:szCs w:val="30"/>
          <w:highlight w:val="none"/>
        </w:rPr>
      </w:pPr>
      <w:r>
        <w:rPr>
          <w:rFonts w:hint="eastAsia" w:ascii="Times New Roman" w:hAnsi="Times New Roman" w:eastAsia="黑体" w:cs="黑体"/>
          <w:color w:val="auto"/>
          <w:sz w:val="30"/>
          <w:szCs w:val="30"/>
          <w:highlight w:val="none"/>
        </w:rPr>
        <w:t>承包人用于本工程施工的机械设备表</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663C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62" w:type="dxa"/>
            <w:noWrap w:val="0"/>
            <w:vAlign w:val="center"/>
          </w:tcPr>
          <w:p w14:paraId="408A9CB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序号</w:t>
            </w:r>
          </w:p>
        </w:tc>
        <w:tc>
          <w:tcPr>
            <w:tcW w:w="1418" w:type="dxa"/>
            <w:noWrap w:val="0"/>
            <w:vAlign w:val="center"/>
          </w:tcPr>
          <w:p w14:paraId="76A8467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机械或设备名称</w:t>
            </w:r>
          </w:p>
        </w:tc>
        <w:tc>
          <w:tcPr>
            <w:tcW w:w="850" w:type="dxa"/>
            <w:noWrap w:val="0"/>
            <w:vAlign w:val="center"/>
          </w:tcPr>
          <w:p w14:paraId="4CE74FF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规格型号</w:t>
            </w:r>
          </w:p>
        </w:tc>
        <w:tc>
          <w:tcPr>
            <w:tcW w:w="1058" w:type="dxa"/>
            <w:noWrap w:val="0"/>
            <w:vAlign w:val="center"/>
          </w:tcPr>
          <w:p w14:paraId="6FD3DA4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数量</w:t>
            </w:r>
          </w:p>
        </w:tc>
        <w:tc>
          <w:tcPr>
            <w:tcW w:w="880" w:type="dxa"/>
            <w:noWrap w:val="0"/>
            <w:vAlign w:val="center"/>
          </w:tcPr>
          <w:p w14:paraId="6C6FE8E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产地</w:t>
            </w:r>
          </w:p>
        </w:tc>
        <w:tc>
          <w:tcPr>
            <w:tcW w:w="1020" w:type="dxa"/>
            <w:noWrap w:val="0"/>
            <w:vAlign w:val="center"/>
          </w:tcPr>
          <w:p w14:paraId="029F7C0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制造年份</w:t>
            </w:r>
          </w:p>
        </w:tc>
        <w:tc>
          <w:tcPr>
            <w:tcW w:w="1480" w:type="dxa"/>
            <w:noWrap w:val="0"/>
            <w:vAlign w:val="center"/>
          </w:tcPr>
          <w:p w14:paraId="7144C5F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额定功率（</w:t>
            </w:r>
            <w:r>
              <w:rPr>
                <w:rFonts w:hint="default" w:ascii="Calibri" w:hAnsi="Calibri" w:eastAsia="仿宋_GB2312" w:cs="Times New Roman"/>
                <w:color w:val="auto"/>
                <w:sz w:val="28"/>
                <w:szCs w:val="28"/>
                <w:highlight w:val="none"/>
                <w:lang w:val="en-US" w:eastAsia="zh-CN" w:bidi="ar-SA"/>
              </w:rPr>
              <w:t>kW</w:t>
            </w:r>
            <w:r>
              <w:rPr>
                <w:rFonts w:hint="eastAsia" w:ascii="Calibri" w:hAnsi="Calibri" w:eastAsia="仿宋_GB2312" w:cs="仿宋_GB2312"/>
                <w:color w:val="auto"/>
                <w:sz w:val="28"/>
                <w:szCs w:val="28"/>
                <w:highlight w:val="none"/>
                <w:lang w:val="en-US" w:eastAsia="zh-CN" w:bidi="ar-SA"/>
              </w:rPr>
              <w:t>）</w:t>
            </w:r>
          </w:p>
        </w:tc>
        <w:tc>
          <w:tcPr>
            <w:tcW w:w="1020" w:type="dxa"/>
            <w:noWrap w:val="0"/>
            <w:vAlign w:val="center"/>
          </w:tcPr>
          <w:p w14:paraId="04915CD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生产能力</w:t>
            </w:r>
          </w:p>
        </w:tc>
        <w:tc>
          <w:tcPr>
            <w:tcW w:w="921" w:type="dxa"/>
            <w:noWrap w:val="0"/>
            <w:vAlign w:val="center"/>
          </w:tcPr>
          <w:p w14:paraId="6279FE8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备注</w:t>
            </w:r>
          </w:p>
        </w:tc>
      </w:tr>
      <w:tr w14:paraId="0ABF9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1EE076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18" w:type="dxa"/>
            <w:noWrap w:val="0"/>
            <w:vAlign w:val="center"/>
          </w:tcPr>
          <w:p w14:paraId="463CEC5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50" w:type="dxa"/>
            <w:noWrap w:val="0"/>
            <w:vAlign w:val="center"/>
          </w:tcPr>
          <w:p w14:paraId="047554C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58" w:type="dxa"/>
            <w:noWrap w:val="0"/>
            <w:vAlign w:val="center"/>
          </w:tcPr>
          <w:p w14:paraId="6B4F971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80" w:type="dxa"/>
            <w:noWrap w:val="0"/>
            <w:vAlign w:val="center"/>
          </w:tcPr>
          <w:p w14:paraId="6A088DC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032F0D4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80" w:type="dxa"/>
            <w:noWrap w:val="0"/>
            <w:vAlign w:val="center"/>
          </w:tcPr>
          <w:p w14:paraId="0FA76CA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586865D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921" w:type="dxa"/>
            <w:noWrap w:val="0"/>
            <w:vAlign w:val="center"/>
          </w:tcPr>
          <w:p w14:paraId="5A894D5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2DD2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E95249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18" w:type="dxa"/>
            <w:noWrap w:val="0"/>
            <w:vAlign w:val="center"/>
          </w:tcPr>
          <w:p w14:paraId="1D36D51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50" w:type="dxa"/>
            <w:noWrap w:val="0"/>
            <w:vAlign w:val="center"/>
          </w:tcPr>
          <w:p w14:paraId="4BD330D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58" w:type="dxa"/>
            <w:noWrap w:val="0"/>
            <w:vAlign w:val="center"/>
          </w:tcPr>
          <w:p w14:paraId="32D6527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80" w:type="dxa"/>
            <w:noWrap w:val="0"/>
            <w:vAlign w:val="center"/>
          </w:tcPr>
          <w:p w14:paraId="079ABFB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13479AD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80" w:type="dxa"/>
            <w:noWrap w:val="0"/>
            <w:vAlign w:val="center"/>
          </w:tcPr>
          <w:p w14:paraId="4EF69E2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5E81B80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921" w:type="dxa"/>
            <w:noWrap w:val="0"/>
            <w:vAlign w:val="center"/>
          </w:tcPr>
          <w:p w14:paraId="31F166E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5167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AA4455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18" w:type="dxa"/>
            <w:noWrap w:val="0"/>
            <w:vAlign w:val="center"/>
          </w:tcPr>
          <w:p w14:paraId="0E69EDF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50" w:type="dxa"/>
            <w:noWrap w:val="0"/>
            <w:vAlign w:val="center"/>
          </w:tcPr>
          <w:p w14:paraId="02DBCBA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58" w:type="dxa"/>
            <w:noWrap w:val="0"/>
            <w:vAlign w:val="center"/>
          </w:tcPr>
          <w:p w14:paraId="00D0592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80" w:type="dxa"/>
            <w:noWrap w:val="0"/>
            <w:vAlign w:val="center"/>
          </w:tcPr>
          <w:p w14:paraId="40E3466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598D5C0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80" w:type="dxa"/>
            <w:noWrap w:val="0"/>
            <w:vAlign w:val="center"/>
          </w:tcPr>
          <w:p w14:paraId="458BDD0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18114D8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921" w:type="dxa"/>
            <w:noWrap w:val="0"/>
            <w:vAlign w:val="center"/>
          </w:tcPr>
          <w:p w14:paraId="5EADCF6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50214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A1A490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18" w:type="dxa"/>
            <w:noWrap w:val="0"/>
            <w:vAlign w:val="center"/>
          </w:tcPr>
          <w:p w14:paraId="6EB45F2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50" w:type="dxa"/>
            <w:noWrap w:val="0"/>
            <w:vAlign w:val="center"/>
          </w:tcPr>
          <w:p w14:paraId="44C0F08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58" w:type="dxa"/>
            <w:noWrap w:val="0"/>
            <w:vAlign w:val="center"/>
          </w:tcPr>
          <w:p w14:paraId="442E334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80" w:type="dxa"/>
            <w:noWrap w:val="0"/>
            <w:vAlign w:val="center"/>
          </w:tcPr>
          <w:p w14:paraId="19FED7F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4ADF6BE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80" w:type="dxa"/>
            <w:noWrap w:val="0"/>
            <w:vAlign w:val="center"/>
          </w:tcPr>
          <w:p w14:paraId="3495666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79A3D38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921" w:type="dxa"/>
            <w:noWrap w:val="0"/>
            <w:vAlign w:val="center"/>
          </w:tcPr>
          <w:p w14:paraId="3D3075F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7A7F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2DEB7FB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18" w:type="dxa"/>
            <w:noWrap w:val="0"/>
            <w:vAlign w:val="center"/>
          </w:tcPr>
          <w:p w14:paraId="2A443B7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50" w:type="dxa"/>
            <w:noWrap w:val="0"/>
            <w:vAlign w:val="center"/>
          </w:tcPr>
          <w:p w14:paraId="6643B7C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58" w:type="dxa"/>
            <w:noWrap w:val="0"/>
            <w:vAlign w:val="center"/>
          </w:tcPr>
          <w:p w14:paraId="41E1982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80" w:type="dxa"/>
            <w:noWrap w:val="0"/>
            <w:vAlign w:val="center"/>
          </w:tcPr>
          <w:p w14:paraId="1F0B080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1C94A4E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80" w:type="dxa"/>
            <w:noWrap w:val="0"/>
            <w:vAlign w:val="center"/>
          </w:tcPr>
          <w:p w14:paraId="7220449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5CAB1AA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921" w:type="dxa"/>
            <w:noWrap w:val="0"/>
            <w:vAlign w:val="center"/>
          </w:tcPr>
          <w:p w14:paraId="4BBEFE1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354E7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D236D7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18" w:type="dxa"/>
            <w:noWrap w:val="0"/>
            <w:vAlign w:val="center"/>
          </w:tcPr>
          <w:p w14:paraId="523451D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50" w:type="dxa"/>
            <w:noWrap w:val="0"/>
            <w:vAlign w:val="center"/>
          </w:tcPr>
          <w:p w14:paraId="7938430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58" w:type="dxa"/>
            <w:noWrap w:val="0"/>
            <w:vAlign w:val="center"/>
          </w:tcPr>
          <w:p w14:paraId="308B21A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80" w:type="dxa"/>
            <w:noWrap w:val="0"/>
            <w:vAlign w:val="center"/>
          </w:tcPr>
          <w:p w14:paraId="3732AB1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074DCCF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80" w:type="dxa"/>
            <w:noWrap w:val="0"/>
            <w:vAlign w:val="center"/>
          </w:tcPr>
          <w:p w14:paraId="49410DA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6157C36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921" w:type="dxa"/>
            <w:noWrap w:val="0"/>
            <w:vAlign w:val="center"/>
          </w:tcPr>
          <w:p w14:paraId="6139EB2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3DD0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7AF398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18" w:type="dxa"/>
            <w:noWrap w:val="0"/>
            <w:vAlign w:val="center"/>
          </w:tcPr>
          <w:p w14:paraId="502C820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50" w:type="dxa"/>
            <w:noWrap w:val="0"/>
            <w:vAlign w:val="center"/>
          </w:tcPr>
          <w:p w14:paraId="30ACB39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58" w:type="dxa"/>
            <w:noWrap w:val="0"/>
            <w:vAlign w:val="center"/>
          </w:tcPr>
          <w:p w14:paraId="289A184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80" w:type="dxa"/>
            <w:noWrap w:val="0"/>
            <w:vAlign w:val="center"/>
          </w:tcPr>
          <w:p w14:paraId="478CFC4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12427D8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80" w:type="dxa"/>
            <w:noWrap w:val="0"/>
            <w:vAlign w:val="center"/>
          </w:tcPr>
          <w:p w14:paraId="64C542E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484344B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921" w:type="dxa"/>
            <w:noWrap w:val="0"/>
            <w:vAlign w:val="center"/>
          </w:tcPr>
          <w:p w14:paraId="49A7BE1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3C7BE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03FF976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18" w:type="dxa"/>
            <w:noWrap w:val="0"/>
            <w:vAlign w:val="center"/>
          </w:tcPr>
          <w:p w14:paraId="11CB15E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50" w:type="dxa"/>
            <w:noWrap w:val="0"/>
            <w:vAlign w:val="center"/>
          </w:tcPr>
          <w:p w14:paraId="6B77938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58" w:type="dxa"/>
            <w:noWrap w:val="0"/>
            <w:vAlign w:val="center"/>
          </w:tcPr>
          <w:p w14:paraId="22F6801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80" w:type="dxa"/>
            <w:noWrap w:val="0"/>
            <w:vAlign w:val="center"/>
          </w:tcPr>
          <w:p w14:paraId="3AFFEA8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6EAFE36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80" w:type="dxa"/>
            <w:noWrap w:val="0"/>
            <w:vAlign w:val="center"/>
          </w:tcPr>
          <w:p w14:paraId="1417F97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5C6CD50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921" w:type="dxa"/>
            <w:noWrap w:val="0"/>
            <w:vAlign w:val="center"/>
          </w:tcPr>
          <w:p w14:paraId="6B8D382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0956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0D6AFA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5B4B2B8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0BED3FED">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00AC8F2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4F97A22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4886598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549961E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5CC090EC">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7B52A86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4528C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A71DDB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18" w:type="dxa"/>
            <w:noWrap w:val="0"/>
            <w:vAlign w:val="center"/>
          </w:tcPr>
          <w:p w14:paraId="3C86B53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50" w:type="dxa"/>
            <w:noWrap w:val="0"/>
            <w:vAlign w:val="center"/>
          </w:tcPr>
          <w:p w14:paraId="753A54E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58" w:type="dxa"/>
            <w:noWrap w:val="0"/>
            <w:vAlign w:val="center"/>
          </w:tcPr>
          <w:p w14:paraId="4B33906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880" w:type="dxa"/>
            <w:noWrap w:val="0"/>
            <w:vAlign w:val="center"/>
          </w:tcPr>
          <w:p w14:paraId="6B3557A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1EE31C0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480" w:type="dxa"/>
            <w:noWrap w:val="0"/>
            <w:vAlign w:val="center"/>
          </w:tcPr>
          <w:p w14:paraId="4B80BB9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020" w:type="dxa"/>
            <w:noWrap w:val="0"/>
            <w:vAlign w:val="center"/>
          </w:tcPr>
          <w:p w14:paraId="3B39592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921" w:type="dxa"/>
            <w:noWrap w:val="0"/>
            <w:vAlign w:val="center"/>
          </w:tcPr>
          <w:p w14:paraId="4AF1CEA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5F13A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79B5009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4930D1E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42C8A06D">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68E6926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019E29E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749717C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144F991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6F1852A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1AD0BF3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056AB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4F80B1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11193B6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6EAE964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3AFA0CB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4639014C">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613587FF">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51FF571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4C65C88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4553B7F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420D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6E72C2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3BD04A9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4DDD7E8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53069F0D">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5F3907D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6257E8B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7AADB88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7F85346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02AEE05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2FE9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AD9D4C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71E2890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4152F58C">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304DF79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7DD1A45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01ACEFF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23E7BC1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60A2EA1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1F4ED789">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4186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243CE8C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01A18B1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4779D2B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775138C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45AB538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59373DC9">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352B4C8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5A3F557D">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71A9972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548B1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7AD6C22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73E9DC5F">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6D18F0DF">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095973D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6BED38C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223EF16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0ABCBE4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02C41FE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168C2A3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30E7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287C0499">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3B0EFE29">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5579392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716A38F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41F731E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4D33FED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2439A4A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37EF746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4F6410F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55108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A18A15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2DF16AB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013F0C7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60834ED9">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3EAF114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308A43F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4A2930AD">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2F9F482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5B7651C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1DDF6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F2D655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4C82F83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138AF409">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56577EC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0FCCB19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6F969EBD">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1EB3271F">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12412CE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68DFAC1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bl>
    <w:p w14:paraId="5EB3A32C">
      <w:pPr>
        <w:spacing w:line="440" w:lineRule="exact"/>
        <w:rPr>
          <w:rFonts w:eastAsia="仿宋_GB2312"/>
          <w:color w:val="auto"/>
          <w:sz w:val="30"/>
          <w:szCs w:val="30"/>
          <w:highlight w:val="none"/>
        </w:rPr>
        <w:sectPr>
          <w:pgSz w:w="11907" w:h="16840"/>
          <w:pgMar w:top="1440" w:right="1440" w:bottom="1440" w:left="1797" w:header="851" w:footer="851" w:gutter="0"/>
          <w:cols w:space="720" w:num="1"/>
        </w:sectPr>
      </w:pPr>
    </w:p>
    <w:p w14:paraId="631F3D8F">
      <w:pPr>
        <w:spacing w:before="120" w:after="12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w:t>
      </w:r>
      <w:bookmarkStart w:id="1287" w:name="_Toc267261699"/>
      <w:bookmarkStart w:id="1288" w:name="_Toc296503228"/>
      <w:bookmarkStart w:id="1289" w:name="_Toc296346729"/>
      <w:bookmarkStart w:id="1290" w:name="_Toc296891268"/>
      <w:bookmarkStart w:id="1291" w:name="_Toc296891056"/>
      <w:bookmarkStart w:id="1292" w:name="_Toc296944567"/>
      <w:bookmarkStart w:id="1293" w:name="_Toc296347227"/>
      <w:r>
        <w:rPr>
          <w:rFonts w:hint="eastAsia" w:ascii="仿宋_GB2312" w:hAnsi="Times New Roman" w:eastAsia="仿宋_GB2312" w:cs="仿宋_GB2312"/>
          <w:color w:val="auto"/>
          <w:sz w:val="30"/>
          <w:szCs w:val="30"/>
          <w:highlight w:val="none"/>
        </w:rPr>
        <w:t>件5：承包人主要施工管理人员表</w:t>
      </w:r>
      <w:bookmarkEnd w:id="1287"/>
      <w:bookmarkEnd w:id="1288"/>
      <w:bookmarkEnd w:id="1289"/>
      <w:bookmarkEnd w:id="1290"/>
      <w:bookmarkEnd w:id="1291"/>
      <w:bookmarkEnd w:id="1292"/>
      <w:bookmarkEnd w:id="1293"/>
    </w:p>
    <w:p w14:paraId="7BF59AF9">
      <w:pPr>
        <w:spacing w:before="120" w:after="120" w:line="440" w:lineRule="exact"/>
        <w:jc w:val="center"/>
        <w:rPr>
          <w:rFonts w:ascii="Times New Roman" w:hAnsi="Times New Roman" w:eastAsia="黑体" w:cs="Times New Roman"/>
          <w:color w:val="auto"/>
          <w:sz w:val="30"/>
          <w:szCs w:val="30"/>
          <w:highlight w:val="none"/>
        </w:rPr>
      </w:pPr>
      <w:r>
        <w:rPr>
          <w:rFonts w:hint="eastAsia" w:ascii="Times New Roman" w:hAnsi="Times New Roman" w:eastAsia="黑体" w:cs="黑体"/>
          <w:color w:val="auto"/>
          <w:sz w:val="30"/>
          <w:szCs w:val="30"/>
          <w:highlight w:val="none"/>
        </w:rPr>
        <w:t>承包人主要施工管理人员表</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148AF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9559AE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名</w:t>
            </w:r>
            <w:r>
              <w:rPr>
                <w:rFonts w:hint="default" w:ascii="Calibri" w:hAnsi="Calibri" w:eastAsia="仿宋_GB2312" w:cs="Times New Roman"/>
                <w:color w:val="auto"/>
                <w:sz w:val="28"/>
                <w:szCs w:val="28"/>
                <w:highlight w:val="none"/>
                <w:lang w:val="en-US" w:eastAsia="zh-CN" w:bidi="ar-SA"/>
              </w:rPr>
              <w:t xml:space="preserve">    </w:t>
            </w:r>
            <w:r>
              <w:rPr>
                <w:rFonts w:hint="eastAsia" w:ascii="Calibri" w:hAnsi="Calibri" w:eastAsia="仿宋_GB2312" w:cs="仿宋_GB2312"/>
                <w:color w:val="auto"/>
                <w:sz w:val="28"/>
                <w:szCs w:val="28"/>
                <w:highlight w:val="none"/>
                <w:lang w:val="en-US" w:eastAsia="zh-CN" w:bidi="ar-SA"/>
              </w:rPr>
              <w:t>称</w:t>
            </w:r>
          </w:p>
        </w:tc>
        <w:tc>
          <w:tcPr>
            <w:tcW w:w="1418" w:type="dxa"/>
            <w:noWrap w:val="0"/>
            <w:vAlign w:val="center"/>
          </w:tcPr>
          <w:p w14:paraId="79FD07E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姓名</w:t>
            </w:r>
          </w:p>
        </w:tc>
        <w:tc>
          <w:tcPr>
            <w:tcW w:w="1134" w:type="dxa"/>
            <w:noWrap w:val="0"/>
            <w:vAlign w:val="center"/>
          </w:tcPr>
          <w:p w14:paraId="45D49BA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r>
              <w:rPr>
                <w:rFonts w:hint="eastAsia" w:ascii="Calibri" w:hAnsi="Calibri" w:eastAsia="仿宋_GB2312" w:cs="仿宋_GB2312"/>
                <w:color w:val="auto"/>
                <w:sz w:val="30"/>
                <w:szCs w:val="30"/>
                <w:highlight w:val="none"/>
                <w:lang w:val="en-US" w:eastAsia="zh-CN" w:bidi="ar-SA"/>
              </w:rPr>
              <w:t>职务</w:t>
            </w:r>
          </w:p>
        </w:tc>
        <w:tc>
          <w:tcPr>
            <w:tcW w:w="1134" w:type="dxa"/>
            <w:noWrap w:val="0"/>
            <w:vAlign w:val="center"/>
          </w:tcPr>
          <w:p w14:paraId="036033B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r>
              <w:rPr>
                <w:rFonts w:hint="eastAsia" w:ascii="Calibri" w:hAnsi="Calibri" w:eastAsia="仿宋_GB2312" w:cs="仿宋_GB2312"/>
                <w:color w:val="auto"/>
                <w:sz w:val="30"/>
                <w:szCs w:val="30"/>
                <w:highlight w:val="none"/>
                <w:lang w:val="en-US" w:eastAsia="zh-CN" w:bidi="ar-SA"/>
              </w:rPr>
              <w:t>职称</w:t>
            </w:r>
          </w:p>
        </w:tc>
        <w:tc>
          <w:tcPr>
            <w:tcW w:w="4252" w:type="dxa"/>
            <w:noWrap w:val="0"/>
            <w:vAlign w:val="center"/>
          </w:tcPr>
          <w:p w14:paraId="12A179A6">
            <w:pPr>
              <w:keepNext/>
              <w:keepLines w:val="0"/>
              <w:widowControl w:val="0"/>
              <w:suppressLineNumbers w:val="0"/>
              <w:spacing w:before="0" w:beforeAutospacing="0" w:after="0" w:afterAutospacing="0" w:line="440" w:lineRule="exact"/>
              <w:ind w:left="0" w:right="63"/>
              <w:jc w:val="center"/>
              <w:rPr>
                <w:rFonts w:hint="default" w:ascii="Calibri" w:hAnsi="Calibri" w:eastAsia="仿宋_GB2312" w:cs="Times New Roman"/>
                <w:color w:val="auto"/>
                <w:sz w:val="30"/>
                <w:szCs w:val="30"/>
                <w:highlight w:val="none"/>
                <w:lang w:val="en-US" w:eastAsia="zh-CN" w:bidi="ar-SA"/>
              </w:rPr>
            </w:pPr>
            <w:r>
              <w:rPr>
                <w:rFonts w:hint="eastAsia" w:ascii="Calibri" w:hAnsi="Calibri" w:eastAsia="仿宋_GB2312" w:cs="仿宋_GB2312"/>
                <w:color w:val="auto"/>
                <w:sz w:val="30"/>
                <w:szCs w:val="30"/>
                <w:highlight w:val="none"/>
                <w:lang w:val="en-US" w:eastAsia="zh-CN" w:bidi="ar-SA"/>
              </w:rPr>
              <w:t>计划进场时间</w:t>
            </w:r>
          </w:p>
        </w:tc>
      </w:tr>
      <w:tr w14:paraId="30021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55863FD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一、总部人员</w:t>
            </w:r>
          </w:p>
        </w:tc>
      </w:tr>
      <w:tr w14:paraId="1F0AB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4D35A0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项目主管</w:t>
            </w:r>
          </w:p>
        </w:tc>
        <w:tc>
          <w:tcPr>
            <w:tcW w:w="1418" w:type="dxa"/>
            <w:noWrap w:val="0"/>
            <w:vAlign w:val="center"/>
          </w:tcPr>
          <w:p w14:paraId="35AB1D3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730D474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7D52B82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6505F23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1E85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E4DD902">
            <w:pPr>
              <w:keepNext/>
              <w:keepLines w:val="0"/>
              <w:widowControl w:val="0"/>
              <w:suppressLineNumbers w:val="0"/>
              <w:spacing w:before="0" w:beforeAutospacing="0" w:after="6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其他人员</w:t>
            </w:r>
          </w:p>
        </w:tc>
        <w:tc>
          <w:tcPr>
            <w:tcW w:w="1418" w:type="dxa"/>
            <w:noWrap w:val="0"/>
            <w:vAlign w:val="center"/>
          </w:tcPr>
          <w:p w14:paraId="27BC82A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6D2C1FE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1679071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12FB86B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5B0BA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DCB311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758EBE3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0D4B8A2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2EEAC06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3B74899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67FE2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0EB5415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6940FD3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2BBE60B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1A3EAB8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5175A61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50F24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5EAC191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二、现场人员</w:t>
            </w:r>
          </w:p>
        </w:tc>
      </w:tr>
      <w:tr w14:paraId="28BF1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D7FFE8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项目经理</w:t>
            </w:r>
          </w:p>
        </w:tc>
        <w:tc>
          <w:tcPr>
            <w:tcW w:w="1418" w:type="dxa"/>
            <w:noWrap w:val="0"/>
            <w:vAlign w:val="center"/>
          </w:tcPr>
          <w:p w14:paraId="12CAEA3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2689D70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5A7CE10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6A20CC1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55B26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06E3FD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项目副经理</w:t>
            </w:r>
          </w:p>
        </w:tc>
        <w:tc>
          <w:tcPr>
            <w:tcW w:w="1418" w:type="dxa"/>
            <w:noWrap w:val="0"/>
            <w:vAlign w:val="center"/>
          </w:tcPr>
          <w:p w14:paraId="291381C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3100B8C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5B52B4B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38E0FEB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744D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B66D42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技术负责人</w:t>
            </w:r>
          </w:p>
        </w:tc>
        <w:tc>
          <w:tcPr>
            <w:tcW w:w="1418" w:type="dxa"/>
            <w:noWrap w:val="0"/>
            <w:vAlign w:val="center"/>
          </w:tcPr>
          <w:p w14:paraId="200F386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15F86F5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7073E76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70DEC2C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4DF3F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3EB627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造价管理</w:t>
            </w:r>
          </w:p>
        </w:tc>
        <w:tc>
          <w:tcPr>
            <w:tcW w:w="1418" w:type="dxa"/>
            <w:noWrap w:val="0"/>
            <w:vAlign w:val="center"/>
          </w:tcPr>
          <w:p w14:paraId="1137385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03FD812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6499D42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0A474EE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04510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6C564278">
            <w:pPr>
              <w:keepNext/>
              <w:keepLines w:val="0"/>
              <w:widowControl w:val="0"/>
              <w:suppressLineNumbers w:val="0"/>
              <w:spacing w:before="0" w:beforeAutospacing="0" w:after="6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质量管理</w:t>
            </w:r>
          </w:p>
        </w:tc>
        <w:tc>
          <w:tcPr>
            <w:tcW w:w="1418" w:type="dxa"/>
            <w:noWrap w:val="0"/>
            <w:vAlign w:val="center"/>
          </w:tcPr>
          <w:p w14:paraId="3750D47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08B2AD6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25ABECF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74B967E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3511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0591128">
            <w:pPr>
              <w:keepNext/>
              <w:keepLines w:val="0"/>
              <w:widowControl w:val="0"/>
              <w:suppressLineNumbers w:val="0"/>
              <w:spacing w:before="0" w:beforeAutospacing="0" w:after="6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5CC6D6C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71333D0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2AB3FFE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6F1ACAF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74AA0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BAD6E3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418AFAE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67E44D2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5D75266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2D1F61B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02AB0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F010A6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材料管理</w:t>
            </w:r>
          </w:p>
        </w:tc>
        <w:tc>
          <w:tcPr>
            <w:tcW w:w="1418" w:type="dxa"/>
            <w:noWrap w:val="0"/>
            <w:vAlign w:val="center"/>
          </w:tcPr>
          <w:p w14:paraId="54136E7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27A7FE5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2D7D1C2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09C635A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36B4D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F31A01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计划管理</w:t>
            </w:r>
          </w:p>
        </w:tc>
        <w:tc>
          <w:tcPr>
            <w:tcW w:w="1418" w:type="dxa"/>
            <w:noWrap w:val="0"/>
            <w:vAlign w:val="center"/>
          </w:tcPr>
          <w:p w14:paraId="1180952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60B3323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1EEAD77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5E22C87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1EE33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4E83F5A7">
            <w:pPr>
              <w:keepNext/>
              <w:keepLines w:val="0"/>
              <w:widowControl w:val="0"/>
              <w:suppressLineNumbers w:val="0"/>
              <w:spacing w:before="0" w:beforeAutospacing="0" w:after="6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安全管理</w:t>
            </w:r>
          </w:p>
        </w:tc>
        <w:tc>
          <w:tcPr>
            <w:tcW w:w="1418" w:type="dxa"/>
            <w:noWrap w:val="0"/>
            <w:vAlign w:val="center"/>
          </w:tcPr>
          <w:p w14:paraId="682AF2B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10D6214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5EEAEE4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1AA3745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5B17F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BCB3A71">
            <w:pPr>
              <w:keepNext/>
              <w:keepLines w:val="0"/>
              <w:widowControl w:val="0"/>
              <w:suppressLineNumbers w:val="0"/>
              <w:spacing w:before="0" w:beforeAutospacing="0" w:after="6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4CEDB7A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26753C6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4BD9BBE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5714F33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4D3E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BE00C0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144C382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55D97C6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3D6EC5A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0FE81BD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3A28C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47090E8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其他人员</w:t>
            </w:r>
          </w:p>
        </w:tc>
        <w:tc>
          <w:tcPr>
            <w:tcW w:w="1418" w:type="dxa"/>
            <w:noWrap w:val="0"/>
            <w:vAlign w:val="center"/>
          </w:tcPr>
          <w:p w14:paraId="78B95EB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18B9A65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33F5809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4928A10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559BE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846AFD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3511783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4FF4A97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4C2A092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155E950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7AD1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030DF0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5942538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5654553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0943CC3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428174D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79989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4827B2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688C1D6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4353189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1468A55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1215214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7936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F3DC08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1E1DED8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016216E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6C9AADA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770BE65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3B303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1C9D45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39934C4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1C68963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1F718D8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30041A3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bl>
    <w:p w14:paraId="3C12C9AB">
      <w:pPr>
        <w:spacing w:before="120" w:after="120" w:line="440" w:lineRule="exact"/>
        <w:jc w:val="left"/>
        <w:rPr>
          <w:rFonts w:hint="eastAsia" w:ascii="仿宋_GB2312" w:hAnsi="Times New Roman" w:eastAsia="仿宋_GB2312" w:cs="仿宋_GB2312"/>
          <w:color w:val="auto"/>
          <w:sz w:val="30"/>
          <w:szCs w:val="30"/>
          <w:highlight w:val="none"/>
        </w:rPr>
      </w:pPr>
      <w:r>
        <w:rPr>
          <w:rFonts w:ascii="Times New Roman" w:hAnsi="Times New Roman" w:eastAsia="仿宋_GB2312" w:cs="Times New Roman"/>
          <w:color w:val="auto"/>
          <w:sz w:val="30"/>
          <w:szCs w:val="30"/>
          <w:highlight w:val="none"/>
        </w:rPr>
        <w:br w:type="page" w:clear="all"/>
      </w:r>
      <w:r>
        <w:rPr>
          <w:rFonts w:hint="eastAsia" w:ascii="仿宋_GB2312" w:hAnsi="Times New Roman" w:eastAsia="仿宋_GB2312" w:cs="仿宋_GB2312"/>
          <w:color w:val="auto"/>
          <w:sz w:val="30"/>
          <w:szCs w:val="30"/>
          <w:highlight w:val="none"/>
        </w:rPr>
        <w:t>附</w:t>
      </w:r>
      <w:bookmarkStart w:id="1294" w:name="_Toc296503229"/>
      <w:bookmarkStart w:id="1295" w:name="_Toc296347228"/>
      <w:bookmarkStart w:id="1296" w:name="_Toc296346730"/>
      <w:bookmarkStart w:id="1297" w:name="_Toc296944568"/>
      <w:bookmarkStart w:id="1298" w:name="_Toc296891057"/>
      <w:bookmarkStart w:id="1299" w:name="_Toc296891269"/>
      <w:r>
        <w:rPr>
          <w:rFonts w:hint="eastAsia" w:ascii="仿宋_GB2312" w:hAnsi="Times New Roman" w:eastAsia="仿宋_GB2312" w:cs="仿宋_GB2312"/>
          <w:color w:val="auto"/>
          <w:sz w:val="30"/>
          <w:szCs w:val="30"/>
          <w:highlight w:val="none"/>
        </w:rPr>
        <w:t>件6：</w:t>
      </w:r>
      <w:r>
        <w:rPr>
          <w:rFonts w:hint="eastAsia" w:ascii="仿宋_GB2312" w:hAnsi="Times New Roman" w:eastAsia="仿宋_GB2312" w:cs="仿宋_GB2312"/>
          <w:color w:val="auto"/>
          <w:sz w:val="30"/>
          <w:szCs w:val="30"/>
          <w:highlight w:val="none"/>
          <w:lang w:val="en-US" w:eastAsia="zh-CN"/>
        </w:rPr>
        <w:t>分包人主要施工管理人员表</w:t>
      </w:r>
      <w:bookmarkEnd w:id="1294"/>
      <w:bookmarkEnd w:id="1295"/>
      <w:bookmarkEnd w:id="1296"/>
      <w:bookmarkEnd w:id="1297"/>
      <w:bookmarkEnd w:id="1298"/>
      <w:bookmarkEnd w:id="1299"/>
    </w:p>
    <w:p w14:paraId="0718DA17">
      <w:pPr>
        <w:spacing w:before="120" w:after="120" w:line="440" w:lineRule="exact"/>
        <w:jc w:val="center"/>
        <w:rPr>
          <w:rFonts w:ascii="Times New Roman" w:hAnsi="Times New Roman" w:eastAsia="黑体" w:cs="Times New Roman"/>
          <w:color w:val="auto"/>
          <w:sz w:val="30"/>
          <w:szCs w:val="30"/>
          <w:highlight w:val="none"/>
        </w:rPr>
      </w:pPr>
      <w:r>
        <w:rPr>
          <w:rFonts w:hint="eastAsia" w:ascii="Times New Roman" w:hAnsi="Times New Roman" w:eastAsia="黑体" w:cs="黑体"/>
          <w:color w:val="auto"/>
          <w:sz w:val="30"/>
          <w:szCs w:val="30"/>
          <w:highlight w:val="none"/>
        </w:rPr>
        <w:t>分包人主要施工管理人员表</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5CA4E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493814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名</w:t>
            </w:r>
            <w:r>
              <w:rPr>
                <w:rFonts w:hint="default" w:ascii="Calibri" w:hAnsi="Calibri" w:eastAsia="仿宋_GB2312" w:cs="Times New Roman"/>
                <w:color w:val="auto"/>
                <w:sz w:val="28"/>
                <w:szCs w:val="28"/>
                <w:highlight w:val="none"/>
                <w:lang w:val="en-US" w:eastAsia="zh-CN" w:bidi="ar-SA"/>
              </w:rPr>
              <w:t xml:space="preserve">    </w:t>
            </w:r>
            <w:r>
              <w:rPr>
                <w:rFonts w:hint="eastAsia" w:ascii="Calibri" w:hAnsi="Calibri" w:eastAsia="仿宋_GB2312" w:cs="仿宋_GB2312"/>
                <w:color w:val="auto"/>
                <w:sz w:val="28"/>
                <w:szCs w:val="28"/>
                <w:highlight w:val="none"/>
                <w:lang w:val="en-US" w:eastAsia="zh-CN" w:bidi="ar-SA"/>
              </w:rPr>
              <w:t>称</w:t>
            </w:r>
          </w:p>
        </w:tc>
        <w:tc>
          <w:tcPr>
            <w:tcW w:w="1418" w:type="dxa"/>
            <w:noWrap w:val="0"/>
            <w:vAlign w:val="center"/>
          </w:tcPr>
          <w:p w14:paraId="021DE65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姓名</w:t>
            </w:r>
          </w:p>
        </w:tc>
        <w:tc>
          <w:tcPr>
            <w:tcW w:w="1134" w:type="dxa"/>
            <w:noWrap w:val="0"/>
            <w:vAlign w:val="center"/>
          </w:tcPr>
          <w:p w14:paraId="27D6DB8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r>
              <w:rPr>
                <w:rFonts w:hint="eastAsia" w:ascii="Calibri" w:hAnsi="Calibri" w:eastAsia="仿宋_GB2312" w:cs="仿宋_GB2312"/>
                <w:color w:val="auto"/>
                <w:sz w:val="30"/>
                <w:szCs w:val="30"/>
                <w:highlight w:val="none"/>
                <w:lang w:val="en-US" w:eastAsia="zh-CN" w:bidi="ar-SA"/>
              </w:rPr>
              <w:t>职务</w:t>
            </w:r>
          </w:p>
        </w:tc>
        <w:tc>
          <w:tcPr>
            <w:tcW w:w="1134" w:type="dxa"/>
            <w:noWrap w:val="0"/>
            <w:vAlign w:val="center"/>
          </w:tcPr>
          <w:p w14:paraId="1590921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r>
              <w:rPr>
                <w:rFonts w:hint="eastAsia" w:ascii="Calibri" w:hAnsi="Calibri" w:eastAsia="仿宋_GB2312" w:cs="仿宋_GB2312"/>
                <w:color w:val="auto"/>
                <w:sz w:val="30"/>
                <w:szCs w:val="30"/>
                <w:highlight w:val="none"/>
                <w:lang w:val="en-US" w:eastAsia="zh-CN" w:bidi="ar-SA"/>
              </w:rPr>
              <w:t>职称</w:t>
            </w:r>
          </w:p>
        </w:tc>
        <w:tc>
          <w:tcPr>
            <w:tcW w:w="4252" w:type="dxa"/>
            <w:noWrap w:val="0"/>
            <w:vAlign w:val="center"/>
          </w:tcPr>
          <w:p w14:paraId="6D50A4B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r>
              <w:rPr>
                <w:rFonts w:hint="eastAsia" w:ascii="Calibri" w:hAnsi="Calibri" w:eastAsia="仿宋_GB2312" w:cs="仿宋_GB2312"/>
                <w:color w:val="auto"/>
                <w:sz w:val="30"/>
                <w:szCs w:val="30"/>
                <w:highlight w:val="none"/>
                <w:lang w:val="en-US" w:eastAsia="zh-CN" w:bidi="ar-SA"/>
              </w:rPr>
              <w:t>主要资历、经验及承担过的项目</w:t>
            </w:r>
          </w:p>
        </w:tc>
      </w:tr>
      <w:tr w14:paraId="232CC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059A376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一、总部人员</w:t>
            </w:r>
          </w:p>
        </w:tc>
      </w:tr>
      <w:tr w14:paraId="5D22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2EC3D8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项目主管</w:t>
            </w:r>
          </w:p>
        </w:tc>
        <w:tc>
          <w:tcPr>
            <w:tcW w:w="1418" w:type="dxa"/>
            <w:noWrap w:val="0"/>
            <w:vAlign w:val="center"/>
          </w:tcPr>
          <w:p w14:paraId="65762F7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6BB2604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6E6D807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3BB3AFC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2EBA5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341AB0EE">
            <w:pPr>
              <w:keepNext/>
              <w:keepLines w:val="0"/>
              <w:widowControl w:val="0"/>
              <w:suppressLineNumbers w:val="0"/>
              <w:spacing w:before="0" w:beforeAutospacing="0" w:after="6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其他人员</w:t>
            </w:r>
          </w:p>
        </w:tc>
        <w:tc>
          <w:tcPr>
            <w:tcW w:w="1418" w:type="dxa"/>
            <w:noWrap w:val="0"/>
            <w:vAlign w:val="center"/>
          </w:tcPr>
          <w:p w14:paraId="79184E2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350C5F8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3A643E1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456D30A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50FD1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2AC1BA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75B3A79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68F7E2A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3DB0836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30C9704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44F79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BBF54A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6742171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3A3F6CE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235CC73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3A94F4A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20D29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0507475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二、现场人员</w:t>
            </w:r>
          </w:p>
        </w:tc>
      </w:tr>
      <w:tr w14:paraId="48B3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D995FF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项目经理</w:t>
            </w:r>
          </w:p>
        </w:tc>
        <w:tc>
          <w:tcPr>
            <w:tcW w:w="1418" w:type="dxa"/>
            <w:noWrap w:val="0"/>
            <w:vAlign w:val="center"/>
          </w:tcPr>
          <w:p w14:paraId="1D8B086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606C33E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72A9083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28C7854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4AA25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4E72E9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项目副经理</w:t>
            </w:r>
          </w:p>
        </w:tc>
        <w:tc>
          <w:tcPr>
            <w:tcW w:w="1418" w:type="dxa"/>
            <w:noWrap w:val="0"/>
            <w:vAlign w:val="center"/>
          </w:tcPr>
          <w:p w14:paraId="2AFAD6F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6024F79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104C43B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1C3CBEB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290A6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31B60A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技术负责人</w:t>
            </w:r>
          </w:p>
        </w:tc>
        <w:tc>
          <w:tcPr>
            <w:tcW w:w="1418" w:type="dxa"/>
            <w:noWrap w:val="0"/>
            <w:vAlign w:val="center"/>
          </w:tcPr>
          <w:p w14:paraId="09BF535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35E4455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12DD268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110554A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1C26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E4111C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造价管理</w:t>
            </w:r>
          </w:p>
        </w:tc>
        <w:tc>
          <w:tcPr>
            <w:tcW w:w="1418" w:type="dxa"/>
            <w:noWrap w:val="0"/>
            <w:vAlign w:val="center"/>
          </w:tcPr>
          <w:p w14:paraId="0C3E06C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2BA9F4A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5944079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2D5E56E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348AA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C60589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质量管理</w:t>
            </w:r>
          </w:p>
        </w:tc>
        <w:tc>
          <w:tcPr>
            <w:tcW w:w="1418" w:type="dxa"/>
            <w:noWrap w:val="0"/>
            <w:vAlign w:val="center"/>
          </w:tcPr>
          <w:p w14:paraId="0892621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5C17862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2CA8A38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4313017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434BB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491774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材料管理</w:t>
            </w:r>
          </w:p>
        </w:tc>
        <w:tc>
          <w:tcPr>
            <w:tcW w:w="1418" w:type="dxa"/>
            <w:noWrap w:val="0"/>
            <w:vAlign w:val="center"/>
          </w:tcPr>
          <w:p w14:paraId="618056A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1C91536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292B929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452B6CC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73216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499971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计划管理</w:t>
            </w:r>
          </w:p>
        </w:tc>
        <w:tc>
          <w:tcPr>
            <w:tcW w:w="1418" w:type="dxa"/>
            <w:noWrap w:val="0"/>
            <w:vAlign w:val="center"/>
          </w:tcPr>
          <w:p w14:paraId="65C889C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4DF7D8B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1527B45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52B621F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4F08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4F9151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安全管理</w:t>
            </w:r>
          </w:p>
        </w:tc>
        <w:tc>
          <w:tcPr>
            <w:tcW w:w="1418" w:type="dxa"/>
            <w:noWrap w:val="0"/>
            <w:vAlign w:val="center"/>
          </w:tcPr>
          <w:p w14:paraId="6481285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048EFDF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23B2E11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2061485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1CB6F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21D30912">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r>
              <w:rPr>
                <w:rFonts w:hint="eastAsia" w:ascii="Calibri" w:hAnsi="Calibri" w:eastAsia="仿宋_GB2312" w:cs="仿宋_GB2312"/>
                <w:color w:val="auto"/>
                <w:sz w:val="28"/>
                <w:szCs w:val="28"/>
                <w:highlight w:val="none"/>
                <w:lang w:val="en-US" w:eastAsia="zh-CN" w:bidi="ar-SA"/>
              </w:rPr>
              <w:t>其他人员</w:t>
            </w:r>
          </w:p>
        </w:tc>
        <w:tc>
          <w:tcPr>
            <w:tcW w:w="1418" w:type="dxa"/>
            <w:noWrap w:val="0"/>
            <w:vAlign w:val="center"/>
          </w:tcPr>
          <w:p w14:paraId="764765A8">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33F0631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537B9A4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0C159EC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0438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E5F68B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0A3FD1ED">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203D8874">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4A92B83A">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00C298A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6A7F3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51C3CAE">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348CC6B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490B896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09F4AAE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70B0771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659D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5D2F85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2162996F">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73547CE3">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695DE9C0">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6B36C73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3BF2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6CDF0F6">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4B0B908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2A5A028B">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77636851">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42CD0EE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r w14:paraId="3E1D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48E3C4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418" w:type="dxa"/>
            <w:noWrap w:val="0"/>
            <w:vAlign w:val="center"/>
          </w:tcPr>
          <w:p w14:paraId="63C87109">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28"/>
                <w:szCs w:val="28"/>
                <w:highlight w:val="none"/>
                <w:lang w:val="en-US" w:eastAsia="zh-CN" w:bidi="ar-SA"/>
              </w:rPr>
            </w:pPr>
          </w:p>
        </w:tc>
        <w:tc>
          <w:tcPr>
            <w:tcW w:w="1134" w:type="dxa"/>
            <w:noWrap w:val="0"/>
            <w:vAlign w:val="center"/>
          </w:tcPr>
          <w:p w14:paraId="634B2827">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1134" w:type="dxa"/>
            <w:noWrap w:val="0"/>
            <w:vAlign w:val="center"/>
          </w:tcPr>
          <w:p w14:paraId="183453B5">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c>
          <w:tcPr>
            <w:tcW w:w="4252" w:type="dxa"/>
            <w:noWrap w:val="0"/>
            <w:vAlign w:val="center"/>
          </w:tcPr>
          <w:p w14:paraId="7248F3AC">
            <w:pPr>
              <w:keepNext/>
              <w:keepLines w:val="0"/>
              <w:widowControl w:val="0"/>
              <w:suppressLineNumbers w:val="0"/>
              <w:spacing w:before="0" w:beforeAutospacing="0" w:after="0" w:afterAutospacing="0" w:line="440" w:lineRule="exact"/>
              <w:ind w:left="63" w:right="63"/>
              <w:jc w:val="center"/>
              <w:rPr>
                <w:rFonts w:hint="default" w:ascii="Calibri" w:hAnsi="Calibri" w:eastAsia="仿宋_GB2312" w:cs="Times New Roman"/>
                <w:color w:val="auto"/>
                <w:sz w:val="30"/>
                <w:szCs w:val="30"/>
                <w:highlight w:val="none"/>
                <w:lang w:val="en-US" w:eastAsia="zh-CN" w:bidi="ar-SA"/>
              </w:rPr>
            </w:pPr>
          </w:p>
        </w:tc>
      </w:tr>
    </w:tbl>
    <w:p w14:paraId="0B0518A5">
      <w:pPr>
        <w:spacing w:before="120" w:after="120" w:line="440" w:lineRule="exact"/>
        <w:jc w:val="left"/>
        <w:rPr>
          <w:rFonts w:hint="eastAsia" w:ascii="仿宋_GB2312" w:hAnsi="Times New Roman" w:eastAsia="仿宋_GB2312" w:cs="仿宋_GB2312"/>
          <w:color w:val="auto"/>
          <w:sz w:val="30"/>
          <w:szCs w:val="30"/>
          <w:highlight w:val="none"/>
          <w:lang w:eastAsia="zh-CN"/>
        </w:rPr>
      </w:pPr>
      <w:r>
        <w:rPr>
          <w:rFonts w:ascii="Times New Roman" w:hAnsi="Times New Roman" w:eastAsia="仿宋_GB2312" w:cs="Times New Roman"/>
          <w:color w:val="auto"/>
          <w:sz w:val="30"/>
          <w:szCs w:val="30"/>
          <w:highlight w:val="none"/>
        </w:rPr>
        <w:br w:type="page" w:clear="all"/>
      </w:r>
      <w:bookmarkStart w:id="1300" w:name="_Toc267261701"/>
      <w:r>
        <w:rPr>
          <w:rFonts w:hint="eastAsia" w:ascii="仿宋_GB2312" w:hAnsi="Times New Roman" w:eastAsia="仿宋_GB2312" w:cs="仿宋_GB2312"/>
          <w:color w:val="auto"/>
          <w:sz w:val="30"/>
          <w:szCs w:val="30"/>
          <w:highlight w:val="none"/>
        </w:rPr>
        <w:t>附件7</w:t>
      </w:r>
      <w:r>
        <w:rPr>
          <w:rFonts w:hint="eastAsia" w:ascii="仿宋_GB2312" w:hAnsi="Times New Roman" w:eastAsia="仿宋_GB2312" w:cs="仿宋_GB2312"/>
          <w:color w:val="auto"/>
          <w:sz w:val="30"/>
          <w:szCs w:val="30"/>
          <w:highlight w:val="none"/>
          <w:lang w:eastAsia="zh-CN"/>
        </w:rPr>
        <w:t>：履约保函示范文本</w:t>
      </w:r>
    </w:p>
    <w:p w14:paraId="50D9247F">
      <w:pPr>
        <w:spacing w:line="360" w:lineRule="auto"/>
        <w:jc w:val="left"/>
        <w:rPr>
          <w:rFonts w:ascii="黑体" w:hAnsi="黑体" w:eastAsia="黑体" w:cs="黑体"/>
          <w:b/>
          <w:bCs/>
          <w:color w:val="auto"/>
          <w:sz w:val="32"/>
          <w:szCs w:val="32"/>
          <w:highlight w:val="none"/>
        </w:rPr>
      </w:pPr>
    </w:p>
    <w:p w14:paraId="3CFBFC35">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履约保函示范文本</w:t>
      </w:r>
    </w:p>
    <w:p w14:paraId="6D941E30">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（独立保函）</w:t>
      </w:r>
    </w:p>
    <w:p w14:paraId="62BD23D5">
      <w:pPr>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4CE360A2">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申请人：</w:t>
      </w:r>
    </w:p>
    <w:p w14:paraId="3F289647">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r>
        <w:rPr>
          <w:rFonts w:ascii="宋体" w:hAnsi="宋体" w:eastAsia="宋体" w:cs="Times New Roman"/>
          <w:color w:val="auto"/>
          <w:sz w:val="24"/>
          <w:szCs w:val="24"/>
          <w:highlight w:val="none"/>
        </w:rPr>
        <w:t>：</w:t>
      </w:r>
    </w:p>
    <w:p w14:paraId="0E6FBAB3">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w:t>
      </w:r>
    </w:p>
    <w:p w14:paraId="1F229C65">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p>
    <w:p w14:paraId="5E0AA7B6">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开立人：</w:t>
      </w:r>
    </w:p>
    <w:p w14:paraId="6F6268FC">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地址：</w:t>
      </w:r>
    </w:p>
    <w:p w14:paraId="0AD9896B">
      <w:pP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 </w:t>
      </w:r>
    </w:p>
    <w:p w14:paraId="239FC233">
      <w:pP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受益人</w:t>
      </w:r>
      <w:r>
        <w:rPr>
          <w:rFonts w:ascii="宋体" w:hAnsi="宋体" w:eastAsia="宋体" w:cs="Times New Roman"/>
          <w:color w:val="auto"/>
          <w:sz w:val="24"/>
          <w:szCs w:val="24"/>
          <w:highlight w:val="none"/>
        </w:rPr>
        <w:t xml:space="preserve">名称）： </w:t>
      </w:r>
    </w:p>
    <w:p w14:paraId="4D973D7C">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受益人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申请人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基础合同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开立人</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）根据基础合同了解到申请人为基础合同项下之承包人，受益人为基础合同项下之发包人，基于申请人</w:t>
      </w:r>
      <w:r>
        <w:rPr>
          <w:rFonts w:ascii="宋体" w:hAnsi="宋体" w:eastAsia="宋体" w:cs="Times New Roman"/>
          <w:color w:val="auto"/>
          <w:sz w:val="24"/>
          <w:szCs w:val="24"/>
          <w:highlight w:val="none"/>
        </w:rPr>
        <w:t>的请求，我方同意就</w:t>
      </w:r>
      <w:r>
        <w:rPr>
          <w:rFonts w:hint="eastAsia" w:ascii="宋体" w:hAnsi="宋体" w:eastAsia="宋体" w:cs="Times New Roman"/>
          <w:color w:val="auto"/>
          <w:sz w:val="24"/>
          <w:szCs w:val="24"/>
          <w:highlight w:val="none"/>
        </w:rPr>
        <w:t>申请人</w:t>
      </w:r>
      <w:r>
        <w:rPr>
          <w:rFonts w:ascii="宋体" w:hAnsi="宋体" w:eastAsia="宋体" w:cs="Times New Roman"/>
          <w:color w:val="auto"/>
          <w:sz w:val="24"/>
          <w:szCs w:val="24"/>
          <w:highlight w:val="none"/>
        </w:rPr>
        <w:t>履行</w:t>
      </w:r>
      <w:r>
        <w:rPr>
          <w:rFonts w:hint="eastAsia" w:ascii="宋体" w:hAnsi="宋体" w:eastAsia="宋体" w:cs="Times New Roman"/>
          <w:color w:val="auto"/>
          <w:sz w:val="24"/>
          <w:szCs w:val="24"/>
          <w:highlight w:val="none"/>
        </w:rPr>
        <w:t>与贵方签订的基础合同</w:t>
      </w:r>
      <w:r>
        <w:rPr>
          <w:rFonts w:ascii="宋体" w:hAnsi="宋体" w:eastAsia="宋体" w:cs="Times New Roman"/>
          <w:color w:val="auto"/>
          <w:sz w:val="24"/>
          <w:szCs w:val="24"/>
          <w:highlight w:val="none"/>
        </w:rPr>
        <w:t>项下的义务</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向贵方提供不可撤销、</w:t>
      </w:r>
      <w:r>
        <w:rPr>
          <w:rFonts w:hint="eastAsia" w:ascii="宋体" w:hAnsi="宋体" w:eastAsia="宋体" w:cs="Times New Roman"/>
          <w:color w:val="auto"/>
          <w:sz w:val="24"/>
          <w:szCs w:val="24"/>
          <w:highlight w:val="none"/>
        </w:rPr>
        <w:t>不可转让的见索即付</w:t>
      </w:r>
      <w:r>
        <w:rPr>
          <w:rFonts w:ascii="宋体" w:hAnsi="宋体" w:eastAsia="宋体" w:cs="Times New Roman"/>
          <w:color w:val="auto"/>
          <w:sz w:val="24"/>
          <w:szCs w:val="24"/>
          <w:highlight w:val="none"/>
        </w:rPr>
        <w:t>独立</w:t>
      </w:r>
      <w:r>
        <w:rPr>
          <w:rFonts w:hint="eastAsia" w:ascii="宋体" w:hAnsi="宋体" w:eastAsia="宋体" w:cs="Times New Roman"/>
          <w:color w:val="auto"/>
          <w:sz w:val="24"/>
          <w:szCs w:val="24"/>
          <w:highlight w:val="none"/>
        </w:rPr>
        <w:t>保函（以下简称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16279C81">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一、本保函担保范围：承包人未按照基础合同的约定履行义务，应当向贵方承担的违约责任和赔偿因此造成的损失、利息、律师费、诉讼费用等实现债权的费用。</w:t>
      </w:r>
    </w:p>
    <w:p w14:paraId="61EF13F5">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二、本保函担保金额最高不超过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3E3206ED">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三、本保函</w:t>
      </w:r>
      <w:r>
        <w:rPr>
          <w:rFonts w:ascii="宋体" w:hAnsi="宋体" w:eastAsia="宋体" w:cs="Times New Roman"/>
          <w:color w:val="auto"/>
          <w:sz w:val="24"/>
          <w:szCs w:val="24"/>
          <w:highlight w:val="none"/>
        </w:rPr>
        <w:t>有效期自</w:t>
      </w:r>
      <w:r>
        <w:rPr>
          <w:rFonts w:hint="eastAsia" w:ascii="宋体" w:hAnsi="宋体" w:eastAsia="宋体" w:cs="Times New Roman"/>
          <w:color w:val="auto"/>
          <w:sz w:val="24"/>
          <w:szCs w:val="24"/>
          <w:highlight w:val="none"/>
        </w:rPr>
        <w:t>开立之日起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基础合同约定的缺陷责任期</w:t>
      </w:r>
      <w:r>
        <w:rPr>
          <w:rFonts w:ascii="宋体" w:hAnsi="宋体" w:eastAsia="宋体" w:cs="Times New Roman"/>
          <w:color w:val="auto"/>
          <w:sz w:val="24"/>
          <w:szCs w:val="24"/>
          <w:highlight w:val="none"/>
        </w:rPr>
        <w:t>后</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r>
        <w:rPr>
          <w:rFonts w:ascii="宋体" w:hAnsi="宋体" w:eastAsia="宋体" w:cs="Times New Roman"/>
          <w:color w:val="auto"/>
          <w:sz w:val="24"/>
          <w:szCs w:val="24"/>
          <w:highlight w:val="none"/>
        </w:rPr>
        <w:t xml:space="preserve">。 </w:t>
      </w:r>
    </w:p>
    <w:p w14:paraId="0A9EE68A">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四、我方承诺，在收到受益人发来的书面付款通知后的</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日内无条件支付，前述书面付款通知即为付款要求之单据，且应满足以下要求：</w:t>
      </w:r>
    </w:p>
    <w:p w14:paraId="09898D1F">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（1）付款通知到达的日期在本保函的有效期内；</w:t>
      </w:r>
    </w:p>
    <w:p w14:paraId="0F6540EC">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（2）载明要求支付的金额；</w:t>
      </w:r>
    </w:p>
    <w:p w14:paraId="6BCED26F">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（3）载明申请人违反合同义务的条款和内容；</w:t>
      </w:r>
    </w:p>
    <w:p w14:paraId="377329AF">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（4）声明不存在合同文件约定或我国法律规定免除申请人或开立人支付责任的情形；</w:t>
      </w:r>
    </w:p>
    <w:p w14:paraId="3FEE5912">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（5）付款通知应在本保函有效期内到达的地址是：</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048188B8">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受益人发出的书面付款通知应由其为鉴明受益人法定代表人（负责人）或授权代理人签字并加盖公章。</w:t>
      </w:r>
    </w:p>
    <w:p w14:paraId="3F4B716A">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w:t>
      </w:r>
      <w:r>
        <w:rPr>
          <w:rFonts w:ascii="宋体" w:hAnsi="宋体" w:eastAsia="宋体" w:cs="Times New Roman"/>
          <w:color w:val="auto"/>
          <w:sz w:val="24"/>
          <w:szCs w:val="24"/>
          <w:highlight w:val="none"/>
        </w:rPr>
        <w:t>本保函项下的权利不得转让，不得设定担保。贵方未经我方书面同意转 让本保函或其项下任何权利，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677E11CC">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六、与</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有关</w:t>
      </w:r>
      <w:r>
        <w:rPr>
          <w:rFonts w:ascii="宋体" w:hAnsi="宋体" w:eastAsia="宋体" w:cs="Times New Roman"/>
          <w:color w:val="auto"/>
          <w:sz w:val="24"/>
          <w:szCs w:val="24"/>
          <w:highlight w:val="none"/>
        </w:rPr>
        <w:t>的</w:t>
      </w:r>
      <w:r>
        <w:rPr>
          <w:rFonts w:hint="eastAsia" w:ascii="宋体" w:hAnsi="宋体" w:eastAsia="宋体" w:cs="Times New Roman"/>
          <w:color w:val="auto"/>
          <w:sz w:val="24"/>
          <w:szCs w:val="24"/>
          <w:highlight w:val="none"/>
        </w:rPr>
        <w:t>基础</w:t>
      </w:r>
      <w:r>
        <w:rPr>
          <w:rFonts w:ascii="宋体" w:hAnsi="宋体" w:eastAsia="宋体" w:cs="Times New Roman"/>
          <w:color w:val="auto"/>
          <w:sz w:val="24"/>
          <w:szCs w:val="24"/>
          <w:highlight w:val="none"/>
        </w:rPr>
        <w:t xml:space="preserve">合同不成立、不生效、无效、被撤销、被解除，不影响本保函的独立有效。 </w:t>
      </w:r>
    </w:p>
    <w:p w14:paraId="3A5ED820">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w:t>
      </w:r>
      <w:r>
        <w:rPr>
          <w:rFonts w:ascii="宋体" w:hAnsi="宋体" w:eastAsia="宋体" w:cs="Times New Roman"/>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eastAsia="宋体" w:cs="Times New Roman"/>
          <w:color w:val="auto"/>
          <w:sz w:val="24"/>
          <w:szCs w:val="24"/>
          <w:highlight w:val="none"/>
        </w:rPr>
        <w:t>有效期</w:t>
      </w:r>
      <w:r>
        <w:rPr>
          <w:rFonts w:ascii="宋体" w:hAnsi="宋体" w:eastAsia="宋体" w:cs="Times New Roman"/>
          <w:color w:val="auto"/>
          <w:sz w:val="24"/>
          <w:szCs w:val="24"/>
          <w:highlight w:val="none"/>
        </w:rPr>
        <w:t xml:space="preserve">到期后自动消灭。 </w:t>
      </w:r>
    </w:p>
    <w:p w14:paraId="323E0C35">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八、</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4EE8225D">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九、</w:t>
      </w:r>
      <w:r>
        <w:rPr>
          <w:rFonts w:ascii="宋体" w:hAnsi="宋体" w:eastAsia="宋体" w:cs="Times New Roman"/>
          <w:color w:val="auto"/>
          <w:sz w:val="24"/>
          <w:szCs w:val="24"/>
          <w:highlight w:val="none"/>
        </w:rPr>
        <w:t>本保函自我方法定代表人</w:t>
      </w:r>
      <w:r>
        <w:rPr>
          <w:rFonts w:hint="eastAsia" w:ascii="宋体" w:hAnsi="宋体" w:eastAsia="宋体" w:cs="Times New Roman"/>
          <w:color w:val="auto"/>
          <w:sz w:val="24"/>
          <w:szCs w:val="24"/>
          <w:highlight w:val="none"/>
        </w:rPr>
        <w:t>或授权代表</w:t>
      </w:r>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65750C77">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 立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公</w:t>
      </w:r>
      <w:r>
        <w:rPr>
          <w:rFonts w:ascii="宋体" w:hAnsi="宋体" w:eastAsia="宋体" w:cs="Times New Roman"/>
          <w:color w:val="auto"/>
          <w:sz w:val="24"/>
          <w:szCs w:val="24"/>
          <w:highlight w:val="none"/>
        </w:rPr>
        <w:t xml:space="preserve">章） </w:t>
      </w:r>
    </w:p>
    <w:p w14:paraId="175E7A9B">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42B03E0B">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2A18A9C4">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0FAA2F60">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390E0896">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75631E02">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开立时间：</w:t>
      </w:r>
      <w:r>
        <w:rPr>
          <w:rFonts w:ascii="宋体" w:hAnsi="宋体" w:eastAsia="宋体" w:cs="Times New Roman"/>
          <w:color w:val="auto"/>
          <w:sz w:val="24"/>
          <w:szCs w:val="24"/>
          <w:highlight w:val="none"/>
        </w:rPr>
        <w:t xml:space="preserve">      年      月    </w:t>
      </w:r>
    </w:p>
    <w:p w14:paraId="41C6FEEF">
      <w:pPr>
        <w:spacing w:line="360" w:lineRule="auto"/>
        <w:ind w:firstLine="480"/>
        <w:rPr>
          <w:rFonts w:ascii="宋体" w:hAnsi="宋体" w:eastAsia="宋体" w:cs="Times New Roman"/>
          <w:color w:val="auto"/>
          <w:sz w:val="24"/>
          <w:szCs w:val="24"/>
          <w:highlight w:val="none"/>
        </w:rPr>
      </w:pPr>
    </w:p>
    <w:p w14:paraId="2249C7A2">
      <w:pPr>
        <w:spacing w:line="360" w:lineRule="auto"/>
        <w:ind w:firstLine="480"/>
        <w:rPr>
          <w:rFonts w:ascii="宋体" w:hAnsi="宋体" w:eastAsia="宋体" w:cs="Times New Roman"/>
          <w:color w:val="auto"/>
          <w:sz w:val="24"/>
          <w:szCs w:val="24"/>
          <w:highlight w:val="none"/>
        </w:rPr>
      </w:pPr>
    </w:p>
    <w:p w14:paraId="25B542DF">
      <w:pPr>
        <w:spacing w:line="360" w:lineRule="auto"/>
        <w:ind w:firstLine="480"/>
        <w:rPr>
          <w:rFonts w:ascii="宋体" w:hAnsi="宋体" w:eastAsia="宋体" w:cs="Times New Roman"/>
          <w:color w:val="auto"/>
          <w:sz w:val="24"/>
          <w:szCs w:val="24"/>
          <w:highlight w:val="none"/>
        </w:rPr>
      </w:pPr>
    </w:p>
    <w:p w14:paraId="0F292AC4">
      <w:pPr>
        <w:spacing w:line="360" w:lineRule="auto"/>
        <w:ind w:firstLine="480"/>
        <w:rPr>
          <w:rFonts w:ascii="宋体" w:hAnsi="宋体" w:eastAsia="宋体" w:cs="Times New Roman"/>
          <w:color w:val="auto"/>
          <w:sz w:val="24"/>
          <w:szCs w:val="24"/>
          <w:highlight w:val="none"/>
        </w:rPr>
      </w:pPr>
    </w:p>
    <w:p w14:paraId="180FA510">
      <w:pPr>
        <w:spacing w:line="360" w:lineRule="auto"/>
        <w:ind w:firstLine="480"/>
        <w:rPr>
          <w:rFonts w:ascii="宋体" w:hAnsi="宋体" w:eastAsia="宋体" w:cs="Times New Roman"/>
          <w:color w:val="auto"/>
          <w:sz w:val="24"/>
          <w:szCs w:val="24"/>
          <w:highlight w:val="none"/>
        </w:rPr>
      </w:pPr>
    </w:p>
    <w:p w14:paraId="7ADAA929">
      <w:pPr>
        <w:spacing w:line="360" w:lineRule="auto"/>
        <w:ind w:firstLine="480"/>
        <w:rPr>
          <w:rFonts w:ascii="宋体" w:hAnsi="宋体" w:eastAsia="宋体" w:cs="Times New Roman"/>
          <w:color w:val="auto"/>
          <w:sz w:val="24"/>
          <w:szCs w:val="24"/>
          <w:highlight w:val="none"/>
        </w:rPr>
      </w:pPr>
    </w:p>
    <w:p w14:paraId="5AAE4647">
      <w:pPr>
        <w:spacing w:line="360" w:lineRule="auto"/>
        <w:jc w:val="left"/>
        <w:rPr>
          <w:rFonts w:ascii="Times New Roman" w:hAnsi="Times New Roman" w:eastAsia="仿宋_GB2312" w:cs="Times New Roman"/>
          <w:color w:val="auto"/>
          <w:sz w:val="30"/>
          <w:szCs w:val="30"/>
          <w:highlight w:val="none"/>
        </w:rPr>
      </w:pPr>
    </w:p>
    <w:p w14:paraId="338FC4CF">
      <w:pPr>
        <w:spacing w:line="360" w:lineRule="auto"/>
        <w:jc w:val="left"/>
        <w:rPr>
          <w:rFonts w:ascii="宋体" w:hAnsi="宋体" w:eastAsia="宋体" w:cs="Times New Roman"/>
          <w:color w:val="auto"/>
          <w:sz w:val="32"/>
          <w:szCs w:val="32"/>
          <w:highlight w:val="none"/>
        </w:rPr>
      </w:pPr>
      <w:r>
        <w:rPr>
          <w:rFonts w:hint="eastAsia" w:ascii="Times New Roman" w:hAnsi="Times New Roman" w:eastAsia="仿宋_GB2312" w:cs="仿宋_GB2312"/>
          <w:color w:val="auto"/>
          <w:sz w:val="30"/>
          <w:szCs w:val="30"/>
          <w:highlight w:val="none"/>
        </w:rPr>
        <w:t>附</w:t>
      </w:r>
      <w:bookmarkStart w:id="1301" w:name="_Toc296891271"/>
      <w:bookmarkStart w:id="1302" w:name="_Toc296503231"/>
      <w:bookmarkStart w:id="1303" w:name="_Toc296346732"/>
      <w:bookmarkStart w:id="1304" w:name="_Toc296347230"/>
      <w:bookmarkStart w:id="1305" w:name="_Toc296891059"/>
      <w:bookmarkStart w:id="1306" w:name="_Toc296944570"/>
      <w:r>
        <w:rPr>
          <w:rFonts w:hint="eastAsia" w:ascii="Times New Roman" w:hAnsi="Times New Roman" w:eastAsia="仿宋_GB2312" w:cs="仿宋_GB2312"/>
          <w:color w:val="auto"/>
          <w:sz w:val="30"/>
          <w:szCs w:val="30"/>
          <w:highlight w:val="none"/>
        </w:rPr>
        <w:t>件</w:t>
      </w:r>
      <w:r>
        <w:rPr>
          <w:rFonts w:hint="eastAsia" w:ascii="Times New Roman" w:hAnsi="Times New Roman" w:eastAsia="仿宋_GB2312" w:cs="Times New Roman"/>
          <w:color w:val="auto"/>
          <w:sz w:val="30"/>
          <w:szCs w:val="30"/>
          <w:highlight w:val="none"/>
        </w:rPr>
        <w:t>7</w:t>
      </w:r>
      <w:r>
        <w:rPr>
          <w:rFonts w:hint="eastAsia" w:ascii="Times New Roman" w:hAnsi="Times New Roman" w:eastAsia="仿宋_GB2312" w:cs="仿宋_GB2312"/>
          <w:color w:val="auto"/>
          <w:sz w:val="30"/>
          <w:szCs w:val="30"/>
          <w:highlight w:val="none"/>
        </w:rPr>
        <w:t>：履约保函示范文本</w:t>
      </w:r>
    </w:p>
    <w:p w14:paraId="4514997D">
      <w:pPr>
        <w:spacing w:line="360" w:lineRule="auto"/>
        <w:rPr>
          <w:rFonts w:ascii="宋体" w:hAnsi="宋体" w:eastAsia="宋体" w:cs="Times New Roman"/>
          <w:b/>
          <w:bCs/>
          <w:color w:val="auto"/>
          <w:sz w:val="32"/>
          <w:szCs w:val="32"/>
          <w:highlight w:val="none"/>
        </w:rPr>
      </w:pPr>
    </w:p>
    <w:p w14:paraId="0B583449">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履约保函示范文本</w:t>
      </w:r>
    </w:p>
    <w:p w14:paraId="48121BE3">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（非独立保函）</w:t>
      </w:r>
    </w:p>
    <w:p w14:paraId="2D8F13D3">
      <w:pPr>
        <w:spacing w:line="360" w:lineRule="auto"/>
        <w:jc w:val="center"/>
        <w:rPr>
          <w:rFonts w:ascii="宋体" w:hAnsi="宋体" w:eastAsia="宋体" w:cs="Times New Roman"/>
          <w:b/>
          <w:bCs/>
          <w:color w:val="auto"/>
          <w:sz w:val="32"/>
          <w:szCs w:val="32"/>
          <w:highlight w:val="none"/>
        </w:rPr>
      </w:pPr>
    </w:p>
    <w:p w14:paraId="2B010DF8">
      <w:pPr>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4F03A066">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承包人：</w:t>
      </w:r>
    </w:p>
    <w:p w14:paraId="0E884BA3">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r>
        <w:rPr>
          <w:rFonts w:ascii="宋体" w:hAnsi="宋体" w:eastAsia="宋体" w:cs="Times New Roman"/>
          <w:color w:val="auto"/>
          <w:sz w:val="24"/>
          <w:szCs w:val="24"/>
          <w:highlight w:val="none"/>
        </w:rPr>
        <w:t>：</w:t>
      </w:r>
    </w:p>
    <w:p w14:paraId="073A8315">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担保权人/发包人：</w:t>
      </w:r>
      <w:r>
        <w:rPr>
          <w:rFonts w:ascii="宋体" w:hAnsi="宋体" w:eastAsia="宋体" w:cs="Times New Roman"/>
          <w:color w:val="auto"/>
          <w:sz w:val="24"/>
          <w:szCs w:val="24"/>
          <w:highlight w:val="none"/>
        </w:rPr>
        <w:t xml:space="preserve"> </w:t>
      </w:r>
    </w:p>
    <w:p w14:paraId="56423364">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40788D7A">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保证人：</w:t>
      </w:r>
    </w:p>
    <w:p w14:paraId="08B17C84">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4DC2601E">
      <w:pPr>
        <w:spacing w:line="360" w:lineRule="auto"/>
        <w:rPr>
          <w:rFonts w:ascii="宋体" w:hAnsi="宋体" w:eastAsia="宋体" w:cs="Times New Roman"/>
          <w:color w:val="auto"/>
          <w:sz w:val="24"/>
          <w:szCs w:val="24"/>
          <w:highlight w:val="none"/>
        </w:rPr>
      </w:pPr>
    </w:p>
    <w:p w14:paraId="33410D1E">
      <w:pP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发包人</w:t>
      </w:r>
      <w:r>
        <w:rPr>
          <w:rFonts w:ascii="宋体" w:hAnsi="宋体" w:eastAsia="宋体" w:cs="Times New Roman"/>
          <w:color w:val="auto"/>
          <w:sz w:val="24"/>
          <w:szCs w:val="24"/>
          <w:highlight w:val="none"/>
        </w:rPr>
        <w:t xml:space="preserve">名称）： </w:t>
      </w:r>
    </w:p>
    <w:p w14:paraId="6007B993">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发包人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承包人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主合同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），我方即保证人基于承包人</w:t>
      </w:r>
      <w:r>
        <w:rPr>
          <w:rFonts w:ascii="宋体" w:hAnsi="宋体" w:eastAsia="宋体" w:cs="Times New Roman"/>
          <w:color w:val="auto"/>
          <w:sz w:val="24"/>
          <w:szCs w:val="24"/>
          <w:highlight w:val="none"/>
        </w:rPr>
        <w:t>的请求，同意就</w:t>
      </w:r>
      <w:r>
        <w:rPr>
          <w:rFonts w:hint="eastAsia" w:ascii="宋体" w:hAnsi="宋体" w:eastAsia="宋体" w:cs="Times New Roman"/>
          <w:color w:val="auto"/>
          <w:sz w:val="24"/>
          <w:szCs w:val="24"/>
          <w:highlight w:val="none"/>
        </w:rPr>
        <w:t>承包人</w:t>
      </w:r>
      <w:r>
        <w:rPr>
          <w:rFonts w:ascii="宋体" w:hAnsi="宋体" w:eastAsia="宋体" w:cs="Times New Roman"/>
          <w:color w:val="auto"/>
          <w:sz w:val="24"/>
          <w:szCs w:val="24"/>
          <w:highlight w:val="none"/>
        </w:rPr>
        <w:t>履行</w:t>
      </w:r>
      <w:r>
        <w:rPr>
          <w:rFonts w:hint="eastAsia" w:ascii="宋体" w:hAnsi="宋体" w:eastAsia="宋体" w:cs="Times New Roman"/>
          <w:color w:val="auto"/>
          <w:sz w:val="24"/>
          <w:szCs w:val="24"/>
          <w:highlight w:val="none"/>
        </w:rPr>
        <w:t>与贵方签订的主合同</w:t>
      </w:r>
      <w:r>
        <w:rPr>
          <w:rFonts w:ascii="宋体" w:hAnsi="宋体" w:eastAsia="宋体" w:cs="Times New Roman"/>
          <w:color w:val="auto"/>
          <w:sz w:val="24"/>
          <w:szCs w:val="24"/>
          <w:highlight w:val="none"/>
        </w:rPr>
        <w:t>项下的义务</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向贵方提供</w:t>
      </w:r>
      <w:r>
        <w:rPr>
          <w:rFonts w:hint="eastAsia" w:ascii="宋体" w:hAnsi="宋体" w:eastAsia="宋体" w:cs="Times New Roman"/>
          <w:color w:val="auto"/>
          <w:sz w:val="24"/>
          <w:szCs w:val="24"/>
          <w:highlight w:val="none"/>
        </w:rPr>
        <w:t>如下保证担保（以下简称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本保证担保</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6ADB42D0">
      <w:pPr>
        <w:spacing w:line="360" w:lineRule="auto"/>
        <w:rPr>
          <w:rFonts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 xml:space="preserve">    </w:t>
      </w:r>
      <w:r>
        <w:rPr>
          <w:rFonts w:hint="eastAsia" w:ascii="宋体" w:hAnsi="宋体" w:eastAsia="宋体" w:cs="Times New Roman"/>
          <w:b/>
          <w:bCs/>
          <w:color w:val="auto"/>
          <w:sz w:val="24"/>
          <w:szCs w:val="24"/>
          <w:highlight w:val="none"/>
        </w:rPr>
        <w:t>一、保证担保的范围及保证担保金额</w:t>
      </w:r>
    </w:p>
    <w:p w14:paraId="76121F98">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保证担保范围：承包人未按照主合同的约定履行义务，应当向贵方承担的违约责任和赔偿因此造成的损失、利息、律师费、诉讼费用等实现债权的费用。</w:t>
      </w:r>
    </w:p>
    <w:p w14:paraId="03EDFED3">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1D9015FE">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二、保证担保的方式及保证期间</w:t>
      </w:r>
      <w:r>
        <w:rPr>
          <w:rFonts w:ascii="宋体" w:hAnsi="宋体" w:eastAsia="宋体" w:cs="Times New Roman"/>
          <w:b/>
          <w:bCs/>
          <w:color w:val="auto"/>
          <w:sz w:val="24"/>
          <w:szCs w:val="24"/>
          <w:highlight w:val="none"/>
        </w:rPr>
        <w:t xml:space="preserve"> </w:t>
      </w:r>
    </w:p>
    <w:p w14:paraId="3797EEB1">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1.保证担保方式：连带责任保证。</w:t>
      </w:r>
    </w:p>
    <w:p w14:paraId="2059593A">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保证期间：</w:t>
      </w:r>
      <w:r>
        <w:rPr>
          <w:rFonts w:ascii="宋体" w:hAnsi="宋体" w:eastAsia="宋体" w:cs="Times New Roman"/>
          <w:color w:val="auto"/>
          <w:sz w:val="24"/>
          <w:szCs w:val="24"/>
          <w:highlight w:val="none"/>
        </w:rPr>
        <w:t>自</w:t>
      </w:r>
      <w:r>
        <w:rPr>
          <w:rFonts w:hint="eastAsia" w:ascii="宋体" w:hAnsi="宋体" w:eastAsia="宋体" w:cs="Times New Roman"/>
          <w:color w:val="auto"/>
          <w:sz w:val="24"/>
          <w:szCs w:val="24"/>
          <w:highlight w:val="none"/>
        </w:rPr>
        <w:t>出具之日起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主合同约定的缺陷责任期</w:t>
      </w:r>
      <w:r>
        <w:rPr>
          <w:rFonts w:ascii="宋体" w:hAnsi="宋体" w:eastAsia="宋体" w:cs="Times New Roman"/>
          <w:color w:val="auto"/>
          <w:sz w:val="24"/>
          <w:szCs w:val="24"/>
          <w:highlight w:val="none"/>
        </w:rPr>
        <w:t>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r>
        <w:rPr>
          <w:rFonts w:hint="eastAsia" w:ascii="宋体" w:hAnsi="宋体" w:eastAsia="宋体" w:cs="Times New Roman"/>
          <w:color w:val="auto"/>
          <w:sz w:val="24"/>
          <w:szCs w:val="24"/>
          <w:highlight w:val="none"/>
        </w:rPr>
        <w:t>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r>
        <w:rPr>
          <w:rFonts w:ascii="宋体" w:hAnsi="宋体" w:eastAsia="宋体" w:cs="Times New Roman"/>
          <w:color w:val="auto"/>
          <w:sz w:val="24"/>
          <w:szCs w:val="24"/>
          <w:highlight w:val="none"/>
        </w:rPr>
        <w:t xml:space="preserve">。 </w:t>
      </w:r>
    </w:p>
    <w:p w14:paraId="303E80A3">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三、承担保证担保责任的形式</w:t>
      </w:r>
    </w:p>
    <w:p w14:paraId="7E135762">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我方按照贵方的要求以下列方式之一承担保证担保责任：</w:t>
      </w:r>
      <w:r>
        <w:rPr>
          <w:rFonts w:ascii="宋体" w:hAnsi="宋体" w:eastAsia="宋体" w:cs="Times New Roman"/>
          <w:color w:val="auto"/>
          <w:sz w:val="24"/>
          <w:szCs w:val="24"/>
          <w:highlight w:val="none"/>
        </w:rPr>
        <w:t xml:space="preserve"> </w:t>
      </w:r>
    </w:p>
    <w:p w14:paraId="097A412E">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1.向承包人资金、设备或者技术援助，使其能继续履行合同义务；</w:t>
      </w:r>
    </w:p>
    <w:p w14:paraId="4764569F">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2.直接接管该项工程或者委托经贵方同意的其他承包商，继续履行合同义务；</w:t>
      </w:r>
    </w:p>
    <w:p w14:paraId="0CC56791">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3.在保证担保金额最高限额内，按照合同约定，向贵方承担违约责任和赔偿因此造成的损失，以及利息和律师费、诉讼费用等实现债权的费用。</w:t>
      </w:r>
    </w:p>
    <w:p w14:paraId="255D412D">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四、代偿的安排</w:t>
      </w:r>
      <w:r>
        <w:rPr>
          <w:rFonts w:ascii="宋体" w:hAnsi="宋体" w:eastAsia="宋体" w:cs="Times New Roman"/>
          <w:b/>
          <w:bCs/>
          <w:color w:val="auto"/>
          <w:sz w:val="24"/>
          <w:szCs w:val="24"/>
          <w:highlight w:val="none"/>
        </w:rPr>
        <w:t xml:space="preserve"> </w:t>
      </w:r>
    </w:p>
    <w:p w14:paraId="642C8357">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1.贵方要求我方承担保证责任的，应向我方发出书面索赔通知及承包人未履行主合同约定义务的证明材料。索赔通知应写明要求索赔的金额，支付款项应到达的</w:t>
      </w:r>
      <w:r>
        <w:rPr>
          <w:rFonts w:hint="eastAsia" w:ascii="宋体" w:hAnsi="宋体" w:eastAsia="宋体" w:cs="Times New Roman"/>
          <w:color w:val="auto"/>
          <w:sz w:val="24"/>
          <w:szCs w:val="24"/>
          <w:highlight w:val="none"/>
          <w:lang w:eastAsia="zh-CN"/>
        </w:rPr>
        <w:t>账</w:t>
      </w:r>
      <w:r>
        <w:rPr>
          <w:rFonts w:hint="eastAsia" w:ascii="宋体" w:hAnsi="宋体" w:eastAsia="宋体" w:cs="Times New Roman"/>
          <w:color w:val="auto"/>
          <w:sz w:val="24"/>
          <w:szCs w:val="24"/>
          <w:highlight w:val="none"/>
        </w:rPr>
        <w:t>号，并附有说明承包人违反主合同造成贵方损失情况的证明材料。</w:t>
      </w:r>
    </w:p>
    <w:p w14:paraId="00A9B542">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2.贵方以工程质量不符合主合同约定标准为由，向我方提出违约索赔的，还需同时提供符合相应条件要求的工程质量检测部门出具的质量说明材料。</w:t>
      </w:r>
    </w:p>
    <w:p w14:paraId="76DA968A">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3.我方收到贵方的书面索赔通知及相应证明材料后，在</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工作日内进行核定后按照本保函的承诺承担保证责任。</w:t>
      </w:r>
    </w:p>
    <w:p w14:paraId="2B02C33E">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五、保证担保责任的解除</w:t>
      </w:r>
      <w:r>
        <w:rPr>
          <w:rFonts w:ascii="宋体" w:hAnsi="宋体" w:eastAsia="宋体" w:cs="Times New Roman"/>
          <w:b/>
          <w:bCs/>
          <w:color w:val="auto"/>
          <w:sz w:val="24"/>
          <w:szCs w:val="24"/>
          <w:highlight w:val="none"/>
        </w:rPr>
        <w:t xml:space="preserve"> </w:t>
      </w:r>
    </w:p>
    <w:p w14:paraId="0A39453D">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 xml:space="preserve">保证期间届满贵方未向我方书面主张保证责任的，自保证期间届满次日起，我方解除保证责任。 </w:t>
      </w:r>
    </w:p>
    <w:p w14:paraId="1E39E21C">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我方按照本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向贵方履行了</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后，自我方向贵方支付</w:t>
      </w:r>
      <w:r>
        <w:rPr>
          <w:rFonts w:hint="eastAsia" w:ascii="宋体" w:hAnsi="宋体" w:eastAsia="宋体" w:cs="Times New Roman"/>
          <w:color w:val="auto"/>
          <w:sz w:val="24"/>
          <w:szCs w:val="24"/>
          <w:highlight w:val="none"/>
        </w:rPr>
        <w:t>的金额达到最高保证担保金额</w:t>
      </w:r>
      <w:r>
        <w:rPr>
          <w:rFonts w:ascii="宋体" w:hAnsi="宋体" w:eastAsia="宋体" w:cs="Times New Roman"/>
          <w:color w:val="auto"/>
          <w:sz w:val="24"/>
          <w:szCs w:val="24"/>
          <w:highlight w:val="none"/>
        </w:rPr>
        <w:t>之日起，</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 xml:space="preserve">解除。 </w:t>
      </w:r>
    </w:p>
    <w:p w14:paraId="667D99CD">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按照法律法规的规定应解除我方保证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责任的其它情形的，我方在本保证担保项下的保证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责任亦解除。 </w:t>
      </w:r>
    </w:p>
    <w:p w14:paraId="357398ED">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4.我方解除保证责任后，贵方应按上述约定，自我方保证担保责任解除之日起七</w:t>
      </w:r>
      <w:r>
        <w:rPr>
          <w:rFonts w:ascii="宋体" w:hAnsi="宋体" w:eastAsia="宋体" w:cs="Times New Roman"/>
          <w:color w:val="auto"/>
          <w:sz w:val="24"/>
          <w:szCs w:val="24"/>
          <w:highlight w:val="none"/>
        </w:rPr>
        <w:t>日内，将本保证担保原件返还我方。但是不论贵方是否按此要求将本保证担保</w:t>
      </w:r>
      <w:r>
        <w:rPr>
          <w:rFonts w:hint="eastAsia" w:ascii="宋体" w:hAnsi="宋体" w:eastAsia="宋体" w:cs="Times New Roman"/>
          <w:color w:val="auto"/>
          <w:sz w:val="24"/>
          <w:szCs w:val="24"/>
          <w:highlight w:val="none"/>
        </w:rPr>
        <w:t>原件</w:t>
      </w:r>
      <w:r>
        <w:rPr>
          <w:rFonts w:ascii="宋体" w:hAnsi="宋体" w:eastAsia="宋体" w:cs="Times New Roman"/>
          <w:color w:val="auto"/>
          <w:sz w:val="24"/>
          <w:szCs w:val="24"/>
          <w:highlight w:val="none"/>
        </w:rPr>
        <w:t>退回我方，我方在本保证担保项下的义务和责任均</w:t>
      </w:r>
      <w:r>
        <w:rPr>
          <w:rFonts w:hint="eastAsia" w:ascii="宋体" w:hAnsi="宋体" w:eastAsia="宋体" w:cs="Times New Roman"/>
          <w:color w:val="auto"/>
          <w:sz w:val="24"/>
          <w:szCs w:val="24"/>
          <w:highlight w:val="none"/>
        </w:rPr>
        <w:t>自保证担保责任解除之日</w:t>
      </w:r>
      <w:r>
        <w:rPr>
          <w:rFonts w:ascii="宋体" w:hAnsi="宋体" w:eastAsia="宋体" w:cs="Times New Roman"/>
          <w:color w:val="auto"/>
          <w:sz w:val="24"/>
          <w:szCs w:val="24"/>
          <w:highlight w:val="none"/>
        </w:rPr>
        <w:t>自动消灭。</w:t>
      </w:r>
    </w:p>
    <w:p w14:paraId="11FCCA5D">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六、免责条款</w:t>
      </w:r>
      <w:r>
        <w:rPr>
          <w:rFonts w:ascii="宋体" w:hAnsi="宋体" w:eastAsia="宋体" w:cs="Times New Roman"/>
          <w:b/>
          <w:bCs/>
          <w:color w:val="auto"/>
          <w:sz w:val="24"/>
          <w:szCs w:val="24"/>
          <w:highlight w:val="none"/>
        </w:rPr>
        <w:t xml:space="preserve"> </w:t>
      </w:r>
    </w:p>
    <w:p w14:paraId="17FF99CC">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因贵方</w:t>
      </w:r>
      <w:r>
        <w:rPr>
          <w:rFonts w:hint="eastAsia" w:ascii="宋体" w:hAnsi="宋体" w:eastAsia="宋体" w:cs="Times New Roman"/>
          <w:color w:val="auto"/>
          <w:sz w:val="24"/>
          <w:szCs w:val="24"/>
          <w:highlight w:val="none"/>
        </w:rPr>
        <w:t>原因</w:t>
      </w:r>
      <w:r>
        <w:rPr>
          <w:rFonts w:ascii="宋体" w:hAnsi="宋体" w:eastAsia="宋体" w:cs="Times New Roman"/>
          <w:color w:val="auto"/>
          <w:sz w:val="24"/>
          <w:szCs w:val="24"/>
          <w:highlight w:val="none"/>
        </w:rPr>
        <w:t>致使</w:t>
      </w:r>
      <w:r>
        <w:rPr>
          <w:rFonts w:hint="eastAsia" w:ascii="宋体" w:hAnsi="宋体" w:eastAsia="宋体" w:cs="Times New Roman"/>
          <w:color w:val="auto"/>
          <w:sz w:val="24"/>
          <w:szCs w:val="24"/>
          <w:highlight w:val="none"/>
        </w:rPr>
        <w:t>承包人未按照主合同约定履行义务的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3A71AFDA">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依照法律规定或贵方与</w:t>
      </w:r>
      <w:r>
        <w:rPr>
          <w:rFonts w:hint="eastAsia" w:ascii="宋体" w:hAnsi="宋体" w:eastAsia="宋体" w:cs="Times New Roman"/>
          <w:color w:val="auto"/>
          <w:sz w:val="24"/>
          <w:szCs w:val="24"/>
          <w:highlight w:val="none"/>
        </w:rPr>
        <w:t>发包</w:t>
      </w:r>
      <w:r>
        <w:rPr>
          <w:rFonts w:ascii="宋体" w:hAnsi="宋体" w:eastAsia="宋体" w:cs="Times New Roman"/>
          <w:color w:val="auto"/>
          <w:sz w:val="24"/>
          <w:szCs w:val="24"/>
          <w:highlight w:val="none"/>
        </w:rPr>
        <w:t>人的另行约定，免除</w:t>
      </w:r>
      <w:r>
        <w:rPr>
          <w:rFonts w:hint="eastAsia" w:ascii="宋体" w:hAnsi="宋体" w:eastAsia="宋体" w:cs="Times New Roman"/>
          <w:color w:val="auto"/>
          <w:sz w:val="24"/>
          <w:szCs w:val="24"/>
          <w:highlight w:val="none"/>
        </w:rPr>
        <w:t>承包</w:t>
      </w:r>
      <w:r>
        <w:rPr>
          <w:rFonts w:ascii="宋体" w:hAnsi="宋体" w:eastAsia="宋体" w:cs="Times New Roman"/>
          <w:color w:val="auto"/>
          <w:sz w:val="24"/>
          <w:szCs w:val="24"/>
          <w:highlight w:val="none"/>
        </w:rPr>
        <w:t>人部分或全部义务的，我方亦免除其相应的保证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55B118CF">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因不可抗力造成</w:t>
      </w:r>
      <w:r>
        <w:rPr>
          <w:rFonts w:hint="eastAsia" w:ascii="宋体" w:hAnsi="宋体" w:eastAsia="宋体" w:cs="Times New Roman"/>
          <w:color w:val="auto"/>
          <w:sz w:val="24"/>
          <w:szCs w:val="24"/>
          <w:highlight w:val="none"/>
        </w:rPr>
        <w:t>承包人未按照主合同约定履行义务的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w:t>
      </w:r>
    </w:p>
    <w:p w14:paraId="3B0510CB">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七、其他</w:t>
      </w:r>
    </w:p>
    <w:p w14:paraId="6DA8866D">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本保证担保项下的权利不得转让，不得设定担保。贵方未经我方书面同意转让本保证担保或其项下任何权利，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08931E17">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7C6BB2D9">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自我方法定代表</w:t>
      </w:r>
      <w:r>
        <w:rPr>
          <w:rFonts w:hint="eastAsia" w:ascii="宋体" w:hAnsi="宋体" w:eastAsia="宋体" w:cs="Times New Roman"/>
          <w:color w:val="auto"/>
          <w:sz w:val="24"/>
          <w:szCs w:val="24"/>
          <w:highlight w:val="none"/>
        </w:rPr>
        <w:t>人或授权代表</w:t>
      </w:r>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01A6C505">
      <w:pPr>
        <w:spacing w:line="360" w:lineRule="auto"/>
        <w:ind w:firstLine="480"/>
        <w:rPr>
          <w:rFonts w:ascii="宋体" w:hAnsi="宋体" w:eastAsia="宋体" w:cs="Times New Roman"/>
          <w:color w:val="auto"/>
          <w:sz w:val="24"/>
          <w:szCs w:val="24"/>
          <w:highlight w:val="none"/>
        </w:rPr>
      </w:pPr>
    </w:p>
    <w:p w14:paraId="23AEC330">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 证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（公</w:t>
      </w:r>
      <w:r>
        <w:rPr>
          <w:rFonts w:ascii="宋体" w:hAnsi="宋体" w:eastAsia="宋体" w:cs="Times New Roman"/>
          <w:color w:val="auto"/>
          <w:sz w:val="24"/>
          <w:szCs w:val="24"/>
          <w:highlight w:val="none"/>
        </w:rPr>
        <w:t xml:space="preserve">章） </w:t>
      </w:r>
    </w:p>
    <w:p w14:paraId="32D8E3CD">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0CB46810">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115BAD95">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558D09D9">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565285B6">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2B2E2CD4">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时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间：</w:t>
      </w:r>
      <w:r>
        <w:rPr>
          <w:rFonts w:ascii="宋体" w:hAnsi="宋体" w:eastAsia="宋体" w:cs="Times New Roman"/>
          <w:color w:val="auto"/>
          <w:sz w:val="24"/>
          <w:szCs w:val="24"/>
          <w:highlight w:val="none"/>
        </w:rPr>
        <w:t xml:space="preserve">      年      月        日</w:t>
      </w:r>
    </w:p>
    <w:p w14:paraId="4155873F">
      <w:pPr>
        <w:rPr>
          <w:rFonts w:ascii="Times New Roman" w:hAnsi="Times New Roman" w:eastAsia="宋体" w:cs="Times New Roman"/>
          <w:color w:val="auto"/>
          <w:szCs w:val="21"/>
          <w:highlight w:val="none"/>
        </w:rPr>
      </w:pPr>
    </w:p>
    <w:p w14:paraId="5461C56D">
      <w:pPr>
        <w:rPr>
          <w:rFonts w:ascii="Times New Roman" w:hAnsi="Times New Roman" w:eastAsia="宋体" w:cs="Times New Roman"/>
          <w:color w:val="auto"/>
          <w:szCs w:val="21"/>
          <w:highlight w:val="none"/>
        </w:rPr>
      </w:pPr>
    </w:p>
    <w:p w14:paraId="786DF2C9">
      <w:pPr>
        <w:rPr>
          <w:rFonts w:ascii="Times New Roman" w:hAnsi="Times New Roman" w:eastAsia="宋体" w:cs="Times New Roman"/>
          <w:color w:val="auto"/>
          <w:szCs w:val="21"/>
          <w:highlight w:val="none"/>
        </w:rPr>
      </w:pPr>
    </w:p>
    <w:p w14:paraId="45F204E8">
      <w:pPr>
        <w:rPr>
          <w:rFonts w:ascii="Times New Roman" w:hAnsi="Times New Roman" w:eastAsia="宋体" w:cs="Times New Roman"/>
          <w:color w:val="auto"/>
          <w:szCs w:val="21"/>
          <w:highlight w:val="none"/>
        </w:rPr>
      </w:pPr>
    </w:p>
    <w:p w14:paraId="4163AD87">
      <w:pPr>
        <w:rPr>
          <w:rFonts w:ascii="Times New Roman" w:hAnsi="Times New Roman" w:eastAsia="宋体" w:cs="Times New Roman"/>
          <w:color w:val="auto"/>
          <w:szCs w:val="21"/>
          <w:highlight w:val="none"/>
        </w:rPr>
      </w:pPr>
    </w:p>
    <w:p w14:paraId="06E0373F">
      <w:pPr>
        <w:rPr>
          <w:rFonts w:ascii="Times New Roman" w:hAnsi="Times New Roman" w:eastAsia="宋体" w:cs="Times New Roman"/>
          <w:color w:val="auto"/>
          <w:szCs w:val="21"/>
          <w:highlight w:val="none"/>
        </w:rPr>
      </w:pPr>
    </w:p>
    <w:p w14:paraId="0EA1D1CE">
      <w:pPr>
        <w:rPr>
          <w:rFonts w:ascii="Times New Roman" w:hAnsi="Times New Roman" w:eastAsia="宋体" w:cs="Times New Roman"/>
          <w:color w:val="auto"/>
          <w:szCs w:val="21"/>
          <w:highlight w:val="none"/>
        </w:rPr>
      </w:pPr>
    </w:p>
    <w:p w14:paraId="0D8D5587">
      <w:pPr>
        <w:rPr>
          <w:rFonts w:ascii="Times New Roman" w:hAnsi="Times New Roman" w:eastAsia="宋体" w:cs="Times New Roman"/>
          <w:color w:val="auto"/>
          <w:szCs w:val="21"/>
          <w:highlight w:val="none"/>
        </w:rPr>
      </w:pPr>
    </w:p>
    <w:p w14:paraId="1DCD1EE5">
      <w:pPr>
        <w:rPr>
          <w:rFonts w:ascii="Times New Roman" w:hAnsi="Times New Roman" w:eastAsia="宋体" w:cs="Times New Roman"/>
          <w:color w:val="auto"/>
          <w:szCs w:val="21"/>
          <w:highlight w:val="none"/>
        </w:rPr>
      </w:pPr>
    </w:p>
    <w:p w14:paraId="44B7E1D9">
      <w:pPr>
        <w:rPr>
          <w:rFonts w:ascii="Times New Roman" w:hAnsi="Times New Roman" w:eastAsia="宋体" w:cs="Times New Roman"/>
          <w:color w:val="auto"/>
          <w:szCs w:val="21"/>
          <w:highlight w:val="none"/>
        </w:rPr>
      </w:pPr>
    </w:p>
    <w:p w14:paraId="15868D7A">
      <w:pPr>
        <w:rPr>
          <w:rFonts w:ascii="Times New Roman" w:hAnsi="Times New Roman" w:eastAsia="宋体" w:cs="Times New Roman"/>
          <w:color w:val="auto"/>
          <w:szCs w:val="21"/>
          <w:highlight w:val="none"/>
        </w:rPr>
      </w:pPr>
    </w:p>
    <w:p w14:paraId="5EA87324">
      <w:pPr>
        <w:rPr>
          <w:rFonts w:ascii="Times New Roman" w:hAnsi="Times New Roman" w:eastAsia="宋体" w:cs="Times New Roman"/>
          <w:color w:val="auto"/>
          <w:szCs w:val="21"/>
          <w:highlight w:val="none"/>
        </w:rPr>
      </w:pPr>
    </w:p>
    <w:p w14:paraId="28C663E1">
      <w:pPr>
        <w:rPr>
          <w:rFonts w:ascii="Times New Roman" w:hAnsi="Times New Roman" w:eastAsia="宋体" w:cs="Times New Roman"/>
          <w:color w:val="auto"/>
          <w:szCs w:val="21"/>
          <w:highlight w:val="none"/>
        </w:rPr>
      </w:pPr>
    </w:p>
    <w:p w14:paraId="479964D0">
      <w:pPr>
        <w:rPr>
          <w:rFonts w:ascii="Times New Roman" w:hAnsi="Times New Roman" w:eastAsia="宋体" w:cs="Times New Roman"/>
          <w:color w:val="auto"/>
          <w:szCs w:val="21"/>
          <w:highlight w:val="none"/>
        </w:rPr>
      </w:pPr>
    </w:p>
    <w:p w14:paraId="12E7202C">
      <w:pPr>
        <w:rPr>
          <w:rFonts w:ascii="Times New Roman" w:hAnsi="Times New Roman" w:eastAsia="宋体" w:cs="Times New Roman"/>
          <w:color w:val="auto"/>
          <w:szCs w:val="21"/>
          <w:highlight w:val="none"/>
        </w:rPr>
      </w:pPr>
    </w:p>
    <w:p w14:paraId="06752E4D">
      <w:pPr>
        <w:rPr>
          <w:rFonts w:ascii="Times New Roman" w:hAnsi="Times New Roman" w:eastAsia="宋体" w:cs="Times New Roman"/>
          <w:color w:val="auto"/>
          <w:szCs w:val="21"/>
          <w:highlight w:val="none"/>
        </w:rPr>
      </w:pPr>
    </w:p>
    <w:p w14:paraId="3D34439D">
      <w:pPr>
        <w:rPr>
          <w:rFonts w:ascii="Times New Roman" w:hAnsi="Times New Roman" w:eastAsia="宋体" w:cs="Times New Roman"/>
          <w:color w:val="auto"/>
          <w:szCs w:val="21"/>
          <w:highlight w:val="none"/>
        </w:rPr>
      </w:pPr>
    </w:p>
    <w:p w14:paraId="30FDF659">
      <w:pPr>
        <w:rPr>
          <w:rFonts w:ascii="Times New Roman" w:hAnsi="Times New Roman" w:eastAsia="宋体" w:cs="Times New Roman"/>
          <w:color w:val="auto"/>
          <w:szCs w:val="21"/>
          <w:highlight w:val="none"/>
        </w:rPr>
      </w:pPr>
    </w:p>
    <w:p w14:paraId="3365DA50">
      <w:pPr>
        <w:rPr>
          <w:rFonts w:ascii="Times New Roman" w:hAnsi="Times New Roman" w:eastAsia="宋体" w:cs="Times New Roman"/>
          <w:color w:val="auto"/>
          <w:szCs w:val="21"/>
          <w:highlight w:val="none"/>
        </w:rPr>
      </w:pPr>
    </w:p>
    <w:p w14:paraId="54D8D560">
      <w:pPr>
        <w:rPr>
          <w:rFonts w:ascii="Times New Roman" w:hAnsi="Times New Roman" w:eastAsia="宋体" w:cs="Times New Roman"/>
          <w:color w:val="auto"/>
          <w:szCs w:val="21"/>
          <w:highlight w:val="none"/>
        </w:rPr>
      </w:pPr>
    </w:p>
    <w:p w14:paraId="027AA5C8">
      <w:pPr>
        <w:rPr>
          <w:rFonts w:ascii="Times New Roman" w:hAnsi="Times New Roman" w:eastAsia="宋体" w:cs="Times New Roman"/>
          <w:color w:val="auto"/>
          <w:szCs w:val="21"/>
          <w:highlight w:val="none"/>
        </w:rPr>
      </w:pPr>
    </w:p>
    <w:p w14:paraId="08B0D533">
      <w:pPr>
        <w:rPr>
          <w:rFonts w:ascii="Times New Roman" w:hAnsi="Times New Roman" w:eastAsia="宋体" w:cs="Times New Roman"/>
          <w:color w:val="auto"/>
          <w:szCs w:val="21"/>
          <w:highlight w:val="none"/>
        </w:rPr>
      </w:pPr>
    </w:p>
    <w:p w14:paraId="52F23F53">
      <w:pPr>
        <w:rPr>
          <w:rFonts w:ascii="Times New Roman" w:hAnsi="Times New Roman" w:eastAsia="宋体" w:cs="Times New Roman"/>
          <w:color w:val="auto"/>
          <w:szCs w:val="21"/>
          <w:highlight w:val="none"/>
        </w:rPr>
      </w:pPr>
    </w:p>
    <w:p w14:paraId="4C434446">
      <w:pPr>
        <w:rPr>
          <w:rFonts w:ascii="Times New Roman" w:hAnsi="Times New Roman" w:eastAsia="宋体" w:cs="Times New Roman"/>
          <w:color w:val="auto"/>
          <w:szCs w:val="21"/>
          <w:highlight w:val="none"/>
        </w:rPr>
      </w:pPr>
    </w:p>
    <w:p w14:paraId="05217D9D">
      <w:pPr>
        <w:rPr>
          <w:rFonts w:ascii="Times New Roman" w:hAnsi="Times New Roman" w:eastAsia="宋体" w:cs="Times New Roman"/>
          <w:color w:val="auto"/>
          <w:szCs w:val="21"/>
          <w:highlight w:val="none"/>
        </w:rPr>
      </w:pPr>
    </w:p>
    <w:p w14:paraId="6E80EA06">
      <w:pPr>
        <w:rPr>
          <w:rFonts w:ascii="Times New Roman" w:hAnsi="Times New Roman" w:eastAsia="宋体" w:cs="Times New Roman"/>
          <w:color w:val="auto"/>
          <w:szCs w:val="21"/>
          <w:highlight w:val="none"/>
        </w:rPr>
      </w:pPr>
    </w:p>
    <w:p w14:paraId="231467B3">
      <w:pPr>
        <w:rPr>
          <w:rFonts w:ascii="Times New Roman" w:hAnsi="Times New Roman" w:eastAsia="宋体" w:cs="Times New Roman"/>
          <w:color w:val="auto"/>
          <w:szCs w:val="21"/>
          <w:highlight w:val="none"/>
        </w:rPr>
      </w:pPr>
    </w:p>
    <w:bookmarkEnd w:id="1300"/>
    <w:bookmarkEnd w:id="1301"/>
    <w:bookmarkEnd w:id="1302"/>
    <w:bookmarkEnd w:id="1303"/>
    <w:bookmarkEnd w:id="1304"/>
    <w:bookmarkEnd w:id="1305"/>
    <w:bookmarkEnd w:id="1306"/>
    <w:p w14:paraId="7F449E2B">
      <w:pPr>
        <w:rPr>
          <w:rFonts w:ascii="Times New Roman" w:hAnsi="Times New Roman" w:eastAsia="宋体" w:cs="Times New Roman"/>
          <w:color w:val="auto"/>
          <w:szCs w:val="21"/>
          <w:highlight w:val="none"/>
        </w:rPr>
      </w:pPr>
    </w:p>
    <w:p w14:paraId="7C996D25">
      <w:pPr>
        <w:spacing w:before="120" w:after="120" w:line="440" w:lineRule="exact"/>
        <w:jc w:val="left"/>
        <w:rPr>
          <w:rFonts w:ascii="黑体" w:hAnsi="黑体" w:eastAsia="黑体" w:cs="黑体"/>
          <w:color w:val="auto"/>
          <w:sz w:val="32"/>
          <w:szCs w:val="32"/>
          <w:highlight w:val="none"/>
        </w:rPr>
      </w:pPr>
      <w:r>
        <w:rPr>
          <w:rFonts w:hint="eastAsia" w:ascii="仿宋_GB2312" w:hAnsi="Times New Roman" w:eastAsia="仿宋_GB2312" w:cs="仿宋_GB2312"/>
          <w:color w:val="auto"/>
          <w:sz w:val="30"/>
          <w:szCs w:val="30"/>
          <w:highlight w:val="none"/>
        </w:rPr>
        <w:t>附件8：预付款保函示范文本</w:t>
      </w:r>
    </w:p>
    <w:p w14:paraId="64BCCCEE">
      <w:pPr>
        <w:spacing w:line="360" w:lineRule="auto"/>
        <w:jc w:val="left"/>
        <w:rPr>
          <w:rFonts w:ascii="黑体" w:hAnsi="黑体" w:eastAsia="黑体" w:cs="黑体"/>
          <w:b/>
          <w:bCs/>
          <w:color w:val="auto"/>
          <w:sz w:val="32"/>
          <w:szCs w:val="32"/>
          <w:highlight w:val="none"/>
        </w:rPr>
      </w:pPr>
    </w:p>
    <w:p w14:paraId="0DDD7505">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预付款保函示范文本</w:t>
      </w:r>
    </w:p>
    <w:p w14:paraId="29F8EEA2">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（独立保函）</w:t>
      </w:r>
    </w:p>
    <w:p w14:paraId="778D352B">
      <w:pPr>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09C73C4C">
      <w:pPr>
        <w:spacing w:line="360" w:lineRule="auto"/>
        <w:rPr>
          <w:rFonts w:ascii="宋体" w:hAnsi="宋体" w:eastAsia="宋体" w:cs="Times New Roman"/>
          <w:color w:val="auto"/>
          <w:sz w:val="24"/>
          <w:szCs w:val="24"/>
          <w:highlight w:val="none"/>
        </w:rPr>
      </w:pPr>
    </w:p>
    <w:p w14:paraId="746C68F4">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申请人：</w:t>
      </w:r>
    </w:p>
    <w:p w14:paraId="1C0A7815">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r>
        <w:rPr>
          <w:rFonts w:ascii="宋体" w:hAnsi="宋体" w:eastAsia="宋体" w:cs="Times New Roman"/>
          <w:color w:val="auto"/>
          <w:sz w:val="24"/>
          <w:szCs w:val="24"/>
          <w:highlight w:val="none"/>
        </w:rPr>
        <w:t>：</w:t>
      </w:r>
    </w:p>
    <w:p w14:paraId="6B36DB7B">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w:t>
      </w:r>
    </w:p>
    <w:p w14:paraId="27C83DD1">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p>
    <w:p w14:paraId="6227D786">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开立人：</w:t>
      </w:r>
    </w:p>
    <w:p w14:paraId="4E395BF6">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地址：</w:t>
      </w:r>
    </w:p>
    <w:p w14:paraId="2C495258">
      <w:pP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 </w:t>
      </w:r>
    </w:p>
    <w:p w14:paraId="3ACB8A2F">
      <w:pP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受益人</w:t>
      </w:r>
      <w:r>
        <w:rPr>
          <w:rFonts w:ascii="宋体" w:hAnsi="宋体" w:eastAsia="宋体" w:cs="Times New Roman"/>
          <w:color w:val="auto"/>
          <w:sz w:val="24"/>
          <w:szCs w:val="24"/>
          <w:highlight w:val="none"/>
        </w:rPr>
        <w:t xml:space="preserve">名称）： </w:t>
      </w:r>
    </w:p>
    <w:p w14:paraId="17D6375B">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受益人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申请人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基础合同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开立人</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）根据主合同了解到申请人为主合同项下之承包人，受益人为主合同项下之发包人，基于申请人</w:t>
      </w:r>
      <w:r>
        <w:rPr>
          <w:rFonts w:ascii="宋体" w:hAnsi="宋体" w:eastAsia="宋体" w:cs="Times New Roman"/>
          <w:color w:val="auto"/>
          <w:sz w:val="24"/>
          <w:szCs w:val="24"/>
          <w:highlight w:val="none"/>
        </w:rPr>
        <w:t>的请求，我方同意就</w:t>
      </w:r>
      <w:r>
        <w:rPr>
          <w:rFonts w:hint="eastAsia" w:ascii="宋体" w:hAnsi="宋体" w:eastAsia="宋体" w:cs="Times New Roman"/>
          <w:color w:val="auto"/>
          <w:sz w:val="24"/>
          <w:szCs w:val="24"/>
          <w:highlight w:val="none"/>
        </w:rPr>
        <w:t>申请人按照合同约定正确和合理地为合同目的使用预付款，</w:t>
      </w:r>
      <w:r>
        <w:rPr>
          <w:rFonts w:ascii="宋体" w:hAnsi="宋体" w:eastAsia="宋体" w:cs="Times New Roman"/>
          <w:color w:val="auto"/>
          <w:sz w:val="24"/>
          <w:szCs w:val="24"/>
          <w:highlight w:val="none"/>
        </w:rPr>
        <w:t>向贵方提供不可撤销、</w:t>
      </w:r>
      <w:r>
        <w:rPr>
          <w:rFonts w:hint="eastAsia" w:ascii="宋体" w:hAnsi="宋体" w:eastAsia="宋体" w:cs="Times New Roman"/>
          <w:color w:val="auto"/>
          <w:sz w:val="24"/>
          <w:szCs w:val="24"/>
          <w:highlight w:val="none"/>
        </w:rPr>
        <w:t>不可转让的见索即付</w:t>
      </w:r>
      <w:r>
        <w:rPr>
          <w:rFonts w:ascii="宋体" w:hAnsi="宋体" w:eastAsia="宋体" w:cs="Times New Roman"/>
          <w:color w:val="auto"/>
          <w:sz w:val="24"/>
          <w:szCs w:val="24"/>
          <w:highlight w:val="none"/>
        </w:rPr>
        <w:t>独立</w:t>
      </w:r>
      <w:r>
        <w:rPr>
          <w:rFonts w:hint="eastAsia" w:ascii="宋体" w:hAnsi="宋体" w:eastAsia="宋体" w:cs="Times New Roman"/>
          <w:color w:val="auto"/>
          <w:sz w:val="24"/>
          <w:szCs w:val="24"/>
          <w:highlight w:val="none"/>
        </w:rPr>
        <w:t>保函（以下简称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507FF27A">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一、本保函担保范围：申请人未按照合同约定正确和合理地为合同目的使用预付款，应当向贵方承担的违约责任和赔偿因此造成的损失、利息、律师费、诉讼费用等实现债权的费用。</w:t>
      </w:r>
    </w:p>
    <w:p w14:paraId="5C46E6AA">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二、本保函担保金额最高不超过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376E0D2A">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三、本保函</w:t>
      </w:r>
      <w:r>
        <w:rPr>
          <w:rFonts w:ascii="宋体" w:hAnsi="宋体" w:eastAsia="宋体" w:cs="Times New Roman"/>
          <w:color w:val="auto"/>
          <w:sz w:val="24"/>
          <w:szCs w:val="24"/>
          <w:highlight w:val="none"/>
        </w:rPr>
        <w:t>有效期自</w:t>
      </w:r>
      <w:r>
        <w:rPr>
          <w:rFonts w:hint="eastAsia" w:ascii="宋体" w:hAnsi="宋体" w:eastAsia="宋体" w:cs="Times New Roman"/>
          <w:color w:val="auto"/>
          <w:sz w:val="24"/>
          <w:szCs w:val="24"/>
          <w:highlight w:val="none"/>
        </w:rPr>
        <w:t>开立之日起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发包人全额扣回预付款后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r>
        <w:rPr>
          <w:rFonts w:hint="eastAsia" w:ascii="宋体" w:hAnsi="宋体" w:eastAsia="宋体" w:cs="Times New Roman"/>
          <w:color w:val="auto"/>
          <w:sz w:val="24"/>
          <w:szCs w:val="24"/>
          <w:highlight w:val="none"/>
        </w:rPr>
        <w:t>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p>
    <w:p w14:paraId="0C677C87">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四、我方承诺，在收到受益人发来的书面付款通知后的</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日内无条件支付，前述书面付款通知即为付款要求之单据，且应满足以下要求：</w:t>
      </w:r>
    </w:p>
    <w:p w14:paraId="3E01C931">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（1）付款通知到达的日期在本保函的有效期内；</w:t>
      </w:r>
    </w:p>
    <w:p w14:paraId="688674D3">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（2）载明要求支付的金额；</w:t>
      </w:r>
    </w:p>
    <w:p w14:paraId="32169BE5">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（3）载明申请人违反合同义务的条款和内容；</w:t>
      </w:r>
    </w:p>
    <w:p w14:paraId="2B828344">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（4）声明不存在合同文件约定或我国法律规定免除申请人或开立人支付责任的情形；</w:t>
      </w:r>
    </w:p>
    <w:p w14:paraId="27EB12F4">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（5）付款通知应在本保函有效期内到达的地址是：</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7E758229">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受益人发出的书面付款通知应由其为鉴明受益人法定代表人（负责人）或授权代理人签字并加盖公章。</w:t>
      </w:r>
    </w:p>
    <w:p w14:paraId="40D96362">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w:t>
      </w:r>
      <w:r>
        <w:rPr>
          <w:rFonts w:ascii="宋体" w:hAnsi="宋体" w:eastAsia="宋体" w:cs="Times New Roman"/>
          <w:color w:val="auto"/>
          <w:sz w:val="24"/>
          <w:szCs w:val="24"/>
          <w:highlight w:val="none"/>
        </w:rPr>
        <w:t>本保函项下的权利不得转让，不得设定担保。贵方未经我方书面同意转 让本保函或其项下任何权利，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69B4F3C3">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六、与</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有关</w:t>
      </w:r>
      <w:r>
        <w:rPr>
          <w:rFonts w:ascii="宋体" w:hAnsi="宋体" w:eastAsia="宋体" w:cs="Times New Roman"/>
          <w:color w:val="auto"/>
          <w:sz w:val="24"/>
          <w:szCs w:val="24"/>
          <w:highlight w:val="none"/>
        </w:rPr>
        <w:t>的</w:t>
      </w:r>
      <w:r>
        <w:rPr>
          <w:rFonts w:hint="eastAsia" w:ascii="宋体" w:hAnsi="宋体" w:eastAsia="宋体" w:cs="Times New Roman"/>
          <w:color w:val="auto"/>
          <w:sz w:val="24"/>
          <w:szCs w:val="24"/>
          <w:highlight w:val="none"/>
        </w:rPr>
        <w:t>基础</w:t>
      </w:r>
      <w:r>
        <w:rPr>
          <w:rFonts w:ascii="宋体" w:hAnsi="宋体" w:eastAsia="宋体" w:cs="Times New Roman"/>
          <w:color w:val="auto"/>
          <w:sz w:val="24"/>
          <w:szCs w:val="24"/>
          <w:highlight w:val="none"/>
        </w:rPr>
        <w:t xml:space="preserve">合同不成立、不生效、无效、被撤销、被解除，不影响本保函的独立有效。 </w:t>
      </w:r>
    </w:p>
    <w:p w14:paraId="5FEB189D">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w:t>
      </w:r>
      <w:r>
        <w:rPr>
          <w:rFonts w:ascii="宋体" w:hAnsi="宋体" w:eastAsia="宋体" w:cs="Times New Roman"/>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eastAsia="宋体" w:cs="Times New Roman"/>
          <w:color w:val="auto"/>
          <w:sz w:val="24"/>
          <w:szCs w:val="24"/>
          <w:highlight w:val="none"/>
        </w:rPr>
        <w:t>有效期</w:t>
      </w:r>
      <w:r>
        <w:rPr>
          <w:rFonts w:ascii="宋体" w:hAnsi="宋体" w:eastAsia="宋体" w:cs="Times New Roman"/>
          <w:color w:val="auto"/>
          <w:sz w:val="24"/>
          <w:szCs w:val="24"/>
          <w:highlight w:val="none"/>
        </w:rPr>
        <w:t xml:space="preserve">到期后自动消灭。 </w:t>
      </w:r>
    </w:p>
    <w:p w14:paraId="6AEC87B0">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八、</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3C67A27A">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九、</w:t>
      </w:r>
      <w:r>
        <w:rPr>
          <w:rFonts w:ascii="宋体" w:hAnsi="宋体" w:eastAsia="宋体" w:cs="Times New Roman"/>
          <w:color w:val="auto"/>
          <w:sz w:val="24"/>
          <w:szCs w:val="24"/>
          <w:highlight w:val="none"/>
        </w:rPr>
        <w:t>本保函自我方法定代表人</w:t>
      </w:r>
      <w:r>
        <w:rPr>
          <w:rFonts w:hint="eastAsia" w:ascii="宋体" w:hAnsi="宋体" w:eastAsia="宋体" w:cs="Times New Roman"/>
          <w:color w:val="auto"/>
          <w:sz w:val="24"/>
          <w:szCs w:val="24"/>
          <w:highlight w:val="none"/>
        </w:rPr>
        <w:t>或授权代表</w:t>
      </w:r>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532CCF10">
      <w:pPr>
        <w:spacing w:line="360" w:lineRule="auto"/>
        <w:ind w:firstLine="480"/>
        <w:rPr>
          <w:rFonts w:ascii="宋体" w:hAnsi="宋体" w:eastAsia="宋体" w:cs="Times New Roman"/>
          <w:color w:val="auto"/>
          <w:sz w:val="24"/>
          <w:szCs w:val="24"/>
          <w:highlight w:val="none"/>
        </w:rPr>
      </w:pPr>
    </w:p>
    <w:p w14:paraId="1032C78E">
      <w:pPr>
        <w:spacing w:line="360" w:lineRule="auto"/>
        <w:ind w:firstLine="480"/>
        <w:rPr>
          <w:rFonts w:ascii="宋体" w:hAnsi="宋体" w:eastAsia="宋体" w:cs="Times New Roman"/>
          <w:color w:val="auto"/>
          <w:sz w:val="24"/>
          <w:szCs w:val="24"/>
          <w:highlight w:val="none"/>
        </w:rPr>
      </w:pPr>
    </w:p>
    <w:p w14:paraId="28EB03FE">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 立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公</w:t>
      </w:r>
      <w:r>
        <w:rPr>
          <w:rFonts w:ascii="宋体" w:hAnsi="宋体" w:eastAsia="宋体" w:cs="Times New Roman"/>
          <w:color w:val="auto"/>
          <w:sz w:val="24"/>
          <w:szCs w:val="24"/>
          <w:highlight w:val="none"/>
        </w:rPr>
        <w:t xml:space="preserve">章） </w:t>
      </w:r>
    </w:p>
    <w:p w14:paraId="06182CB4">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6B14AA92">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585E5A5F">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78383572">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5D424E9E">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255762E0">
      <w:pPr>
        <w:rPr>
          <w:rFonts w:ascii="Times New Roman" w:hAnsi="Times New Roman" w:eastAsia="宋体" w:cs="Times New Roman"/>
          <w:color w:val="auto"/>
          <w:szCs w:val="21"/>
          <w:highlight w:val="none"/>
        </w:rPr>
      </w:pPr>
      <w:r>
        <w:rPr>
          <w:rFonts w:hint="eastAsia" w:ascii="宋体" w:hAnsi="宋体" w:eastAsia="宋体" w:cs="Times New Roman"/>
          <w:color w:val="auto"/>
          <w:sz w:val="24"/>
          <w:szCs w:val="24"/>
          <w:highlight w:val="none"/>
        </w:rPr>
        <w:t xml:space="preserve">    开立时间：</w:t>
      </w:r>
      <w:r>
        <w:rPr>
          <w:rFonts w:ascii="宋体" w:hAnsi="宋体" w:eastAsia="宋体" w:cs="Times New Roman"/>
          <w:color w:val="auto"/>
          <w:sz w:val="24"/>
          <w:szCs w:val="24"/>
          <w:highlight w:val="none"/>
        </w:rPr>
        <w:t xml:space="preserve">      年      月        日</w:t>
      </w:r>
    </w:p>
    <w:p w14:paraId="1F3F690F">
      <w:pPr>
        <w:spacing w:line="360" w:lineRule="auto"/>
        <w:jc w:val="center"/>
        <w:rPr>
          <w:rFonts w:ascii="宋体" w:hAnsi="宋体" w:eastAsia="宋体" w:cs="Times New Roman"/>
          <w:b/>
          <w:bCs/>
          <w:color w:val="auto"/>
          <w:sz w:val="32"/>
          <w:szCs w:val="32"/>
          <w:highlight w:val="none"/>
        </w:rPr>
      </w:pPr>
    </w:p>
    <w:p w14:paraId="0CAE52EF">
      <w:pPr>
        <w:spacing w:line="360" w:lineRule="auto"/>
        <w:jc w:val="center"/>
        <w:rPr>
          <w:rFonts w:ascii="宋体" w:hAnsi="宋体" w:eastAsia="宋体" w:cs="Times New Roman"/>
          <w:b/>
          <w:bCs/>
          <w:color w:val="auto"/>
          <w:sz w:val="32"/>
          <w:szCs w:val="32"/>
          <w:highlight w:val="none"/>
        </w:rPr>
      </w:pPr>
    </w:p>
    <w:p w14:paraId="130C510F">
      <w:pPr>
        <w:spacing w:line="360" w:lineRule="auto"/>
        <w:jc w:val="center"/>
        <w:rPr>
          <w:rFonts w:ascii="宋体" w:hAnsi="宋体" w:eastAsia="宋体" w:cs="Times New Roman"/>
          <w:b/>
          <w:bCs/>
          <w:color w:val="auto"/>
          <w:sz w:val="32"/>
          <w:szCs w:val="32"/>
          <w:highlight w:val="none"/>
        </w:rPr>
      </w:pPr>
    </w:p>
    <w:p w14:paraId="2164C93B">
      <w:pPr>
        <w:spacing w:before="120" w:after="120" w:line="440" w:lineRule="exact"/>
        <w:jc w:val="left"/>
        <w:rPr>
          <w:rFonts w:hint="eastAsia" w:ascii="仿宋_GB2312" w:hAnsi="Times New Roman" w:eastAsia="仿宋_GB2312" w:cs="仿宋_GB2312"/>
          <w:color w:val="auto"/>
          <w:sz w:val="30"/>
          <w:szCs w:val="30"/>
          <w:highlight w:val="none"/>
          <w:lang w:eastAsia="zh-CN"/>
        </w:rPr>
      </w:pPr>
      <w:r>
        <w:rPr>
          <w:rFonts w:hint="eastAsia" w:ascii="仿宋_GB2312" w:hAnsi="Times New Roman" w:eastAsia="仿宋_GB2312" w:cs="仿宋_GB2312"/>
          <w:color w:val="auto"/>
          <w:sz w:val="30"/>
          <w:szCs w:val="30"/>
          <w:highlight w:val="none"/>
        </w:rPr>
        <w:t>附件8</w:t>
      </w:r>
      <w:r>
        <w:rPr>
          <w:rFonts w:hint="eastAsia" w:ascii="仿宋_GB2312" w:hAnsi="Times New Roman" w:eastAsia="仿宋_GB2312" w:cs="仿宋_GB2312"/>
          <w:color w:val="auto"/>
          <w:sz w:val="30"/>
          <w:szCs w:val="30"/>
          <w:highlight w:val="none"/>
          <w:lang w:eastAsia="zh-CN"/>
        </w:rPr>
        <w:t>：预付款保函示范文本</w:t>
      </w:r>
    </w:p>
    <w:p w14:paraId="3D081E7C">
      <w:pPr>
        <w:spacing w:line="360" w:lineRule="auto"/>
        <w:jc w:val="left"/>
        <w:rPr>
          <w:rFonts w:ascii="黑体" w:hAnsi="黑体" w:eastAsia="黑体" w:cs="黑体"/>
          <w:b/>
          <w:bCs/>
          <w:color w:val="auto"/>
          <w:sz w:val="32"/>
          <w:szCs w:val="32"/>
          <w:highlight w:val="none"/>
        </w:rPr>
      </w:pPr>
    </w:p>
    <w:p w14:paraId="2E7DC866">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预付款保函示范文本</w:t>
      </w:r>
    </w:p>
    <w:p w14:paraId="42A8EB57">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（非独立保函）</w:t>
      </w:r>
    </w:p>
    <w:p w14:paraId="139726AE">
      <w:pPr>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18105789">
      <w:pPr>
        <w:spacing w:line="360" w:lineRule="auto"/>
        <w:rPr>
          <w:rFonts w:ascii="宋体" w:hAnsi="宋体" w:eastAsia="宋体" w:cs="Times New Roman"/>
          <w:color w:val="auto"/>
          <w:sz w:val="24"/>
          <w:szCs w:val="24"/>
          <w:highlight w:val="none"/>
        </w:rPr>
      </w:pPr>
    </w:p>
    <w:p w14:paraId="4FFE58F6">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担保权人/发包人：</w:t>
      </w:r>
    </w:p>
    <w:p w14:paraId="57D28665">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r>
        <w:rPr>
          <w:rFonts w:ascii="宋体" w:hAnsi="宋体" w:eastAsia="宋体" w:cs="Times New Roman"/>
          <w:color w:val="auto"/>
          <w:sz w:val="24"/>
          <w:szCs w:val="24"/>
          <w:highlight w:val="none"/>
        </w:rPr>
        <w:t>：</w:t>
      </w:r>
    </w:p>
    <w:p w14:paraId="235A9797">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承包人：</w:t>
      </w:r>
      <w:r>
        <w:rPr>
          <w:rFonts w:ascii="宋体" w:hAnsi="宋体" w:eastAsia="宋体" w:cs="Times New Roman"/>
          <w:color w:val="auto"/>
          <w:sz w:val="24"/>
          <w:szCs w:val="24"/>
          <w:highlight w:val="none"/>
        </w:rPr>
        <w:t xml:space="preserve"> </w:t>
      </w:r>
    </w:p>
    <w:p w14:paraId="43281BDC">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36BC165C">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保证人：</w:t>
      </w:r>
    </w:p>
    <w:p w14:paraId="3F170B37">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778BEE76">
      <w:pPr>
        <w:spacing w:line="360" w:lineRule="auto"/>
        <w:rPr>
          <w:rFonts w:ascii="宋体" w:hAnsi="宋体" w:eastAsia="宋体" w:cs="Times New Roman"/>
          <w:color w:val="auto"/>
          <w:sz w:val="24"/>
          <w:szCs w:val="24"/>
          <w:highlight w:val="none"/>
        </w:rPr>
      </w:pPr>
    </w:p>
    <w:p w14:paraId="5E662DF1">
      <w:pP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发包人</w:t>
      </w:r>
      <w:r>
        <w:rPr>
          <w:rFonts w:ascii="宋体" w:hAnsi="宋体" w:eastAsia="宋体" w:cs="Times New Roman"/>
          <w:color w:val="auto"/>
          <w:sz w:val="24"/>
          <w:szCs w:val="24"/>
          <w:highlight w:val="none"/>
        </w:rPr>
        <w:t xml:space="preserve">名称）： </w:t>
      </w:r>
    </w:p>
    <w:p w14:paraId="1FCE8D02">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发包人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承包人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主合同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），我方即保证人基于承包人</w:t>
      </w:r>
      <w:r>
        <w:rPr>
          <w:rFonts w:ascii="宋体" w:hAnsi="宋体" w:eastAsia="宋体" w:cs="Times New Roman"/>
          <w:color w:val="auto"/>
          <w:sz w:val="24"/>
          <w:szCs w:val="24"/>
          <w:highlight w:val="none"/>
        </w:rPr>
        <w:t>的请求，同意就</w:t>
      </w:r>
      <w:r>
        <w:rPr>
          <w:rFonts w:hint="eastAsia" w:ascii="宋体" w:hAnsi="宋体" w:eastAsia="宋体" w:cs="Times New Roman"/>
          <w:color w:val="auto"/>
          <w:sz w:val="24"/>
          <w:szCs w:val="24"/>
          <w:highlight w:val="none"/>
        </w:rPr>
        <w:t>承包人按照合同约定正确和合理地为合同目的使用预付款，不将预付款挪作他用，</w:t>
      </w:r>
      <w:r>
        <w:rPr>
          <w:rFonts w:ascii="宋体" w:hAnsi="宋体" w:eastAsia="宋体" w:cs="Times New Roman"/>
          <w:color w:val="auto"/>
          <w:sz w:val="24"/>
          <w:szCs w:val="24"/>
          <w:highlight w:val="none"/>
        </w:rPr>
        <w:t>向贵方提供</w:t>
      </w:r>
      <w:r>
        <w:rPr>
          <w:rFonts w:hint="eastAsia" w:ascii="宋体" w:hAnsi="宋体" w:eastAsia="宋体" w:cs="Times New Roman"/>
          <w:color w:val="auto"/>
          <w:sz w:val="24"/>
          <w:szCs w:val="24"/>
          <w:highlight w:val="none"/>
        </w:rPr>
        <w:t>如下保证担保（以下简称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本保证担保</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23C7F297">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一、保证担保的范围及保证担保金额</w:t>
      </w:r>
    </w:p>
    <w:p w14:paraId="009CCCE4">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保证担保范围：申请人未按照合同约定正确和合理地为合同目的使用预付款，应当向贵方</w:t>
      </w:r>
      <w:r>
        <w:rPr>
          <w:rFonts w:hint="eastAsia" w:ascii="宋体" w:hAnsi="宋体" w:eastAsia="宋体" w:cs="Times New Roman"/>
          <w:color w:val="auto"/>
          <w:sz w:val="24"/>
          <w:szCs w:val="24"/>
          <w:highlight w:val="none"/>
          <w:lang w:eastAsia="zh-CN"/>
        </w:rPr>
        <w:t>承担</w:t>
      </w:r>
      <w:r>
        <w:rPr>
          <w:rFonts w:hint="eastAsia" w:ascii="宋体" w:hAnsi="宋体" w:eastAsia="宋体" w:cs="Times New Roman"/>
          <w:color w:val="auto"/>
          <w:sz w:val="24"/>
          <w:szCs w:val="24"/>
          <w:highlight w:val="none"/>
        </w:rPr>
        <w:t>违约责任和赔偿因此造成的损失、利息、律师费、诉讼费用等实现债权的费用。</w:t>
      </w:r>
    </w:p>
    <w:p w14:paraId="617B63AD">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0C3A8900">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二、保证担保的方式及保证期间</w:t>
      </w:r>
      <w:r>
        <w:rPr>
          <w:rFonts w:ascii="宋体" w:hAnsi="宋体" w:eastAsia="宋体" w:cs="Times New Roman"/>
          <w:b/>
          <w:bCs/>
          <w:color w:val="auto"/>
          <w:sz w:val="24"/>
          <w:szCs w:val="24"/>
          <w:highlight w:val="none"/>
        </w:rPr>
        <w:t xml:space="preserve"> </w:t>
      </w:r>
    </w:p>
    <w:p w14:paraId="265B7F62">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1.保证担保方式：连带责任保证。</w:t>
      </w:r>
    </w:p>
    <w:p w14:paraId="48CF76C7">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保证期间：</w:t>
      </w:r>
      <w:r>
        <w:rPr>
          <w:rFonts w:ascii="宋体" w:hAnsi="宋体" w:eastAsia="宋体" w:cs="Times New Roman"/>
          <w:color w:val="auto"/>
          <w:sz w:val="24"/>
          <w:szCs w:val="24"/>
          <w:highlight w:val="none"/>
        </w:rPr>
        <w:t>自</w:t>
      </w:r>
      <w:r>
        <w:rPr>
          <w:rFonts w:hint="eastAsia" w:ascii="宋体" w:hAnsi="宋体" w:eastAsia="宋体" w:cs="Times New Roman"/>
          <w:color w:val="auto"/>
          <w:sz w:val="24"/>
          <w:szCs w:val="24"/>
          <w:highlight w:val="none"/>
        </w:rPr>
        <w:t>出具之日起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发包人全额扣回预付款后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r>
        <w:rPr>
          <w:rFonts w:hint="eastAsia" w:ascii="宋体" w:hAnsi="宋体" w:eastAsia="宋体" w:cs="Times New Roman"/>
          <w:color w:val="auto"/>
          <w:sz w:val="24"/>
          <w:szCs w:val="24"/>
          <w:highlight w:val="none"/>
        </w:rPr>
        <w:t>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r>
        <w:rPr>
          <w:rFonts w:ascii="宋体" w:hAnsi="宋体" w:eastAsia="宋体" w:cs="Times New Roman"/>
          <w:color w:val="auto"/>
          <w:sz w:val="24"/>
          <w:szCs w:val="24"/>
          <w:highlight w:val="none"/>
        </w:rPr>
        <w:t xml:space="preserve">。 </w:t>
      </w:r>
    </w:p>
    <w:p w14:paraId="2360AD60">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三、承担保证担保责任的形式</w:t>
      </w:r>
    </w:p>
    <w:p w14:paraId="07B981C0">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发生应承担保证责任情形的，我方在保证金额内向贵方支付，并赔偿因此给贵方造成的损失，以及利息和律师费、诉讼费用等实现债权的费用。</w:t>
      </w:r>
    </w:p>
    <w:p w14:paraId="35BF2B4C">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四、代偿的安排</w:t>
      </w:r>
      <w:r>
        <w:rPr>
          <w:rFonts w:ascii="宋体" w:hAnsi="宋体" w:eastAsia="宋体" w:cs="Times New Roman"/>
          <w:b/>
          <w:bCs/>
          <w:color w:val="auto"/>
          <w:sz w:val="24"/>
          <w:szCs w:val="24"/>
          <w:highlight w:val="none"/>
        </w:rPr>
        <w:t xml:space="preserve"> </w:t>
      </w:r>
    </w:p>
    <w:p w14:paraId="602CD46E">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1.贵方要求我方承担保证责任的，应向我方发出书面索赔通知及承包人未履行主合同约定义务的证明材料。索赔通知应写明要求索赔的金额，支付款项应到达的</w:t>
      </w:r>
      <w:r>
        <w:rPr>
          <w:rFonts w:hint="eastAsia" w:ascii="宋体" w:hAnsi="宋体" w:eastAsia="宋体" w:cs="Times New Roman"/>
          <w:color w:val="auto"/>
          <w:sz w:val="24"/>
          <w:szCs w:val="24"/>
          <w:highlight w:val="none"/>
          <w:lang w:eastAsia="zh-CN"/>
        </w:rPr>
        <w:t>账</w:t>
      </w:r>
      <w:r>
        <w:rPr>
          <w:rFonts w:hint="eastAsia" w:ascii="宋体" w:hAnsi="宋体" w:eastAsia="宋体" w:cs="Times New Roman"/>
          <w:color w:val="auto"/>
          <w:sz w:val="24"/>
          <w:szCs w:val="24"/>
          <w:highlight w:val="none"/>
        </w:rPr>
        <w:t>号，并附有说明承包人违反主合同造成贵方损失情况的证明材料。</w:t>
      </w:r>
    </w:p>
    <w:p w14:paraId="3B194E0C">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2.我方收到贵方的书面索赔通知及相应证明材料后，在</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工作日内进行核定后按照本保函的承诺承担保证责任。</w:t>
      </w:r>
    </w:p>
    <w:p w14:paraId="391E0BD5">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五、保证担保责任的解除</w:t>
      </w:r>
      <w:r>
        <w:rPr>
          <w:rFonts w:ascii="宋体" w:hAnsi="宋体" w:eastAsia="宋体" w:cs="Times New Roman"/>
          <w:b/>
          <w:bCs/>
          <w:color w:val="auto"/>
          <w:sz w:val="24"/>
          <w:szCs w:val="24"/>
          <w:highlight w:val="none"/>
        </w:rPr>
        <w:t xml:space="preserve"> </w:t>
      </w:r>
    </w:p>
    <w:p w14:paraId="27D88F26">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 xml:space="preserve">保证期间届满贵方未向我方书面主张保证责任的，自保证期间届满次日起，我方解除保证责任。 </w:t>
      </w:r>
    </w:p>
    <w:p w14:paraId="1BCB2F3D">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我方按照本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向贵方履行了</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后，自我方向贵方支付</w:t>
      </w:r>
      <w:r>
        <w:rPr>
          <w:rFonts w:hint="eastAsia" w:ascii="宋体" w:hAnsi="宋体" w:eastAsia="宋体" w:cs="Times New Roman"/>
          <w:color w:val="auto"/>
          <w:sz w:val="24"/>
          <w:szCs w:val="24"/>
          <w:highlight w:val="none"/>
        </w:rPr>
        <w:t>的金额达到最高保证担保金额</w:t>
      </w:r>
      <w:r>
        <w:rPr>
          <w:rFonts w:ascii="宋体" w:hAnsi="宋体" w:eastAsia="宋体" w:cs="Times New Roman"/>
          <w:color w:val="auto"/>
          <w:sz w:val="24"/>
          <w:szCs w:val="24"/>
          <w:highlight w:val="none"/>
        </w:rPr>
        <w:t>之日起，</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 xml:space="preserve">解除。 </w:t>
      </w:r>
    </w:p>
    <w:p w14:paraId="547006DC">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按照法律法规的规定应解除我方保证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责任的其它情形的，我方在本保证担保项下的保证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责任亦解除。 </w:t>
      </w:r>
    </w:p>
    <w:p w14:paraId="33198134">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4.我方解除保证责任后，贵方应按上述约定，自我方保证担保责任解除之日起七</w:t>
      </w:r>
      <w:r>
        <w:rPr>
          <w:rFonts w:ascii="宋体" w:hAnsi="宋体" w:eastAsia="宋体" w:cs="Times New Roman"/>
          <w:color w:val="auto"/>
          <w:sz w:val="24"/>
          <w:szCs w:val="24"/>
          <w:highlight w:val="none"/>
        </w:rPr>
        <w:t>日内，将本保证担保原件返还我方。但是不论贵方是否按此要求将本保证担保</w:t>
      </w:r>
      <w:r>
        <w:rPr>
          <w:rFonts w:hint="eastAsia" w:ascii="宋体" w:hAnsi="宋体" w:eastAsia="宋体" w:cs="Times New Roman"/>
          <w:color w:val="auto"/>
          <w:sz w:val="24"/>
          <w:szCs w:val="24"/>
          <w:highlight w:val="none"/>
        </w:rPr>
        <w:t>原件</w:t>
      </w:r>
      <w:r>
        <w:rPr>
          <w:rFonts w:ascii="宋体" w:hAnsi="宋体" w:eastAsia="宋体" w:cs="Times New Roman"/>
          <w:color w:val="auto"/>
          <w:sz w:val="24"/>
          <w:szCs w:val="24"/>
          <w:highlight w:val="none"/>
        </w:rPr>
        <w:t>退回我方，我方在本保证担保项下的义务和责任均</w:t>
      </w:r>
      <w:r>
        <w:rPr>
          <w:rFonts w:hint="eastAsia" w:ascii="宋体" w:hAnsi="宋体" w:eastAsia="宋体" w:cs="Times New Roman"/>
          <w:color w:val="auto"/>
          <w:sz w:val="24"/>
          <w:szCs w:val="24"/>
          <w:highlight w:val="none"/>
        </w:rPr>
        <w:t>自保证担保责任解除之日</w:t>
      </w:r>
      <w:r>
        <w:rPr>
          <w:rFonts w:ascii="宋体" w:hAnsi="宋体" w:eastAsia="宋体" w:cs="Times New Roman"/>
          <w:color w:val="auto"/>
          <w:sz w:val="24"/>
          <w:szCs w:val="24"/>
          <w:highlight w:val="none"/>
        </w:rPr>
        <w:t>自动消灭。</w:t>
      </w:r>
    </w:p>
    <w:p w14:paraId="4B493785">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六、免责条款</w:t>
      </w:r>
      <w:r>
        <w:rPr>
          <w:rFonts w:ascii="宋体" w:hAnsi="宋体" w:eastAsia="宋体" w:cs="Times New Roman"/>
          <w:b/>
          <w:bCs/>
          <w:color w:val="auto"/>
          <w:sz w:val="24"/>
          <w:szCs w:val="24"/>
          <w:highlight w:val="none"/>
        </w:rPr>
        <w:t xml:space="preserve"> </w:t>
      </w:r>
    </w:p>
    <w:p w14:paraId="1DE4EA3D">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因贵方</w:t>
      </w:r>
      <w:r>
        <w:rPr>
          <w:rFonts w:hint="eastAsia" w:ascii="宋体" w:hAnsi="宋体" w:eastAsia="宋体" w:cs="Times New Roman"/>
          <w:color w:val="auto"/>
          <w:sz w:val="24"/>
          <w:szCs w:val="24"/>
          <w:highlight w:val="none"/>
        </w:rPr>
        <w:t>原因</w:t>
      </w:r>
      <w:r>
        <w:rPr>
          <w:rFonts w:ascii="宋体" w:hAnsi="宋体" w:eastAsia="宋体" w:cs="Times New Roman"/>
          <w:color w:val="auto"/>
          <w:sz w:val="24"/>
          <w:szCs w:val="24"/>
          <w:highlight w:val="none"/>
        </w:rPr>
        <w:t>致使</w:t>
      </w:r>
      <w:r>
        <w:rPr>
          <w:rFonts w:hint="eastAsia" w:ascii="宋体" w:hAnsi="宋体" w:eastAsia="宋体" w:cs="Times New Roman"/>
          <w:color w:val="auto"/>
          <w:sz w:val="24"/>
          <w:szCs w:val="24"/>
          <w:highlight w:val="none"/>
        </w:rPr>
        <w:t>发生应承担保证责任情形的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6EFB81D5">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依照法律规定或贵方与</w:t>
      </w:r>
      <w:r>
        <w:rPr>
          <w:rFonts w:hint="eastAsia" w:ascii="宋体" w:hAnsi="宋体" w:eastAsia="宋体" w:cs="Times New Roman"/>
          <w:color w:val="auto"/>
          <w:sz w:val="24"/>
          <w:szCs w:val="24"/>
          <w:highlight w:val="none"/>
        </w:rPr>
        <w:t>承包</w:t>
      </w:r>
      <w:r>
        <w:rPr>
          <w:rFonts w:ascii="宋体" w:hAnsi="宋体" w:eastAsia="宋体" w:cs="Times New Roman"/>
          <w:color w:val="auto"/>
          <w:sz w:val="24"/>
          <w:szCs w:val="24"/>
          <w:highlight w:val="none"/>
        </w:rPr>
        <w:t>人的另行约定，免除</w:t>
      </w:r>
      <w:r>
        <w:rPr>
          <w:rFonts w:hint="eastAsia" w:ascii="宋体" w:hAnsi="宋体" w:eastAsia="宋体" w:cs="Times New Roman"/>
          <w:color w:val="auto"/>
          <w:sz w:val="24"/>
          <w:szCs w:val="24"/>
          <w:highlight w:val="none"/>
        </w:rPr>
        <w:t>承包</w:t>
      </w:r>
      <w:r>
        <w:rPr>
          <w:rFonts w:ascii="宋体" w:hAnsi="宋体" w:eastAsia="宋体" w:cs="Times New Roman"/>
          <w:color w:val="auto"/>
          <w:sz w:val="24"/>
          <w:szCs w:val="24"/>
          <w:highlight w:val="none"/>
        </w:rPr>
        <w:t>人部分或全部义务的，我方亦免除其相应的保证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15D2DA74">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因不可抗力造成</w:t>
      </w:r>
      <w:r>
        <w:rPr>
          <w:rFonts w:hint="eastAsia" w:ascii="宋体" w:hAnsi="宋体" w:eastAsia="宋体" w:cs="Times New Roman"/>
          <w:color w:val="auto"/>
          <w:sz w:val="24"/>
          <w:szCs w:val="24"/>
          <w:highlight w:val="none"/>
        </w:rPr>
        <w:t>发生应承担保证责任情形的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w:t>
      </w:r>
    </w:p>
    <w:p w14:paraId="45C9C48D">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七、其他</w:t>
      </w:r>
    </w:p>
    <w:p w14:paraId="0015E9D9">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本保证担保项下的权利不得转让，不得设定担保。贵方未经我方书面同意转让本保证担保或其项下任何权利，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0D0ABD26">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7D5C195F">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自我方法定代表</w:t>
      </w:r>
      <w:r>
        <w:rPr>
          <w:rFonts w:hint="eastAsia" w:ascii="宋体" w:hAnsi="宋体" w:eastAsia="宋体" w:cs="Times New Roman"/>
          <w:color w:val="auto"/>
          <w:sz w:val="24"/>
          <w:szCs w:val="24"/>
          <w:highlight w:val="none"/>
        </w:rPr>
        <w:t>人或授权代表</w:t>
      </w:r>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13ADE167">
      <w:pPr>
        <w:spacing w:line="360" w:lineRule="auto"/>
        <w:ind w:firstLine="480"/>
        <w:rPr>
          <w:rFonts w:ascii="宋体" w:hAnsi="宋体" w:eastAsia="宋体" w:cs="Times New Roman"/>
          <w:color w:val="auto"/>
          <w:sz w:val="24"/>
          <w:szCs w:val="24"/>
          <w:highlight w:val="none"/>
        </w:rPr>
      </w:pPr>
    </w:p>
    <w:p w14:paraId="075AC7AD">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 证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（公</w:t>
      </w:r>
      <w:r>
        <w:rPr>
          <w:rFonts w:ascii="宋体" w:hAnsi="宋体" w:eastAsia="宋体" w:cs="Times New Roman"/>
          <w:color w:val="auto"/>
          <w:sz w:val="24"/>
          <w:szCs w:val="24"/>
          <w:highlight w:val="none"/>
        </w:rPr>
        <w:t xml:space="preserve">章） </w:t>
      </w:r>
    </w:p>
    <w:p w14:paraId="3DB875CD">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6A70BEF3">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52D13C9B">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5C5E6B76">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1F1B3481">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5ADCC97D">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时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间：</w:t>
      </w:r>
      <w:r>
        <w:rPr>
          <w:rFonts w:ascii="宋体" w:hAnsi="宋体" w:eastAsia="宋体" w:cs="Times New Roman"/>
          <w:color w:val="auto"/>
          <w:sz w:val="24"/>
          <w:szCs w:val="24"/>
          <w:highlight w:val="none"/>
        </w:rPr>
        <w:t xml:space="preserve">      年      月        日</w:t>
      </w:r>
    </w:p>
    <w:p w14:paraId="1F6D3948">
      <w:pPr>
        <w:rPr>
          <w:rFonts w:ascii="Times New Roman" w:hAnsi="Times New Roman" w:eastAsia="宋体" w:cs="Times New Roman"/>
          <w:color w:val="auto"/>
          <w:szCs w:val="21"/>
          <w:highlight w:val="none"/>
        </w:rPr>
      </w:pPr>
    </w:p>
    <w:p w14:paraId="3F41CDF9">
      <w:pPr>
        <w:spacing w:line="360" w:lineRule="auto"/>
        <w:jc w:val="center"/>
        <w:rPr>
          <w:rFonts w:hint="eastAsia" w:ascii="宋体" w:hAnsi="宋体" w:eastAsia="宋体" w:cs="Times New Roman"/>
          <w:b/>
          <w:bCs/>
          <w:color w:val="auto"/>
          <w:sz w:val="32"/>
          <w:szCs w:val="32"/>
          <w:highlight w:val="none"/>
        </w:rPr>
      </w:pPr>
    </w:p>
    <w:p w14:paraId="6E0EED79">
      <w:pPr>
        <w:spacing w:line="360" w:lineRule="auto"/>
        <w:jc w:val="center"/>
        <w:rPr>
          <w:rFonts w:hint="eastAsia" w:ascii="宋体" w:hAnsi="宋体" w:eastAsia="宋体" w:cs="Times New Roman"/>
          <w:b/>
          <w:bCs/>
          <w:color w:val="auto"/>
          <w:sz w:val="32"/>
          <w:szCs w:val="32"/>
          <w:highlight w:val="none"/>
        </w:rPr>
      </w:pPr>
    </w:p>
    <w:p w14:paraId="7E267382">
      <w:pPr>
        <w:spacing w:line="360" w:lineRule="auto"/>
        <w:jc w:val="center"/>
        <w:rPr>
          <w:rFonts w:hint="eastAsia" w:ascii="宋体" w:hAnsi="宋体" w:eastAsia="宋体" w:cs="Times New Roman"/>
          <w:b/>
          <w:bCs/>
          <w:color w:val="auto"/>
          <w:sz w:val="32"/>
          <w:szCs w:val="32"/>
          <w:highlight w:val="none"/>
        </w:rPr>
      </w:pPr>
    </w:p>
    <w:p w14:paraId="2ED49611">
      <w:pPr>
        <w:spacing w:line="360" w:lineRule="auto"/>
        <w:jc w:val="center"/>
        <w:rPr>
          <w:rFonts w:hint="eastAsia" w:ascii="宋体" w:hAnsi="宋体" w:eastAsia="宋体" w:cs="Times New Roman"/>
          <w:b/>
          <w:bCs/>
          <w:color w:val="auto"/>
          <w:sz w:val="32"/>
          <w:szCs w:val="32"/>
          <w:highlight w:val="none"/>
        </w:rPr>
      </w:pPr>
    </w:p>
    <w:p w14:paraId="5908F012">
      <w:pPr>
        <w:spacing w:line="360" w:lineRule="auto"/>
        <w:jc w:val="center"/>
        <w:rPr>
          <w:rFonts w:hint="eastAsia" w:ascii="宋体" w:hAnsi="宋体" w:eastAsia="宋体" w:cs="Times New Roman"/>
          <w:b/>
          <w:bCs/>
          <w:color w:val="auto"/>
          <w:sz w:val="32"/>
          <w:szCs w:val="32"/>
          <w:highlight w:val="none"/>
        </w:rPr>
      </w:pPr>
    </w:p>
    <w:p w14:paraId="37C4E148">
      <w:pPr>
        <w:spacing w:line="360" w:lineRule="auto"/>
        <w:jc w:val="center"/>
        <w:rPr>
          <w:rFonts w:hint="eastAsia" w:ascii="宋体" w:hAnsi="宋体" w:eastAsia="宋体" w:cs="Times New Roman"/>
          <w:b/>
          <w:bCs/>
          <w:color w:val="auto"/>
          <w:sz w:val="32"/>
          <w:szCs w:val="32"/>
          <w:highlight w:val="none"/>
        </w:rPr>
      </w:pPr>
    </w:p>
    <w:p w14:paraId="0181D748">
      <w:pPr>
        <w:spacing w:line="360" w:lineRule="auto"/>
        <w:jc w:val="center"/>
        <w:rPr>
          <w:rFonts w:hint="eastAsia" w:ascii="宋体" w:hAnsi="宋体" w:eastAsia="宋体" w:cs="Times New Roman"/>
          <w:b/>
          <w:bCs/>
          <w:color w:val="auto"/>
          <w:sz w:val="32"/>
          <w:szCs w:val="32"/>
          <w:highlight w:val="none"/>
        </w:rPr>
      </w:pPr>
    </w:p>
    <w:p w14:paraId="15D3A3F3">
      <w:pPr>
        <w:spacing w:line="360" w:lineRule="auto"/>
        <w:jc w:val="center"/>
        <w:rPr>
          <w:rFonts w:hint="eastAsia" w:ascii="宋体" w:hAnsi="宋体" w:eastAsia="宋体" w:cs="Times New Roman"/>
          <w:b/>
          <w:bCs/>
          <w:color w:val="auto"/>
          <w:sz w:val="32"/>
          <w:szCs w:val="32"/>
          <w:highlight w:val="none"/>
        </w:rPr>
      </w:pPr>
    </w:p>
    <w:p w14:paraId="3CEC6E7E">
      <w:pPr>
        <w:spacing w:line="360" w:lineRule="auto"/>
        <w:jc w:val="center"/>
        <w:rPr>
          <w:rFonts w:hint="eastAsia" w:ascii="宋体" w:hAnsi="宋体" w:eastAsia="宋体" w:cs="Times New Roman"/>
          <w:b/>
          <w:bCs/>
          <w:color w:val="auto"/>
          <w:sz w:val="32"/>
          <w:szCs w:val="32"/>
          <w:highlight w:val="none"/>
        </w:rPr>
      </w:pPr>
    </w:p>
    <w:p w14:paraId="7E597455">
      <w:pPr>
        <w:spacing w:line="360" w:lineRule="auto"/>
        <w:jc w:val="center"/>
        <w:rPr>
          <w:rFonts w:hint="eastAsia" w:ascii="宋体" w:hAnsi="宋体" w:eastAsia="宋体" w:cs="Times New Roman"/>
          <w:b/>
          <w:bCs/>
          <w:color w:val="auto"/>
          <w:sz w:val="32"/>
          <w:szCs w:val="32"/>
          <w:highlight w:val="none"/>
        </w:rPr>
      </w:pPr>
    </w:p>
    <w:p w14:paraId="3C2E726F">
      <w:pPr>
        <w:spacing w:line="360" w:lineRule="auto"/>
        <w:jc w:val="center"/>
        <w:rPr>
          <w:rFonts w:hint="eastAsia" w:ascii="宋体" w:hAnsi="宋体" w:eastAsia="宋体" w:cs="Times New Roman"/>
          <w:b/>
          <w:bCs/>
          <w:color w:val="auto"/>
          <w:sz w:val="32"/>
          <w:szCs w:val="32"/>
          <w:highlight w:val="none"/>
        </w:rPr>
      </w:pPr>
    </w:p>
    <w:p w14:paraId="714ACDBE">
      <w:pPr>
        <w:spacing w:line="360" w:lineRule="auto"/>
        <w:jc w:val="center"/>
        <w:rPr>
          <w:rFonts w:hint="eastAsia" w:ascii="宋体" w:hAnsi="宋体" w:eastAsia="宋体" w:cs="Times New Roman"/>
          <w:b/>
          <w:bCs/>
          <w:color w:val="auto"/>
          <w:sz w:val="32"/>
          <w:szCs w:val="32"/>
          <w:highlight w:val="none"/>
        </w:rPr>
      </w:pPr>
    </w:p>
    <w:p w14:paraId="4B62076D">
      <w:pPr>
        <w:spacing w:line="360" w:lineRule="auto"/>
        <w:jc w:val="center"/>
        <w:rPr>
          <w:rFonts w:hint="eastAsia" w:ascii="宋体" w:hAnsi="宋体" w:eastAsia="宋体" w:cs="Times New Roman"/>
          <w:b/>
          <w:bCs/>
          <w:color w:val="auto"/>
          <w:sz w:val="32"/>
          <w:szCs w:val="32"/>
          <w:highlight w:val="none"/>
        </w:rPr>
      </w:pPr>
    </w:p>
    <w:p w14:paraId="0DFD78B8">
      <w:pPr>
        <w:spacing w:line="360" w:lineRule="auto"/>
        <w:jc w:val="center"/>
        <w:rPr>
          <w:rFonts w:hint="eastAsia" w:ascii="宋体" w:hAnsi="宋体" w:eastAsia="宋体" w:cs="Times New Roman"/>
          <w:b/>
          <w:bCs/>
          <w:color w:val="auto"/>
          <w:sz w:val="32"/>
          <w:szCs w:val="32"/>
          <w:highlight w:val="none"/>
        </w:rPr>
      </w:pPr>
    </w:p>
    <w:p w14:paraId="704368E8">
      <w:pPr>
        <w:spacing w:line="360" w:lineRule="auto"/>
        <w:jc w:val="center"/>
        <w:rPr>
          <w:rFonts w:hint="eastAsia" w:ascii="宋体" w:hAnsi="宋体" w:eastAsia="宋体" w:cs="Times New Roman"/>
          <w:b/>
          <w:bCs/>
          <w:color w:val="auto"/>
          <w:sz w:val="32"/>
          <w:szCs w:val="32"/>
          <w:highlight w:val="none"/>
        </w:rPr>
      </w:pPr>
    </w:p>
    <w:p w14:paraId="3F7006BC">
      <w:pPr>
        <w:spacing w:before="120" w:after="12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附件9：支付保函示范文本</w:t>
      </w:r>
    </w:p>
    <w:p w14:paraId="3C7E4209">
      <w:pPr>
        <w:spacing w:line="360" w:lineRule="auto"/>
        <w:jc w:val="left"/>
        <w:rPr>
          <w:rFonts w:ascii="黑体" w:hAnsi="黑体" w:eastAsia="黑体" w:cs="黑体"/>
          <w:b/>
          <w:bCs/>
          <w:color w:val="auto"/>
          <w:sz w:val="32"/>
          <w:szCs w:val="32"/>
          <w:highlight w:val="none"/>
        </w:rPr>
      </w:pPr>
    </w:p>
    <w:p w14:paraId="10BCA4CA">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支付保函示范文本</w:t>
      </w:r>
    </w:p>
    <w:p w14:paraId="50F1D145">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（独立保函）</w:t>
      </w:r>
    </w:p>
    <w:p w14:paraId="6080AAA3">
      <w:pPr>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63AD6394">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申请人：</w:t>
      </w:r>
    </w:p>
    <w:p w14:paraId="692988CD">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r>
        <w:rPr>
          <w:rFonts w:ascii="宋体" w:hAnsi="宋体" w:eastAsia="宋体" w:cs="Times New Roman"/>
          <w:color w:val="auto"/>
          <w:sz w:val="24"/>
          <w:szCs w:val="24"/>
          <w:highlight w:val="none"/>
        </w:rPr>
        <w:t>：</w:t>
      </w:r>
    </w:p>
    <w:p w14:paraId="230FC634">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w:t>
      </w:r>
    </w:p>
    <w:p w14:paraId="786A24E2">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p>
    <w:p w14:paraId="3E870ADF">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开立人：</w:t>
      </w:r>
    </w:p>
    <w:p w14:paraId="79F5C772">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地址：</w:t>
      </w:r>
    </w:p>
    <w:p w14:paraId="6B4C08A2">
      <w:pP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 </w:t>
      </w:r>
    </w:p>
    <w:p w14:paraId="731427F1">
      <w:pPr>
        <w:spacing w:line="360" w:lineRule="auto"/>
        <w:rPr>
          <w:rFonts w:ascii="宋体" w:hAnsi="宋体" w:eastAsia="宋体" w:cs="Times New Roman"/>
          <w:color w:val="auto"/>
          <w:sz w:val="24"/>
          <w:szCs w:val="24"/>
          <w:highlight w:val="none"/>
        </w:rPr>
      </w:pPr>
      <w:bookmarkStart w:id="1307" w:name="_Hlk40355074"/>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受益人</w:t>
      </w:r>
      <w:r>
        <w:rPr>
          <w:rFonts w:ascii="宋体" w:hAnsi="宋体" w:eastAsia="宋体" w:cs="Times New Roman"/>
          <w:color w:val="auto"/>
          <w:sz w:val="24"/>
          <w:szCs w:val="24"/>
          <w:highlight w:val="none"/>
        </w:rPr>
        <w:t xml:space="preserve">名称）： </w:t>
      </w:r>
      <w:bookmarkEnd w:id="1307"/>
    </w:p>
    <w:p w14:paraId="4F99B922">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受益人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申请人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（以下简称基础合同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开立人</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）根据基础合同了解到申请人为基础合同项下之发包人，受益人为基础合同项下之承包人，基于申请人</w:t>
      </w:r>
      <w:r>
        <w:rPr>
          <w:rFonts w:ascii="宋体" w:hAnsi="宋体" w:eastAsia="宋体" w:cs="Times New Roman"/>
          <w:color w:val="auto"/>
          <w:sz w:val="24"/>
          <w:szCs w:val="24"/>
          <w:highlight w:val="none"/>
        </w:rPr>
        <w:t>的请求，我方同意就</w:t>
      </w:r>
      <w:r>
        <w:rPr>
          <w:rFonts w:hint="eastAsia" w:ascii="宋体" w:hAnsi="宋体" w:eastAsia="宋体" w:cs="Times New Roman"/>
          <w:color w:val="auto"/>
          <w:sz w:val="24"/>
          <w:szCs w:val="24"/>
          <w:highlight w:val="none"/>
        </w:rPr>
        <w:t>申请人</w:t>
      </w:r>
      <w:r>
        <w:rPr>
          <w:rFonts w:ascii="宋体" w:hAnsi="宋体" w:eastAsia="宋体" w:cs="Times New Roman"/>
          <w:color w:val="auto"/>
          <w:sz w:val="24"/>
          <w:szCs w:val="24"/>
          <w:highlight w:val="none"/>
        </w:rPr>
        <w:t>履行</w:t>
      </w:r>
      <w:r>
        <w:rPr>
          <w:rFonts w:hint="eastAsia" w:ascii="宋体" w:hAnsi="宋体" w:eastAsia="宋体" w:cs="Times New Roman"/>
          <w:color w:val="auto"/>
          <w:sz w:val="24"/>
          <w:szCs w:val="24"/>
          <w:highlight w:val="none"/>
        </w:rPr>
        <w:t>与贵方签订的基础合同</w:t>
      </w:r>
      <w:r>
        <w:rPr>
          <w:rFonts w:ascii="宋体" w:hAnsi="宋体" w:eastAsia="宋体" w:cs="Times New Roman"/>
          <w:color w:val="auto"/>
          <w:sz w:val="24"/>
          <w:szCs w:val="24"/>
          <w:highlight w:val="none"/>
        </w:rPr>
        <w:t>项下的</w:t>
      </w:r>
      <w:r>
        <w:rPr>
          <w:rFonts w:hint="eastAsia" w:ascii="宋体" w:hAnsi="宋体" w:eastAsia="宋体" w:cs="Times New Roman"/>
          <w:color w:val="auto"/>
          <w:sz w:val="24"/>
          <w:szCs w:val="24"/>
          <w:highlight w:val="none"/>
        </w:rPr>
        <w:t>工程款（指基础合同约定的除工程质量保修金以外的工程款）付款</w:t>
      </w:r>
      <w:r>
        <w:rPr>
          <w:rFonts w:ascii="宋体" w:hAnsi="宋体" w:eastAsia="宋体" w:cs="Times New Roman"/>
          <w:color w:val="auto"/>
          <w:sz w:val="24"/>
          <w:szCs w:val="24"/>
          <w:highlight w:val="none"/>
        </w:rPr>
        <w:t>义务</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向贵方提供不可撤销、</w:t>
      </w:r>
      <w:r>
        <w:rPr>
          <w:rFonts w:hint="eastAsia" w:ascii="宋体" w:hAnsi="宋体" w:eastAsia="宋体" w:cs="Times New Roman"/>
          <w:color w:val="auto"/>
          <w:sz w:val="24"/>
          <w:szCs w:val="24"/>
          <w:highlight w:val="none"/>
        </w:rPr>
        <w:t>不可转让的见索即付</w:t>
      </w:r>
      <w:r>
        <w:rPr>
          <w:rFonts w:ascii="宋体" w:hAnsi="宋体" w:eastAsia="宋体" w:cs="Times New Roman"/>
          <w:color w:val="auto"/>
          <w:sz w:val="24"/>
          <w:szCs w:val="24"/>
          <w:highlight w:val="none"/>
        </w:rPr>
        <w:t>独立</w:t>
      </w:r>
      <w:r>
        <w:rPr>
          <w:rFonts w:hint="eastAsia" w:ascii="宋体" w:hAnsi="宋体" w:eastAsia="宋体" w:cs="Times New Roman"/>
          <w:color w:val="auto"/>
          <w:sz w:val="24"/>
          <w:szCs w:val="24"/>
          <w:highlight w:val="none"/>
        </w:rPr>
        <w:t>保函（以下简称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1B93F845">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一、本保函担保范围：申请人未履行基础合同约定的工程款支付义务，应当向贵方承担的违约责任和赔偿因此造成的损失、利息、律师费、诉讼费用等实现债权的费用。</w:t>
      </w:r>
    </w:p>
    <w:p w14:paraId="263A4DE5">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二、本保函担保金额最高不超过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43B2C09D">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三、本保函</w:t>
      </w:r>
      <w:r>
        <w:rPr>
          <w:rFonts w:ascii="宋体" w:hAnsi="宋体" w:eastAsia="宋体" w:cs="Times New Roman"/>
          <w:color w:val="auto"/>
          <w:sz w:val="24"/>
          <w:szCs w:val="24"/>
          <w:highlight w:val="none"/>
        </w:rPr>
        <w:t>有效期自</w:t>
      </w:r>
      <w:r>
        <w:rPr>
          <w:rFonts w:hint="eastAsia" w:ascii="宋体" w:hAnsi="宋体" w:eastAsia="宋体" w:cs="Times New Roman"/>
          <w:color w:val="auto"/>
          <w:sz w:val="24"/>
          <w:szCs w:val="24"/>
          <w:highlight w:val="none"/>
        </w:rPr>
        <w:t>开立之日起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基础合同约定的除工程质量保修金以外的全部工程结算款项支付之日后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r>
        <w:rPr>
          <w:rFonts w:hint="eastAsia" w:ascii="宋体" w:hAnsi="宋体" w:eastAsia="宋体" w:cs="Times New Roman"/>
          <w:color w:val="auto"/>
          <w:sz w:val="24"/>
          <w:szCs w:val="24"/>
          <w:highlight w:val="none"/>
        </w:rPr>
        <w:t>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r>
        <w:rPr>
          <w:rFonts w:ascii="宋体" w:hAnsi="宋体" w:eastAsia="宋体" w:cs="Times New Roman"/>
          <w:color w:val="auto"/>
          <w:sz w:val="24"/>
          <w:szCs w:val="24"/>
          <w:highlight w:val="none"/>
        </w:rPr>
        <w:t xml:space="preserve">。 </w:t>
      </w:r>
    </w:p>
    <w:p w14:paraId="0F0A6313">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四、我方承诺，在收到受益人发来的书面付款通知后的</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日内无条件支付，前述书面付款通知即为付款要求之单据，且应满足以下要求：</w:t>
      </w:r>
    </w:p>
    <w:p w14:paraId="484FADEE">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（1）付款通知到达的日期在本保函的有效期内；</w:t>
      </w:r>
    </w:p>
    <w:p w14:paraId="6B530DC0">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（2）载明要求支付的金额；</w:t>
      </w:r>
    </w:p>
    <w:p w14:paraId="01DECF1C">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（3）载明申请人违反合同义务的条款和内容；</w:t>
      </w:r>
    </w:p>
    <w:p w14:paraId="5F681B51">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（4）声明不存在合同文件约定或我国法律规定免除申请人或开立人支付责任的情形；</w:t>
      </w:r>
    </w:p>
    <w:p w14:paraId="4EF5BB65">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（5）付款通知应在本保函有效期内到达的地址是：</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7CEDE520">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受益人发出的书面付款通知应由其为鉴明受益人法定代表人（负责人）或授权代理人签字并加盖公章。</w:t>
      </w:r>
    </w:p>
    <w:p w14:paraId="2DDAF177">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w:t>
      </w:r>
      <w:r>
        <w:rPr>
          <w:rFonts w:ascii="宋体" w:hAnsi="宋体" w:eastAsia="宋体" w:cs="Times New Roman"/>
          <w:color w:val="auto"/>
          <w:sz w:val="24"/>
          <w:szCs w:val="24"/>
          <w:highlight w:val="none"/>
        </w:rPr>
        <w:t>本保函项下的权利不得转让，不得设定担保。贵方未经我方书面同意转 让本保函或其项下任何权利，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21F86700">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六、与</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有关</w:t>
      </w:r>
      <w:r>
        <w:rPr>
          <w:rFonts w:ascii="宋体" w:hAnsi="宋体" w:eastAsia="宋体" w:cs="Times New Roman"/>
          <w:color w:val="auto"/>
          <w:sz w:val="24"/>
          <w:szCs w:val="24"/>
          <w:highlight w:val="none"/>
        </w:rPr>
        <w:t>的基础</w:t>
      </w:r>
      <w:r>
        <w:rPr>
          <w:rFonts w:hint="eastAsia" w:ascii="宋体" w:hAnsi="宋体" w:eastAsia="宋体" w:cs="Times New Roman"/>
          <w:color w:val="auto"/>
          <w:sz w:val="24"/>
          <w:szCs w:val="24"/>
          <w:highlight w:val="none"/>
        </w:rPr>
        <w:t>合同</w:t>
      </w:r>
      <w:r>
        <w:rPr>
          <w:rFonts w:ascii="宋体" w:hAnsi="宋体" w:eastAsia="宋体" w:cs="Times New Roman"/>
          <w:color w:val="auto"/>
          <w:sz w:val="24"/>
          <w:szCs w:val="24"/>
          <w:highlight w:val="none"/>
        </w:rPr>
        <w:t xml:space="preserve">不成立、不生效、无效、被撤销、被解除，不影响本保函的独立有效。 </w:t>
      </w:r>
    </w:p>
    <w:p w14:paraId="34710CB8">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w:t>
      </w:r>
      <w:r>
        <w:rPr>
          <w:rFonts w:ascii="宋体" w:hAnsi="宋体" w:eastAsia="宋体" w:cs="Times New Roman"/>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eastAsia="宋体" w:cs="Times New Roman"/>
          <w:color w:val="auto"/>
          <w:sz w:val="24"/>
          <w:szCs w:val="24"/>
          <w:highlight w:val="none"/>
        </w:rPr>
        <w:t>有效期</w:t>
      </w:r>
      <w:r>
        <w:rPr>
          <w:rFonts w:ascii="宋体" w:hAnsi="宋体" w:eastAsia="宋体" w:cs="Times New Roman"/>
          <w:color w:val="auto"/>
          <w:sz w:val="24"/>
          <w:szCs w:val="24"/>
          <w:highlight w:val="none"/>
        </w:rPr>
        <w:t xml:space="preserve">到期后自动消灭。 </w:t>
      </w:r>
    </w:p>
    <w:p w14:paraId="025F43E9">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八、</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34AE80D2">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九、</w:t>
      </w:r>
      <w:r>
        <w:rPr>
          <w:rFonts w:ascii="宋体" w:hAnsi="宋体" w:eastAsia="宋体" w:cs="Times New Roman"/>
          <w:color w:val="auto"/>
          <w:sz w:val="24"/>
          <w:szCs w:val="24"/>
          <w:highlight w:val="none"/>
        </w:rPr>
        <w:t>本保函自我方法定代表人</w:t>
      </w:r>
      <w:bookmarkStart w:id="1308" w:name="_Hlk58487855"/>
      <w:r>
        <w:rPr>
          <w:rFonts w:hint="eastAsia" w:ascii="宋体" w:hAnsi="宋体" w:eastAsia="宋体" w:cs="Times New Roman"/>
          <w:color w:val="auto"/>
          <w:sz w:val="24"/>
          <w:szCs w:val="24"/>
          <w:highlight w:val="none"/>
        </w:rPr>
        <w:t>或授权代表</w:t>
      </w:r>
      <w:bookmarkEnd w:id="1308"/>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5EEE6E04">
      <w:pPr>
        <w:spacing w:line="360" w:lineRule="auto"/>
        <w:ind w:firstLine="480"/>
        <w:rPr>
          <w:rFonts w:ascii="宋体" w:hAnsi="宋体" w:eastAsia="宋体" w:cs="Times New Roman"/>
          <w:color w:val="auto"/>
          <w:sz w:val="24"/>
          <w:szCs w:val="24"/>
          <w:highlight w:val="none"/>
        </w:rPr>
      </w:pPr>
    </w:p>
    <w:p w14:paraId="3601ACD2">
      <w:pPr>
        <w:spacing w:line="360" w:lineRule="auto"/>
        <w:ind w:firstLine="480"/>
        <w:rPr>
          <w:rFonts w:ascii="宋体" w:hAnsi="宋体" w:eastAsia="宋体" w:cs="Times New Roman"/>
          <w:color w:val="auto"/>
          <w:sz w:val="24"/>
          <w:szCs w:val="24"/>
          <w:highlight w:val="none"/>
        </w:rPr>
      </w:pPr>
    </w:p>
    <w:p w14:paraId="369CE622">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 立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公</w:t>
      </w:r>
      <w:r>
        <w:rPr>
          <w:rFonts w:ascii="宋体" w:hAnsi="宋体" w:eastAsia="宋体" w:cs="Times New Roman"/>
          <w:color w:val="auto"/>
          <w:sz w:val="24"/>
          <w:szCs w:val="24"/>
          <w:highlight w:val="none"/>
        </w:rPr>
        <w:t xml:space="preserve">章） </w:t>
      </w:r>
    </w:p>
    <w:p w14:paraId="6835A003">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081950BB">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5B3F996F">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0F2DBBA7">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2BA3E327">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1D78E58A">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开立时间：</w:t>
      </w:r>
      <w:r>
        <w:rPr>
          <w:rFonts w:ascii="宋体" w:hAnsi="宋体" w:eastAsia="宋体" w:cs="Times New Roman"/>
          <w:color w:val="auto"/>
          <w:sz w:val="24"/>
          <w:szCs w:val="24"/>
          <w:highlight w:val="none"/>
        </w:rPr>
        <w:t xml:space="preserve">      年      月        日</w:t>
      </w:r>
    </w:p>
    <w:p w14:paraId="13585524">
      <w:pPr>
        <w:spacing w:line="360" w:lineRule="auto"/>
        <w:ind w:firstLine="480"/>
        <w:rPr>
          <w:rFonts w:ascii="宋体" w:hAnsi="宋体" w:eastAsia="宋体" w:cs="Times New Roman"/>
          <w:color w:val="auto"/>
          <w:sz w:val="24"/>
          <w:szCs w:val="24"/>
          <w:highlight w:val="none"/>
        </w:rPr>
      </w:pPr>
    </w:p>
    <w:p w14:paraId="22D184CE">
      <w:pPr>
        <w:spacing w:line="360" w:lineRule="auto"/>
        <w:ind w:firstLine="480"/>
        <w:rPr>
          <w:rFonts w:ascii="宋体" w:hAnsi="宋体" w:eastAsia="宋体" w:cs="Times New Roman"/>
          <w:color w:val="auto"/>
          <w:sz w:val="24"/>
          <w:szCs w:val="24"/>
          <w:highlight w:val="none"/>
        </w:rPr>
      </w:pPr>
    </w:p>
    <w:p w14:paraId="5AAE4431">
      <w:pPr>
        <w:spacing w:line="360" w:lineRule="auto"/>
        <w:ind w:firstLine="480"/>
        <w:rPr>
          <w:rFonts w:ascii="宋体" w:hAnsi="宋体" w:eastAsia="宋体" w:cs="Times New Roman"/>
          <w:color w:val="auto"/>
          <w:sz w:val="24"/>
          <w:szCs w:val="24"/>
          <w:highlight w:val="none"/>
        </w:rPr>
      </w:pPr>
    </w:p>
    <w:p w14:paraId="604BDF3C">
      <w:pPr>
        <w:spacing w:line="360" w:lineRule="auto"/>
        <w:jc w:val="left"/>
        <w:rPr>
          <w:rFonts w:hint="eastAsia" w:ascii="黑体" w:hAnsi="黑体" w:eastAsia="黑体" w:cs="黑体"/>
          <w:b/>
          <w:bCs/>
          <w:color w:val="auto"/>
          <w:sz w:val="32"/>
          <w:szCs w:val="32"/>
          <w:highlight w:val="none"/>
          <w:lang w:eastAsia="zh-CN"/>
        </w:rPr>
      </w:pPr>
      <w:r>
        <w:rPr>
          <w:rFonts w:hint="eastAsia" w:ascii="仿宋_GB2312" w:hAnsi="Times New Roman" w:eastAsia="仿宋_GB2312" w:cs="仿宋_GB2312"/>
          <w:color w:val="auto"/>
          <w:sz w:val="30"/>
          <w:szCs w:val="30"/>
          <w:highlight w:val="none"/>
          <w:lang w:val="en-US" w:eastAsia="zh-CN"/>
        </w:rPr>
        <w:t xml:space="preserve"> </w:t>
      </w:r>
    </w:p>
    <w:p w14:paraId="0FB83D9C">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支付保函示范文本</w:t>
      </w:r>
    </w:p>
    <w:p w14:paraId="6D9AA2A8">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（非独立保函）</w:t>
      </w:r>
    </w:p>
    <w:p w14:paraId="3527AED4">
      <w:pPr>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48163CBC">
      <w:pPr>
        <w:spacing w:line="360" w:lineRule="auto"/>
        <w:jc w:val="right"/>
        <w:rPr>
          <w:rFonts w:ascii="宋体" w:hAnsi="宋体" w:eastAsia="宋体" w:cs="Times New Roman"/>
          <w:color w:val="auto"/>
          <w:szCs w:val="21"/>
          <w:highlight w:val="none"/>
        </w:rPr>
      </w:pPr>
      <w:r>
        <w:rPr>
          <w:rFonts w:ascii="宋体" w:hAnsi="宋体" w:eastAsia="宋体" w:cs="Times New Roman"/>
          <w:color w:val="auto"/>
          <w:szCs w:val="21"/>
          <w:highlight w:val="none"/>
        </w:rPr>
        <w:t xml:space="preserve">     </w:t>
      </w:r>
    </w:p>
    <w:p w14:paraId="6C55EC19">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发包人：</w:t>
      </w:r>
    </w:p>
    <w:p w14:paraId="7368CD6A">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r>
        <w:rPr>
          <w:rFonts w:ascii="宋体" w:hAnsi="宋体" w:eastAsia="宋体" w:cs="Times New Roman"/>
          <w:color w:val="auto"/>
          <w:sz w:val="24"/>
          <w:szCs w:val="24"/>
          <w:highlight w:val="none"/>
        </w:rPr>
        <w:t>：</w:t>
      </w:r>
    </w:p>
    <w:p w14:paraId="70C58146">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担保权人/承包人：</w:t>
      </w:r>
      <w:r>
        <w:rPr>
          <w:rFonts w:ascii="宋体" w:hAnsi="宋体" w:eastAsia="宋体" w:cs="Times New Roman"/>
          <w:color w:val="auto"/>
          <w:sz w:val="24"/>
          <w:szCs w:val="24"/>
          <w:highlight w:val="none"/>
        </w:rPr>
        <w:t xml:space="preserve"> </w:t>
      </w:r>
    </w:p>
    <w:p w14:paraId="502AE748">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3FD632E1">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保证人：</w:t>
      </w:r>
    </w:p>
    <w:p w14:paraId="376A9DF4">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28E80E54">
      <w:pPr>
        <w:spacing w:line="360" w:lineRule="auto"/>
        <w:rPr>
          <w:rFonts w:ascii="宋体" w:hAnsi="宋体" w:eastAsia="宋体" w:cs="Times New Roman"/>
          <w:color w:val="auto"/>
          <w:sz w:val="24"/>
          <w:szCs w:val="24"/>
          <w:highlight w:val="none"/>
        </w:rPr>
      </w:pPr>
    </w:p>
    <w:p w14:paraId="52F4AC29">
      <w:pP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承包人</w:t>
      </w:r>
      <w:r>
        <w:rPr>
          <w:rFonts w:ascii="宋体" w:hAnsi="宋体" w:eastAsia="宋体" w:cs="Times New Roman"/>
          <w:color w:val="auto"/>
          <w:sz w:val="24"/>
          <w:szCs w:val="24"/>
          <w:highlight w:val="none"/>
        </w:rPr>
        <w:t xml:space="preserve">名称）： </w:t>
      </w:r>
    </w:p>
    <w:p w14:paraId="4FEE3212">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发包人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承包人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主合同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），我方即保证人基于发包人</w:t>
      </w:r>
      <w:r>
        <w:rPr>
          <w:rFonts w:ascii="宋体" w:hAnsi="宋体" w:eastAsia="宋体" w:cs="Times New Roman"/>
          <w:color w:val="auto"/>
          <w:sz w:val="24"/>
          <w:szCs w:val="24"/>
          <w:highlight w:val="none"/>
        </w:rPr>
        <w:t>的请求，同意就</w:t>
      </w:r>
      <w:r>
        <w:rPr>
          <w:rFonts w:hint="eastAsia" w:ascii="宋体" w:hAnsi="宋体" w:eastAsia="宋体" w:cs="Times New Roman"/>
          <w:color w:val="auto"/>
          <w:sz w:val="24"/>
          <w:szCs w:val="24"/>
          <w:highlight w:val="none"/>
        </w:rPr>
        <w:t>发包人</w:t>
      </w:r>
      <w:r>
        <w:rPr>
          <w:rFonts w:ascii="宋体" w:hAnsi="宋体" w:eastAsia="宋体" w:cs="Times New Roman"/>
          <w:color w:val="auto"/>
          <w:sz w:val="24"/>
          <w:szCs w:val="24"/>
          <w:highlight w:val="none"/>
        </w:rPr>
        <w:t>履行</w:t>
      </w:r>
      <w:r>
        <w:rPr>
          <w:rFonts w:hint="eastAsia" w:ascii="宋体" w:hAnsi="宋体" w:eastAsia="宋体" w:cs="Times New Roman"/>
          <w:color w:val="auto"/>
          <w:sz w:val="24"/>
          <w:szCs w:val="24"/>
          <w:highlight w:val="none"/>
        </w:rPr>
        <w:t>与贵方签订的主合同</w:t>
      </w:r>
      <w:r>
        <w:rPr>
          <w:rFonts w:ascii="宋体" w:hAnsi="宋体" w:eastAsia="宋体" w:cs="Times New Roman"/>
          <w:color w:val="auto"/>
          <w:sz w:val="24"/>
          <w:szCs w:val="24"/>
          <w:highlight w:val="none"/>
        </w:rPr>
        <w:t>项下的</w:t>
      </w:r>
      <w:r>
        <w:rPr>
          <w:rFonts w:hint="eastAsia" w:ascii="宋体" w:hAnsi="宋体" w:eastAsia="宋体" w:cs="Times New Roman"/>
          <w:color w:val="auto"/>
          <w:sz w:val="24"/>
          <w:szCs w:val="24"/>
          <w:highlight w:val="none"/>
        </w:rPr>
        <w:t>工程款（指主合同约定的除工程质量保修金以外的全部工程结算款项）付款</w:t>
      </w:r>
      <w:r>
        <w:rPr>
          <w:rFonts w:ascii="宋体" w:hAnsi="宋体" w:eastAsia="宋体" w:cs="Times New Roman"/>
          <w:color w:val="auto"/>
          <w:sz w:val="24"/>
          <w:szCs w:val="24"/>
          <w:highlight w:val="none"/>
        </w:rPr>
        <w:t>义务</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向贵方提供</w:t>
      </w:r>
      <w:r>
        <w:rPr>
          <w:rFonts w:hint="eastAsia" w:ascii="宋体" w:hAnsi="宋体" w:eastAsia="宋体" w:cs="Times New Roman"/>
          <w:color w:val="auto"/>
          <w:sz w:val="24"/>
          <w:szCs w:val="24"/>
          <w:highlight w:val="none"/>
        </w:rPr>
        <w:t>如下保证担保（以下简称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本保证担保</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2C05B9BC">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一、保证担保的范围及保证担保金额</w:t>
      </w:r>
    </w:p>
    <w:p w14:paraId="2F45FF59">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保证担保范围：申请人未履行主合同约定的工程款支付义务，应当向贵方承担的违约责任和赔偿因此造成的损失、利息、律师费、诉讼费用等实现债权的费用。</w:t>
      </w:r>
    </w:p>
    <w:p w14:paraId="30F2B0FC">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05879556">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二、保证担保的方式及保证期间</w:t>
      </w:r>
      <w:r>
        <w:rPr>
          <w:rFonts w:ascii="宋体" w:hAnsi="宋体" w:eastAsia="宋体" w:cs="Times New Roman"/>
          <w:b/>
          <w:bCs/>
          <w:color w:val="auto"/>
          <w:sz w:val="24"/>
          <w:szCs w:val="24"/>
          <w:highlight w:val="none"/>
        </w:rPr>
        <w:t xml:space="preserve"> </w:t>
      </w:r>
    </w:p>
    <w:p w14:paraId="395B048C">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1.保证担保方式：连带责任保证。</w:t>
      </w:r>
    </w:p>
    <w:p w14:paraId="18A8AF64">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保证期间：</w:t>
      </w:r>
      <w:r>
        <w:rPr>
          <w:rFonts w:ascii="宋体" w:hAnsi="宋体" w:eastAsia="宋体" w:cs="Times New Roman"/>
          <w:color w:val="auto"/>
          <w:sz w:val="24"/>
          <w:szCs w:val="24"/>
          <w:highlight w:val="none"/>
        </w:rPr>
        <w:t>自</w:t>
      </w:r>
      <w:r>
        <w:rPr>
          <w:rFonts w:hint="eastAsia" w:ascii="宋体" w:hAnsi="宋体" w:eastAsia="宋体" w:cs="Times New Roman"/>
          <w:color w:val="auto"/>
          <w:sz w:val="24"/>
          <w:szCs w:val="24"/>
          <w:highlight w:val="none"/>
        </w:rPr>
        <w:t>出具之日起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主合同约定的除工程质量保修金以外的工程款支付之日后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r>
        <w:rPr>
          <w:rFonts w:hint="eastAsia" w:ascii="宋体" w:hAnsi="宋体" w:eastAsia="宋体" w:cs="Times New Roman"/>
          <w:color w:val="auto"/>
          <w:sz w:val="24"/>
          <w:szCs w:val="24"/>
          <w:highlight w:val="none"/>
        </w:rPr>
        <w:t>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r>
        <w:rPr>
          <w:rFonts w:ascii="宋体" w:hAnsi="宋体" w:eastAsia="宋体" w:cs="Times New Roman"/>
          <w:color w:val="auto"/>
          <w:sz w:val="24"/>
          <w:szCs w:val="24"/>
          <w:highlight w:val="none"/>
        </w:rPr>
        <w:t xml:space="preserve">。 </w:t>
      </w:r>
    </w:p>
    <w:p w14:paraId="6D226A7B">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三、承担保证担保责任的形式</w:t>
      </w:r>
    </w:p>
    <w:p w14:paraId="04564DDA">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发包人未按合同约定向贵方支付主合同项下工程款的，由我方在保证金额内代为支付，并赔偿因此给贵方造成的损失，以及利息和律师费、诉讼费用等实现债权的费用。</w:t>
      </w:r>
    </w:p>
    <w:p w14:paraId="70C69BD2">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四、代偿的安排</w:t>
      </w:r>
      <w:r>
        <w:rPr>
          <w:rFonts w:ascii="宋体" w:hAnsi="宋体" w:eastAsia="宋体" w:cs="Times New Roman"/>
          <w:b/>
          <w:bCs/>
          <w:color w:val="auto"/>
          <w:sz w:val="24"/>
          <w:szCs w:val="24"/>
          <w:highlight w:val="none"/>
        </w:rPr>
        <w:t xml:space="preserve"> </w:t>
      </w:r>
    </w:p>
    <w:p w14:paraId="3C4AE20E">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1.贵方要求我方承担保证责任的，应向我方发出书面索赔通知及发包人未支付主合同约定工程款的证明材料。索赔通知应写明要求索赔的金额，支付款项应到达的</w:t>
      </w:r>
      <w:r>
        <w:rPr>
          <w:rFonts w:hint="eastAsia" w:ascii="宋体" w:hAnsi="宋体" w:eastAsia="宋体" w:cs="Times New Roman"/>
          <w:color w:val="auto"/>
          <w:sz w:val="24"/>
          <w:szCs w:val="24"/>
          <w:highlight w:val="none"/>
          <w:lang w:eastAsia="zh-CN"/>
        </w:rPr>
        <w:t>账</w:t>
      </w:r>
      <w:r>
        <w:rPr>
          <w:rFonts w:hint="eastAsia" w:ascii="宋体" w:hAnsi="宋体" w:eastAsia="宋体" w:cs="Times New Roman"/>
          <w:color w:val="auto"/>
          <w:sz w:val="24"/>
          <w:szCs w:val="24"/>
          <w:highlight w:val="none"/>
        </w:rPr>
        <w:t>号。</w:t>
      </w:r>
    </w:p>
    <w:p w14:paraId="3CD4CDB3">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在出现贵方与发包人因工程质量发生争议，发包人拒绝向贵方支付工程款的情形时，贵方要求我方履行保证责任代为支付的，还需提供项目总监理工程师、监理单位或符合相应条件要求的工程质量检测机构出具的质量说明材料。</w:t>
      </w:r>
    </w:p>
    <w:p w14:paraId="481351BB">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3.我方收到贵方的书面索赔通知及相应证明材料后，在</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工作日内进行核定后按照本保函的承诺承担保证责任。</w:t>
      </w:r>
    </w:p>
    <w:p w14:paraId="12DE5213">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五、保证担保责任的解除</w:t>
      </w:r>
      <w:r>
        <w:rPr>
          <w:rFonts w:ascii="宋体" w:hAnsi="宋体" w:eastAsia="宋体" w:cs="Times New Roman"/>
          <w:b/>
          <w:bCs/>
          <w:color w:val="auto"/>
          <w:sz w:val="24"/>
          <w:szCs w:val="24"/>
          <w:highlight w:val="none"/>
        </w:rPr>
        <w:t xml:space="preserve"> </w:t>
      </w:r>
    </w:p>
    <w:p w14:paraId="4841D8BC">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 xml:space="preserve">保证期间届满贵方未向我方书面主张保证责任的，自保证期间届满次日起，我方解除保证责任。 </w:t>
      </w:r>
    </w:p>
    <w:p w14:paraId="0E20091D">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我方按照本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向贵方履行了</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后，自我方向贵方支付</w:t>
      </w:r>
      <w:r>
        <w:rPr>
          <w:rFonts w:hint="eastAsia" w:ascii="宋体" w:hAnsi="宋体" w:eastAsia="宋体" w:cs="Times New Roman"/>
          <w:color w:val="auto"/>
          <w:sz w:val="24"/>
          <w:szCs w:val="24"/>
          <w:highlight w:val="none"/>
        </w:rPr>
        <w:t>的金额达到最高保证担保金额</w:t>
      </w:r>
      <w:r>
        <w:rPr>
          <w:rFonts w:ascii="宋体" w:hAnsi="宋体" w:eastAsia="宋体" w:cs="Times New Roman"/>
          <w:color w:val="auto"/>
          <w:sz w:val="24"/>
          <w:szCs w:val="24"/>
          <w:highlight w:val="none"/>
        </w:rPr>
        <w:t>之日起，</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 xml:space="preserve">解除。 </w:t>
      </w:r>
    </w:p>
    <w:p w14:paraId="359A917C">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按照法律法规的规定应解除我方保证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责任的其它情形的，我方在本保证担保项下的保证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责任亦解除。 </w:t>
      </w:r>
    </w:p>
    <w:p w14:paraId="235BF360">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4.我方解除保证责任后，贵方应按上述约定，自我方保证担保责任解除之日起七</w:t>
      </w:r>
      <w:r>
        <w:rPr>
          <w:rFonts w:ascii="宋体" w:hAnsi="宋体" w:eastAsia="宋体" w:cs="Times New Roman"/>
          <w:color w:val="auto"/>
          <w:sz w:val="24"/>
          <w:szCs w:val="24"/>
          <w:highlight w:val="none"/>
        </w:rPr>
        <w:t>日内，将本保证担保原件返还我方。但是不论贵方是否按此要求将本保证担保</w:t>
      </w:r>
      <w:r>
        <w:rPr>
          <w:rFonts w:hint="eastAsia" w:ascii="宋体" w:hAnsi="宋体" w:eastAsia="宋体" w:cs="Times New Roman"/>
          <w:color w:val="auto"/>
          <w:sz w:val="24"/>
          <w:szCs w:val="24"/>
          <w:highlight w:val="none"/>
        </w:rPr>
        <w:t>原件</w:t>
      </w:r>
      <w:r>
        <w:rPr>
          <w:rFonts w:ascii="宋体" w:hAnsi="宋体" w:eastAsia="宋体" w:cs="Times New Roman"/>
          <w:color w:val="auto"/>
          <w:sz w:val="24"/>
          <w:szCs w:val="24"/>
          <w:highlight w:val="none"/>
        </w:rPr>
        <w:t>退回我方，我方在本保证担保项下的义务和责任均</w:t>
      </w:r>
      <w:r>
        <w:rPr>
          <w:rFonts w:hint="eastAsia" w:ascii="宋体" w:hAnsi="宋体" w:eastAsia="宋体" w:cs="Times New Roman"/>
          <w:color w:val="auto"/>
          <w:sz w:val="24"/>
          <w:szCs w:val="24"/>
          <w:highlight w:val="none"/>
        </w:rPr>
        <w:t>自保证担保责任解除之日</w:t>
      </w:r>
      <w:r>
        <w:rPr>
          <w:rFonts w:ascii="宋体" w:hAnsi="宋体" w:eastAsia="宋体" w:cs="Times New Roman"/>
          <w:color w:val="auto"/>
          <w:sz w:val="24"/>
          <w:szCs w:val="24"/>
          <w:highlight w:val="none"/>
        </w:rPr>
        <w:t>自动消灭。</w:t>
      </w:r>
    </w:p>
    <w:p w14:paraId="2E62B61D">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六、免责条款</w:t>
      </w:r>
      <w:r>
        <w:rPr>
          <w:rFonts w:ascii="宋体" w:hAnsi="宋体" w:eastAsia="宋体" w:cs="Times New Roman"/>
          <w:b/>
          <w:bCs/>
          <w:color w:val="auto"/>
          <w:sz w:val="24"/>
          <w:szCs w:val="24"/>
          <w:highlight w:val="none"/>
        </w:rPr>
        <w:t xml:space="preserve"> </w:t>
      </w:r>
    </w:p>
    <w:p w14:paraId="7CCAF992">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因贵方</w:t>
      </w:r>
      <w:r>
        <w:rPr>
          <w:rFonts w:hint="eastAsia" w:ascii="宋体" w:hAnsi="宋体" w:eastAsia="宋体" w:cs="Times New Roman"/>
          <w:color w:val="auto"/>
          <w:sz w:val="24"/>
          <w:szCs w:val="24"/>
          <w:highlight w:val="none"/>
        </w:rPr>
        <w:t>原因</w:t>
      </w:r>
      <w:r>
        <w:rPr>
          <w:rFonts w:ascii="宋体" w:hAnsi="宋体" w:eastAsia="宋体" w:cs="Times New Roman"/>
          <w:color w:val="auto"/>
          <w:sz w:val="24"/>
          <w:szCs w:val="24"/>
          <w:highlight w:val="none"/>
        </w:rPr>
        <w:t>致使</w:t>
      </w:r>
      <w:r>
        <w:rPr>
          <w:rFonts w:hint="eastAsia" w:ascii="宋体" w:hAnsi="宋体" w:eastAsia="宋体" w:cs="Times New Roman"/>
          <w:color w:val="auto"/>
          <w:sz w:val="24"/>
          <w:szCs w:val="24"/>
          <w:highlight w:val="none"/>
        </w:rPr>
        <w:t>发包人未履行主合同项下工程款付款义务的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4166AEB2">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依照法律规定或贵方与</w:t>
      </w:r>
      <w:r>
        <w:rPr>
          <w:rFonts w:hint="eastAsia" w:ascii="宋体" w:hAnsi="宋体" w:eastAsia="宋体" w:cs="Times New Roman"/>
          <w:color w:val="auto"/>
          <w:sz w:val="24"/>
          <w:szCs w:val="24"/>
          <w:highlight w:val="none"/>
        </w:rPr>
        <w:t>发包</w:t>
      </w:r>
      <w:r>
        <w:rPr>
          <w:rFonts w:ascii="宋体" w:hAnsi="宋体" w:eastAsia="宋体" w:cs="Times New Roman"/>
          <w:color w:val="auto"/>
          <w:sz w:val="24"/>
          <w:szCs w:val="24"/>
          <w:highlight w:val="none"/>
        </w:rPr>
        <w:t>人的另行约定，免除</w:t>
      </w:r>
      <w:r>
        <w:rPr>
          <w:rFonts w:hint="eastAsia" w:ascii="宋体" w:hAnsi="宋体" w:eastAsia="宋体" w:cs="Times New Roman"/>
          <w:color w:val="auto"/>
          <w:sz w:val="24"/>
          <w:szCs w:val="24"/>
          <w:highlight w:val="none"/>
        </w:rPr>
        <w:t>发包</w:t>
      </w:r>
      <w:r>
        <w:rPr>
          <w:rFonts w:ascii="宋体" w:hAnsi="宋体" w:eastAsia="宋体" w:cs="Times New Roman"/>
          <w:color w:val="auto"/>
          <w:sz w:val="24"/>
          <w:szCs w:val="24"/>
          <w:highlight w:val="none"/>
        </w:rPr>
        <w:t>人部分或全部义务的，我方亦免除其相应的保证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6BEC9678">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因不可抗力造成</w:t>
      </w:r>
      <w:r>
        <w:rPr>
          <w:rFonts w:hint="eastAsia" w:ascii="宋体" w:hAnsi="宋体" w:eastAsia="宋体" w:cs="Times New Roman"/>
          <w:color w:val="auto"/>
          <w:sz w:val="24"/>
          <w:szCs w:val="24"/>
          <w:highlight w:val="none"/>
        </w:rPr>
        <w:t>发包</w:t>
      </w:r>
      <w:r>
        <w:rPr>
          <w:rFonts w:ascii="宋体" w:hAnsi="宋体" w:eastAsia="宋体" w:cs="Times New Roman"/>
          <w:color w:val="auto"/>
          <w:sz w:val="24"/>
          <w:szCs w:val="24"/>
          <w:highlight w:val="none"/>
        </w:rPr>
        <w:t>人</w:t>
      </w:r>
      <w:r>
        <w:rPr>
          <w:rFonts w:hint="eastAsia" w:ascii="宋体" w:hAnsi="宋体" w:eastAsia="宋体" w:cs="Times New Roman"/>
          <w:color w:val="auto"/>
          <w:sz w:val="24"/>
          <w:szCs w:val="24"/>
          <w:highlight w:val="none"/>
        </w:rPr>
        <w:t>未履行主合同项下工程款付款义务的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w:t>
      </w:r>
    </w:p>
    <w:p w14:paraId="3AC4406D">
      <w:pPr>
        <w:spacing w:line="360" w:lineRule="auto"/>
        <w:ind w:firstLine="482"/>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七、其他</w:t>
      </w:r>
    </w:p>
    <w:p w14:paraId="6EA770FA">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本保证担保项下的权利不得转让，不得设定担保。贵方未经我方书面同意转让本保证担保或其项下任何权利，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5349265E">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179F8D42">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自我方法定代表</w:t>
      </w:r>
      <w:r>
        <w:rPr>
          <w:rFonts w:hint="eastAsia" w:ascii="宋体" w:hAnsi="宋体" w:eastAsia="宋体" w:cs="Times New Roman"/>
          <w:color w:val="auto"/>
          <w:sz w:val="24"/>
          <w:szCs w:val="24"/>
          <w:highlight w:val="none"/>
        </w:rPr>
        <w:t>人或授权代表</w:t>
      </w:r>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124AD5D6">
      <w:pPr>
        <w:spacing w:line="360" w:lineRule="auto"/>
        <w:ind w:firstLine="480"/>
        <w:rPr>
          <w:rFonts w:ascii="宋体" w:hAnsi="宋体" w:eastAsia="宋体" w:cs="Times New Roman"/>
          <w:color w:val="auto"/>
          <w:sz w:val="24"/>
          <w:szCs w:val="24"/>
          <w:highlight w:val="none"/>
        </w:rPr>
      </w:pPr>
    </w:p>
    <w:p w14:paraId="3342644C">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 证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（公</w:t>
      </w:r>
      <w:r>
        <w:rPr>
          <w:rFonts w:ascii="宋体" w:hAnsi="宋体" w:eastAsia="宋体" w:cs="Times New Roman"/>
          <w:color w:val="auto"/>
          <w:sz w:val="24"/>
          <w:szCs w:val="24"/>
          <w:highlight w:val="none"/>
        </w:rPr>
        <w:t xml:space="preserve">章） </w:t>
      </w:r>
    </w:p>
    <w:p w14:paraId="3F2C7898">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27126A36">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003BF851">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310C3229">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7D09CC23">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2F8D6C3A">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时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间：</w:t>
      </w:r>
      <w:r>
        <w:rPr>
          <w:rFonts w:ascii="宋体" w:hAnsi="宋体" w:eastAsia="宋体" w:cs="Times New Roman"/>
          <w:color w:val="auto"/>
          <w:sz w:val="24"/>
          <w:szCs w:val="24"/>
          <w:highlight w:val="none"/>
        </w:rPr>
        <w:t xml:space="preserve">      年      月        日</w:t>
      </w:r>
    </w:p>
    <w:p w14:paraId="0BE26712">
      <w:pPr>
        <w:rPr>
          <w:rFonts w:ascii="Times New Roman" w:hAnsi="Times New Roman" w:eastAsia="宋体" w:cs="Times New Roman"/>
          <w:color w:val="auto"/>
          <w:szCs w:val="21"/>
          <w:highlight w:val="none"/>
        </w:rPr>
      </w:pPr>
    </w:p>
    <w:p w14:paraId="211B61F6">
      <w:pPr>
        <w:rPr>
          <w:rFonts w:ascii="Times New Roman" w:hAnsi="Times New Roman" w:eastAsia="宋体" w:cs="Times New Roman"/>
          <w:color w:val="auto"/>
          <w:szCs w:val="21"/>
          <w:highlight w:val="none"/>
        </w:rPr>
      </w:pPr>
    </w:p>
    <w:p w14:paraId="24C75419">
      <w:pPr>
        <w:rPr>
          <w:rFonts w:ascii="Times New Roman" w:hAnsi="Times New Roman" w:eastAsia="宋体" w:cs="Times New Roman"/>
          <w:color w:val="auto"/>
          <w:szCs w:val="21"/>
          <w:highlight w:val="none"/>
        </w:rPr>
      </w:pPr>
    </w:p>
    <w:p w14:paraId="4FB18EF7">
      <w:pPr>
        <w:rPr>
          <w:rFonts w:ascii="Times New Roman" w:hAnsi="Times New Roman" w:eastAsia="宋体" w:cs="Times New Roman"/>
          <w:color w:val="auto"/>
          <w:szCs w:val="21"/>
          <w:highlight w:val="none"/>
        </w:rPr>
      </w:pPr>
    </w:p>
    <w:p w14:paraId="23FDE9E1">
      <w:pPr>
        <w:rPr>
          <w:rFonts w:ascii="Times New Roman" w:hAnsi="Times New Roman" w:eastAsia="宋体" w:cs="Times New Roman"/>
          <w:color w:val="auto"/>
          <w:szCs w:val="21"/>
          <w:highlight w:val="none"/>
        </w:rPr>
      </w:pPr>
    </w:p>
    <w:p w14:paraId="7CFCA2A1">
      <w:pPr>
        <w:rPr>
          <w:rFonts w:ascii="Times New Roman" w:hAnsi="Times New Roman" w:eastAsia="宋体" w:cs="Times New Roman"/>
          <w:color w:val="auto"/>
          <w:szCs w:val="21"/>
          <w:highlight w:val="none"/>
        </w:rPr>
      </w:pPr>
    </w:p>
    <w:p w14:paraId="41306EF3">
      <w:pPr>
        <w:rPr>
          <w:rFonts w:ascii="Times New Roman" w:hAnsi="Times New Roman" w:eastAsia="宋体" w:cs="Times New Roman"/>
          <w:color w:val="auto"/>
          <w:szCs w:val="21"/>
          <w:highlight w:val="none"/>
        </w:rPr>
      </w:pPr>
    </w:p>
    <w:p w14:paraId="3AE31DB0">
      <w:pPr>
        <w:rPr>
          <w:rFonts w:ascii="Times New Roman" w:hAnsi="Times New Roman" w:eastAsia="宋体" w:cs="Times New Roman"/>
          <w:color w:val="auto"/>
          <w:szCs w:val="21"/>
          <w:highlight w:val="none"/>
        </w:rPr>
      </w:pPr>
    </w:p>
    <w:p w14:paraId="1BF867A0">
      <w:pPr>
        <w:rPr>
          <w:rFonts w:ascii="Times New Roman" w:hAnsi="Times New Roman" w:eastAsia="宋体" w:cs="Times New Roman"/>
          <w:color w:val="auto"/>
          <w:szCs w:val="21"/>
          <w:highlight w:val="none"/>
        </w:rPr>
      </w:pPr>
    </w:p>
    <w:p w14:paraId="266F8204">
      <w:pPr>
        <w:rPr>
          <w:rFonts w:ascii="Times New Roman" w:hAnsi="Times New Roman" w:eastAsia="宋体" w:cs="Times New Roman"/>
          <w:color w:val="auto"/>
          <w:szCs w:val="21"/>
          <w:highlight w:val="none"/>
        </w:rPr>
      </w:pPr>
    </w:p>
    <w:p w14:paraId="4FCF9E4F">
      <w:pPr>
        <w:rPr>
          <w:rFonts w:ascii="Times New Roman" w:hAnsi="Times New Roman" w:eastAsia="宋体" w:cs="Times New Roman"/>
          <w:color w:val="auto"/>
          <w:szCs w:val="21"/>
          <w:highlight w:val="none"/>
        </w:rPr>
      </w:pPr>
    </w:p>
    <w:p w14:paraId="604215E7">
      <w:pPr>
        <w:rPr>
          <w:rFonts w:ascii="Times New Roman" w:hAnsi="Times New Roman" w:eastAsia="宋体" w:cs="Times New Roman"/>
          <w:color w:val="auto"/>
          <w:szCs w:val="21"/>
          <w:highlight w:val="none"/>
        </w:rPr>
      </w:pPr>
    </w:p>
    <w:p w14:paraId="1C43BAE7">
      <w:pPr>
        <w:rPr>
          <w:rFonts w:ascii="Times New Roman" w:hAnsi="Times New Roman" w:eastAsia="宋体" w:cs="Times New Roman"/>
          <w:color w:val="auto"/>
          <w:szCs w:val="21"/>
          <w:highlight w:val="none"/>
        </w:rPr>
      </w:pPr>
    </w:p>
    <w:p w14:paraId="41D19936">
      <w:pPr>
        <w:rPr>
          <w:rFonts w:ascii="Times New Roman" w:hAnsi="Times New Roman" w:eastAsia="宋体" w:cs="Times New Roman"/>
          <w:color w:val="auto"/>
          <w:szCs w:val="21"/>
          <w:highlight w:val="none"/>
        </w:rPr>
      </w:pPr>
    </w:p>
    <w:p w14:paraId="3BCAE1DF">
      <w:pPr>
        <w:rPr>
          <w:rFonts w:ascii="Times New Roman" w:hAnsi="Times New Roman" w:eastAsia="宋体" w:cs="Times New Roman"/>
          <w:color w:val="auto"/>
          <w:szCs w:val="21"/>
          <w:highlight w:val="none"/>
        </w:rPr>
      </w:pPr>
    </w:p>
    <w:p w14:paraId="1312EAAC">
      <w:pPr>
        <w:rPr>
          <w:rFonts w:ascii="Times New Roman" w:hAnsi="Times New Roman" w:eastAsia="宋体" w:cs="Times New Roman"/>
          <w:color w:val="auto"/>
          <w:szCs w:val="21"/>
          <w:highlight w:val="none"/>
        </w:rPr>
      </w:pPr>
    </w:p>
    <w:p w14:paraId="48A060BC">
      <w:pPr>
        <w:rPr>
          <w:rFonts w:ascii="Times New Roman" w:hAnsi="Times New Roman" w:eastAsia="宋体" w:cs="Times New Roman"/>
          <w:color w:val="auto"/>
          <w:szCs w:val="21"/>
          <w:highlight w:val="none"/>
        </w:rPr>
      </w:pPr>
    </w:p>
    <w:p w14:paraId="26DCD54E">
      <w:pPr>
        <w:rPr>
          <w:rFonts w:ascii="Times New Roman" w:hAnsi="Times New Roman" w:eastAsia="宋体" w:cs="Times New Roman"/>
          <w:color w:val="auto"/>
          <w:szCs w:val="21"/>
          <w:highlight w:val="none"/>
        </w:rPr>
      </w:pPr>
    </w:p>
    <w:p w14:paraId="24A50034">
      <w:pPr>
        <w:rPr>
          <w:rFonts w:ascii="Times New Roman" w:hAnsi="Times New Roman" w:eastAsia="宋体" w:cs="Times New Roman"/>
          <w:color w:val="auto"/>
          <w:szCs w:val="21"/>
          <w:highlight w:val="none"/>
        </w:rPr>
      </w:pPr>
    </w:p>
    <w:p w14:paraId="2ED71B39">
      <w:pPr>
        <w:rPr>
          <w:rFonts w:ascii="Times New Roman" w:hAnsi="Times New Roman" w:eastAsia="宋体" w:cs="Times New Roman"/>
          <w:color w:val="auto"/>
          <w:szCs w:val="21"/>
          <w:highlight w:val="none"/>
        </w:rPr>
      </w:pPr>
    </w:p>
    <w:p w14:paraId="54A9860F">
      <w:pPr>
        <w:rPr>
          <w:rFonts w:ascii="Times New Roman" w:hAnsi="Times New Roman" w:eastAsia="宋体" w:cs="Times New Roman"/>
          <w:color w:val="auto"/>
          <w:szCs w:val="21"/>
          <w:highlight w:val="none"/>
        </w:rPr>
      </w:pPr>
    </w:p>
    <w:p w14:paraId="3B530165">
      <w:pPr>
        <w:rPr>
          <w:rFonts w:ascii="Times New Roman" w:hAnsi="Times New Roman" w:eastAsia="宋体" w:cs="Times New Roman"/>
          <w:color w:val="auto"/>
          <w:szCs w:val="21"/>
          <w:highlight w:val="none"/>
        </w:rPr>
      </w:pPr>
    </w:p>
    <w:p w14:paraId="5E25C3C4">
      <w:pPr>
        <w:rPr>
          <w:rFonts w:ascii="Times New Roman" w:hAnsi="Times New Roman" w:eastAsia="宋体" w:cs="Times New Roman"/>
          <w:color w:val="auto"/>
          <w:szCs w:val="21"/>
          <w:highlight w:val="none"/>
        </w:rPr>
      </w:pPr>
    </w:p>
    <w:p w14:paraId="308CC1CE">
      <w:pPr>
        <w:rPr>
          <w:rFonts w:ascii="Times New Roman" w:hAnsi="Times New Roman" w:eastAsia="宋体" w:cs="Times New Roman"/>
          <w:color w:val="auto"/>
          <w:szCs w:val="21"/>
          <w:highlight w:val="none"/>
        </w:rPr>
      </w:pPr>
    </w:p>
    <w:p w14:paraId="21601FB4">
      <w:pPr>
        <w:rPr>
          <w:rFonts w:ascii="Times New Roman" w:hAnsi="Times New Roman" w:eastAsia="宋体" w:cs="Times New Roman"/>
          <w:color w:val="auto"/>
          <w:szCs w:val="21"/>
          <w:highlight w:val="none"/>
        </w:rPr>
      </w:pPr>
    </w:p>
    <w:p w14:paraId="46A094DB">
      <w:pPr>
        <w:rPr>
          <w:rFonts w:ascii="Times New Roman" w:hAnsi="Times New Roman" w:eastAsia="宋体" w:cs="Times New Roman"/>
          <w:color w:val="auto"/>
          <w:szCs w:val="21"/>
          <w:highlight w:val="none"/>
        </w:rPr>
      </w:pPr>
    </w:p>
    <w:p w14:paraId="34B18164">
      <w:pPr>
        <w:spacing w:line="360" w:lineRule="auto"/>
        <w:ind w:firstLine="480"/>
        <w:rPr>
          <w:rFonts w:ascii="宋体" w:hAnsi="宋体" w:eastAsia="宋体" w:cs="Times New Roman"/>
          <w:color w:val="auto"/>
          <w:sz w:val="24"/>
          <w:szCs w:val="24"/>
          <w:highlight w:val="none"/>
        </w:rPr>
      </w:pPr>
    </w:p>
    <w:p w14:paraId="3783BFCB">
      <w:pPr>
        <w:spacing w:line="360" w:lineRule="auto"/>
        <w:ind w:firstLine="420"/>
        <w:rPr>
          <w:rFonts w:hint="eastAsia" w:ascii="Times New Roman" w:hAnsi="Times New Roman" w:eastAsia="宋体" w:cs="Times New Roman"/>
          <w:color w:val="auto"/>
          <w:szCs w:val="21"/>
          <w:highlight w:val="none"/>
        </w:rPr>
      </w:pPr>
    </w:p>
    <w:p w14:paraId="64BE8221">
      <w:pPr>
        <w:jc w:val="left"/>
        <w:rPr>
          <w:rFonts w:hint="eastAsia" w:ascii="仿宋_GB2312" w:hAnsi="Times New Roman" w:eastAsia="仿宋_GB2312" w:cs="仿宋_GB2312"/>
          <w:color w:val="auto"/>
          <w:sz w:val="30"/>
          <w:szCs w:val="30"/>
          <w:highlight w:val="none"/>
        </w:rPr>
      </w:pPr>
      <w:r>
        <w:rPr>
          <w:rFonts w:ascii="Times New Roman" w:hAnsi="Times New Roman" w:eastAsia="仿宋_GB2312" w:cs="Times New Roman"/>
          <w:color w:val="auto"/>
          <w:sz w:val="30"/>
          <w:szCs w:val="30"/>
          <w:highlight w:val="none"/>
        </w:rPr>
        <w:t xml:space="preserve"> </w:t>
      </w:r>
      <w:r>
        <w:rPr>
          <w:rFonts w:hint="eastAsia" w:ascii="仿宋_GB2312" w:hAnsi="Times New Roman" w:eastAsia="仿宋_GB2312" w:cs="仿宋_GB2312"/>
          <w:color w:val="auto"/>
          <w:sz w:val="30"/>
          <w:szCs w:val="30"/>
          <w:highlight w:val="none"/>
        </w:rPr>
        <w:t>附件10：预付款支付申请（核准）表</w:t>
      </w:r>
    </w:p>
    <w:p w14:paraId="6D7325CF">
      <w:pPr>
        <w:jc w:val="center"/>
        <w:outlineLvl w:val="9"/>
        <w:rPr>
          <w:rFonts w:hint="eastAsia" w:ascii="宋体" w:hAnsi="宋体" w:eastAsia="宋体" w:cs="Times New Roman"/>
          <w:b/>
          <w:color w:val="auto"/>
          <w:sz w:val="30"/>
          <w:szCs w:val="30"/>
          <w:highlight w:val="none"/>
        </w:rPr>
      </w:pPr>
      <w:r>
        <w:rPr>
          <w:rFonts w:hint="eastAsia" w:ascii="宋体" w:hAnsi="宋体" w:eastAsia="宋体" w:cs="Times New Roman"/>
          <w:b/>
          <w:color w:val="auto"/>
          <w:sz w:val="30"/>
          <w:szCs w:val="30"/>
          <w:highlight w:val="none"/>
        </w:rPr>
        <w:t>预付款支付申请（核准）表</w:t>
      </w:r>
    </w:p>
    <w:p w14:paraId="167F6FA5">
      <w:pPr>
        <w:jc w:val="center"/>
        <w:outlineLvl w:val="9"/>
        <w:rPr>
          <w:rFonts w:hint="eastAsia" w:ascii="宋体" w:hAnsi="宋体" w:eastAsia="宋体" w:cs="Times New Roman"/>
          <w:b/>
          <w:color w:val="auto"/>
          <w:sz w:val="30"/>
          <w:szCs w:val="30"/>
          <w:highlight w:val="none"/>
          <w:lang w:val="en-US" w:eastAsia="zh-CN"/>
        </w:rPr>
      </w:pPr>
      <w:r>
        <w:rPr>
          <w:rFonts w:hint="eastAsia" w:ascii="宋体" w:hAnsi="宋体" w:eastAsia="宋体" w:cs="Times New Roman"/>
          <w:b/>
          <w:color w:val="auto"/>
          <w:sz w:val="30"/>
          <w:szCs w:val="30"/>
          <w:highlight w:val="none"/>
          <w:lang w:eastAsia="zh-CN"/>
        </w:rPr>
        <w:t>（适用于分年度支付）</w:t>
      </w:r>
    </w:p>
    <w:p w14:paraId="2E80DAE2">
      <w:pPr>
        <w:spacing w:line="360" w:lineRule="auto"/>
        <w:ind w:firstLine="420"/>
        <w:rPr>
          <w:rFonts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编号：</w:t>
      </w:r>
    </w:p>
    <w:tbl>
      <w:tblPr>
        <w:tblStyle w:val="4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9"/>
        <w:gridCol w:w="4543"/>
      </w:tblGrid>
      <w:tr w14:paraId="309CB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7D443401">
            <w:pPr>
              <w:keepNext w:val="0"/>
              <w:keepLines w:val="0"/>
              <w:suppressLineNumbers w:val="0"/>
              <w:spacing w:before="0" w:beforeAutospacing="0" w:after="0" w:afterAutospacing="0" w:line="480" w:lineRule="exact"/>
              <w:ind w:left="525" w:right="0" w:hanging="212"/>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（发包人全称）</w:t>
            </w:r>
          </w:p>
          <w:p w14:paraId="57E97045">
            <w:pPr>
              <w:keepNext w:val="0"/>
              <w:keepLines w:val="0"/>
              <w:suppressLineNumbers w:val="0"/>
              <w:spacing w:before="0" w:beforeAutospacing="0" w:after="0" w:afterAutospacing="0" w:line="400" w:lineRule="exact"/>
              <w:ind w:left="-4" w:right="0" w:firstLine="31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我方根据施工合同的约定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现申请支付</w:t>
            </w:r>
            <w:r>
              <w:rPr>
                <w:rFonts w:hint="eastAsia" w:ascii="宋体" w:hAnsi="宋体" w:eastAsia="宋体" w:cs="Times New Roman"/>
                <w:color w:val="auto"/>
                <w:szCs w:val="21"/>
                <w:highlight w:val="none"/>
                <w:u w:val="none"/>
                <w:lang w:eastAsia="zh-CN"/>
              </w:rPr>
              <w:t>第</w:t>
            </w:r>
            <w:r>
              <w:rPr>
                <w:rFonts w:hint="eastAsia" w:ascii="宋体" w:hAnsi="宋体" w:eastAsia="宋体" w:cs="Times New Roman"/>
                <w:color w:val="auto"/>
                <w:szCs w:val="21"/>
                <w:highlight w:val="none"/>
                <w:u w:val="single"/>
                <w:lang w:val="en-US" w:eastAsia="zh-CN"/>
              </w:rPr>
              <w:t xml:space="preserve">  </w:t>
            </w:r>
            <w:r>
              <w:rPr>
                <w:rFonts w:hint="eastAsia" w:ascii="宋体" w:hAnsi="宋体" w:eastAsia="宋体" w:cs="Times New Roman"/>
                <w:color w:val="auto"/>
                <w:szCs w:val="21"/>
                <w:highlight w:val="none"/>
                <w:u w:val="none"/>
                <w:lang w:val="en-US" w:eastAsia="zh-CN"/>
              </w:rPr>
              <w:t>年</w:t>
            </w:r>
            <w:r>
              <w:rPr>
                <w:rFonts w:hint="eastAsia" w:ascii="宋体" w:hAnsi="宋体" w:eastAsia="宋体" w:cs="Times New Roman"/>
                <w:color w:val="auto"/>
                <w:szCs w:val="21"/>
                <w:highlight w:val="none"/>
              </w:rPr>
              <w:t>工程预付款额为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请予核准。</w:t>
            </w:r>
          </w:p>
          <w:tbl>
            <w:tblPr>
              <w:tblStyle w:val="48"/>
              <w:tblW w:w="884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322"/>
              <w:gridCol w:w="1412"/>
              <w:gridCol w:w="1392"/>
              <w:gridCol w:w="1539"/>
              <w:gridCol w:w="1541"/>
            </w:tblGrid>
            <w:tr w14:paraId="6E65C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center"/>
                </w:tcPr>
                <w:p w14:paraId="3035F88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2322" w:type="dxa"/>
                  <w:tcBorders>
                    <w:top w:val="single" w:color="auto" w:sz="4" w:space="0"/>
                    <w:left w:val="single" w:color="auto" w:sz="4" w:space="0"/>
                    <w:bottom w:val="single" w:color="auto" w:sz="4" w:space="0"/>
                    <w:right w:val="single" w:color="auto" w:sz="4" w:space="0"/>
                  </w:tcBorders>
                  <w:noWrap w:val="0"/>
                  <w:vAlign w:val="center"/>
                </w:tcPr>
                <w:p w14:paraId="56E4690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名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称</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52CAD01B">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计算基数</w:t>
                  </w:r>
                  <w:r>
                    <w:rPr>
                      <w:rFonts w:hint="eastAsia" w:ascii="宋体" w:hAnsi="宋体" w:eastAsia="宋体" w:cs="Times New Roman"/>
                      <w:color w:val="auto"/>
                      <w:szCs w:val="21"/>
                      <w:highlight w:val="none"/>
                      <w:lang w:eastAsia="zh-CN"/>
                    </w:rPr>
                    <w:t>（元）</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6F8F7779">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支付比例</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36B8E929">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申请金额（元）</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076AA5C5">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复核金额（元）</w:t>
                  </w:r>
                </w:p>
              </w:tc>
            </w:tr>
            <w:tr w14:paraId="161E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5BA29C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1935BED2">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签约合同价款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3DAB64B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4A4326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74FE03D6">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55CE658E">
                  <w:pPr>
                    <w:keepNext w:val="0"/>
                    <w:keepLines w:val="0"/>
                    <w:suppressLineNumbers w:val="0"/>
                    <w:spacing w:before="0" w:beforeAutospacing="0" w:after="0" w:afterAutospacing="0" w:line="280" w:lineRule="exact"/>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607E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0164210">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1.1</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7FD74387">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暂列金额</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3B72D677">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CEBA042">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2E3436F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22B1020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26901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17691C1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r>
                    <w:rPr>
                      <w:rFonts w:hint="eastAsia" w:ascii="Times New Roman" w:hAnsi="Times New Roman" w:eastAsia="宋体" w:cs="Times New Roman"/>
                      <w:color w:val="auto"/>
                      <w:szCs w:val="21"/>
                      <w:highlight w:val="none"/>
                      <w:lang w:val="en-US" w:eastAsia="zh-CN"/>
                    </w:rPr>
                    <w:t>2</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4CBC8388">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专业工程暂估价</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01CA3EE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69C3B95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4580523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6AFC0913">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20E5B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11DC7000">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r>
                    <w:rPr>
                      <w:rFonts w:hint="eastAsia" w:ascii="Times New Roman" w:hAnsi="Times New Roman" w:eastAsia="宋体" w:cs="Times New Roman"/>
                      <w:color w:val="auto"/>
                      <w:szCs w:val="21"/>
                      <w:highlight w:val="none"/>
                      <w:lang w:val="en-US" w:eastAsia="zh-CN"/>
                    </w:rPr>
                    <w:t>3</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1CAEE717">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lang w:val="en"/>
                    </w:rPr>
                  </w:pPr>
                  <w:r>
                    <w:rPr>
                      <w:rFonts w:hint="default" w:ascii="宋体" w:hAnsi="宋体" w:eastAsia="宋体" w:cs="Times New Roman"/>
                      <w:color w:val="auto"/>
                      <w:szCs w:val="21"/>
                      <w:highlight w:val="none"/>
                      <w:lang w:val="en"/>
                    </w:rPr>
                    <w:t>安全生产费</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50747452">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417AC873">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27D947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59AA0E1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79947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68C4B0FA">
                  <w:pPr>
                    <w:keepNext w:val="0"/>
                    <w:keepLines w:val="0"/>
                    <w:suppressLineNumbers w:val="0"/>
                    <w:spacing w:before="0" w:beforeAutospacing="0" w:after="0" w:afterAutospacing="0" w:line="280" w:lineRule="exact"/>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33625484">
                  <w:pPr>
                    <w:keepNext w:val="0"/>
                    <w:keepLines w:val="0"/>
                    <w:suppressLineNumbers w:val="0"/>
                    <w:spacing w:before="0" w:beforeAutospacing="0" w:after="0" w:afterAutospacing="0" w:line="280" w:lineRule="exact"/>
                    <w:ind w:left="0" w:right="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应付预付款支付基数</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33D8E5CA">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1-(1.1+1.2+1.3)</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3FC79DEA">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056CB6E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672D936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43174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4EA03C1B">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2.1</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1BB563F7">
                  <w:pPr>
                    <w:keepNext w:val="0"/>
                    <w:keepLines w:val="0"/>
                    <w:suppressLineNumbers w:val="0"/>
                    <w:spacing w:before="0" w:beforeAutospacing="0" w:after="0" w:afterAutospacing="0" w:line="280" w:lineRule="exact"/>
                    <w:ind w:left="0" w:right="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第一年应付预付款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0C8EF9C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30AC0DB">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3C06098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4C923286">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23603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E13650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2.2</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49F8D695">
                  <w:pPr>
                    <w:keepNext w:val="0"/>
                    <w:keepLines w:val="0"/>
                    <w:suppressLineNumbers w:val="0"/>
                    <w:spacing w:before="0" w:beforeAutospacing="0" w:after="0" w:afterAutospacing="0" w:line="280" w:lineRule="exact"/>
                    <w:ind w:left="0" w:right="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第二年应付预付款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300E133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4E6F4FD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0A2F781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0ED0844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51EC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6262F1FF">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val="en-US" w:eastAsia="zh-CN"/>
                    </w:rPr>
                    <w:t>……</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3011C67B">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第……年应付预付款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7328029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009F7943">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5FA976E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457E3A9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1B88E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60A3CAD5">
                  <w:pPr>
                    <w:keepNext w:val="0"/>
                    <w:keepLines w:val="0"/>
                    <w:suppressLineNumbers w:val="0"/>
                    <w:spacing w:before="0" w:beforeAutospacing="0" w:after="0" w:afterAutospacing="0" w:line="280" w:lineRule="exact"/>
                    <w:ind w:left="0" w:right="0"/>
                    <w:jc w:val="center"/>
                    <w:rPr>
                      <w:rFonts w:hint="eastAsia" w:ascii="Calibri" w:hAnsi="Calibri"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009BE0F6">
                  <w:pPr>
                    <w:keepNext w:val="0"/>
                    <w:keepLines w:val="0"/>
                    <w:suppressLineNumbers w:val="0"/>
                    <w:spacing w:before="0" w:beforeAutospacing="0" w:after="0" w:afterAutospacing="0" w:line="280" w:lineRule="exact"/>
                    <w:ind w:left="0" w:right="0"/>
                    <w:rPr>
                      <w:rFonts w:hint="default" w:ascii="Calibri" w:hAnsi="Calibri" w:eastAsia="宋体" w:cs="Times New Roman"/>
                      <w:color w:val="auto"/>
                      <w:szCs w:val="21"/>
                      <w:highlight w:val="none"/>
                    </w:rPr>
                  </w:pPr>
                  <w:r>
                    <w:rPr>
                      <w:rFonts w:hint="eastAsia" w:ascii="宋体" w:hAnsi="宋体" w:eastAsia="宋体" w:cs="Times New Roman"/>
                      <w:color w:val="auto"/>
                      <w:szCs w:val="21"/>
                      <w:highlight w:val="none"/>
                    </w:rPr>
                    <w:t>累计</w:t>
                  </w:r>
                  <w:r>
                    <w:rPr>
                      <w:rFonts w:hint="eastAsia" w:ascii="宋体" w:hAnsi="宋体" w:eastAsia="宋体" w:cs="Times New Roman"/>
                      <w:color w:val="auto"/>
                      <w:szCs w:val="21"/>
                      <w:highlight w:val="none"/>
                      <w:lang w:eastAsia="zh-CN"/>
                    </w:rPr>
                    <w:t>应</w:t>
                  </w:r>
                  <w:r>
                    <w:rPr>
                      <w:rFonts w:hint="eastAsia" w:ascii="宋体" w:hAnsi="宋体" w:eastAsia="宋体" w:cs="Times New Roman"/>
                      <w:color w:val="auto"/>
                      <w:szCs w:val="21"/>
                      <w:highlight w:val="none"/>
                    </w:rPr>
                    <w:t>支付的预付款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49F12FED">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6E85C0DC">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576A3A1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496A1602">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13948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2B7D9F5B">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4</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53230722">
                  <w:pPr>
                    <w:keepNext w:val="0"/>
                    <w:keepLines w:val="0"/>
                    <w:suppressLineNumbers w:val="0"/>
                    <w:spacing w:before="0" w:beforeAutospacing="0" w:after="0" w:afterAutospacing="0" w:line="280" w:lineRule="exact"/>
                    <w:ind w:left="0" w:right="0"/>
                    <w:rPr>
                      <w:rFonts w:hint="default" w:ascii="Calibri" w:hAnsi="Calibri" w:eastAsia="宋体" w:cs="Times New Roman"/>
                      <w:color w:val="auto"/>
                      <w:szCs w:val="21"/>
                      <w:highlight w:val="none"/>
                    </w:rPr>
                  </w:pPr>
                  <w:r>
                    <w:rPr>
                      <w:rFonts w:hint="eastAsia" w:ascii="宋体" w:hAnsi="宋体" w:eastAsia="宋体" w:cs="Times New Roman"/>
                      <w:color w:val="auto"/>
                      <w:szCs w:val="21"/>
                      <w:highlight w:val="none"/>
                    </w:rPr>
                    <w:t>累计</w:t>
                  </w:r>
                  <w:r>
                    <w:rPr>
                      <w:rFonts w:hint="eastAsia" w:ascii="宋体" w:hAnsi="宋体" w:eastAsia="宋体" w:cs="Times New Roman"/>
                      <w:color w:val="auto"/>
                      <w:szCs w:val="21"/>
                      <w:highlight w:val="none"/>
                      <w:lang w:eastAsia="zh-CN"/>
                    </w:rPr>
                    <w:t>已</w:t>
                  </w:r>
                  <w:r>
                    <w:rPr>
                      <w:rFonts w:hint="eastAsia" w:ascii="宋体" w:hAnsi="宋体" w:eastAsia="宋体" w:cs="Times New Roman"/>
                      <w:color w:val="auto"/>
                      <w:szCs w:val="21"/>
                      <w:highlight w:val="none"/>
                    </w:rPr>
                    <w:t>支付的预付款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77925234">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7414643">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0EBB40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1B1EEFB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30999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38B00E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322" w:type="dxa"/>
                  <w:tcBorders>
                    <w:top w:val="single" w:color="auto" w:sz="4" w:space="0"/>
                    <w:left w:val="single" w:color="auto" w:sz="4" w:space="0"/>
                    <w:bottom w:val="single" w:color="auto" w:sz="4" w:space="0"/>
                    <w:right w:val="single" w:color="auto" w:sz="4" w:space="0"/>
                  </w:tcBorders>
                  <w:noWrap w:val="0"/>
                  <w:vAlign w:val="top"/>
                </w:tcPr>
                <w:p w14:paraId="1C940BBD">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14:paraId="5FEDE4B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2902B786">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645674B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30FE50CA">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6B380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3525CAE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322" w:type="dxa"/>
                  <w:tcBorders>
                    <w:top w:val="single" w:color="auto" w:sz="4" w:space="0"/>
                    <w:left w:val="single" w:color="auto" w:sz="4" w:space="0"/>
                    <w:bottom w:val="single" w:color="auto" w:sz="4" w:space="0"/>
                    <w:right w:val="single" w:color="auto" w:sz="4" w:space="0"/>
                  </w:tcBorders>
                  <w:noWrap w:val="0"/>
                  <w:vAlign w:val="top"/>
                </w:tcPr>
                <w:p w14:paraId="7689D551">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14:paraId="73EB160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04E13DF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066F05E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67017D36">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bl>
          <w:p w14:paraId="0C8B32DE">
            <w:pPr>
              <w:keepNext w:val="0"/>
              <w:keepLines w:val="0"/>
              <w:suppressLineNumbers w:val="0"/>
              <w:spacing w:before="0" w:beforeAutospacing="0" w:after="0" w:afterAutospacing="0" w:line="400" w:lineRule="exact"/>
              <w:ind w:left="0" w:right="420"/>
              <w:rPr>
                <w:rFonts w:hint="default" w:ascii="宋体" w:hAnsi="宋体"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p>
          <w:p w14:paraId="0751FB78">
            <w:pPr>
              <w:keepNext w:val="0"/>
              <w:keepLines w:val="0"/>
              <w:suppressLineNumbers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承包人（章） </w:t>
            </w:r>
            <w:r>
              <w:rPr>
                <w:rFonts w:hint="default" w:ascii="Times New Roman" w:hAnsi="Times New Roman" w:eastAsia="宋体" w:cs="Times New Roman"/>
                <w:color w:val="auto"/>
                <w:szCs w:val="21"/>
                <w:highlight w:val="none"/>
              </w:rPr>
              <w:t xml:space="preserve">            </w:t>
            </w:r>
          </w:p>
          <w:p w14:paraId="5622C90D">
            <w:pPr>
              <w:keepNext w:val="0"/>
              <w:keepLines w:val="0"/>
              <w:suppressLineNumbers w:val="0"/>
              <w:spacing w:before="0" w:beforeAutospacing="0" w:after="0" w:afterAutospacing="0" w:line="400" w:lineRule="exact"/>
              <w:ind w:left="0" w:right="42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造价人员</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1FDD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4529" w:type="dxa"/>
            <w:tcBorders>
              <w:top w:val="single" w:color="auto" w:sz="4" w:space="0"/>
              <w:left w:val="single" w:color="auto" w:sz="4" w:space="0"/>
              <w:bottom w:val="single" w:color="auto" w:sz="4" w:space="0"/>
              <w:right w:val="single" w:color="auto" w:sz="4" w:space="0"/>
            </w:tcBorders>
            <w:noWrap w:val="0"/>
            <w:vAlign w:val="top"/>
          </w:tcPr>
          <w:p w14:paraId="39742A96">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458248C3">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□与合同约定不相符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修改意见见附件。</w:t>
            </w:r>
          </w:p>
          <w:p w14:paraId="45C5D13D">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具体金额由造价工程师复核。</w:t>
            </w:r>
          </w:p>
          <w:p w14:paraId="6DCDEC03">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监理工程师</w:t>
            </w:r>
            <w:r>
              <w:rPr>
                <w:rFonts w:hint="default" w:ascii="Times New Roman" w:hAnsi="Times New Roman" w:eastAsia="宋体" w:cs="Times New Roman"/>
                <w:color w:val="auto"/>
                <w:szCs w:val="21"/>
                <w:highlight w:val="none"/>
                <w:u w:val="single"/>
              </w:rPr>
              <w:t xml:space="preserve">           </w:t>
            </w:r>
          </w:p>
          <w:p w14:paraId="5DF5F09C">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c>
          <w:tcPr>
            <w:tcW w:w="4543" w:type="dxa"/>
            <w:tcBorders>
              <w:top w:val="single" w:color="auto" w:sz="4" w:space="0"/>
              <w:left w:val="single" w:color="auto" w:sz="4" w:space="0"/>
              <w:bottom w:val="single" w:color="auto" w:sz="4" w:space="0"/>
              <w:right w:val="single" w:color="auto" w:sz="4" w:space="0"/>
            </w:tcBorders>
            <w:noWrap w:val="0"/>
            <w:vAlign w:val="top"/>
          </w:tcPr>
          <w:p w14:paraId="43BD9473">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0F7ED79">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你方提出的支付申请经复核</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应支付预付款金额为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元。</w:t>
            </w:r>
          </w:p>
          <w:p w14:paraId="0C7CEA7F">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p>
          <w:p w14:paraId="5D8F49B9">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535E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4D720090">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7A13242D">
            <w:pPr>
              <w:keepNext w:val="0"/>
              <w:keepLines w:val="0"/>
              <w:suppressLineNumbers w:val="0"/>
              <w:spacing w:before="0" w:beforeAutospacing="0" w:after="0" w:afterAutospacing="0"/>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w:t>
            </w:r>
          </w:p>
          <w:p w14:paraId="2276A1D2">
            <w:pPr>
              <w:keepNext w:val="0"/>
              <w:keepLines w:val="0"/>
              <w:suppressLineNumbers w:val="0"/>
              <w:spacing w:before="0" w:beforeAutospacing="0" w:after="0" w:afterAutospacing="0"/>
              <w:ind w:left="0" w:right="0" w:firstLine="42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支付时间为本表签发后的</w:t>
            </w:r>
            <w:r>
              <w:rPr>
                <w:rFonts w:hint="eastAsia" w:ascii="Times New Roman" w:hAnsi="Times New Roman" w:eastAsia="宋体" w:cs="Times New Roman"/>
                <w:color w:val="auto"/>
                <w:szCs w:val="21"/>
                <w:highlight w:val="none"/>
              </w:rPr>
              <w:t>15</w:t>
            </w:r>
            <w:r>
              <w:rPr>
                <w:rFonts w:hint="eastAsia" w:ascii="宋体" w:hAnsi="宋体" w:eastAsia="宋体" w:cs="Times New Roman"/>
                <w:color w:val="auto"/>
                <w:szCs w:val="21"/>
                <w:highlight w:val="none"/>
              </w:rPr>
              <w:t>天内。</w:t>
            </w:r>
          </w:p>
          <w:p w14:paraId="2A983071">
            <w:pPr>
              <w:keepNext w:val="0"/>
              <w:keepLines w:val="0"/>
              <w:suppressLineNumbers w:val="0"/>
              <w:spacing w:before="0" w:beforeAutospacing="0" w:after="0" w:afterAutospacing="0"/>
              <w:ind w:left="0" w:right="735" w:firstLine="619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p>
          <w:p w14:paraId="46777915">
            <w:pPr>
              <w:keepNext w:val="0"/>
              <w:keepLines w:val="0"/>
              <w:suppressLineNumbers w:val="0"/>
              <w:spacing w:before="0" w:beforeAutospacing="0" w:after="0" w:afterAutospacing="0"/>
              <w:ind w:left="0" w:right="420" w:firstLine="6195"/>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p>
          <w:p w14:paraId="451A3E9B">
            <w:pPr>
              <w:keepNext w:val="0"/>
              <w:keepLines w:val="0"/>
              <w:suppressLineNumbers w:val="0"/>
              <w:spacing w:before="0" w:beforeAutospacing="0" w:after="0" w:afterAutospacing="0"/>
              <w:ind w:left="0" w:right="420" w:firstLine="6195"/>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539A07EC">
      <w:pPr>
        <w:ind w:firstLine="360"/>
        <w:rPr>
          <w:rFonts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注：1.在选择栏中的</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内作标识</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 xml:space="preserve">。 </w:t>
      </w:r>
    </w:p>
    <w:p w14:paraId="59B12E37">
      <w:pPr>
        <w:ind w:left="720" w:hanging="720"/>
        <w:rPr>
          <w:rFonts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 xml:space="preserve">    </w:t>
      </w:r>
      <w:r>
        <w:rPr>
          <w:rFonts w:ascii="宋体" w:hAnsi="宋体" w:eastAsia="宋体" w:cs="Times New Roman"/>
          <w:color w:val="auto"/>
          <w:sz w:val="18"/>
          <w:szCs w:val="18"/>
          <w:highlight w:val="none"/>
        </w:rPr>
        <w:t xml:space="preserve">  </w:t>
      </w:r>
      <w:r>
        <w:rPr>
          <w:rFonts w:hint="eastAsia" w:ascii="宋体" w:hAnsi="宋体" w:eastAsia="宋体" w:cs="Times New Roman"/>
          <w:color w:val="auto"/>
          <w:sz w:val="18"/>
          <w:szCs w:val="18"/>
          <w:highlight w:val="none"/>
        </w:rPr>
        <w:t xml:space="preserve">  2.本表一式四份</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由承包人填报</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发包人、监理人、工程造价咨询人、承包人各存一份。</w:t>
      </w:r>
    </w:p>
    <w:p w14:paraId="60FB76AA">
      <w:pPr>
        <w:widowControl/>
        <w:ind w:firstLine="720"/>
        <w:jc w:val="both"/>
        <w:rPr>
          <w:rFonts w:hint="eastAsia" w:ascii="Times New Roman" w:hAnsi="Times New Roman" w:eastAsia="宋体" w:cs="Times New Roman"/>
          <w:color w:val="auto"/>
          <w:sz w:val="21"/>
          <w:szCs w:val="21"/>
          <w:highlight w:val="none"/>
          <w:lang w:eastAsia="zh-CN"/>
        </w:rPr>
      </w:pPr>
      <w:r>
        <w:rPr>
          <w:rFonts w:hint="eastAsia" w:ascii="宋体" w:hAnsi="宋体" w:eastAsia="宋体" w:cs="Times New Roman"/>
          <w:color w:val="auto"/>
          <w:sz w:val="18"/>
          <w:szCs w:val="18"/>
          <w:highlight w:val="none"/>
          <w:lang w:val="en-US" w:eastAsia="zh-CN"/>
        </w:rPr>
        <w:t>3.</w:t>
      </w:r>
      <w:r>
        <w:rPr>
          <w:rFonts w:hint="eastAsia" w:ascii="宋体" w:hAnsi="宋体" w:eastAsia="宋体" w:cs="Times New Roman"/>
          <w:color w:val="auto"/>
          <w:sz w:val="18"/>
          <w:szCs w:val="18"/>
          <w:highlight w:val="none"/>
        </w:rPr>
        <w:t>应付预付款计算基数=签约合同价款-暂列金额-专业工程暂估价-安全生产费</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lang w:val="en-US" w:eastAsia="zh-CN"/>
        </w:rPr>
        <w:t xml:space="preserve"> </w:t>
      </w:r>
      <w:r>
        <w:rPr>
          <w:rFonts w:hint="eastAsia" w:ascii="宋体" w:hAnsi="宋体" w:eastAsia="宋体" w:cs="Times New Roman"/>
          <w:color w:val="auto"/>
          <w:sz w:val="24"/>
          <w:szCs w:val="21"/>
          <w:highlight w:val="none"/>
          <w:lang w:val="en-US" w:eastAsia="zh-CN"/>
        </w:rPr>
        <w:t xml:space="preserve">                                                                       </w:t>
      </w:r>
      <w:r>
        <w:rPr>
          <w:rFonts w:hint="eastAsia" w:ascii="宋体" w:hAnsi="宋体" w:eastAsia="宋体" w:cs="Times New Roman"/>
          <w:color w:val="auto"/>
          <w:sz w:val="21"/>
          <w:szCs w:val="21"/>
          <w:highlight w:val="none"/>
          <w:lang w:val="en-US" w:eastAsia="zh-CN"/>
        </w:rPr>
        <w:t xml:space="preserve"> </w:t>
      </w:r>
    </w:p>
    <w:p w14:paraId="58F61454">
      <w:pPr>
        <w:jc w:val="center"/>
        <w:outlineLvl w:val="9"/>
        <w:rPr>
          <w:rFonts w:hint="eastAsia" w:ascii="宋体" w:hAnsi="宋体" w:eastAsia="宋体" w:cs="Times New Roman"/>
          <w:b/>
          <w:color w:val="auto"/>
          <w:sz w:val="30"/>
          <w:szCs w:val="30"/>
          <w:highlight w:val="none"/>
        </w:rPr>
      </w:pPr>
      <w:r>
        <w:rPr>
          <w:rFonts w:hint="eastAsia" w:ascii="宋体" w:hAnsi="宋体" w:eastAsia="宋体" w:cs="Times New Roman"/>
          <w:b/>
          <w:color w:val="auto"/>
          <w:sz w:val="30"/>
          <w:szCs w:val="30"/>
          <w:highlight w:val="none"/>
        </w:rPr>
        <w:br w:type="page" w:clear="all"/>
      </w:r>
      <w:r>
        <w:rPr>
          <w:rFonts w:hint="eastAsia" w:ascii="宋体" w:hAnsi="宋体" w:eastAsia="宋体" w:cs="Times New Roman"/>
          <w:b/>
          <w:color w:val="auto"/>
          <w:sz w:val="30"/>
          <w:szCs w:val="30"/>
          <w:highlight w:val="none"/>
        </w:rPr>
        <w:t>预付款支付申请（核准）表</w:t>
      </w:r>
    </w:p>
    <w:p w14:paraId="4AC1DA77">
      <w:pPr>
        <w:jc w:val="center"/>
        <w:outlineLvl w:val="9"/>
        <w:rPr>
          <w:rFonts w:hint="eastAsia" w:ascii="宋体" w:hAnsi="宋体" w:eastAsia="宋体" w:cs="Times New Roman"/>
          <w:b/>
          <w:color w:val="auto"/>
          <w:sz w:val="36"/>
          <w:szCs w:val="36"/>
          <w:highlight w:val="none"/>
          <w:lang w:val="en-US" w:eastAsia="zh-CN"/>
        </w:rPr>
      </w:pPr>
      <w:r>
        <w:rPr>
          <w:rFonts w:hint="eastAsia" w:ascii="宋体" w:hAnsi="宋体" w:eastAsia="宋体" w:cs="Times New Roman"/>
          <w:b/>
          <w:color w:val="auto"/>
          <w:sz w:val="30"/>
          <w:szCs w:val="30"/>
          <w:highlight w:val="none"/>
          <w:lang w:val="en-US" w:eastAsia="zh-CN"/>
        </w:rPr>
        <w:t>（适用一次性支付）</w:t>
      </w:r>
    </w:p>
    <w:p w14:paraId="76EFBA54">
      <w:pPr>
        <w:spacing w:line="360" w:lineRule="auto"/>
        <w:rPr>
          <w:rFonts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 xml:space="preserve">   编号：</w:t>
      </w:r>
    </w:p>
    <w:tbl>
      <w:tblPr>
        <w:tblStyle w:val="48"/>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6"/>
        <w:gridCol w:w="4543"/>
      </w:tblGrid>
      <w:tr w14:paraId="3875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5E5D9E62">
            <w:pPr>
              <w:keepNext w:val="0"/>
              <w:keepLines w:val="0"/>
              <w:suppressLineNumbers w:val="0"/>
              <w:spacing w:before="0" w:beforeAutospacing="0" w:after="0" w:afterAutospacing="0" w:line="480" w:lineRule="exact"/>
              <w:ind w:left="525" w:right="0" w:hanging="212"/>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（发包人全称）</w:t>
            </w:r>
          </w:p>
          <w:p w14:paraId="0C061228">
            <w:pPr>
              <w:keepNext w:val="0"/>
              <w:keepLines w:val="0"/>
              <w:suppressLineNumbers w:val="0"/>
              <w:spacing w:before="0" w:beforeAutospacing="0" w:after="0" w:afterAutospacing="0" w:line="400" w:lineRule="exact"/>
              <w:ind w:left="-4" w:right="0" w:firstLine="31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我方根据施工合同的约定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现申请支付工程预付款额为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请予核准。</w:t>
            </w:r>
          </w:p>
          <w:tbl>
            <w:tblPr>
              <w:tblStyle w:val="48"/>
              <w:tblW w:w="884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211"/>
              <w:gridCol w:w="1661"/>
              <w:gridCol w:w="1336"/>
              <w:gridCol w:w="1498"/>
              <w:gridCol w:w="1500"/>
            </w:tblGrid>
            <w:tr w14:paraId="2531C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center"/>
                </w:tcPr>
                <w:p w14:paraId="03E48462">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291245A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名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称</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E1AB2B7">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计算基数</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2FE23FE7">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支付比例</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71D2C1DB">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申请金额（元）</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0E1044E3">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复核金额（元）</w:t>
                  </w:r>
                </w:p>
              </w:tc>
            </w:tr>
            <w:tr w14:paraId="28B12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94D385B">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1A285D6B">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签约合同价款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0AE8B90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49A1457">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6022C91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C201493">
                  <w:pPr>
                    <w:keepNext w:val="0"/>
                    <w:keepLines w:val="0"/>
                    <w:suppressLineNumbers w:val="0"/>
                    <w:spacing w:before="0" w:beforeAutospacing="0" w:after="0" w:afterAutospacing="0" w:line="280" w:lineRule="exact"/>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5EBD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0D8D9772">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69638B93">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暂列金额</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22D04C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7897CDAA">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4320A74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02A9B43">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1420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57418EC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r>
                    <w:rPr>
                      <w:rFonts w:hint="eastAsia" w:ascii="Times New Roman" w:hAnsi="Times New Roman" w:eastAsia="宋体" w:cs="Times New Roman"/>
                      <w:color w:val="auto"/>
                      <w:szCs w:val="21"/>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4BD5BECC">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专业工程暂估价</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41E71B1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780ABAFA">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166577C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E3499A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51C2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715FBCB3">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r>
                    <w:rPr>
                      <w:rFonts w:hint="eastAsia" w:ascii="Times New Roman" w:hAnsi="Times New Roman" w:eastAsia="宋体" w:cs="Times New Roman"/>
                      <w:color w:val="auto"/>
                      <w:szCs w:val="21"/>
                      <w:highlight w:val="none"/>
                      <w:lang w:val="en-US" w:eastAsia="zh-CN"/>
                    </w:rPr>
                    <w:t>3</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366FEB59">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lang w:val="en"/>
                    </w:rPr>
                  </w:pPr>
                  <w:r>
                    <w:rPr>
                      <w:rFonts w:hint="default" w:ascii="宋体" w:hAnsi="宋体" w:eastAsia="宋体" w:cs="Times New Roman"/>
                      <w:color w:val="auto"/>
                      <w:szCs w:val="21"/>
                      <w:highlight w:val="none"/>
                      <w:lang w:val="en"/>
                    </w:rPr>
                    <w:t>安全生产费</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078EC39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63B2A2A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45509D90">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0796006">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50BD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4BB8F086">
                  <w:pPr>
                    <w:keepNext w:val="0"/>
                    <w:keepLines w:val="0"/>
                    <w:suppressLineNumbers w:val="0"/>
                    <w:spacing w:before="0" w:beforeAutospacing="0" w:after="0" w:afterAutospacing="0" w:line="280" w:lineRule="exact"/>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6B9668D">
                  <w:pPr>
                    <w:keepNext w:val="0"/>
                    <w:keepLines w:val="0"/>
                    <w:suppressLineNumbers w:val="0"/>
                    <w:spacing w:before="0" w:beforeAutospacing="0" w:after="0" w:afterAutospacing="0" w:line="280" w:lineRule="exact"/>
                    <w:ind w:left="0" w:right="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应付</w:t>
                  </w:r>
                  <w:r>
                    <w:rPr>
                      <w:rFonts w:hint="eastAsia" w:ascii="宋体" w:hAnsi="宋体" w:eastAsia="宋体" w:cs="Times New Roman"/>
                      <w:color w:val="auto"/>
                      <w:szCs w:val="21"/>
                      <w:highlight w:val="none"/>
                      <w:lang w:eastAsia="zh-CN"/>
                    </w:rPr>
                    <w:t>预付款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B3C654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1-(1.1+1.2+1.3)</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513AD040">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105F204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913F6D5">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5893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07EE019C">
                  <w:pPr>
                    <w:keepNext w:val="0"/>
                    <w:keepLines w:val="0"/>
                    <w:suppressLineNumbers w:val="0"/>
                    <w:spacing w:before="0" w:beforeAutospacing="0" w:after="0" w:afterAutospacing="0" w:line="280" w:lineRule="exact"/>
                    <w:ind w:left="0" w:right="0"/>
                    <w:jc w:val="center"/>
                    <w:rPr>
                      <w:rFonts w:hint="eastAsia" w:ascii="Calibri" w:hAnsi="Calibri" w:eastAsia="宋体" w:cs="Times New Roman"/>
                      <w:color w:val="auto"/>
                      <w:szCs w:val="21"/>
                      <w:highlight w:val="none"/>
                      <w:lang w:val="en-US" w:eastAsia="zh-CN"/>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6F52D486">
                  <w:pPr>
                    <w:keepNext w:val="0"/>
                    <w:keepLines w:val="0"/>
                    <w:suppressLineNumbers w:val="0"/>
                    <w:spacing w:before="0" w:beforeAutospacing="0" w:after="0" w:afterAutospacing="0" w:line="280" w:lineRule="exact"/>
                    <w:ind w:left="0" w:right="0"/>
                    <w:rPr>
                      <w:rFonts w:hint="default" w:ascii="Calibri" w:hAnsi="Calibri"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3E066256">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583D7583">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46722B67">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0ED6DA23">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332AE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6B8B0354">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61241EB">
                  <w:pPr>
                    <w:keepNext w:val="0"/>
                    <w:keepLines w:val="0"/>
                    <w:suppressLineNumbers w:val="0"/>
                    <w:spacing w:before="0" w:beforeAutospacing="0" w:after="0" w:afterAutospacing="0" w:line="280" w:lineRule="exact"/>
                    <w:ind w:left="0" w:right="0"/>
                    <w:rPr>
                      <w:rFonts w:hint="default" w:ascii="Calibri" w:hAnsi="Calibri"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44D36012">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89E5885">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7C75545">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458F5D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3A36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171C365A">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4D31036F">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D80086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31B5B82">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CE2348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53E2E0E">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15209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15295366">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10FFC295">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13E5A4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1234C5A2">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5D7BCA22">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046242B">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084C0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4C06D137">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10096C77">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4DE73EF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2935C1B7">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6A59AA20">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A6CEFE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0536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39159B5">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672D65DF">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D01C4B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1DE344D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09657A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7C86D03">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bl>
          <w:p w14:paraId="1D22CC85">
            <w:pPr>
              <w:keepNext w:val="0"/>
              <w:keepLines w:val="0"/>
              <w:suppressLineNumbers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p>
          <w:p w14:paraId="05C14826">
            <w:pPr>
              <w:keepNext w:val="0"/>
              <w:keepLines w:val="0"/>
              <w:suppressLineNumbers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p>
          <w:p w14:paraId="3BC3BAAC">
            <w:pPr>
              <w:keepNext w:val="0"/>
              <w:keepLines w:val="0"/>
              <w:suppressLineNumbers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承包人（章） </w:t>
            </w:r>
            <w:r>
              <w:rPr>
                <w:rFonts w:hint="default" w:ascii="Times New Roman" w:hAnsi="Times New Roman" w:eastAsia="宋体" w:cs="Times New Roman"/>
                <w:color w:val="auto"/>
                <w:szCs w:val="21"/>
                <w:highlight w:val="none"/>
              </w:rPr>
              <w:t xml:space="preserve">            </w:t>
            </w:r>
          </w:p>
          <w:p w14:paraId="2C886543">
            <w:pPr>
              <w:keepNext w:val="0"/>
              <w:keepLines w:val="0"/>
              <w:suppressLineNumbers w:val="0"/>
              <w:spacing w:before="0" w:beforeAutospacing="0" w:after="0" w:afterAutospacing="0" w:line="400" w:lineRule="exact"/>
              <w:ind w:left="0" w:right="42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造价人员</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67B25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5096" w:type="dxa"/>
            <w:tcBorders>
              <w:top w:val="single" w:color="auto" w:sz="4" w:space="0"/>
              <w:left w:val="single" w:color="auto" w:sz="4" w:space="0"/>
              <w:bottom w:val="single" w:color="auto" w:sz="4" w:space="0"/>
              <w:right w:val="single" w:color="auto" w:sz="4" w:space="0"/>
            </w:tcBorders>
            <w:noWrap w:val="0"/>
            <w:vAlign w:val="top"/>
          </w:tcPr>
          <w:p w14:paraId="17E86EF5">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6AA21B2B">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□与合同约定不相符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修改意见见附件。</w:t>
            </w:r>
          </w:p>
          <w:p w14:paraId="23EEDCED">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具体金额由造价工程师复核。</w:t>
            </w:r>
          </w:p>
          <w:p w14:paraId="5B3B4A27">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监理工程师</w:t>
            </w:r>
            <w:r>
              <w:rPr>
                <w:rFonts w:hint="default" w:ascii="Times New Roman" w:hAnsi="Times New Roman" w:eastAsia="宋体" w:cs="Times New Roman"/>
                <w:color w:val="auto"/>
                <w:szCs w:val="21"/>
                <w:highlight w:val="none"/>
                <w:u w:val="single"/>
              </w:rPr>
              <w:t xml:space="preserve">           </w:t>
            </w:r>
          </w:p>
          <w:p w14:paraId="44AEF94A">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c>
          <w:tcPr>
            <w:tcW w:w="4543" w:type="dxa"/>
            <w:tcBorders>
              <w:top w:val="single" w:color="auto" w:sz="4" w:space="0"/>
              <w:left w:val="single" w:color="auto" w:sz="4" w:space="0"/>
              <w:bottom w:val="single" w:color="auto" w:sz="4" w:space="0"/>
              <w:right w:val="single" w:color="auto" w:sz="4" w:space="0"/>
            </w:tcBorders>
            <w:noWrap w:val="0"/>
            <w:vAlign w:val="top"/>
          </w:tcPr>
          <w:p w14:paraId="1EEFC369">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72B10AF8">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你方提出的支付申请经复核</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应支付预付款金额为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元。</w:t>
            </w:r>
          </w:p>
          <w:p w14:paraId="0F48F0C1">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p>
          <w:p w14:paraId="73562B44">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01A8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1DFEEAAD">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2C6F0C1A">
            <w:pPr>
              <w:keepNext w:val="0"/>
              <w:keepLines w:val="0"/>
              <w:suppressLineNumbers w:val="0"/>
              <w:spacing w:before="0" w:beforeAutospacing="0" w:after="0" w:afterAutospacing="0"/>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w:t>
            </w:r>
          </w:p>
          <w:p w14:paraId="7CA8DDBE">
            <w:pPr>
              <w:keepNext w:val="0"/>
              <w:keepLines w:val="0"/>
              <w:suppressLineNumbers w:val="0"/>
              <w:spacing w:before="0" w:beforeAutospacing="0" w:after="0" w:afterAutospacing="0"/>
              <w:ind w:left="0" w:right="0" w:firstLine="42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支付时间为本表签发后的</w:t>
            </w:r>
            <w:r>
              <w:rPr>
                <w:rFonts w:hint="eastAsia" w:ascii="Times New Roman" w:hAnsi="Times New Roman" w:eastAsia="宋体" w:cs="Times New Roman"/>
                <w:color w:val="auto"/>
                <w:szCs w:val="21"/>
                <w:highlight w:val="none"/>
              </w:rPr>
              <w:t>15</w:t>
            </w:r>
            <w:r>
              <w:rPr>
                <w:rFonts w:hint="eastAsia" w:ascii="宋体" w:hAnsi="宋体" w:eastAsia="宋体" w:cs="Times New Roman"/>
                <w:color w:val="auto"/>
                <w:szCs w:val="21"/>
                <w:highlight w:val="none"/>
              </w:rPr>
              <w:t>天内。</w:t>
            </w:r>
          </w:p>
          <w:p w14:paraId="2D887869">
            <w:pPr>
              <w:keepNext w:val="0"/>
              <w:keepLines w:val="0"/>
              <w:suppressLineNumbers w:val="0"/>
              <w:spacing w:before="0" w:beforeAutospacing="0" w:after="0" w:afterAutospacing="0"/>
              <w:ind w:left="0" w:right="735" w:firstLine="619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p>
          <w:p w14:paraId="415ABBA4">
            <w:pPr>
              <w:keepNext w:val="0"/>
              <w:keepLines w:val="0"/>
              <w:suppressLineNumbers w:val="0"/>
              <w:spacing w:before="0" w:beforeAutospacing="0" w:after="0" w:afterAutospacing="0"/>
              <w:ind w:left="0" w:right="420" w:firstLine="6195"/>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p>
          <w:p w14:paraId="5B88B6B5">
            <w:pPr>
              <w:keepNext w:val="0"/>
              <w:keepLines w:val="0"/>
              <w:suppressLineNumbers w:val="0"/>
              <w:spacing w:before="0" w:beforeAutospacing="0" w:after="0" w:afterAutospacing="0"/>
              <w:ind w:left="0" w:right="420" w:firstLine="6195"/>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4DFDC449">
      <w:pPr>
        <w:ind w:firstLine="360"/>
        <w:rPr>
          <w:rFonts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注：1.在选择栏中的</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内作标识</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 xml:space="preserve">。 </w:t>
      </w:r>
    </w:p>
    <w:p w14:paraId="779D7BD0">
      <w:pPr>
        <w:ind w:left="720" w:hanging="720"/>
        <w:rPr>
          <w:rFonts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 xml:space="preserve">    </w:t>
      </w:r>
      <w:r>
        <w:rPr>
          <w:rFonts w:ascii="宋体" w:hAnsi="宋体" w:eastAsia="宋体" w:cs="Times New Roman"/>
          <w:color w:val="auto"/>
          <w:sz w:val="18"/>
          <w:szCs w:val="18"/>
          <w:highlight w:val="none"/>
        </w:rPr>
        <w:t xml:space="preserve">  </w:t>
      </w:r>
      <w:r>
        <w:rPr>
          <w:rFonts w:hint="eastAsia" w:ascii="宋体" w:hAnsi="宋体" w:eastAsia="宋体" w:cs="Times New Roman"/>
          <w:color w:val="auto"/>
          <w:sz w:val="18"/>
          <w:szCs w:val="18"/>
          <w:highlight w:val="none"/>
        </w:rPr>
        <w:t xml:space="preserve">  2.本表一式四份</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由承包人填报</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发包人、监理人、工程造价咨询人、承包人各存一份。</w:t>
      </w:r>
    </w:p>
    <w:p w14:paraId="0BD3BE45">
      <w:pPr>
        <w:spacing w:before="0"/>
        <w:ind w:left="714" w:firstLine="0"/>
        <w:rPr>
          <w:rFonts w:hint="eastAsia"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3.应付预付款计算基数=签约合同价款-暂列金额-专业工程暂估价-安全生产费</w:t>
      </w:r>
      <w:r>
        <w:rPr>
          <w:rFonts w:hint="eastAsia" w:ascii="宋体" w:hAnsi="宋体" w:eastAsia="宋体" w:cs="Times New Roman"/>
          <w:color w:val="auto"/>
          <w:sz w:val="18"/>
          <w:szCs w:val="18"/>
          <w:highlight w:val="none"/>
          <w:lang w:eastAsia="zh-CN"/>
        </w:rPr>
        <w:t>。</w:t>
      </w:r>
    </w:p>
    <w:p w14:paraId="4C668CC3">
      <w:pPr>
        <w:spacing w:before="120"/>
        <w:ind w:left="1200" w:hanging="1200"/>
        <w:rPr>
          <w:rFonts w:hint="eastAsia" w:ascii="Times New Roman" w:hAnsi="Times New Roman" w:eastAsia="仿宋_GB2312" w:cs="Times New Roman"/>
          <w:color w:val="auto"/>
          <w:sz w:val="30"/>
          <w:szCs w:val="30"/>
          <w:highlight w:val="none"/>
        </w:rPr>
      </w:pPr>
    </w:p>
    <w:p w14:paraId="2C573E6D">
      <w:pPr>
        <w:pStyle w:val="47"/>
        <w:rPr>
          <w:rFonts w:hint="eastAsia" w:eastAsia="仿宋_GB2312"/>
          <w:color w:val="auto"/>
          <w:sz w:val="30"/>
          <w:szCs w:val="30"/>
          <w:highlight w:val="none"/>
        </w:rPr>
      </w:pPr>
    </w:p>
    <w:p w14:paraId="622BD774">
      <w:pPr>
        <w:pStyle w:val="47"/>
        <w:rPr>
          <w:rFonts w:hint="eastAsia" w:eastAsia="仿宋_GB2312"/>
          <w:color w:val="auto"/>
          <w:sz w:val="30"/>
          <w:szCs w:val="30"/>
          <w:highlight w:val="none"/>
        </w:rPr>
      </w:pPr>
    </w:p>
    <w:p w14:paraId="45085E34">
      <w:pPr>
        <w:spacing w:before="120" w:after="12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附件11：进度款支付申请（核准）表</w:t>
      </w:r>
    </w:p>
    <w:p w14:paraId="7C4C5698">
      <w:pPr>
        <w:jc w:val="center"/>
        <w:rPr>
          <w:rFonts w:hint="default" w:ascii="Times New Roman" w:hAnsi="Times New Roman" w:eastAsia="宋体" w:cs="Times New Roman"/>
          <w:b/>
          <w:color w:val="auto"/>
          <w:sz w:val="36"/>
          <w:szCs w:val="36"/>
          <w:highlight w:val="none"/>
        </w:rPr>
      </w:pPr>
      <w:r>
        <w:rPr>
          <w:rFonts w:hint="default" w:ascii="Times New Roman" w:hAnsi="Times New Roman" w:eastAsia="宋体" w:cs="Times New Roman"/>
          <w:b/>
          <w:color w:val="auto"/>
          <w:sz w:val="36"/>
          <w:szCs w:val="36"/>
          <w:highlight w:val="none"/>
        </w:rPr>
        <w:t>进度款支付申请（核准）表</w:t>
      </w:r>
    </w:p>
    <w:p w14:paraId="5B508C58">
      <w:pPr>
        <w:rPr>
          <w:rFonts w:ascii="Times New Roman" w:hAnsi="Times New Roman"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工程名称：                                      </w:t>
      </w:r>
      <w:r>
        <w:rPr>
          <w:rFonts w:hint="eastAsia" w:ascii="宋体" w:hAnsi="宋体" w:eastAsia="宋体" w:cs="Times New Roman"/>
          <w:color w:val="auto"/>
          <w:sz w:val="24"/>
          <w:szCs w:val="24"/>
          <w:highlight w:val="none"/>
          <w:lang w:val="en-US" w:eastAsia="zh-CN"/>
        </w:rPr>
        <w:t xml:space="preserve">       </w:t>
      </w:r>
      <w:r>
        <w:rPr>
          <w:rFonts w:hint="eastAsia" w:ascii="宋体" w:hAnsi="宋体" w:eastAsia="宋体" w:cs="Times New Roman"/>
          <w:color w:val="auto"/>
          <w:sz w:val="24"/>
          <w:szCs w:val="24"/>
          <w:highlight w:val="none"/>
        </w:rPr>
        <w:t>编号：</w:t>
      </w:r>
    </w:p>
    <w:tbl>
      <w:tblPr>
        <w:tblStyle w:val="48"/>
        <w:tblW w:w="9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9"/>
        <w:gridCol w:w="4552"/>
      </w:tblGrid>
      <w:tr w14:paraId="350E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2DC90958">
            <w:pPr>
              <w:keepNext w:val="0"/>
              <w:keepLines w:val="0"/>
              <w:suppressLineNumbers w:val="0"/>
              <w:spacing w:before="0" w:beforeAutospacing="0" w:after="0" w:afterAutospacing="0" w:line="480" w:lineRule="exact"/>
              <w:ind w:left="525" w:right="0" w:hanging="212"/>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（发包人全称）</w:t>
            </w:r>
          </w:p>
          <w:p w14:paraId="329EFB61">
            <w:pPr>
              <w:keepNext w:val="0"/>
              <w:keepLines w:val="0"/>
              <w:suppressLineNumbers w:val="0"/>
              <w:spacing w:before="0" w:beforeAutospacing="0" w:after="0" w:afterAutospacing="0" w:line="400" w:lineRule="exact"/>
              <w:ind w:left="-4" w:right="0" w:firstLine="31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我方于</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至</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期间已完成了</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工作，根据施工合同的约定，现申请支付本期的进度款额为</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宋体" w:hAnsi="宋体"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eastAsia" w:ascii="宋体" w:hAnsi="宋体"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元，请予核准。</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38"/>
              <w:gridCol w:w="4656"/>
              <w:gridCol w:w="1328"/>
              <w:gridCol w:w="1291"/>
              <w:gridCol w:w="572"/>
            </w:tblGrid>
            <w:tr w14:paraId="6B09D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48AD93AB">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5394" w:type="dxa"/>
                  <w:gridSpan w:val="2"/>
                  <w:tcBorders>
                    <w:top w:val="single" w:color="auto" w:sz="4" w:space="0"/>
                    <w:left w:val="single" w:color="auto" w:sz="4" w:space="0"/>
                    <w:bottom w:val="single" w:color="auto" w:sz="4" w:space="0"/>
                    <w:right w:val="single" w:color="auto" w:sz="4" w:space="0"/>
                  </w:tcBorders>
                  <w:noWrap w:val="0"/>
                  <w:vAlign w:val="center"/>
                </w:tcPr>
                <w:p w14:paraId="2C37DB3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名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称</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CFACE0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申请金额（元）</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509B0C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核定金额（元）</w:t>
                  </w:r>
                </w:p>
              </w:tc>
              <w:tc>
                <w:tcPr>
                  <w:tcW w:w="572" w:type="dxa"/>
                  <w:tcBorders>
                    <w:top w:val="single" w:color="auto" w:sz="4" w:space="0"/>
                    <w:left w:val="single" w:color="auto" w:sz="4" w:space="0"/>
                    <w:bottom w:val="single" w:color="auto" w:sz="4" w:space="0"/>
                    <w:right w:val="single" w:color="auto" w:sz="4" w:space="0"/>
                  </w:tcBorders>
                  <w:noWrap w:val="0"/>
                  <w:vAlign w:val="center"/>
                </w:tcPr>
                <w:p w14:paraId="0E6ACEB3">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备注</w:t>
                  </w:r>
                </w:p>
              </w:tc>
            </w:tr>
            <w:tr w14:paraId="4036C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1DB5B805">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526E42A">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累计已完成的工程价款（不含本期）</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7FC83129">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39F2AF9">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4B271A17">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3E78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015FD9AE">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B3D7DD3">
                  <w:pPr>
                    <w:keepNext w:val="0"/>
                    <w:keepLines w:val="0"/>
                    <w:suppressLineNumbers w:val="0"/>
                    <w:spacing w:before="0" w:beforeAutospacing="0" w:after="0" w:afterAutospacing="0" w:line="280" w:lineRule="exact"/>
                    <w:ind w:left="0" w:right="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累计已实际支付的工程价款</w:t>
                  </w:r>
                  <w:r>
                    <w:rPr>
                      <w:rFonts w:hint="eastAsia" w:ascii="宋体" w:hAnsi="宋体" w:eastAsia="宋体" w:cs="Times New Roman"/>
                      <w:color w:val="auto"/>
                      <w:szCs w:val="21"/>
                      <w:highlight w:val="none"/>
                      <w:lang w:eastAsia="zh-CN"/>
                    </w:rPr>
                    <w:t>（含预付款）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5BE42CD">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412CAC2">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0D7A30C9">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6C235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7626DE3E">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2.1</w:t>
                  </w:r>
                </w:p>
              </w:tc>
              <w:tc>
                <w:tcPr>
                  <w:tcW w:w="738" w:type="dxa"/>
                  <w:tcBorders>
                    <w:top w:val="nil"/>
                    <w:left w:val="single" w:color="auto" w:sz="4" w:space="0"/>
                    <w:bottom w:val="single" w:color="auto" w:sz="4" w:space="0"/>
                    <w:right w:val="single" w:color="auto" w:sz="4" w:space="0"/>
                  </w:tcBorders>
                  <w:noWrap w:val="0"/>
                  <w:vAlign w:val="center"/>
                </w:tcPr>
                <w:p w14:paraId="14CFB951">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71BE5FC7">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4DCB3D2">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6F2DCE99">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6FBC5B02">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4E118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F46E44E">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3</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2B3A716">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本</w:t>
                  </w:r>
                  <w:r>
                    <w:rPr>
                      <w:rFonts w:hint="eastAsia" w:ascii="宋体" w:hAnsi="宋体" w:eastAsia="宋体" w:cs="Times New Roman"/>
                      <w:color w:val="auto"/>
                      <w:szCs w:val="21"/>
                      <w:highlight w:val="none"/>
                    </w:rPr>
                    <w:t>期完成的工程价款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2094BF55">
                  <w:pPr>
                    <w:keepNext w:val="0"/>
                    <w:keepLines w:val="0"/>
                    <w:suppressLineNumbers w:val="0"/>
                    <w:spacing w:before="0" w:beforeAutospacing="0" w:after="0" w:afterAutospacing="0" w:line="280" w:lineRule="exact"/>
                    <w:ind w:left="0" w:right="0"/>
                    <w:jc w:val="center"/>
                    <w:rPr>
                      <w:rFonts w:hint="default" w:ascii="宋体" w:hAnsi="宋体" w:eastAsia="宋体" w:cs="Times New Roman"/>
                      <w:b/>
                      <w:bCs/>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6D619B3B">
                  <w:pPr>
                    <w:keepNext w:val="0"/>
                    <w:keepLines w:val="0"/>
                    <w:suppressLineNumbers w:val="0"/>
                    <w:spacing w:before="0" w:beforeAutospacing="0" w:after="0" w:afterAutospacing="0" w:line="280" w:lineRule="exact"/>
                    <w:ind w:left="0" w:right="0"/>
                    <w:jc w:val="center"/>
                    <w:rPr>
                      <w:rFonts w:hint="default" w:ascii="宋体" w:hAnsi="宋体" w:eastAsia="宋体" w:cs="Times New Roman"/>
                      <w:b/>
                      <w:bCs/>
                      <w:color w:val="auto"/>
                      <w:szCs w:val="21"/>
                      <w:highlight w:val="none"/>
                      <w:lang w:val="en-US" w:eastAsia="zh-CN"/>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C12A5A6">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7E16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4D198383">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3.1</w:t>
                  </w:r>
                </w:p>
              </w:tc>
              <w:tc>
                <w:tcPr>
                  <w:tcW w:w="738" w:type="dxa"/>
                  <w:tcBorders>
                    <w:top w:val="nil"/>
                    <w:left w:val="single" w:color="auto" w:sz="4" w:space="0"/>
                    <w:bottom w:val="single" w:color="auto" w:sz="4" w:space="0"/>
                    <w:right w:val="single" w:color="auto" w:sz="4" w:space="0"/>
                  </w:tcBorders>
                  <w:noWrap w:val="0"/>
                  <w:vAlign w:val="center"/>
                </w:tcPr>
                <w:p w14:paraId="6E1CC4F1">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43C9F784">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人工费</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15C2CCDF">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8B7D61F">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1BAC08F6">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27F7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7E922658">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4</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52E24F91">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本</w:t>
                  </w:r>
                  <w:r>
                    <w:rPr>
                      <w:rFonts w:hint="eastAsia" w:ascii="宋体" w:hAnsi="宋体" w:eastAsia="宋体" w:cs="Times New Roman"/>
                      <w:color w:val="auto"/>
                      <w:szCs w:val="21"/>
                      <w:highlight w:val="none"/>
                    </w:rPr>
                    <w:t>期应扣除的工程价款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26D41309">
                  <w:pPr>
                    <w:keepNext w:val="0"/>
                    <w:keepLines w:val="0"/>
                    <w:suppressLineNumbers w:val="0"/>
                    <w:spacing w:before="0" w:beforeAutospacing="0" w:after="0" w:afterAutospacing="0" w:line="280" w:lineRule="exact"/>
                    <w:ind w:left="0" w:right="0"/>
                    <w:jc w:val="center"/>
                    <w:rPr>
                      <w:rFonts w:hint="default" w:ascii="宋体" w:hAnsi="宋体" w:eastAsia="宋体" w:cs="Times New Roman"/>
                      <w:b/>
                      <w:bCs/>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622775BB">
                  <w:pPr>
                    <w:keepNext w:val="0"/>
                    <w:keepLines w:val="0"/>
                    <w:suppressLineNumbers w:val="0"/>
                    <w:spacing w:before="0" w:beforeAutospacing="0" w:after="0" w:afterAutospacing="0" w:line="280" w:lineRule="exact"/>
                    <w:ind w:left="0" w:right="0"/>
                    <w:jc w:val="center"/>
                    <w:rPr>
                      <w:rFonts w:hint="default" w:ascii="宋体" w:hAnsi="宋体" w:eastAsia="宋体" w:cs="Times New Roman"/>
                      <w:b/>
                      <w:bCs/>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607E9F10">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67739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08D1AC68">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4.</w:t>
                  </w:r>
                  <w:r>
                    <w:rPr>
                      <w:rFonts w:hint="eastAsia" w:ascii="宋体" w:hAnsi="宋体" w:eastAsia="宋体" w:cs="Times New Roman"/>
                      <w:color w:val="auto"/>
                      <w:szCs w:val="21"/>
                      <w:highlight w:val="none"/>
                      <w:lang w:val="en-US" w:eastAsia="zh-CN"/>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10FF127E">
                  <w:pPr>
                    <w:keepNext w:val="0"/>
                    <w:keepLines w:val="0"/>
                    <w:suppressLineNumbers w:val="0"/>
                    <w:spacing w:before="0" w:beforeAutospacing="0" w:after="0" w:afterAutospacing="0"/>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扣除</w:t>
                  </w:r>
                  <w:r>
                    <w:rPr>
                      <w:rFonts w:hint="eastAsia" w:ascii="宋体" w:hAnsi="宋体" w:eastAsia="宋体" w:cs="Times New Roman"/>
                      <w:color w:val="auto"/>
                      <w:szCs w:val="21"/>
                      <w:highlight w:val="none"/>
                      <w:lang w:eastAsia="zh-CN"/>
                    </w:rPr>
                    <w:t>本</w:t>
                  </w:r>
                  <w:r>
                    <w:rPr>
                      <w:rFonts w:hint="eastAsia" w:ascii="宋体" w:hAnsi="宋体" w:eastAsia="宋体" w:cs="Times New Roman"/>
                      <w:color w:val="auto"/>
                      <w:szCs w:val="21"/>
                      <w:highlight w:val="none"/>
                    </w:rPr>
                    <w:t>期应抵扣的预付款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16D40191">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B01B5C1">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7D93837">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5B291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5F9D526B">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4.</w:t>
                  </w:r>
                  <w:r>
                    <w:rPr>
                      <w:rFonts w:hint="eastAsia" w:ascii="宋体" w:hAnsi="宋体" w:eastAsia="宋体" w:cs="Times New Roman"/>
                      <w:color w:val="auto"/>
                      <w:szCs w:val="21"/>
                      <w:highlight w:val="none"/>
                      <w:lang w:val="en-US" w:eastAsia="zh-CN"/>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D7330CC">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扣除</w:t>
                  </w:r>
                  <w:r>
                    <w:rPr>
                      <w:rFonts w:hint="eastAsia" w:ascii="宋体" w:hAnsi="宋体" w:eastAsia="宋体" w:cs="Times New Roman"/>
                      <w:color w:val="auto"/>
                      <w:szCs w:val="21"/>
                      <w:highlight w:val="none"/>
                      <w:lang w:eastAsia="zh-CN"/>
                    </w:rPr>
                    <w:t>本</w:t>
                  </w:r>
                  <w:r>
                    <w:rPr>
                      <w:rFonts w:hint="eastAsia" w:ascii="宋体" w:hAnsi="宋体" w:eastAsia="宋体" w:cs="Times New Roman"/>
                      <w:color w:val="auto"/>
                      <w:szCs w:val="21"/>
                      <w:highlight w:val="none"/>
                    </w:rPr>
                    <w:t>期应预留的质量保证金（如有）</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11BFF658">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4FA5BD3C">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02CB6ADF">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1363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0B6129FB">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5</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6E276CF5">
                  <w:pPr>
                    <w:keepNext w:val="0"/>
                    <w:keepLines w:val="0"/>
                    <w:suppressLineNumbers w:val="0"/>
                    <w:spacing w:before="0" w:beforeAutospacing="0" w:after="0" w:afterAutospacing="0"/>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已签发的进度款支付证书中出现错误需在当期中支付或扣除的工程价款；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91F7703">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Cs w:val="21"/>
                      <w:highlight w:val="none"/>
                      <w:lang w:val="en-US" w:eastAsia="zh-CN"/>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45879948">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67D60201">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7C4C7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0B9BB51E">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6</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475B14F2">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lang w:eastAsia="zh-CN"/>
                    </w:rPr>
                    <w:t>本</w:t>
                  </w:r>
                  <w:r>
                    <w:rPr>
                      <w:rFonts w:hint="eastAsia" w:ascii="宋体" w:hAnsi="宋体" w:eastAsia="宋体" w:cs="Times New Roman"/>
                      <w:color w:val="auto"/>
                      <w:szCs w:val="21"/>
                      <w:highlight w:val="none"/>
                    </w:rPr>
                    <w:t>期应支付工程价款</w:t>
                  </w:r>
                  <w:r>
                    <w:rPr>
                      <w:rFonts w:hint="eastAsia" w:ascii="宋体" w:hAnsi="宋体" w:eastAsia="宋体" w:cs="Times New Roman"/>
                      <w:strike w:val="0"/>
                      <w:color w:val="auto"/>
                      <w:szCs w:val="21"/>
                      <w:highlight w:val="none"/>
                    </w:rPr>
                    <w:t>=&lt;3&gt;</w:t>
                  </w:r>
                </w:p>
                <w:p w14:paraId="74F9B052">
                  <w:pPr>
                    <w:keepNext w:val="0"/>
                    <w:keepLines w:val="0"/>
                    <w:suppressLineNumbers w:val="0"/>
                    <w:spacing w:before="0" w:beforeAutospacing="0" w:after="0" w:afterAutospacing="0" w:line="280" w:lineRule="exact"/>
                    <w:ind w:left="0" w:right="0" w:firstLine="210"/>
                    <w:rPr>
                      <w:rFonts w:hint="default" w:ascii="宋体" w:hAnsi="宋体" w:eastAsia="宋体" w:cs="Times New Roman"/>
                      <w:color w:val="auto"/>
                      <w:szCs w:val="21"/>
                      <w:highlight w:val="none"/>
                    </w:rPr>
                  </w:pPr>
                  <w:r>
                    <w:rPr>
                      <w:rFonts w:hint="eastAsia" w:ascii="宋体" w:hAnsi="宋体" w:eastAsia="宋体" w:cs="Times New Roman"/>
                      <w:strike w:val="0"/>
                      <w:color w:val="auto"/>
                      <w:szCs w:val="21"/>
                      <w:highlight w:val="none"/>
                    </w:rPr>
                    <w:t>×支付比例</w:t>
                  </w:r>
                  <w:r>
                    <w:rPr>
                      <w:rFonts w:hint="eastAsia" w:ascii="宋体" w:hAnsi="宋体" w:eastAsia="宋体" w:cs="Times New Roman"/>
                      <w:strike w:val="0"/>
                      <w:color w:val="auto"/>
                      <w:szCs w:val="21"/>
                      <w:highlight w:val="none"/>
                      <w:lang w:eastAsia="zh-CN"/>
                    </w:rPr>
                    <w:t>－</w:t>
                  </w:r>
                  <w:r>
                    <w:rPr>
                      <w:rFonts w:hint="eastAsia" w:ascii="宋体" w:hAnsi="宋体" w:eastAsia="宋体" w:cs="Times New Roman"/>
                      <w:strike w:val="0"/>
                      <w:color w:val="auto"/>
                      <w:szCs w:val="21"/>
                      <w:highlight w:val="none"/>
                      <w:lang w:val="en-US" w:eastAsia="zh-CN"/>
                    </w:rPr>
                    <w:t>&lt;4&gt;</w:t>
                  </w:r>
                  <w:r>
                    <w:rPr>
                      <w:rFonts w:hint="eastAsia" w:ascii="宋体" w:hAnsi="宋体" w:eastAsia="宋体" w:cs="Times New Roman"/>
                      <w:strike w:val="0"/>
                      <w:color w:val="auto"/>
                      <w:szCs w:val="21"/>
                      <w:highlight w:val="none"/>
                    </w:rPr>
                    <w:t>＋&lt;5&gt;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36D94BD">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7BB84CA8">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37DCE67">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6B1F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77A758DF">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6.1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0A9485D4">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其中：本期应支付</w:t>
                  </w:r>
                  <w:r>
                    <w:rPr>
                      <w:rFonts w:hint="eastAsia" w:ascii="宋体" w:hAnsi="宋体" w:eastAsia="宋体" w:cs="Times New Roman"/>
                      <w:color w:val="auto"/>
                      <w:szCs w:val="21"/>
                      <w:highlight w:val="none"/>
                    </w:rPr>
                    <w:t>人工费=&lt;3.1&gt;×支付比例</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2F406019">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15FE92D">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F9AB2FD">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7F7E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0A840900">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7</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41BB2E42">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累计已完成的工程价款（含本期）=&lt;1&gt;＋&lt;3&gt;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3ED03CE">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8267745">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037ACA1D">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bl>
          <w:p w14:paraId="5CC1A598">
            <w:pPr>
              <w:keepNext w:val="0"/>
              <w:keepLines w:val="0"/>
              <w:suppressLineNumbers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附：上述</w:t>
            </w:r>
            <w:r>
              <w:rPr>
                <w:rFonts w:hint="eastAsia" w:ascii="Times New Roman" w:hAnsi="Times New Roman"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详见附件清单。</w:t>
            </w:r>
          </w:p>
          <w:p w14:paraId="09D943D4">
            <w:pPr>
              <w:keepNext w:val="0"/>
              <w:keepLines w:val="0"/>
              <w:suppressLineNumbers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承包人（章） </w:t>
            </w:r>
            <w:r>
              <w:rPr>
                <w:rFonts w:hint="default" w:ascii="Times New Roman" w:hAnsi="Times New Roman" w:eastAsia="宋体" w:cs="Times New Roman"/>
                <w:color w:val="auto"/>
                <w:szCs w:val="21"/>
                <w:highlight w:val="none"/>
              </w:rPr>
              <w:t xml:space="preserve">            </w:t>
            </w:r>
          </w:p>
          <w:p w14:paraId="12B4D00A">
            <w:pPr>
              <w:keepNext w:val="0"/>
              <w:keepLines w:val="0"/>
              <w:suppressLineNumbers w:val="0"/>
              <w:spacing w:before="0" w:beforeAutospacing="0" w:after="0" w:afterAutospacing="0" w:line="400" w:lineRule="exact"/>
              <w:ind w:left="0" w:right="42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造价人员</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420C5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4959" w:type="dxa"/>
            <w:tcBorders>
              <w:top w:val="single" w:color="auto" w:sz="4" w:space="0"/>
              <w:left w:val="single" w:color="auto" w:sz="4" w:space="0"/>
              <w:bottom w:val="single" w:color="auto" w:sz="4" w:space="0"/>
              <w:right w:val="single" w:color="auto" w:sz="4" w:space="0"/>
            </w:tcBorders>
            <w:noWrap w:val="0"/>
            <w:vAlign w:val="top"/>
          </w:tcPr>
          <w:p w14:paraId="566EE6FB">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DCE5899">
            <w:pPr>
              <w:keepNext w:val="0"/>
              <w:keepLines w:val="0"/>
              <w:suppressLineNumbers w:val="0"/>
              <w:spacing w:before="0" w:beforeAutospacing="0" w:after="0" w:afterAutospacing="0" w:line="360" w:lineRule="exact"/>
              <w:ind w:left="0" w:right="0" w:firstLine="312"/>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□与实际施工情况不相符，修改意见见附件。</w:t>
            </w:r>
          </w:p>
          <w:p w14:paraId="1417DBF6">
            <w:pPr>
              <w:keepNext w:val="0"/>
              <w:keepLines w:val="0"/>
              <w:suppressLineNumbers w:val="0"/>
              <w:spacing w:before="0" w:beforeAutospacing="0" w:after="0" w:afterAutospacing="0" w:line="360" w:lineRule="exact"/>
              <w:ind w:left="0" w:right="0" w:firstLine="312"/>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□与实际施工情况相符，具体金额由造价工程师复核。</w:t>
            </w:r>
          </w:p>
          <w:p w14:paraId="4117651A">
            <w:pPr>
              <w:keepNext w:val="0"/>
              <w:keepLines w:val="0"/>
              <w:suppressLineNumbers w:val="0"/>
              <w:spacing w:before="0" w:beforeAutospacing="0" w:after="0" w:afterAutospacing="0" w:line="360" w:lineRule="exact"/>
              <w:ind w:left="0" w:right="0" w:firstLine="435"/>
              <w:jc w:val="right"/>
              <w:rPr>
                <w:rFonts w:hint="default" w:ascii="Times New Roman" w:hAnsi="Times New Roman" w:eastAsia="宋体" w:cs="Times New Roman"/>
                <w:color w:val="auto"/>
                <w:szCs w:val="21"/>
                <w:highlight w:val="none"/>
              </w:rPr>
            </w:pPr>
          </w:p>
          <w:p w14:paraId="2B8EAAFF">
            <w:pPr>
              <w:keepNext w:val="0"/>
              <w:keepLines w:val="0"/>
              <w:suppressLineNumbers w:val="0"/>
              <w:spacing w:before="0" w:beforeAutospacing="0" w:after="0" w:afterAutospacing="0" w:line="360" w:lineRule="exact"/>
              <w:ind w:left="0" w:right="0"/>
              <w:jc w:val="both"/>
              <w:rPr>
                <w:rFonts w:hint="default" w:ascii="Times New Roman" w:hAnsi="Times New Roman" w:eastAsia="宋体" w:cs="Times New Roman"/>
                <w:color w:val="auto"/>
                <w:szCs w:val="21"/>
                <w:highlight w:val="none"/>
                <w:u w:val="single"/>
              </w:rPr>
            </w:pPr>
            <w:r>
              <w:rPr>
                <w:rFonts w:hint="eastAsia" w:ascii="Times New Roman" w:hAnsi="Times New Roman" w:eastAsia="宋体" w:cs="Times New Roman"/>
                <w:color w:val="auto"/>
                <w:szCs w:val="21"/>
                <w:highlight w:val="none"/>
                <w:lang w:eastAsia="zh-CN"/>
              </w:rPr>
              <w:t>监理</w:t>
            </w:r>
            <w:r>
              <w:rPr>
                <w:rFonts w:hint="eastAsia" w:ascii="宋体" w:hAnsi="宋体" w:eastAsia="宋体" w:cs="Times New Roman"/>
                <w:color w:val="auto"/>
                <w:szCs w:val="21"/>
                <w:highlight w:val="none"/>
              </w:rPr>
              <w:t>工程师</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68CC1395">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33DA6E81">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你方提出的支付申请经复核，本周期已完成工程价款为</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宋体" w:hAnsi="宋体"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元，（小写）</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元，本期间应支付金额为（大写）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元，（小写）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p>
          <w:p w14:paraId="2828198F">
            <w:pPr>
              <w:keepNext w:val="0"/>
              <w:keepLines w:val="0"/>
              <w:suppressLineNumbers w:val="0"/>
              <w:spacing w:before="0" w:beforeAutospacing="0" w:after="0" w:afterAutospacing="0" w:line="360" w:lineRule="exact"/>
              <w:ind w:left="0" w:right="0"/>
              <w:jc w:val="both"/>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4DC6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2DCBF3A5">
            <w:pPr>
              <w:keepNext w:val="0"/>
              <w:keepLines w:val="0"/>
              <w:suppressLineNumbers w:val="0"/>
              <w:spacing w:before="0" w:beforeAutospacing="0" w:after="0" w:afterAutospacing="0" w:line="40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5C0ACC20">
            <w:pPr>
              <w:keepNext w:val="0"/>
              <w:keepLines w:val="0"/>
              <w:suppressLineNumbers w:val="0"/>
              <w:spacing w:before="0" w:beforeAutospacing="0" w:after="0" w:afterAutospacing="0" w:line="40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w:t>
            </w:r>
          </w:p>
          <w:p w14:paraId="2955D600">
            <w:pPr>
              <w:keepNext w:val="0"/>
              <w:keepLines w:val="0"/>
              <w:suppressLineNumbers w:val="0"/>
              <w:spacing w:before="0" w:beforeAutospacing="0" w:after="0" w:afterAutospacing="0" w:line="400" w:lineRule="exact"/>
              <w:ind w:left="0" w:right="0" w:firstLine="42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□同意，支付时间为本表签发后的</w:t>
            </w:r>
            <w:r>
              <w:rPr>
                <w:rFonts w:hint="eastAsia" w:ascii="Times New Roman" w:hAnsi="Times New Roman" w:eastAsia="宋体" w:cs="Times New Roman"/>
                <w:color w:val="auto"/>
                <w:szCs w:val="21"/>
                <w:highlight w:val="none"/>
              </w:rPr>
              <w:t>15</w:t>
            </w:r>
            <w:r>
              <w:rPr>
                <w:rFonts w:hint="eastAsia" w:ascii="宋体" w:hAnsi="宋体" w:eastAsia="宋体" w:cs="Times New Roman"/>
                <w:color w:val="auto"/>
                <w:szCs w:val="21"/>
                <w:highlight w:val="none"/>
              </w:rPr>
              <w:t>天内。</w:t>
            </w:r>
          </w:p>
          <w:p w14:paraId="2B3B3CA7">
            <w:pPr>
              <w:keepNext w:val="0"/>
              <w:keepLines w:val="0"/>
              <w:suppressLineNumbers w:val="0"/>
              <w:spacing w:before="0" w:beforeAutospacing="0" w:after="0" w:afterAutospacing="0" w:line="400" w:lineRule="exact"/>
              <w:ind w:left="0" w:right="0" w:firstLine="420"/>
              <w:jc w:val="right"/>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p>
          <w:p w14:paraId="5457894B">
            <w:pPr>
              <w:keepNext w:val="0"/>
              <w:keepLines w:val="0"/>
              <w:suppressLineNumbers w:val="0"/>
              <w:spacing w:before="0" w:beforeAutospacing="0" w:after="0" w:afterAutospacing="0" w:line="400" w:lineRule="exact"/>
              <w:ind w:left="0" w:right="0" w:firstLine="42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p>
          <w:p w14:paraId="50D8AFB7">
            <w:pPr>
              <w:keepNext w:val="0"/>
              <w:keepLines w:val="0"/>
              <w:suppressLineNumbers w:val="0"/>
              <w:spacing w:before="0" w:beforeAutospacing="0" w:after="0" w:afterAutospacing="0" w:line="400" w:lineRule="exact"/>
              <w:ind w:left="0" w:right="0" w:firstLine="42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5CC15464">
      <w:pPr>
        <w:ind w:firstLine="360"/>
        <w:rPr>
          <w:rFonts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注：</w:t>
      </w:r>
      <w:r>
        <w:rPr>
          <w:rFonts w:hint="eastAsia" w:ascii="Times New Roman" w:hAnsi="Times New Roman" w:eastAsia="宋体" w:cs="Times New Roman"/>
          <w:color w:val="auto"/>
          <w:sz w:val="18"/>
          <w:szCs w:val="18"/>
          <w:highlight w:val="none"/>
        </w:rPr>
        <w:t>1.</w:t>
      </w:r>
      <w:r>
        <w:rPr>
          <w:rFonts w:hint="eastAsia" w:ascii="宋体" w:hAnsi="宋体" w:eastAsia="宋体" w:cs="Times New Roman"/>
          <w:color w:val="auto"/>
          <w:sz w:val="18"/>
          <w:szCs w:val="18"/>
          <w:highlight w:val="none"/>
        </w:rPr>
        <w:t>在选择栏中的</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内作标识</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 xml:space="preserve">。 </w:t>
      </w:r>
    </w:p>
    <w:p w14:paraId="410AC30B">
      <w:pPr>
        <w:ind w:firstLine="720"/>
        <w:rPr>
          <w:rFonts w:ascii="宋体" w:hAnsi="宋体"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2.</w:t>
      </w:r>
      <w:r>
        <w:rPr>
          <w:rFonts w:hint="eastAsia" w:ascii="宋体" w:hAnsi="宋体" w:eastAsia="宋体" w:cs="Times New Roman"/>
          <w:color w:val="auto"/>
          <w:sz w:val="18"/>
          <w:szCs w:val="18"/>
          <w:highlight w:val="none"/>
        </w:rPr>
        <w:t>本表一式四份，由承包人填报，发包人、监理人、造价咨询人、承包人各存一份。</w:t>
      </w:r>
    </w:p>
    <w:p w14:paraId="75D68FAD">
      <w:pPr>
        <w:spacing w:before="120" w:after="120" w:line="440" w:lineRule="exact"/>
        <w:jc w:val="left"/>
        <w:rPr>
          <w:rFonts w:hint="eastAsia" w:ascii="仿宋_GB2312" w:hAnsi="Times New Roman" w:eastAsia="仿宋_GB2312" w:cs="仿宋_GB2312"/>
          <w:color w:val="auto"/>
          <w:sz w:val="30"/>
          <w:szCs w:val="30"/>
          <w:highlight w:val="none"/>
          <w:lang w:eastAsia="zh-CN"/>
        </w:rPr>
      </w:pPr>
      <w:r>
        <w:rPr>
          <w:rFonts w:hint="eastAsia" w:ascii="仿宋_GB2312" w:hAnsi="Times New Roman" w:eastAsia="仿宋_GB2312" w:cs="仿宋_GB2312"/>
          <w:color w:val="auto"/>
          <w:sz w:val="30"/>
          <w:szCs w:val="30"/>
          <w:highlight w:val="none"/>
        </w:rPr>
        <w:t>附件12</w:t>
      </w:r>
      <w:r>
        <w:rPr>
          <w:rFonts w:hint="eastAsia" w:ascii="仿宋_GB2312" w:hAnsi="Times New Roman" w:eastAsia="仿宋_GB2312" w:cs="仿宋_GB2312"/>
          <w:color w:val="auto"/>
          <w:sz w:val="30"/>
          <w:szCs w:val="30"/>
          <w:highlight w:val="none"/>
          <w:lang w:eastAsia="zh-CN"/>
        </w:rPr>
        <w:t>：竣工（施工过程）结算款支付申请（核准）表</w:t>
      </w:r>
    </w:p>
    <w:p w14:paraId="0A056A56">
      <w:pPr>
        <w:jc w:val="center"/>
        <w:outlineLvl w:val="1"/>
        <w:rPr>
          <w:rFonts w:ascii="Times New Roman" w:hAnsi="Times New Roman" w:eastAsia="宋体" w:cs="Times New Roman"/>
          <w:b/>
          <w:color w:val="auto"/>
          <w:sz w:val="36"/>
          <w:szCs w:val="36"/>
          <w:highlight w:val="none"/>
        </w:rPr>
      </w:pPr>
      <w:r>
        <w:rPr>
          <w:rFonts w:hint="default" w:ascii="宋体" w:hAnsi="宋体" w:eastAsia="宋体" w:cs="Times New Roman"/>
          <w:b/>
          <w:color w:val="auto"/>
          <w:sz w:val="30"/>
          <w:szCs w:val="30"/>
          <w:highlight w:val="none"/>
          <w:lang w:val="en"/>
        </w:rPr>
        <w:t>竣工</w:t>
      </w:r>
      <w:r>
        <w:rPr>
          <w:rFonts w:hint="default" w:ascii="宋体" w:hAnsi="宋体" w:eastAsia="宋体" w:cs="Times New Roman"/>
          <w:b/>
          <w:color w:val="auto"/>
          <w:sz w:val="30"/>
          <w:szCs w:val="30"/>
          <w:highlight w:val="none"/>
          <w:lang w:val="en" w:eastAsia="zh-CN"/>
        </w:rPr>
        <w:t>（施工过程）</w:t>
      </w:r>
      <w:r>
        <w:rPr>
          <w:rFonts w:hint="default" w:ascii="宋体" w:hAnsi="宋体" w:eastAsia="宋体" w:cs="Times New Roman"/>
          <w:b/>
          <w:color w:val="auto"/>
          <w:sz w:val="30"/>
          <w:szCs w:val="30"/>
          <w:highlight w:val="none"/>
          <w:lang w:val="en"/>
        </w:rPr>
        <w:t>结算款支付申请（核准）表</w:t>
      </w:r>
    </w:p>
    <w:p w14:paraId="65715D3F">
      <w:pPr>
        <w:ind w:firstLine="420"/>
        <w:rPr>
          <w:rFonts w:ascii="Times New Roman" w:hAnsi="Times New Roman" w:eastAsia="宋体" w:cs="Times New Roman"/>
          <w:color w:val="auto"/>
          <w:sz w:val="24"/>
          <w:szCs w:val="24"/>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编号：</w:t>
      </w:r>
    </w:p>
    <w:tbl>
      <w:tblPr>
        <w:tblStyle w:val="287"/>
        <w:tblW w:w="92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49"/>
        <w:gridCol w:w="4280"/>
      </w:tblGrid>
      <w:tr w14:paraId="542B2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8" w:hRule="atLeast"/>
          <w:jc w:val="center"/>
        </w:trPr>
        <w:tc>
          <w:tcPr>
            <w:tcW w:w="9229" w:type="dxa"/>
            <w:gridSpan w:val="2"/>
            <w:noWrap w:val="0"/>
            <w:vAlign w:val="top"/>
          </w:tcPr>
          <w:p w14:paraId="3E1898BB">
            <w:pPr>
              <w:pStyle w:val="289"/>
              <w:spacing w:before="234" w:line="220" w:lineRule="auto"/>
              <w:ind w:left="85"/>
              <w:rPr>
                <w:rFonts w:hint="eastAsia" w:eastAsia="宋体"/>
                <w:color w:val="auto"/>
                <w:sz w:val="21"/>
                <w:szCs w:val="21"/>
                <w:highlight w:val="none"/>
                <w:lang w:eastAsia="zh-CN"/>
              </w:rPr>
            </w:pPr>
            <w:r>
              <w:rPr>
                <w:color w:val="auto"/>
                <w:spacing w:val="1"/>
                <w:sz w:val="21"/>
                <w:szCs w:val="21"/>
                <w:highlight w:val="none"/>
              </w:rPr>
              <w:t>致</w:t>
            </w:r>
            <w:r>
              <w:rPr>
                <w:color w:val="auto"/>
                <w:spacing w:val="-26"/>
                <w:sz w:val="21"/>
                <w:szCs w:val="21"/>
                <w:highlight w:val="none"/>
              </w:rPr>
              <w:t xml:space="preserve"> </w:t>
            </w:r>
            <w:r>
              <w:rPr>
                <w:color w:val="auto"/>
                <w:spacing w:val="1"/>
                <w:sz w:val="21"/>
                <w:szCs w:val="21"/>
                <w:highlight w:val="none"/>
              </w:rPr>
              <w:t>：</w:t>
            </w:r>
            <w:r>
              <w:rPr>
                <w:color w:val="auto"/>
                <w:spacing w:val="3"/>
                <w:sz w:val="21"/>
                <w:szCs w:val="21"/>
                <w:highlight w:val="none"/>
                <w:u w:val="single"/>
              </w:rPr>
              <w:t xml:space="preserve">                   </w:t>
            </w:r>
            <w:r>
              <w:rPr>
                <w:rFonts w:hint="eastAsia" w:eastAsia="宋体"/>
                <w:color w:val="auto"/>
                <w:spacing w:val="1"/>
                <w:sz w:val="21"/>
                <w:szCs w:val="21"/>
                <w:lang w:eastAsia="zh-CN"/>
              </w:rPr>
              <w:t>（</w:t>
            </w:r>
            <w:r>
              <w:rPr>
                <w:color w:val="auto"/>
                <w:spacing w:val="1"/>
                <w:sz w:val="21"/>
                <w:szCs w:val="21"/>
              </w:rPr>
              <w:t>发包人全称</w:t>
            </w:r>
            <w:r>
              <w:rPr>
                <w:rFonts w:hint="eastAsia" w:eastAsia="宋体"/>
                <w:color w:val="auto"/>
                <w:spacing w:val="1"/>
                <w:sz w:val="21"/>
                <w:szCs w:val="21"/>
                <w:lang w:eastAsia="zh-CN"/>
              </w:rPr>
              <w:t>）</w:t>
            </w:r>
          </w:p>
          <w:p w14:paraId="2A1435E0">
            <w:pPr>
              <w:pStyle w:val="289"/>
              <w:spacing w:before="59" w:line="248" w:lineRule="auto"/>
              <w:ind w:left="124" w:firstLine="399"/>
              <w:rPr>
                <w:color w:val="auto"/>
                <w:sz w:val="21"/>
                <w:szCs w:val="21"/>
                <w:highlight w:val="none"/>
              </w:rPr>
            </w:pPr>
            <w:r>
              <w:rPr>
                <w:color w:val="auto"/>
                <w:spacing w:val="-5"/>
                <w:sz w:val="21"/>
                <w:szCs w:val="21"/>
                <w:highlight w:val="none"/>
              </w:rPr>
              <w:t>我方于</w:t>
            </w:r>
            <w:r>
              <w:rPr>
                <w:color w:val="auto"/>
                <w:spacing w:val="11"/>
                <w:sz w:val="21"/>
                <w:szCs w:val="21"/>
                <w:highlight w:val="none"/>
                <w:u w:val="single"/>
              </w:rPr>
              <w:t xml:space="preserve">      </w:t>
            </w:r>
            <w:r>
              <w:rPr>
                <w:color w:val="auto"/>
                <w:spacing w:val="-5"/>
                <w:sz w:val="21"/>
                <w:szCs w:val="21"/>
                <w:highlight w:val="none"/>
              </w:rPr>
              <w:t>至</w:t>
            </w:r>
            <w:r>
              <w:rPr>
                <w:color w:val="auto"/>
                <w:spacing w:val="-93"/>
                <w:sz w:val="21"/>
                <w:szCs w:val="21"/>
                <w:highlight w:val="none"/>
              </w:rPr>
              <w:t xml:space="preserve"> </w:t>
            </w:r>
            <w:r>
              <w:rPr>
                <w:color w:val="auto"/>
                <w:spacing w:val="16"/>
                <w:sz w:val="21"/>
                <w:szCs w:val="21"/>
                <w:highlight w:val="none"/>
                <w:u w:val="single"/>
              </w:rPr>
              <w:t xml:space="preserve">     </w:t>
            </w:r>
            <w:r>
              <w:rPr>
                <w:color w:val="auto"/>
                <w:spacing w:val="-101"/>
                <w:sz w:val="21"/>
                <w:szCs w:val="21"/>
                <w:highlight w:val="none"/>
              </w:rPr>
              <w:t xml:space="preserve"> </w:t>
            </w:r>
            <w:r>
              <w:rPr>
                <w:color w:val="auto"/>
                <w:spacing w:val="-5"/>
                <w:sz w:val="21"/>
                <w:szCs w:val="21"/>
                <w:highlight w:val="none"/>
              </w:rPr>
              <w:t>期间已完成合同约定的工作</w:t>
            </w:r>
            <w:r>
              <w:rPr>
                <w:rFonts w:hint="eastAsia" w:eastAsia="宋体"/>
                <w:color w:val="auto"/>
                <w:spacing w:val="-5"/>
                <w:sz w:val="21"/>
                <w:szCs w:val="21"/>
                <w:highlight w:val="none"/>
                <w:lang w:eastAsia="zh-CN"/>
              </w:rPr>
              <w:t>，</w:t>
            </w:r>
            <w:r>
              <w:rPr>
                <w:color w:val="auto"/>
                <w:spacing w:val="-5"/>
                <w:sz w:val="21"/>
                <w:szCs w:val="21"/>
                <w:highlight w:val="none"/>
              </w:rPr>
              <w:t>工程已经完工</w:t>
            </w:r>
            <w:r>
              <w:rPr>
                <w:rFonts w:hint="eastAsia" w:eastAsia="宋体"/>
                <w:color w:val="auto"/>
                <w:spacing w:val="-5"/>
                <w:sz w:val="21"/>
                <w:szCs w:val="21"/>
                <w:highlight w:val="none"/>
                <w:lang w:eastAsia="zh-CN"/>
              </w:rPr>
              <w:t>，</w:t>
            </w:r>
            <w:r>
              <w:rPr>
                <w:color w:val="auto"/>
                <w:spacing w:val="-5"/>
                <w:sz w:val="21"/>
                <w:szCs w:val="21"/>
                <w:highlight w:val="none"/>
              </w:rPr>
              <w:t>根据施工合同的约</w:t>
            </w:r>
            <w:r>
              <w:rPr>
                <w:color w:val="auto"/>
                <w:spacing w:val="-6"/>
                <w:sz w:val="21"/>
                <w:szCs w:val="21"/>
                <w:highlight w:val="none"/>
              </w:rPr>
              <w:t>定</w:t>
            </w:r>
            <w:r>
              <w:rPr>
                <w:rFonts w:hint="eastAsia" w:eastAsia="宋体"/>
                <w:color w:val="auto"/>
                <w:spacing w:val="-6"/>
                <w:sz w:val="21"/>
                <w:szCs w:val="21"/>
                <w:highlight w:val="none"/>
                <w:lang w:eastAsia="zh-CN"/>
              </w:rPr>
              <w:t>，</w:t>
            </w:r>
            <w:r>
              <w:rPr>
                <w:color w:val="auto"/>
                <w:spacing w:val="-6"/>
                <w:sz w:val="21"/>
                <w:szCs w:val="21"/>
                <w:highlight w:val="none"/>
              </w:rPr>
              <w:t>现申</w:t>
            </w:r>
            <w:r>
              <w:rPr>
                <w:color w:val="auto"/>
                <w:sz w:val="21"/>
                <w:szCs w:val="21"/>
                <w:highlight w:val="none"/>
              </w:rPr>
              <w:t xml:space="preserve"> </w:t>
            </w:r>
            <w:r>
              <w:rPr>
                <w:color w:val="auto"/>
                <w:spacing w:val="3"/>
                <w:sz w:val="21"/>
                <w:szCs w:val="21"/>
                <w:highlight w:val="none"/>
              </w:rPr>
              <w:t>请支付竣工结算合同款额为</w:t>
            </w:r>
            <w:r>
              <w:rPr>
                <w:rFonts w:hint="eastAsia" w:eastAsia="宋体"/>
                <w:color w:val="auto"/>
                <w:spacing w:val="3"/>
                <w:sz w:val="21"/>
                <w:szCs w:val="21"/>
                <w:highlight w:val="none"/>
                <w:lang w:eastAsia="zh-CN"/>
              </w:rPr>
              <w:t>（</w:t>
            </w:r>
            <w:r>
              <w:rPr>
                <w:color w:val="auto"/>
                <w:spacing w:val="3"/>
                <w:sz w:val="21"/>
                <w:szCs w:val="21"/>
                <w:highlight w:val="none"/>
              </w:rPr>
              <w:t>大写</w:t>
            </w:r>
            <w:r>
              <w:rPr>
                <w:rFonts w:hint="eastAsia" w:eastAsia="宋体"/>
                <w:color w:val="auto"/>
                <w:spacing w:val="3"/>
                <w:sz w:val="21"/>
                <w:szCs w:val="21"/>
                <w:highlight w:val="none"/>
                <w:lang w:eastAsia="zh-CN"/>
              </w:rPr>
              <w:t>）</w:t>
            </w:r>
            <w:r>
              <w:rPr>
                <w:color w:val="auto"/>
                <w:spacing w:val="6"/>
                <w:sz w:val="21"/>
                <w:szCs w:val="21"/>
                <w:highlight w:val="none"/>
                <w:u w:val="single"/>
              </w:rPr>
              <w:t xml:space="preserve">                </w:t>
            </w:r>
            <w:r>
              <w:rPr>
                <w:rFonts w:hint="eastAsia" w:eastAsia="宋体"/>
                <w:color w:val="auto"/>
                <w:spacing w:val="3"/>
                <w:sz w:val="21"/>
                <w:szCs w:val="21"/>
                <w:highlight w:val="none"/>
                <w:u w:val="single"/>
                <w:lang w:eastAsia="zh-CN"/>
              </w:rPr>
              <w:t>（</w:t>
            </w:r>
            <w:r>
              <w:rPr>
                <w:color w:val="auto"/>
                <w:spacing w:val="3"/>
                <w:sz w:val="21"/>
                <w:szCs w:val="21"/>
                <w:highlight w:val="none"/>
                <w:u w:val="single"/>
              </w:rPr>
              <w:t>小</w:t>
            </w:r>
            <w:r>
              <w:rPr>
                <w:color w:val="auto"/>
                <w:spacing w:val="3"/>
                <w:sz w:val="21"/>
                <w:szCs w:val="21"/>
                <w:highlight w:val="none"/>
              </w:rPr>
              <w:t xml:space="preserve">写  </w:t>
            </w:r>
            <w:r>
              <w:rPr>
                <w:color w:val="auto"/>
                <w:spacing w:val="3"/>
                <w:sz w:val="21"/>
                <w:szCs w:val="21"/>
                <w:highlight w:val="none"/>
                <w:u w:val="single"/>
              </w:rPr>
              <w:t xml:space="preserve">             </w:t>
            </w:r>
            <w:r>
              <w:rPr>
                <w:rFonts w:hint="eastAsia" w:eastAsia="宋体"/>
                <w:color w:val="auto"/>
                <w:spacing w:val="3"/>
                <w:sz w:val="21"/>
                <w:szCs w:val="21"/>
                <w:highlight w:val="none"/>
                <w:lang w:eastAsia="zh-CN"/>
              </w:rPr>
              <w:t>），</w:t>
            </w:r>
            <w:r>
              <w:rPr>
                <w:color w:val="auto"/>
                <w:spacing w:val="3"/>
                <w:sz w:val="21"/>
                <w:szCs w:val="21"/>
                <w:highlight w:val="none"/>
              </w:rPr>
              <w:t>请予核准。</w:t>
            </w:r>
          </w:p>
          <w:p w14:paraId="56E1357B">
            <w:pPr>
              <w:spacing w:line="21" w:lineRule="exact"/>
              <w:rPr>
                <w:rFonts w:ascii="Times New Roman" w:hAnsi="Times New Roman" w:eastAsia="宋体" w:cs="Times New Roman"/>
                <w:color w:val="auto"/>
                <w:szCs w:val="21"/>
                <w:highlight w:val="none"/>
              </w:rPr>
            </w:pPr>
          </w:p>
          <w:tbl>
            <w:tblPr>
              <w:tblStyle w:val="287"/>
              <w:tblW w:w="8710" w:type="dxa"/>
              <w:tblInd w:w="2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5"/>
              <w:gridCol w:w="3396"/>
              <w:gridCol w:w="1588"/>
              <w:gridCol w:w="1558"/>
              <w:gridCol w:w="1593"/>
            </w:tblGrid>
            <w:tr w14:paraId="651A1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47539C18">
                  <w:pPr>
                    <w:pStyle w:val="289"/>
                    <w:spacing w:before="73" w:line="221" w:lineRule="auto"/>
                    <w:ind w:left="85"/>
                    <w:rPr>
                      <w:color w:val="auto"/>
                      <w:sz w:val="21"/>
                      <w:szCs w:val="21"/>
                      <w:highlight w:val="none"/>
                    </w:rPr>
                  </w:pPr>
                  <w:r>
                    <w:rPr>
                      <w:color w:val="auto"/>
                      <w:spacing w:val="-2"/>
                      <w:sz w:val="21"/>
                      <w:szCs w:val="21"/>
                      <w:highlight w:val="none"/>
                    </w:rPr>
                    <w:t>序号</w:t>
                  </w:r>
                </w:p>
              </w:tc>
              <w:tc>
                <w:tcPr>
                  <w:tcW w:w="3396" w:type="dxa"/>
                  <w:noWrap w:val="0"/>
                  <w:vAlign w:val="top"/>
                </w:tcPr>
                <w:p w14:paraId="49FBD984">
                  <w:pPr>
                    <w:pStyle w:val="289"/>
                    <w:spacing w:before="75" w:line="221" w:lineRule="auto"/>
                    <w:ind w:left="1490"/>
                    <w:rPr>
                      <w:color w:val="auto"/>
                      <w:sz w:val="21"/>
                      <w:szCs w:val="21"/>
                      <w:highlight w:val="none"/>
                    </w:rPr>
                  </w:pPr>
                  <w:r>
                    <w:rPr>
                      <w:color w:val="auto"/>
                      <w:spacing w:val="-3"/>
                      <w:sz w:val="21"/>
                      <w:szCs w:val="21"/>
                      <w:highlight w:val="none"/>
                    </w:rPr>
                    <w:t>名称</w:t>
                  </w:r>
                </w:p>
              </w:tc>
              <w:tc>
                <w:tcPr>
                  <w:tcW w:w="1588" w:type="dxa"/>
                  <w:noWrap w:val="0"/>
                  <w:vAlign w:val="top"/>
                </w:tcPr>
                <w:p w14:paraId="5132CC80">
                  <w:pPr>
                    <w:pStyle w:val="289"/>
                    <w:spacing w:before="72" w:line="219" w:lineRule="auto"/>
                    <w:ind w:left="204"/>
                    <w:jc w:val="center"/>
                    <w:rPr>
                      <w:rFonts w:hint="eastAsia" w:eastAsia="宋体"/>
                      <w:color w:val="auto"/>
                      <w:sz w:val="21"/>
                      <w:szCs w:val="21"/>
                      <w:highlight w:val="none"/>
                      <w:lang w:eastAsia="zh-CN"/>
                    </w:rPr>
                  </w:pPr>
                  <w:r>
                    <w:rPr>
                      <w:color w:val="auto"/>
                      <w:spacing w:val="5"/>
                      <w:sz w:val="21"/>
                      <w:szCs w:val="21"/>
                      <w:highlight w:val="none"/>
                    </w:rPr>
                    <w:t>申请金额</w:t>
                  </w:r>
                  <w:r>
                    <w:rPr>
                      <w:rFonts w:hint="eastAsia" w:eastAsia="宋体"/>
                      <w:color w:val="auto"/>
                      <w:spacing w:val="5"/>
                      <w:sz w:val="21"/>
                      <w:szCs w:val="21"/>
                      <w:highlight w:val="none"/>
                      <w:lang w:eastAsia="zh-CN"/>
                    </w:rPr>
                    <w:t>（</w:t>
                  </w:r>
                  <w:r>
                    <w:rPr>
                      <w:color w:val="auto"/>
                      <w:spacing w:val="5"/>
                      <w:sz w:val="21"/>
                      <w:szCs w:val="21"/>
                      <w:highlight w:val="none"/>
                    </w:rPr>
                    <w:t>元</w:t>
                  </w:r>
                  <w:r>
                    <w:rPr>
                      <w:rFonts w:hint="eastAsia" w:eastAsia="宋体"/>
                      <w:color w:val="auto"/>
                      <w:spacing w:val="5"/>
                      <w:sz w:val="21"/>
                      <w:szCs w:val="21"/>
                      <w:highlight w:val="none"/>
                      <w:lang w:eastAsia="zh-CN"/>
                    </w:rPr>
                    <w:t>）</w:t>
                  </w:r>
                </w:p>
              </w:tc>
              <w:tc>
                <w:tcPr>
                  <w:tcW w:w="1558" w:type="dxa"/>
                  <w:noWrap w:val="0"/>
                  <w:vAlign w:val="top"/>
                </w:tcPr>
                <w:p w14:paraId="60E4629D">
                  <w:pPr>
                    <w:pStyle w:val="289"/>
                    <w:spacing w:before="72" w:line="219" w:lineRule="auto"/>
                    <w:ind w:left="205"/>
                    <w:jc w:val="center"/>
                    <w:rPr>
                      <w:rFonts w:hint="eastAsia" w:eastAsia="宋体"/>
                      <w:color w:val="auto"/>
                      <w:sz w:val="21"/>
                      <w:szCs w:val="21"/>
                      <w:highlight w:val="none"/>
                      <w:lang w:eastAsia="zh-CN"/>
                    </w:rPr>
                  </w:pPr>
                  <w:r>
                    <w:rPr>
                      <w:color w:val="auto"/>
                      <w:spacing w:val="5"/>
                      <w:sz w:val="21"/>
                      <w:szCs w:val="21"/>
                      <w:highlight w:val="none"/>
                    </w:rPr>
                    <w:t>复核金额</w:t>
                  </w:r>
                  <w:r>
                    <w:rPr>
                      <w:rFonts w:hint="eastAsia" w:eastAsia="宋体"/>
                      <w:color w:val="auto"/>
                      <w:spacing w:val="5"/>
                      <w:sz w:val="21"/>
                      <w:szCs w:val="21"/>
                      <w:highlight w:val="none"/>
                      <w:lang w:eastAsia="zh-CN"/>
                    </w:rPr>
                    <w:t>（</w:t>
                  </w:r>
                  <w:r>
                    <w:rPr>
                      <w:color w:val="auto"/>
                      <w:spacing w:val="5"/>
                      <w:sz w:val="21"/>
                      <w:szCs w:val="21"/>
                      <w:highlight w:val="none"/>
                    </w:rPr>
                    <w:t>元</w:t>
                  </w:r>
                  <w:r>
                    <w:rPr>
                      <w:rFonts w:hint="eastAsia" w:eastAsia="宋体"/>
                      <w:color w:val="auto"/>
                      <w:spacing w:val="5"/>
                      <w:sz w:val="21"/>
                      <w:szCs w:val="21"/>
                      <w:highlight w:val="none"/>
                      <w:lang w:eastAsia="zh-CN"/>
                    </w:rPr>
                    <w:t>）</w:t>
                  </w:r>
                </w:p>
              </w:tc>
              <w:tc>
                <w:tcPr>
                  <w:tcW w:w="1593" w:type="dxa"/>
                  <w:noWrap w:val="0"/>
                  <w:vAlign w:val="top"/>
                </w:tcPr>
                <w:p w14:paraId="3EC92B04">
                  <w:pPr>
                    <w:pStyle w:val="289"/>
                    <w:spacing w:before="73" w:line="221" w:lineRule="auto"/>
                    <w:ind w:left="628"/>
                    <w:rPr>
                      <w:color w:val="auto"/>
                      <w:sz w:val="21"/>
                      <w:szCs w:val="21"/>
                      <w:highlight w:val="none"/>
                    </w:rPr>
                  </w:pPr>
                  <w:r>
                    <w:rPr>
                      <w:color w:val="auto"/>
                      <w:spacing w:val="-3"/>
                      <w:sz w:val="21"/>
                      <w:szCs w:val="21"/>
                      <w:highlight w:val="none"/>
                    </w:rPr>
                    <w:t>备注</w:t>
                  </w:r>
                </w:p>
              </w:tc>
            </w:tr>
            <w:tr w14:paraId="6DEC9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75" w:type="dxa"/>
                  <w:noWrap w:val="0"/>
                  <w:vAlign w:val="top"/>
                </w:tcPr>
                <w:p w14:paraId="4C018195">
                  <w:pPr>
                    <w:pStyle w:val="289"/>
                    <w:spacing w:before="117" w:line="184" w:lineRule="auto"/>
                    <w:ind w:left="225"/>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w:t>
                  </w:r>
                </w:p>
              </w:tc>
              <w:tc>
                <w:tcPr>
                  <w:tcW w:w="3396" w:type="dxa"/>
                  <w:noWrap w:val="0"/>
                  <w:vAlign w:val="top"/>
                </w:tcPr>
                <w:p w14:paraId="6C5B2B97">
                  <w:pPr>
                    <w:pStyle w:val="289"/>
                    <w:spacing w:before="68" w:line="218" w:lineRule="auto"/>
                    <w:ind w:left="0"/>
                    <w:rPr>
                      <w:color w:val="auto"/>
                      <w:sz w:val="21"/>
                      <w:szCs w:val="21"/>
                      <w:highlight w:val="none"/>
                    </w:rPr>
                  </w:pPr>
                  <w:r>
                    <w:rPr>
                      <w:color w:val="auto"/>
                      <w:spacing w:val="-1"/>
                      <w:sz w:val="21"/>
                      <w:szCs w:val="21"/>
                      <w:highlight w:val="none"/>
                    </w:rPr>
                    <w:t>工程竣工</w:t>
                  </w:r>
                  <w:r>
                    <w:rPr>
                      <w:rFonts w:hint="eastAsia" w:eastAsia="宋体"/>
                      <w:color w:val="auto"/>
                      <w:spacing w:val="-1"/>
                      <w:sz w:val="21"/>
                      <w:szCs w:val="21"/>
                      <w:highlight w:val="none"/>
                      <w:lang w:eastAsia="zh-CN"/>
                    </w:rPr>
                    <w:t>（施工过程）</w:t>
                  </w:r>
                  <w:r>
                    <w:rPr>
                      <w:color w:val="auto"/>
                      <w:spacing w:val="-1"/>
                      <w:sz w:val="21"/>
                      <w:szCs w:val="21"/>
                      <w:highlight w:val="none"/>
                    </w:rPr>
                    <w:t>结算价款总额</w:t>
                  </w:r>
                </w:p>
              </w:tc>
              <w:tc>
                <w:tcPr>
                  <w:tcW w:w="1588" w:type="dxa"/>
                  <w:noWrap w:val="0"/>
                  <w:vAlign w:val="top"/>
                </w:tcPr>
                <w:p w14:paraId="49AFE809">
                  <w:pPr>
                    <w:rPr>
                      <w:rFonts w:ascii="Arial" w:hAnsi="Times New Roman" w:eastAsia="宋体" w:cs="Times New Roman"/>
                      <w:color w:val="auto"/>
                      <w:sz w:val="21"/>
                      <w:szCs w:val="21"/>
                      <w:highlight w:val="none"/>
                    </w:rPr>
                  </w:pPr>
                </w:p>
              </w:tc>
              <w:tc>
                <w:tcPr>
                  <w:tcW w:w="1558" w:type="dxa"/>
                  <w:noWrap w:val="0"/>
                  <w:vAlign w:val="top"/>
                </w:tcPr>
                <w:p w14:paraId="438B520A">
                  <w:pPr>
                    <w:rPr>
                      <w:rFonts w:ascii="Arial" w:hAnsi="Times New Roman" w:eastAsia="宋体" w:cs="Times New Roman"/>
                      <w:color w:val="auto"/>
                      <w:sz w:val="21"/>
                      <w:szCs w:val="21"/>
                      <w:highlight w:val="none"/>
                    </w:rPr>
                  </w:pPr>
                </w:p>
              </w:tc>
              <w:tc>
                <w:tcPr>
                  <w:tcW w:w="1593" w:type="dxa"/>
                  <w:noWrap w:val="0"/>
                  <w:vAlign w:val="top"/>
                </w:tcPr>
                <w:p w14:paraId="3657DD60">
                  <w:pPr>
                    <w:rPr>
                      <w:rFonts w:ascii="Arial" w:hAnsi="Times New Roman" w:eastAsia="宋体" w:cs="Times New Roman"/>
                      <w:color w:val="auto"/>
                      <w:sz w:val="21"/>
                      <w:szCs w:val="21"/>
                      <w:highlight w:val="none"/>
                    </w:rPr>
                  </w:pPr>
                </w:p>
              </w:tc>
            </w:tr>
            <w:tr w14:paraId="102A2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75" w:type="dxa"/>
                  <w:noWrap w:val="0"/>
                  <w:vAlign w:val="top"/>
                </w:tcPr>
                <w:p w14:paraId="64A2EAB7">
                  <w:pPr>
                    <w:pStyle w:val="289"/>
                    <w:spacing w:before="130" w:line="183" w:lineRule="auto"/>
                    <w:ind w:left="225"/>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w:t>
                  </w:r>
                </w:p>
              </w:tc>
              <w:tc>
                <w:tcPr>
                  <w:tcW w:w="3396" w:type="dxa"/>
                  <w:noWrap w:val="0"/>
                  <w:vAlign w:val="top"/>
                </w:tcPr>
                <w:p w14:paraId="0B392441">
                  <w:pPr>
                    <w:pStyle w:val="289"/>
                    <w:spacing w:before="80" w:line="218" w:lineRule="auto"/>
                    <w:ind w:left="0"/>
                    <w:rPr>
                      <w:color w:val="auto"/>
                      <w:sz w:val="21"/>
                      <w:szCs w:val="21"/>
                      <w:highlight w:val="none"/>
                    </w:rPr>
                  </w:pPr>
                  <w:r>
                    <w:rPr>
                      <w:color w:val="auto"/>
                      <w:sz w:val="21"/>
                      <w:szCs w:val="21"/>
                      <w:highlight w:val="none"/>
                    </w:rPr>
                    <w:t>累计已实际支付的价款</w:t>
                  </w:r>
                </w:p>
              </w:tc>
              <w:tc>
                <w:tcPr>
                  <w:tcW w:w="1588" w:type="dxa"/>
                  <w:noWrap w:val="0"/>
                  <w:vAlign w:val="top"/>
                </w:tcPr>
                <w:p w14:paraId="1FEC2C16">
                  <w:pPr>
                    <w:rPr>
                      <w:rFonts w:ascii="Arial" w:hAnsi="Times New Roman" w:eastAsia="宋体" w:cs="Times New Roman"/>
                      <w:color w:val="auto"/>
                      <w:sz w:val="21"/>
                      <w:szCs w:val="21"/>
                      <w:highlight w:val="none"/>
                    </w:rPr>
                  </w:pPr>
                </w:p>
              </w:tc>
              <w:tc>
                <w:tcPr>
                  <w:tcW w:w="1558" w:type="dxa"/>
                  <w:noWrap w:val="0"/>
                  <w:vAlign w:val="top"/>
                </w:tcPr>
                <w:p w14:paraId="244E6791">
                  <w:pPr>
                    <w:rPr>
                      <w:rFonts w:ascii="Arial" w:hAnsi="Times New Roman" w:eastAsia="宋体" w:cs="Times New Roman"/>
                      <w:color w:val="auto"/>
                      <w:sz w:val="21"/>
                      <w:szCs w:val="21"/>
                      <w:highlight w:val="none"/>
                    </w:rPr>
                  </w:pPr>
                </w:p>
              </w:tc>
              <w:tc>
                <w:tcPr>
                  <w:tcW w:w="1593" w:type="dxa"/>
                  <w:noWrap w:val="0"/>
                  <w:vAlign w:val="top"/>
                </w:tcPr>
                <w:p w14:paraId="004E31AA">
                  <w:pPr>
                    <w:rPr>
                      <w:rFonts w:ascii="Arial" w:hAnsi="Times New Roman" w:eastAsia="宋体" w:cs="Times New Roman"/>
                      <w:color w:val="auto"/>
                      <w:sz w:val="21"/>
                      <w:szCs w:val="21"/>
                      <w:highlight w:val="none"/>
                    </w:rPr>
                  </w:pPr>
                </w:p>
              </w:tc>
            </w:tr>
            <w:tr w14:paraId="36025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75" w:type="dxa"/>
                  <w:noWrap w:val="0"/>
                  <w:vAlign w:val="top"/>
                </w:tcPr>
                <w:p w14:paraId="15F7C039">
                  <w:pPr>
                    <w:pStyle w:val="289"/>
                    <w:spacing w:before="123" w:line="183" w:lineRule="auto"/>
                    <w:ind w:left="225"/>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3</w:t>
                  </w:r>
                </w:p>
              </w:tc>
              <w:tc>
                <w:tcPr>
                  <w:tcW w:w="3396" w:type="dxa"/>
                  <w:noWrap w:val="0"/>
                  <w:vAlign w:val="top"/>
                </w:tcPr>
                <w:p w14:paraId="5FCDBF65">
                  <w:pPr>
                    <w:pStyle w:val="289"/>
                    <w:spacing w:before="75" w:line="220" w:lineRule="auto"/>
                    <w:ind w:left="0"/>
                    <w:rPr>
                      <w:color w:val="auto"/>
                      <w:sz w:val="21"/>
                      <w:szCs w:val="21"/>
                      <w:highlight w:val="none"/>
                    </w:rPr>
                  </w:pPr>
                  <w:r>
                    <w:rPr>
                      <w:color w:val="auto"/>
                      <w:spacing w:val="-1"/>
                      <w:sz w:val="21"/>
                      <w:szCs w:val="21"/>
                      <w:highlight w:val="none"/>
                    </w:rPr>
                    <w:t>应预留的质量保证金</w:t>
                  </w:r>
                </w:p>
              </w:tc>
              <w:tc>
                <w:tcPr>
                  <w:tcW w:w="1588" w:type="dxa"/>
                  <w:noWrap w:val="0"/>
                  <w:vAlign w:val="top"/>
                </w:tcPr>
                <w:p w14:paraId="34DBBE94">
                  <w:pPr>
                    <w:rPr>
                      <w:rFonts w:ascii="Arial" w:hAnsi="Times New Roman" w:eastAsia="宋体" w:cs="Times New Roman"/>
                      <w:color w:val="auto"/>
                      <w:sz w:val="21"/>
                      <w:szCs w:val="21"/>
                      <w:highlight w:val="none"/>
                    </w:rPr>
                  </w:pPr>
                </w:p>
              </w:tc>
              <w:tc>
                <w:tcPr>
                  <w:tcW w:w="1558" w:type="dxa"/>
                  <w:noWrap w:val="0"/>
                  <w:vAlign w:val="top"/>
                </w:tcPr>
                <w:p w14:paraId="167BD08B">
                  <w:pPr>
                    <w:rPr>
                      <w:rFonts w:ascii="Arial" w:hAnsi="Times New Roman" w:eastAsia="宋体" w:cs="Times New Roman"/>
                      <w:color w:val="auto"/>
                      <w:sz w:val="21"/>
                      <w:szCs w:val="21"/>
                      <w:highlight w:val="none"/>
                    </w:rPr>
                  </w:pPr>
                </w:p>
              </w:tc>
              <w:tc>
                <w:tcPr>
                  <w:tcW w:w="1593" w:type="dxa"/>
                  <w:noWrap w:val="0"/>
                  <w:vAlign w:val="top"/>
                </w:tcPr>
                <w:p w14:paraId="79AB1D89">
                  <w:pPr>
                    <w:rPr>
                      <w:rFonts w:ascii="Arial" w:hAnsi="Times New Roman" w:eastAsia="宋体" w:cs="Times New Roman"/>
                      <w:color w:val="auto"/>
                      <w:sz w:val="21"/>
                      <w:szCs w:val="21"/>
                      <w:highlight w:val="none"/>
                    </w:rPr>
                  </w:pPr>
                </w:p>
              </w:tc>
            </w:tr>
            <w:tr w14:paraId="136D2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7A3E6DE3">
                  <w:pPr>
                    <w:pStyle w:val="289"/>
                    <w:spacing w:before="125" w:line="182" w:lineRule="auto"/>
                    <w:ind w:left="225"/>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4</w:t>
                  </w:r>
                </w:p>
              </w:tc>
              <w:tc>
                <w:tcPr>
                  <w:tcW w:w="3396" w:type="dxa"/>
                  <w:noWrap w:val="0"/>
                  <w:vAlign w:val="top"/>
                </w:tcPr>
                <w:p w14:paraId="3CBC2E1B">
                  <w:pPr>
                    <w:pStyle w:val="289"/>
                    <w:spacing w:before="76" w:line="219" w:lineRule="auto"/>
                    <w:ind w:left="0"/>
                    <w:rPr>
                      <w:color w:val="auto"/>
                      <w:sz w:val="21"/>
                      <w:szCs w:val="21"/>
                      <w:highlight w:val="none"/>
                    </w:rPr>
                  </w:pPr>
                  <w:r>
                    <w:rPr>
                      <w:color w:val="auto"/>
                      <w:spacing w:val="-1"/>
                      <w:sz w:val="21"/>
                      <w:szCs w:val="21"/>
                      <w:highlight w:val="none"/>
                    </w:rPr>
                    <w:t>实际应支付的竣工</w:t>
                  </w:r>
                  <w:r>
                    <w:rPr>
                      <w:rFonts w:hint="eastAsia" w:eastAsia="宋体"/>
                      <w:color w:val="auto"/>
                      <w:spacing w:val="-1"/>
                      <w:sz w:val="21"/>
                      <w:szCs w:val="21"/>
                      <w:highlight w:val="none"/>
                      <w:lang w:eastAsia="zh-CN"/>
                    </w:rPr>
                    <w:t>（施工过程）</w:t>
                  </w:r>
                  <w:r>
                    <w:rPr>
                      <w:color w:val="auto"/>
                      <w:spacing w:val="-1"/>
                      <w:sz w:val="21"/>
                      <w:szCs w:val="21"/>
                      <w:highlight w:val="none"/>
                    </w:rPr>
                    <w:t>结算款金额</w:t>
                  </w:r>
                </w:p>
              </w:tc>
              <w:tc>
                <w:tcPr>
                  <w:tcW w:w="1588" w:type="dxa"/>
                  <w:noWrap w:val="0"/>
                  <w:vAlign w:val="top"/>
                </w:tcPr>
                <w:p w14:paraId="1B4AB567">
                  <w:pPr>
                    <w:rPr>
                      <w:rFonts w:ascii="Arial" w:hAnsi="Times New Roman" w:eastAsia="宋体" w:cs="Times New Roman"/>
                      <w:color w:val="auto"/>
                      <w:sz w:val="21"/>
                      <w:szCs w:val="21"/>
                      <w:highlight w:val="none"/>
                    </w:rPr>
                  </w:pPr>
                </w:p>
              </w:tc>
              <w:tc>
                <w:tcPr>
                  <w:tcW w:w="1558" w:type="dxa"/>
                  <w:noWrap w:val="0"/>
                  <w:vAlign w:val="top"/>
                </w:tcPr>
                <w:p w14:paraId="6DB97DB1">
                  <w:pPr>
                    <w:rPr>
                      <w:rFonts w:ascii="Arial" w:hAnsi="Times New Roman" w:eastAsia="宋体" w:cs="Times New Roman"/>
                      <w:color w:val="auto"/>
                      <w:sz w:val="21"/>
                      <w:szCs w:val="21"/>
                      <w:highlight w:val="none"/>
                    </w:rPr>
                  </w:pPr>
                </w:p>
              </w:tc>
              <w:tc>
                <w:tcPr>
                  <w:tcW w:w="1593" w:type="dxa"/>
                  <w:noWrap w:val="0"/>
                  <w:vAlign w:val="top"/>
                </w:tcPr>
                <w:p w14:paraId="19D89F8E">
                  <w:pPr>
                    <w:rPr>
                      <w:rFonts w:ascii="Arial" w:hAnsi="Times New Roman" w:eastAsia="宋体" w:cs="Times New Roman"/>
                      <w:color w:val="auto"/>
                      <w:sz w:val="21"/>
                      <w:szCs w:val="21"/>
                      <w:highlight w:val="none"/>
                    </w:rPr>
                  </w:pPr>
                </w:p>
              </w:tc>
            </w:tr>
          </w:tbl>
          <w:p w14:paraId="70C6B9AA">
            <w:pPr>
              <w:spacing w:line="330" w:lineRule="auto"/>
              <w:rPr>
                <w:rFonts w:ascii="Arial" w:hAnsi="Times New Roman" w:eastAsia="宋体" w:cs="Times New Roman"/>
                <w:color w:val="auto"/>
                <w:sz w:val="21"/>
                <w:szCs w:val="21"/>
                <w:highlight w:val="none"/>
              </w:rPr>
            </w:pPr>
          </w:p>
          <w:p w14:paraId="1AB052C7">
            <w:pPr>
              <w:spacing w:line="330" w:lineRule="auto"/>
              <w:rPr>
                <w:rFonts w:ascii="Arial" w:hAnsi="Times New Roman" w:eastAsia="宋体" w:cs="Times New Roman"/>
                <w:color w:val="auto"/>
                <w:sz w:val="21"/>
                <w:szCs w:val="21"/>
                <w:highlight w:val="none"/>
              </w:rPr>
            </w:pPr>
          </w:p>
          <w:p w14:paraId="0FFE0578">
            <w:pPr>
              <w:pStyle w:val="289"/>
              <w:spacing w:before="68" w:line="219" w:lineRule="auto"/>
              <w:ind w:left="6824"/>
              <w:rPr>
                <w:rFonts w:hint="eastAsia" w:eastAsia="宋体"/>
                <w:color w:val="auto"/>
                <w:spacing w:val="7"/>
                <w:sz w:val="21"/>
                <w:szCs w:val="21"/>
                <w:highlight w:val="none"/>
                <w:lang w:eastAsia="zh-CN"/>
              </w:rPr>
            </w:pPr>
            <w:r>
              <w:rPr>
                <w:color w:val="auto"/>
                <w:spacing w:val="7"/>
                <w:sz w:val="21"/>
                <w:szCs w:val="21"/>
                <w:highlight w:val="none"/>
              </w:rPr>
              <w:t>承包人</w:t>
            </w:r>
            <w:r>
              <w:rPr>
                <w:rFonts w:hint="eastAsia" w:eastAsia="宋体"/>
                <w:color w:val="auto"/>
                <w:spacing w:val="7"/>
                <w:sz w:val="21"/>
                <w:szCs w:val="21"/>
                <w:highlight w:val="none"/>
                <w:lang w:eastAsia="zh-CN"/>
              </w:rPr>
              <w:t>（</w:t>
            </w:r>
            <w:r>
              <w:rPr>
                <w:color w:val="auto"/>
                <w:spacing w:val="7"/>
                <w:sz w:val="21"/>
                <w:szCs w:val="21"/>
                <w:highlight w:val="none"/>
              </w:rPr>
              <w:t>章</w:t>
            </w:r>
            <w:r>
              <w:rPr>
                <w:rFonts w:hint="eastAsia" w:eastAsia="宋体"/>
                <w:color w:val="auto"/>
                <w:spacing w:val="7"/>
                <w:sz w:val="21"/>
                <w:szCs w:val="21"/>
                <w:highlight w:val="none"/>
                <w:lang w:eastAsia="zh-CN"/>
              </w:rPr>
              <w:t>）</w:t>
            </w:r>
          </w:p>
          <w:p w14:paraId="5C545B3C">
            <w:pPr>
              <w:pStyle w:val="289"/>
              <w:spacing w:before="142" w:line="226" w:lineRule="auto"/>
              <w:ind w:left="104"/>
              <w:rPr>
                <w:color w:val="auto"/>
                <w:sz w:val="21"/>
                <w:szCs w:val="21"/>
                <w:highlight w:val="none"/>
              </w:rPr>
            </w:pPr>
            <w:r>
              <w:rPr>
                <w:color w:val="auto"/>
                <w:spacing w:val="-3"/>
                <w:sz w:val="21"/>
                <w:szCs w:val="21"/>
                <w:highlight w:val="none"/>
                <w:u w:val="none"/>
              </w:rPr>
              <w:t>编制人员</w:t>
            </w:r>
            <w:r>
              <w:rPr>
                <w:color w:val="auto"/>
                <w:spacing w:val="3"/>
                <w:sz w:val="21"/>
                <w:szCs w:val="21"/>
                <w:highlight w:val="none"/>
                <w:u w:val="none"/>
              </w:rPr>
              <w:t xml:space="preserve">                 </w:t>
            </w:r>
            <w:r>
              <w:rPr>
                <w:color w:val="auto"/>
                <w:spacing w:val="-3"/>
                <w:sz w:val="21"/>
                <w:szCs w:val="21"/>
                <w:highlight w:val="none"/>
                <w:u w:val="none"/>
              </w:rPr>
              <w:t>承包人代表</w:t>
            </w:r>
            <w:r>
              <w:rPr>
                <w:color w:val="auto"/>
                <w:spacing w:val="3"/>
                <w:sz w:val="21"/>
                <w:szCs w:val="21"/>
                <w:highlight w:val="none"/>
                <w:u w:val="none"/>
              </w:rPr>
              <w:t xml:space="preserve">                      </w:t>
            </w:r>
            <w:r>
              <w:rPr>
                <w:color w:val="auto"/>
                <w:spacing w:val="-3"/>
                <w:position w:val="1"/>
                <w:sz w:val="21"/>
                <w:szCs w:val="21"/>
                <w:highlight w:val="none"/>
                <w:u w:val="none"/>
              </w:rPr>
              <w:t>日</w:t>
            </w:r>
            <w:r>
              <w:rPr>
                <w:color w:val="auto"/>
                <w:spacing w:val="-31"/>
                <w:position w:val="1"/>
                <w:sz w:val="21"/>
                <w:szCs w:val="21"/>
                <w:highlight w:val="none"/>
                <w:u w:val="none"/>
              </w:rPr>
              <w:t xml:space="preserve"> </w:t>
            </w:r>
            <w:r>
              <w:rPr>
                <w:color w:val="auto"/>
                <w:spacing w:val="-3"/>
                <w:position w:val="1"/>
                <w:sz w:val="21"/>
                <w:szCs w:val="21"/>
                <w:highlight w:val="none"/>
                <w:u w:val="none"/>
              </w:rPr>
              <w:t>期</w:t>
            </w:r>
          </w:p>
        </w:tc>
      </w:tr>
      <w:tr w14:paraId="455AC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9" w:hRule="atLeast"/>
          <w:jc w:val="center"/>
        </w:trPr>
        <w:tc>
          <w:tcPr>
            <w:tcW w:w="4949" w:type="dxa"/>
            <w:noWrap w:val="0"/>
            <w:vAlign w:val="top"/>
          </w:tcPr>
          <w:p w14:paraId="54C937AD">
            <w:pPr>
              <w:spacing w:line="251"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pacing w:val="-1"/>
                <w:sz w:val="21"/>
                <w:szCs w:val="21"/>
                <w:highlight w:val="none"/>
              </w:rPr>
              <w:t>复核意见：</w:t>
            </w:r>
          </w:p>
          <w:p w14:paraId="76642310">
            <w:pPr>
              <w:spacing w:line="360" w:lineRule="exact"/>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32"/>
                <w:szCs w:val="32"/>
                <w:highlight w:val="none"/>
              </w:rPr>
              <w:t>□</w:t>
            </w:r>
            <w:r>
              <w:rPr>
                <w:rFonts w:ascii="Times New Roman" w:hAnsi="Times New Roman" w:eastAsia="宋体" w:cs="Times New Roman"/>
                <w:color w:val="auto"/>
                <w:sz w:val="21"/>
                <w:szCs w:val="21"/>
                <w:highlight w:val="none"/>
              </w:rPr>
              <w:t>与实际施工情况不相符</w:t>
            </w:r>
            <w:r>
              <w:rPr>
                <w:rFonts w:hint="eastAsia" w:ascii="Times New Roman" w:hAnsi="Times New Roman" w:eastAsia="宋体" w:cs="Times New Roman"/>
                <w:color w:val="auto"/>
                <w:sz w:val="21"/>
                <w:szCs w:val="21"/>
                <w:highlight w:val="none"/>
                <w:lang w:eastAsia="zh-CN"/>
              </w:rPr>
              <w:t>，</w:t>
            </w:r>
            <w:r>
              <w:rPr>
                <w:rFonts w:ascii="Times New Roman" w:hAnsi="Times New Roman" w:eastAsia="宋体" w:cs="Times New Roman"/>
                <w:color w:val="auto"/>
                <w:sz w:val="21"/>
                <w:szCs w:val="21"/>
                <w:highlight w:val="none"/>
              </w:rPr>
              <w:t>修改意见见附件</w:t>
            </w:r>
          </w:p>
          <w:p w14:paraId="41651CEE">
            <w:pPr>
              <w:spacing w:line="360" w:lineRule="exact"/>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32"/>
                <w:szCs w:val="32"/>
                <w:highlight w:val="none"/>
              </w:rPr>
              <w:t>□</w:t>
            </w:r>
            <w:r>
              <w:rPr>
                <w:rFonts w:ascii="Times New Roman" w:hAnsi="Times New Roman" w:eastAsia="宋体" w:cs="Times New Roman"/>
                <w:color w:val="auto"/>
                <w:spacing w:val="-8"/>
                <w:sz w:val="21"/>
                <w:szCs w:val="21"/>
                <w:highlight w:val="none"/>
              </w:rPr>
              <w:t>与实际施工情况相符</w:t>
            </w:r>
            <w:r>
              <w:rPr>
                <w:rFonts w:hint="eastAsia" w:ascii="Times New Roman" w:hAnsi="Times New Roman" w:eastAsia="宋体" w:cs="Times New Roman"/>
                <w:color w:val="auto"/>
                <w:spacing w:val="-8"/>
                <w:sz w:val="21"/>
                <w:szCs w:val="21"/>
                <w:highlight w:val="none"/>
                <w:lang w:eastAsia="zh-CN"/>
              </w:rPr>
              <w:t>，</w:t>
            </w:r>
            <w:r>
              <w:rPr>
                <w:rFonts w:ascii="Times New Roman" w:hAnsi="Times New Roman" w:eastAsia="宋体" w:cs="Times New Roman"/>
                <w:color w:val="auto"/>
                <w:spacing w:val="-8"/>
                <w:sz w:val="21"/>
                <w:szCs w:val="21"/>
                <w:highlight w:val="none"/>
              </w:rPr>
              <w:t>具体金额应由造价工程师复核</w:t>
            </w:r>
          </w:p>
          <w:p w14:paraId="7E276AAB">
            <w:pPr>
              <w:spacing w:line="251" w:lineRule="auto"/>
              <w:jc w:val="left"/>
              <w:rPr>
                <w:rFonts w:ascii="Arial" w:hAnsi="Times New Roman" w:eastAsia="宋体" w:cs="Times New Roman"/>
                <w:color w:val="auto"/>
                <w:sz w:val="21"/>
                <w:szCs w:val="21"/>
                <w:highlight w:val="none"/>
              </w:rPr>
            </w:pPr>
          </w:p>
          <w:p w14:paraId="42919EE3">
            <w:pPr>
              <w:spacing w:line="251" w:lineRule="auto"/>
              <w:jc w:val="left"/>
              <w:rPr>
                <w:rFonts w:ascii="Arial" w:hAnsi="Times New Roman" w:eastAsia="宋体" w:cs="Times New Roman"/>
                <w:color w:val="auto"/>
                <w:sz w:val="21"/>
                <w:szCs w:val="21"/>
                <w:highlight w:val="none"/>
              </w:rPr>
            </w:pPr>
          </w:p>
          <w:p w14:paraId="5621BAA2">
            <w:pPr>
              <w:spacing w:line="251" w:lineRule="auto"/>
              <w:jc w:val="left"/>
              <w:rPr>
                <w:rFonts w:ascii="Arial" w:hAnsi="Times New Roman" w:eastAsia="宋体" w:cs="Times New Roman"/>
                <w:color w:val="auto"/>
                <w:sz w:val="21"/>
                <w:szCs w:val="21"/>
                <w:highlight w:val="none"/>
              </w:rPr>
            </w:pPr>
          </w:p>
          <w:p w14:paraId="7002C44A">
            <w:pPr>
              <w:spacing w:line="251" w:lineRule="auto"/>
              <w:jc w:val="left"/>
              <w:rPr>
                <w:rFonts w:ascii="Arial" w:hAnsi="Times New Roman" w:eastAsia="宋体" w:cs="Times New Roman"/>
                <w:color w:val="auto"/>
                <w:sz w:val="21"/>
                <w:szCs w:val="21"/>
                <w:highlight w:val="none"/>
              </w:rPr>
            </w:pPr>
          </w:p>
          <w:p w14:paraId="7FF097B7">
            <w:pPr>
              <w:spacing w:line="251" w:lineRule="auto"/>
              <w:ind w:firstLine="0"/>
              <w:jc w:val="left"/>
              <w:rPr>
                <w:rFonts w:hint="eastAsia" w:ascii="宋体" w:hAnsi="宋体" w:eastAsia="宋体" w:cs="Times New Roman"/>
                <w:color w:val="auto"/>
                <w:szCs w:val="21"/>
                <w:highlight w:val="none"/>
              </w:rPr>
            </w:pPr>
          </w:p>
          <w:p w14:paraId="2AE620BB">
            <w:pPr>
              <w:spacing w:line="251" w:lineRule="auto"/>
              <w:ind w:firstLine="2310"/>
              <w:jc w:val="left"/>
              <w:rPr>
                <w:rFonts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lang w:eastAsia="zh-CN"/>
              </w:rPr>
              <w:t>监理</w:t>
            </w:r>
            <w:r>
              <w:rPr>
                <w:rFonts w:hint="eastAsia" w:ascii="宋体" w:hAnsi="宋体" w:eastAsia="宋体" w:cs="Times New Roman"/>
                <w:color w:val="auto"/>
                <w:szCs w:val="21"/>
                <w:highlight w:val="none"/>
              </w:rPr>
              <w:t>工程师</w:t>
            </w:r>
            <w:r>
              <w:rPr>
                <w:rFonts w:ascii="Times New Roman" w:hAnsi="Times New Roman" w:eastAsia="宋体" w:cs="Times New Roman"/>
                <w:color w:val="auto"/>
                <w:szCs w:val="21"/>
                <w:highlight w:val="none"/>
                <w:u w:val="single"/>
              </w:rPr>
              <w:t xml:space="preserve">           </w:t>
            </w:r>
          </w:p>
          <w:p w14:paraId="76DA9990">
            <w:pPr>
              <w:spacing w:line="251"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lang w:val="en-US" w:eastAsia="zh-CN"/>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日</w:t>
            </w:r>
            <w:r>
              <w:rPr>
                <w:rFonts w:hint="eastAsia" w:ascii="宋体" w:hAnsi="宋体" w:eastAsia="宋体" w:cs="Times New Roman"/>
                <w:color w:val="auto"/>
                <w:szCs w:val="21"/>
                <w:highlight w:val="none"/>
                <w:lang w:val="en-US" w:eastAsia="zh-CN"/>
              </w:rPr>
              <w:t xml:space="preserve">   </w:t>
            </w:r>
            <w:r>
              <w:rPr>
                <w:rFonts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ascii="Times New Roman" w:hAnsi="Times New Roman" w:eastAsia="宋体" w:cs="Times New Roman"/>
                <w:color w:val="auto"/>
                <w:szCs w:val="21"/>
                <w:highlight w:val="none"/>
                <w:u w:val="single"/>
              </w:rPr>
              <w:t xml:space="preserve">           </w:t>
            </w:r>
          </w:p>
        </w:tc>
        <w:tc>
          <w:tcPr>
            <w:tcW w:w="4280" w:type="dxa"/>
            <w:noWrap w:val="0"/>
            <w:vAlign w:val="top"/>
          </w:tcPr>
          <w:p w14:paraId="789CD004">
            <w:pPr>
              <w:pStyle w:val="289"/>
              <w:spacing w:before="68" w:line="219" w:lineRule="auto"/>
              <w:ind w:left="115"/>
              <w:rPr>
                <w:color w:val="auto"/>
                <w:sz w:val="21"/>
                <w:szCs w:val="21"/>
                <w:highlight w:val="none"/>
              </w:rPr>
            </w:pPr>
            <w:r>
              <w:rPr>
                <w:color w:val="auto"/>
                <w:spacing w:val="-1"/>
                <w:sz w:val="21"/>
                <w:szCs w:val="21"/>
                <w:highlight w:val="none"/>
              </w:rPr>
              <w:t>复核意见：</w:t>
            </w:r>
          </w:p>
          <w:p w14:paraId="521C97F4">
            <w:pPr>
              <w:pStyle w:val="289"/>
              <w:spacing w:before="60" w:line="233" w:lineRule="auto"/>
              <w:ind w:left="115" w:firstLine="415"/>
              <w:rPr>
                <w:color w:val="auto"/>
                <w:sz w:val="21"/>
                <w:szCs w:val="21"/>
                <w:highlight w:val="none"/>
              </w:rPr>
            </w:pPr>
            <w:r>
              <w:rPr>
                <w:color w:val="auto"/>
                <w:spacing w:val="-3"/>
                <w:sz w:val="21"/>
                <w:szCs w:val="21"/>
                <w:highlight w:val="none"/>
              </w:rPr>
              <w:t>你方提出的竣工</w:t>
            </w:r>
            <w:r>
              <w:rPr>
                <w:rFonts w:hint="eastAsia"/>
                <w:color w:val="auto"/>
                <w:spacing w:val="-3"/>
                <w:sz w:val="21"/>
                <w:szCs w:val="21"/>
                <w:highlight w:val="none"/>
              </w:rPr>
              <w:t>（施工过程）</w:t>
            </w:r>
            <w:r>
              <w:rPr>
                <w:color w:val="auto"/>
                <w:spacing w:val="-3"/>
                <w:sz w:val="21"/>
                <w:szCs w:val="21"/>
                <w:highlight w:val="none"/>
              </w:rPr>
              <w:t>结算款支付申请经复核</w:t>
            </w:r>
            <w:r>
              <w:rPr>
                <w:rFonts w:hint="eastAsia" w:eastAsia="宋体"/>
                <w:color w:val="auto"/>
                <w:spacing w:val="-3"/>
                <w:sz w:val="21"/>
                <w:szCs w:val="21"/>
                <w:highlight w:val="none"/>
                <w:lang w:eastAsia="zh-CN"/>
              </w:rPr>
              <w:t>，</w:t>
            </w:r>
            <w:r>
              <w:rPr>
                <w:color w:val="auto"/>
                <w:spacing w:val="11"/>
                <w:sz w:val="21"/>
                <w:szCs w:val="21"/>
                <w:highlight w:val="none"/>
              </w:rPr>
              <w:t xml:space="preserve"> </w:t>
            </w:r>
            <w:r>
              <w:rPr>
                <w:color w:val="auto"/>
                <w:spacing w:val="1"/>
                <w:sz w:val="21"/>
                <w:szCs w:val="21"/>
                <w:highlight w:val="none"/>
              </w:rPr>
              <w:t>竣工</w:t>
            </w:r>
            <w:r>
              <w:rPr>
                <w:rFonts w:hint="eastAsia"/>
                <w:color w:val="auto"/>
                <w:spacing w:val="1"/>
                <w:sz w:val="21"/>
                <w:szCs w:val="21"/>
                <w:highlight w:val="none"/>
              </w:rPr>
              <w:t>（施工过程）</w:t>
            </w:r>
            <w:r>
              <w:rPr>
                <w:color w:val="auto"/>
                <w:spacing w:val="1"/>
                <w:sz w:val="21"/>
                <w:szCs w:val="21"/>
                <w:highlight w:val="none"/>
              </w:rPr>
              <w:t>结算款总额为</w:t>
            </w:r>
            <w:r>
              <w:rPr>
                <w:rFonts w:hint="eastAsia" w:eastAsia="宋体"/>
                <w:color w:val="auto"/>
                <w:spacing w:val="1"/>
                <w:sz w:val="21"/>
                <w:szCs w:val="21"/>
                <w:highlight w:val="none"/>
                <w:lang w:eastAsia="zh-CN"/>
              </w:rPr>
              <w:t>（</w:t>
            </w:r>
            <w:r>
              <w:rPr>
                <w:color w:val="auto"/>
                <w:spacing w:val="1"/>
                <w:sz w:val="21"/>
                <w:szCs w:val="21"/>
                <w:highlight w:val="none"/>
              </w:rPr>
              <w:t>大写</w:t>
            </w:r>
            <w:r>
              <w:rPr>
                <w:rFonts w:hint="eastAsia" w:eastAsia="宋体"/>
                <w:color w:val="auto"/>
                <w:spacing w:val="1"/>
                <w:sz w:val="21"/>
                <w:szCs w:val="21"/>
                <w:highlight w:val="none"/>
                <w:u w:val="single"/>
                <w:lang w:eastAsia="zh-CN"/>
              </w:rPr>
              <w:t>）</w:t>
            </w:r>
            <w:r>
              <w:rPr>
                <w:color w:val="auto"/>
                <w:spacing w:val="28"/>
                <w:sz w:val="21"/>
                <w:szCs w:val="21"/>
                <w:highlight w:val="none"/>
                <w:u w:val="single"/>
              </w:rPr>
              <w:t xml:space="preserve">  </w:t>
            </w:r>
            <w:r>
              <w:rPr>
                <w:color w:val="auto"/>
                <w:sz w:val="21"/>
                <w:szCs w:val="21"/>
                <w:highlight w:val="none"/>
                <w:u w:val="single"/>
              </w:rPr>
              <w:t xml:space="preserve">    </w:t>
            </w:r>
            <w:r>
              <w:rPr>
                <w:rFonts w:hint="eastAsia" w:eastAsia="宋体"/>
                <w:color w:val="auto"/>
                <w:sz w:val="21"/>
                <w:szCs w:val="21"/>
                <w:highlight w:val="none"/>
                <w:lang w:eastAsia="zh-CN"/>
              </w:rPr>
              <w:t>（</w:t>
            </w:r>
            <w:r>
              <w:rPr>
                <w:color w:val="auto"/>
                <w:sz w:val="21"/>
                <w:szCs w:val="21"/>
                <w:highlight w:val="none"/>
              </w:rPr>
              <w:t>小写</w:t>
            </w:r>
            <w:r>
              <w:rPr>
                <w:color w:val="auto"/>
                <w:spacing w:val="11"/>
                <w:sz w:val="21"/>
                <w:szCs w:val="21"/>
                <w:highlight w:val="none"/>
                <w:u w:val="single"/>
              </w:rPr>
              <w:t xml:space="preserve">        </w:t>
            </w:r>
            <w:r>
              <w:rPr>
                <w:color w:val="auto"/>
                <w:spacing w:val="-98"/>
                <w:sz w:val="21"/>
                <w:szCs w:val="21"/>
                <w:highlight w:val="none"/>
              </w:rPr>
              <w:t xml:space="preserve"> </w:t>
            </w:r>
            <w:r>
              <w:rPr>
                <w:rFonts w:hint="eastAsia" w:eastAsia="宋体"/>
                <w:color w:val="auto"/>
                <w:sz w:val="21"/>
                <w:szCs w:val="21"/>
                <w:highlight w:val="none"/>
                <w:lang w:eastAsia="zh-CN"/>
              </w:rPr>
              <w:t>），</w:t>
            </w:r>
          </w:p>
          <w:p w14:paraId="10933E0B">
            <w:pPr>
              <w:pStyle w:val="289"/>
              <w:spacing w:before="67" w:line="216" w:lineRule="auto"/>
              <w:ind w:left="115"/>
              <w:rPr>
                <w:rFonts w:ascii="Arial"/>
                <w:color w:val="auto"/>
                <w:sz w:val="21"/>
                <w:highlight w:val="none"/>
              </w:rPr>
            </w:pPr>
            <w:r>
              <w:rPr>
                <w:color w:val="auto"/>
                <w:sz w:val="21"/>
                <w:szCs w:val="21"/>
                <w:highlight w:val="none"/>
              </w:rPr>
              <w:t>扣除前期支付以及质量</w:t>
            </w:r>
            <w:r>
              <w:rPr>
                <w:color w:val="auto"/>
                <w:spacing w:val="2"/>
                <w:sz w:val="21"/>
                <w:szCs w:val="21"/>
                <w:highlight w:val="none"/>
              </w:rPr>
              <w:t>保证金后应支付金额为</w:t>
            </w:r>
            <w:r>
              <w:rPr>
                <w:rFonts w:hint="eastAsia" w:eastAsia="宋体"/>
                <w:color w:val="auto"/>
                <w:spacing w:val="2"/>
                <w:sz w:val="21"/>
                <w:szCs w:val="21"/>
                <w:highlight w:val="none"/>
                <w:lang w:eastAsia="zh-CN"/>
              </w:rPr>
              <w:t>（</w:t>
            </w:r>
            <w:r>
              <w:rPr>
                <w:color w:val="auto"/>
                <w:spacing w:val="2"/>
                <w:sz w:val="21"/>
                <w:szCs w:val="21"/>
                <w:highlight w:val="none"/>
              </w:rPr>
              <w:t>大写</w:t>
            </w:r>
            <w:r>
              <w:rPr>
                <w:rFonts w:hint="eastAsia" w:eastAsia="宋体"/>
                <w:color w:val="auto"/>
                <w:spacing w:val="7"/>
                <w:sz w:val="21"/>
                <w:szCs w:val="21"/>
                <w:highlight w:val="none"/>
                <w:lang w:eastAsia="zh-CN"/>
              </w:rPr>
              <w:t>）</w:t>
            </w:r>
            <w:r>
              <w:rPr>
                <w:rFonts w:hint="eastAsia" w:eastAsia="宋体"/>
                <w:color w:val="auto"/>
                <w:spacing w:val="2"/>
                <w:sz w:val="21"/>
                <w:szCs w:val="21"/>
                <w:highlight w:val="none"/>
                <w:u w:val="single"/>
                <w:lang w:val="en-US" w:eastAsia="zh-CN"/>
              </w:rPr>
              <w:t xml:space="preserve">       </w:t>
            </w:r>
            <w:r>
              <w:rPr>
                <w:color w:val="auto"/>
                <w:spacing w:val="-39"/>
                <w:sz w:val="21"/>
                <w:szCs w:val="21"/>
                <w:highlight w:val="none"/>
                <w:u w:val="single"/>
              </w:rPr>
              <w:t xml:space="preserve"> </w:t>
            </w:r>
            <w:r>
              <w:rPr>
                <w:color w:val="auto"/>
                <w:spacing w:val="-100"/>
                <w:sz w:val="21"/>
                <w:szCs w:val="21"/>
                <w:highlight w:val="none"/>
              </w:rPr>
              <w:t xml:space="preserve"> </w:t>
            </w:r>
            <w:r>
              <w:rPr>
                <w:color w:val="auto"/>
                <w:spacing w:val="8"/>
                <w:sz w:val="21"/>
                <w:szCs w:val="21"/>
                <w:highlight w:val="none"/>
                <w:u w:val="single"/>
              </w:rPr>
              <w:t xml:space="preserve">           </w:t>
            </w:r>
            <w:r>
              <w:rPr>
                <w:color w:val="auto"/>
                <w:spacing w:val="7"/>
                <w:sz w:val="21"/>
                <w:szCs w:val="21"/>
                <w:highlight w:val="none"/>
              </w:rPr>
              <w:t xml:space="preserve"> </w:t>
            </w:r>
            <w:r>
              <w:rPr>
                <w:rFonts w:hint="eastAsia" w:eastAsia="宋体"/>
                <w:color w:val="auto"/>
                <w:spacing w:val="-18"/>
                <w:sz w:val="21"/>
                <w:szCs w:val="21"/>
                <w:highlight w:val="none"/>
                <w:lang w:eastAsia="zh-CN"/>
              </w:rPr>
              <w:t>（</w:t>
            </w:r>
            <w:r>
              <w:rPr>
                <w:color w:val="auto"/>
                <w:spacing w:val="4"/>
                <w:sz w:val="21"/>
                <w:szCs w:val="21"/>
                <w:highlight w:val="none"/>
              </w:rPr>
              <w:t xml:space="preserve"> </w:t>
            </w:r>
            <w:r>
              <w:rPr>
                <w:color w:val="auto"/>
                <w:spacing w:val="-18"/>
                <w:sz w:val="21"/>
                <w:szCs w:val="21"/>
                <w:highlight w:val="none"/>
              </w:rPr>
              <w:t>小</w:t>
            </w:r>
            <w:r>
              <w:rPr>
                <w:color w:val="auto"/>
                <w:spacing w:val="2"/>
                <w:sz w:val="21"/>
                <w:szCs w:val="21"/>
                <w:highlight w:val="none"/>
              </w:rPr>
              <w:t xml:space="preserve"> </w:t>
            </w:r>
            <w:r>
              <w:rPr>
                <w:color w:val="auto"/>
                <w:spacing w:val="-18"/>
                <w:sz w:val="21"/>
                <w:szCs w:val="21"/>
                <w:highlight w:val="none"/>
              </w:rPr>
              <w:t>写</w:t>
            </w:r>
            <w:r>
              <w:rPr>
                <w:color w:val="auto"/>
                <w:spacing w:val="3"/>
                <w:sz w:val="21"/>
                <w:szCs w:val="21"/>
                <w:highlight w:val="none"/>
                <w:u w:val="single"/>
              </w:rPr>
              <w:t xml:space="preserve">                   </w:t>
            </w:r>
            <w:r>
              <w:rPr>
                <w:rFonts w:hint="eastAsia" w:eastAsia="宋体"/>
                <w:color w:val="auto"/>
                <w:spacing w:val="-18"/>
                <w:sz w:val="21"/>
                <w:szCs w:val="21"/>
                <w:highlight w:val="none"/>
                <w:lang w:eastAsia="zh-CN"/>
              </w:rPr>
              <w:t>）</w:t>
            </w:r>
            <w:r>
              <w:rPr>
                <w:color w:val="auto"/>
                <w:spacing w:val="-18"/>
                <w:sz w:val="21"/>
                <w:szCs w:val="21"/>
                <w:highlight w:val="none"/>
              </w:rPr>
              <w:t>。</w:t>
            </w:r>
          </w:p>
          <w:p w14:paraId="2F5CCA10">
            <w:pPr>
              <w:spacing w:line="360" w:lineRule="exact"/>
              <w:ind w:firstLine="435"/>
              <w:jc w:val="center"/>
              <w:rPr>
                <w:rFonts w:ascii="Times New Roman" w:hAnsi="Times New Roman" w:eastAsia="宋体" w:cs="Times New Roman"/>
                <w:color w:val="auto"/>
                <w:szCs w:val="21"/>
                <w:highlight w:val="none"/>
                <w:u w:val="single"/>
              </w:rPr>
            </w:pPr>
            <w:r>
              <w:rPr>
                <w:rFonts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造价工程师</w:t>
            </w:r>
            <w:r>
              <w:rPr>
                <w:rFonts w:ascii="Times New Roman" w:hAnsi="Times New Roman" w:eastAsia="宋体" w:cs="Times New Roman"/>
                <w:color w:val="auto"/>
                <w:szCs w:val="21"/>
                <w:highlight w:val="none"/>
                <w:u w:val="single"/>
              </w:rPr>
              <w:t xml:space="preserve">           </w:t>
            </w:r>
          </w:p>
          <w:p w14:paraId="5841FB5B">
            <w:pPr>
              <w:pStyle w:val="289"/>
              <w:spacing w:before="69" w:line="227" w:lineRule="auto"/>
              <w:ind w:left="2792" w:hanging="1387"/>
              <w:rPr>
                <w:color w:val="auto"/>
                <w:sz w:val="21"/>
                <w:szCs w:val="21"/>
                <w:highlight w:val="none"/>
              </w:rPr>
            </w:pPr>
            <w:r>
              <w:rPr>
                <w:rFonts w:hint="eastAsia" w:ascii="宋体" w:hAnsi="宋体" w:eastAsia="宋体" w:cs="Times New Roman"/>
                <w:color w:val="auto"/>
                <w:sz w:val="21"/>
                <w:szCs w:val="24"/>
                <w:highlight w:val="none"/>
                <w:lang w:val="en-US" w:eastAsia="zh-CN" w:bidi="ar-SA"/>
              </w:rPr>
              <w:t xml:space="preserve">     日     期</w:t>
            </w:r>
            <w:r>
              <w:rPr>
                <w:rFonts w:ascii="Times New Roman" w:hAnsi="Times New Roman" w:eastAsia="宋体" w:cs="Times New Roman"/>
                <w:color w:val="auto"/>
                <w:sz w:val="21"/>
                <w:szCs w:val="24"/>
                <w:highlight w:val="none"/>
                <w:u w:val="single"/>
                <w:lang w:val="en-US" w:eastAsia="zh-CN" w:bidi="ar-SA"/>
              </w:rPr>
              <w:t xml:space="preserve">          </w:t>
            </w:r>
          </w:p>
        </w:tc>
      </w:tr>
      <w:tr w14:paraId="3826E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8" w:hRule="atLeast"/>
          <w:jc w:val="center"/>
        </w:trPr>
        <w:tc>
          <w:tcPr>
            <w:tcW w:w="9229" w:type="dxa"/>
            <w:gridSpan w:val="2"/>
            <w:noWrap w:val="0"/>
            <w:vAlign w:val="top"/>
          </w:tcPr>
          <w:p w14:paraId="68927F5D">
            <w:pPr>
              <w:pStyle w:val="289"/>
              <w:spacing w:before="264" w:line="257" w:lineRule="auto"/>
              <w:ind w:left="14" w:right="8058" w:firstLine="99"/>
              <w:rPr>
                <w:rFonts w:ascii="Arial"/>
                <w:color w:val="auto"/>
                <w:sz w:val="21"/>
                <w:highlight w:val="none"/>
              </w:rPr>
            </w:pPr>
            <w:r>
              <w:rPr>
                <w:color w:val="auto"/>
                <w:spacing w:val="-1"/>
                <w:sz w:val="21"/>
                <w:szCs w:val="21"/>
                <w:highlight w:val="none"/>
              </w:rPr>
              <w:t>审核意见：</w:t>
            </w:r>
            <w:r>
              <w:rPr>
                <w:color w:val="auto"/>
                <w:sz w:val="21"/>
                <w:szCs w:val="21"/>
                <w:highlight w:val="none"/>
              </w:rPr>
              <w:t xml:space="preserve"> </w:t>
            </w:r>
            <w:r>
              <w:rPr>
                <w:rFonts w:hint="eastAsia" w:eastAsia="宋体"/>
                <w:color w:val="auto"/>
                <w:sz w:val="21"/>
                <w:szCs w:val="21"/>
                <w:highlight w:val="none"/>
                <w:lang w:val="en-US" w:eastAsia="zh-CN"/>
              </w:rPr>
              <w:t xml:space="preserve">  </w:t>
            </w:r>
            <w:r>
              <w:rPr>
                <w:color w:val="auto"/>
                <w:spacing w:val="4"/>
                <w:sz w:val="21"/>
                <w:szCs w:val="21"/>
                <w:highlight w:val="none"/>
              </w:rPr>
              <w:t>口</w:t>
            </w:r>
            <w:r>
              <w:rPr>
                <w:rFonts w:hint="eastAsia" w:ascii="Arial" w:hAnsi="Arial" w:eastAsia="Arial" w:cs="Arial"/>
                <w:color w:val="auto"/>
                <w:spacing w:val="4"/>
                <w:sz w:val="21"/>
                <w:szCs w:val="21"/>
                <w:highlight w:val="none"/>
                <w:lang w:eastAsia="zh-CN"/>
              </w:rPr>
              <w:t>不同意</w:t>
            </w:r>
            <w:r>
              <w:rPr>
                <w:color w:val="auto"/>
                <w:sz w:val="21"/>
                <w:szCs w:val="21"/>
                <w:highlight w:val="none"/>
              </w:rPr>
              <w:t xml:space="preserve"> </w:t>
            </w:r>
            <w:r>
              <w:rPr>
                <w:color w:val="auto"/>
                <w:spacing w:val="4"/>
                <w:sz w:val="21"/>
                <w:szCs w:val="21"/>
                <w:highlight w:val="none"/>
              </w:rPr>
              <w:t>口同意</w:t>
            </w:r>
          </w:p>
          <w:p w14:paraId="718103CF">
            <w:pPr>
              <w:pStyle w:val="289"/>
              <w:spacing w:before="68" w:line="219" w:lineRule="auto"/>
              <w:ind w:left="0" w:firstLine="6379"/>
              <w:rPr>
                <w:rFonts w:hint="eastAsia" w:eastAsia="宋体"/>
                <w:color w:val="auto"/>
                <w:sz w:val="21"/>
                <w:szCs w:val="21"/>
                <w:highlight w:val="none"/>
                <w:lang w:eastAsia="zh-CN"/>
              </w:rPr>
            </w:pPr>
            <w:r>
              <w:rPr>
                <w:color w:val="auto"/>
                <w:spacing w:val="7"/>
                <w:sz w:val="21"/>
                <w:szCs w:val="21"/>
                <w:highlight w:val="none"/>
              </w:rPr>
              <w:t>发包人</w:t>
            </w:r>
            <w:r>
              <w:rPr>
                <w:rFonts w:hint="eastAsia" w:eastAsia="宋体"/>
                <w:color w:val="auto"/>
                <w:spacing w:val="7"/>
                <w:sz w:val="21"/>
                <w:szCs w:val="21"/>
                <w:highlight w:val="none"/>
                <w:lang w:eastAsia="zh-CN"/>
              </w:rPr>
              <w:t>（</w:t>
            </w:r>
            <w:r>
              <w:rPr>
                <w:color w:val="auto"/>
                <w:spacing w:val="7"/>
                <w:sz w:val="21"/>
                <w:szCs w:val="21"/>
                <w:highlight w:val="none"/>
              </w:rPr>
              <w:t>章</w:t>
            </w:r>
            <w:r>
              <w:rPr>
                <w:rFonts w:hint="eastAsia" w:eastAsia="宋体"/>
                <w:color w:val="auto"/>
                <w:spacing w:val="7"/>
                <w:sz w:val="21"/>
                <w:szCs w:val="21"/>
                <w:highlight w:val="none"/>
                <w:lang w:eastAsia="zh-CN"/>
              </w:rPr>
              <w:t>）</w:t>
            </w:r>
          </w:p>
          <w:p w14:paraId="7350663C">
            <w:pPr>
              <w:spacing w:line="400" w:lineRule="exact"/>
              <w:ind w:firstLine="420"/>
              <w:jc w:val="center"/>
              <w:rPr>
                <w:rFonts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lang w:val="en-US" w:eastAsia="zh-CN"/>
              </w:rPr>
              <w:t xml:space="preserve">                                                      </w:t>
            </w:r>
            <w:r>
              <w:rPr>
                <w:rFonts w:hint="eastAsia" w:ascii="Arial" w:hAnsi="Arial" w:eastAsia="Arial" w:cs="Arial"/>
                <w:color w:val="auto"/>
                <w:spacing w:val="7"/>
                <w:sz w:val="21"/>
                <w:szCs w:val="21"/>
                <w:highlight w:val="none"/>
                <w:lang w:val="en-US" w:eastAsia="en-US" w:bidi="ar-SA"/>
              </w:rPr>
              <w:t>发包人代表</w:t>
            </w:r>
            <w:r>
              <w:rPr>
                <w:rFonts w:ascii="Times New Roman" w:hAnsi="Times New Roman" w:eastAsia="宋体" w:cs="Times New Roman"/>
                <w:color w:val="auto"/>
                <w:szCs w:val="21"/>
                <w:highlight w:val="none"/>
                <w:u w:val="single"/>
              </w:rPr>
              <w:t xml:space="preserve">          </w:t>
            </w:r>
          </w:p>
          <w:p w14:paraId="6F2BD96C">
            <w:pPr>
              <w:pStyle w:val="289"/>
              <w:spacing w:before="51" w:line="243" w:lineRule="auto"/>
              <w:ind w:left="0" w:firstLine="5700"/>
              <w:rPr>
                <w:color w:val="auto"/>
                <w:sz w:val="21"/>
                <w:szCs w:val="21"/>
                <w:highlight w:val="none"/>
              </w:rPr>
            </w:pPr>
            <w:r>
              <w:rPr>
                <w:color w:val="auto"/>
                <w:spacing w:val="9"/>
                <w:sz w:val="21"/>
                <w:szCs w:val="21"/>
                <w:highlight w:val="none"/>
                <w:u w:val="single"/>
              </w:rPr>
              <w:t xml:space="preserve">         </w:t>
            </w:r>
            <w:r>
              <w:rPr>
                <w:color w:val="auto"/>
                <w:sz w:val="21"/>
                <w:szCs w:val="21"/>
                <w:highlight w:val="none"/>
              </w:rPr>
              <w:t xml:space="preserve">  </w:t>
            </w:r>
            <w:r>
              <w:rPr>
                <w:color w:val="auto"/>
                <w:spacing w:val="-15"/>
                <w:sz w:val="21"/>
                <w:szCs w:val="21"/>
                <w:highlight w:val="none"/>
                <w:u w:val="single"/>
              </w:rPr>
              <w:t>日期</w:t>
            </w:r>
            <w:r>
              <w:rPr>
                <w:color w:val="auto"/>
                <w:spacing w:val="-21"/>
                <w:sz w:val="21"/>
                <w:szCs w:val="21"/>
                <w:highlight w:val="none"/>
                <w:u w:val="single"/>
              </w:rPr>
              <w:t xml:space="preserve"> </w:t>
            </w:r>
            <w:r>
              <w:rPr>
                <w:color w:val="auto"/>
                <w:spacing w:val="-100"/>
                <w:sz w:val="21"/>
                <w:szCs w:val="21"/>
                <w:highlight w:val="none"/>
              </w:rPr>
              <w:t xml:space="preserve"> </w:t>
            </w:r>
            <w:r>
              <w:rPr>
                <w:color w:val="auto"/>
                <w:sz w:val="21"/>
                <w:szCs w:val="21"/>
                <w:highlight w:val="none"/>
                <w:u w:val="single"/>
              </w:rPr>
              <w:t xml:space="preserve">            </w:t>
            </w:r>
          </w:p>
        </w:tc>
      </w:tr>
    </w:tbl>
    <w:p w14:paraId="6DBA9973">
      <w:pPr>
        <w:widowControl w:val="0"/>
        <w:spacing w:before="153" w:after="60" w:line="200" w:lineRule="exact"/>
        <w:ind w:left="63" w:right="63"/>
        <w:jc w:val="left"/>
        <w:rPr>
          <w:rFonts w:ascii="Times New Roman" w:hAnsi="Times New Roman" w:eastAsia="宋体" w:cs="Times New Roman"/>
          <w:color w:val="auto"/>
          <w:sz w:val="19"/>
          <w:szCs w:val="19"/>
          <w:highlight w:val="none"/>
          <w:lang w:val="en-US" w:eastAsia="zh-CN" w:bidi="ar-SA"/>
        </w:rPr>
      </w:pPr>
      <w:r>
        <w:rPr>
          <w:rFonts w:ascii="Times New Roman" w:hAnsi="Times New Roman" w:eastAsia="宋体" w:cs="Times New Roman"/>
          <w:color w:val="auto"/>
          <w:spacing w:val="-13"/>
          <w:sz w:val="19"/>
          <w:szCs w:val="19"/>
          <w:highlight w:val="none"/>
          <w:lang w:val="en-US" w:eastAsia="zh-CN" w:bidi="ar-SA"/>
        </w:rPr>
        <w:t>注：1</w:t>
      </w:r>
      <w:r>
        <w:rPr>
          <w:rFonts w:hint="eastAsia" w:ascii="Times New Roman" w:hAnsi="Times New Roman" w:eastAsia="宋体" w:cs="Times New Roman"/>
          <w:color w:val="auto"/>
          <w:spacing w:val="70"/>
          <w:sz w:val="19"/>
          <w:szCs w:val="19"/>
          <w:highlight w:val="none"/>
          <w:lang w:val="en-US" w:eastAsia="zh-CN" w:bidi="ar-SA"/>
        </w:rPr>
        <w:t>.</w:t>
      </w:r>
      <w:r>
        <w:rPr>
          <w:rFonts w:ascii="Times New Roman" w:hAnsi="Times New Roman" w:eastAsia="宋体" w:cs="Times New Roman"/>
          <w:color w:val="auto"/>
          <w:spacing w:val="-13"/>
          <w:sz w:val="19"/>
          <w:szCs w:val="19"/>
          <w:highlight w:val="none"/>
          <w:lang w:val="en-US" w:eastAsia="zh-CN" w:bidi="ar-SA"/>
        </w:rPr>
        <w:t>应在选择栏中的</w:t>
      </w:r>
      <w:r>
        <w:rPr>
          <w:rFonts w:hint="eastAsia" w:ascii="Times New Roman" w:hAnsi="Times New Roman" w:eastAsia="宋体" w:cs="Times New Roman"/>
          <w:color w:val="auto"/>
          <w:spacing w:val="-13"/>
          <w:sz w:val="19"/>
          <w:szCs w:val="19"/>
          <w:highlight w:val="none"/>
          <w:lang w:val="en-US" w:eastAsia="zh-CN" w:bidi="ar-SA"/>
        </w:rPr>
        <w:t>“</w:t>
      </w:r>
      <w:r>
        <w:rPr>
          <w:rFonts w:ascii="Times New Roman" w:hAnsi="Times New Roman" w:eastAsia="宋体" w:cs="Times New Roman"/>
          <w:color w:val="auto"/>
          <w:spacing w:val="-13"/>
          <w:sz w:val="19"/>
          <w:szCs w:val="19"/>
          <w:highlight w:val="none"/>
          <w:lang w:val="en-US" w:eastAsia="zh-CN" w:bidi="ar-SA"/>
        </w:rPr>
        <w:t>□</w:t>
      </w:r>
      <w:r>
        <w:rPr>
          <w:rFonts w:hint="eastAsia" w:ascii="Times New Roman" w:hAnsi="Times New Roman" w:eastAsia="宋体" w:cs="Times New Roman"/>
          <w:color w:val="auto"/>
          <w:spacing w:val="-13"/>
          <w:sz w:val="19"/>
          <w:szCs w:val="19"/>
          <w:highlight w:val="none"/>
          <w:lang w:val="en-US" w:eastAsia="zh-CN" w:bidi="ar-SA"/>
        </w:rPr>
        <w:t>”</w:t>
      </w:r>
      <w:r>
        <w:rPr>
          <w:rFonts w:ascii="Times New Roman" w:hAnsi="Times New Roman" w:eastAsia="宋体" w:cs="Times New Roman"/>
          <w:color w:val="auto"/>
          <w:spacing w:val="-13"/>
          <w:sz w:val="19"/>
          <w:szCs w:val="19"/>
          <w:highlight w:val="none"/>
          <w:lang w:val="en-US" w:eastAsia="zh-CN" w:bidi="ar-SA"/>
        </w:rPr>
        <w:t>内作标识</w:t>
      </w:r>
      <w:r>
        <w:rPr>
          <w:rFonts w:hint="eastAsia" w:ascii="Times New Roman" w:hAnsi="Times New Roman" w:eastAsia="宋体" w:cs="Times New Roman"/>
          <w:color w:val="auto"/>
          <w:spacing w:val="-13"/>
          <w:sz w:val="19"/>
          <w:szCs w:val="19"/>
          <w:highlight w:val="none"/>
          <w:lang w:val="en-US" w:eastAsia="zh-CN" w:bidi="ar-SA"/>
        </w:rPr>
        <w:t>“</w:t>
      </w:r>
      <w:r>
        <w:rPr>
          <w:rFonts w:ascii="Times New Roman" w:hAnsi="Times New Roman" w:eastAsia="宋体" w:cs="Times New Roman"/>
          <w:color w:val="auto"/>
          <w:spacing w:val="-70"/>
          <w:sz w:val="19"/>
          <w:szCs w:val="19"/>
          <w:highlight w:val="none"/>
          <w:lang w:val="en-US" w:eastAsia="zh-CN" w:bidi="ar-SA"/>
        </w:rPr>
        <w:t xml:space="preserve"> </w:t>
      </w:r>
      <w:r>
        <w:rPr>
          <w:rFonts w:ascii="Times New Roman" w:hAnsi="Times New Roman" w:eastAsia="宋体" w:cs="Times New Roman"/>
          <w:color w:val="auto"/>
          <w:spacing w:val="-13"/>
          <w:sz w:val="19"/>
          <w:szCs w:val="19"/>
          <w:highlight w:val="none"/>
          <w:lang w:val="en-US" w:eastAsia="zh-CN" w:bidi="ar-SA"/>
        </w:rPr>
        <w:t>√</w:t>
      </w:r>
      <w:r>
        <w:rPr>
          <w:rFonts w:hint="eastAsia" w:ascii="Times New Roman" w:hAnsi="Times New Roman" w:eastAsia="宋体" w:cs="Times New Roman"/>
          <w:color w:val="auto"/>
          <w:spacing w:val="-13"/>
          <w:sz w:val="19"/>
          <w:szCs w:val="19"/>
          <w:highlight w:val="none"/>
          <w:lang w:val="en-US" w:eastAsia="zh-CN" w:bidi="ar-SA"/>
        </w:rPr>
        <w:t>”；</w:t>
      </w:r>
    </w:p>
    <w:p w14:paraId="5932B900">
      <w:pPr>
        <w:spacing w:line="200" w:lineRule="exact"/>
        <w:ind w:firstLine="372"/>
        <w:jc w:val="both"/>
        <w:outlineLvl w:val="9"/>
        <w:rPr>
          <w:rFonts w:hint="eastAsia" w:ascii="Times New Roman" w:hAnsi="Times New Roman" w:eastAsia="宋体" w:cs="Times New Roman"/>
          <w:color w:val="auto"/>
          <w:spacing w:val="-3"/>
          <w:sz w:val="19"/>
          <w:szCs w:val="19"/>
          <w:highlight w:val="none"/>
          <w:lang w:eastAsia="zh-CN"/>
        </w:rPr>
      </w:pPr>
      <w:r>
        <w:rPr>
          <w:rFonts w:ascii="Times New Roman" w:hAnsi="Times New Roman" w:eastAsia="宋体" w:cs="Times New Roman"/>
          <w:color w:val="auto"/>
          <w:spacing w:val="-2"/>
          <w:sz w:val="19"/>
          <w:szCs w:val="19"/>
          <w:highlight w:val="none"/>
        </w:rPr>
        <w:t>2</w:t>
      </w:r>
      <w:r>
        <w:rPr>
          <w:rFonts w:hint="eastAsia" w:ascii="Times New Roman" w:hAnsi="Times New Roman" w:eastAsia="宋体" w:cs="Times New Roman"/>
          <w:color w:val="auto"/>
          <w:spacing w:val="-2"/>
          <w:sz w:val="19"/>
          <w:szCs w:val="19"/>
          <w:highlight w:val="none"/>
          <w:lang w:val="en-US" w:eastAsia="zh-CN"/>
        </w:rPr>
        <w:t>.</w:t>
      </w:r>
      <w:r>
        <w:rPr>
          <w:rFonts w:ascii="Times New Roman" w:hAnsi="Times New Roman" w:eastAsia="宋体" w:cs="Times New Roman"/>
          <w:color w:val="auto"/>
          <w:spacing w:val="-2"/>
          <w:sz w:val="19"/>
          <w:szCs w:val="19"/>
          <w:highlight w:val="none"/>
        </w:rPr>
        <w:t>本表应一式四份</w:t>
      </w:r>
      <w:r>
        <w:rPr>
          <w:rFonts w:hint="eastAsia" w:ascii="Times New Roman" w:hAnsi="Times New Roman" w:eastAsia="宋体" w:cs="Times New Roman"/>
          <w:color w:val="auto"/>
          <w:spacing w:val="-2"/>
          <w:sz w:val="19"/>
          <w:szCs w:val="19"/>
          <w:highlight w:val="none"/>
          <w:lang w:eastAsia="zh-CN"/>
        </w:rPr>
        <w:t>，</w:t>
      </w:r>
      <w:r>
        <w:rPr>
          <w:rFonts w:ascii="Times New Roman" w:hAnsi="Times New Roman" w:eastAsia="宋体" w:cs="Times New Roman"/>
          <w:color w:val="auto"/>
          <w:spacing w:val="-2"/>
          <w:sz w:val="19"/>
          <w:szCs w:val="19"/>
          <w:highlight w:val="none"/>
        </w:rPr>
        <w:t>由承包人填报</w:t>
      </w:r>
      <w:r>
        <w:rPr>
          <w:rFonts w:hint="eastAsia" w:ascii="Times New Roman" w:hAnsi="Times New Roman" w:eastAsia="宋体" w:cs="Times New Roman"/>
          <w:color w:val="auto"/>
          <w:spacing w:val="-2"/>
          <w:sz w:val="19"/>
          <w:szCs w:val="19"/>
          <w:highlight w:val="none"/>
          <w:lang w:eastAsia="zh-CN"/>
        </w:rPr>
        <w:t>，</w:t>
      </w:r>
      <w:r>
        <w:rPr>
          <w:rFonts w:ascii="Times New Roman" w:hAnsi="Times New Roman" w:eastAsia="宋体" w:cs="Times New Roman"/>
          <w:color w:val="auto"/>
          <w:spacing w:val="-2"/>
          <w:sz w:val="19"/>
          <w:szCs w:val="19"/>
          <w:highlight w:val="none"/>
        </w:rPr>
        <w:t>发包人、监理人、工程</w:t>
      </w:r>
      <w:r>
        <w:rPr>
          <w:rFonts w:ascii="Times New Roman" w:hAnsi="Times New Roman" w:eastAsia="宋体" w:cs="Times New Roman"/>
          <w:color w:val="auto"/>
          <w:spacing w:val="-3"/>
          <w:sz w:val="19"/>
          <w:szCs w:val="19"/>
          <w:highlight w:val="none"/>
        </w:rPr>
        <w:t>造价咨询人、承包人各存一份</w:t>
      </w:r>
      <w:r>
        <w:rPr>
          <w:rFonts w:hint="eastAsia" w:ascii="Times New Roman" w:hAnsi="Times New Roman" w:eastAsia="宋体" w:cs="Times New Roman"/>
          <w:color w:val="auto"/>
          <w:spacing w:val="-3"/>
          <w:sz w:val="19"/>
          <w:szCs w:val="19"/>
          <w:highlight w:val="none"/>
          <w:lang w:eastAsia="zh-CN"/>
        </w:rPr>
        <w:t>。</w:t>
      </w:r>
    </w:p>
    <w:p w14:paraId="4319C216">
      <w:pPr>
        <w:pStyle w:val="47"/>
        <w:rPr>
          <w:color w:val="auto"/>
          <w:highlight w:val="none"/>
        </w:rPr>
      </w:pPr>
    </w:p>
    <w:p w14:paraId="6440EF3A">
      <w:pPr>
        <w:jc w:val="left"/>
        <w:rPr>
          <w:rFonts w:hint="eastAsia" w:ascii="Times New Roman" w:hAnsi="Times New Roman" w:eastAsia="宋体" w:cs="Times New Roman"/>
          <w:b/>
          <w:color w:val="auto"/>
          <w:sz w:val="30"/>
          <w:szCs w:val="30"/>
          <w:highlight w:val="none"/>
        </w:rPr>
      </w:pPr>
      <w:r>
        <w:rPr>
          <w:rFonts w:hint="eastAsia" w:ascii="仿宋_GB2312" w:hAnsi="Times New Roman" w:eastAsia="仿宋_GB2312" w:cs="仿宋_GB2312"/>
          <w:color w:val="auto"/>
          <w:sz w:val="30"/>
          <w:szCs w:val="30"/>
          <w:highlight w:val="none"/>
        </w:rPr>
        <w:t>附件13：工程保修与结清结算支付申请（核准）表</w:t>
      </w:r>
    </w:p>
    <w:p w14:paraId="7931EE81">
      <w:pPr>
        <w:spacing w:before="0" w:after="0"/>
        <w:jc w:val="center"/>
        <w:outlineLvl w:val="1"/>
        <w:rPr>
          <w:rFonts w:ascii="宋体" w:hAnsi="宋体" w:eastAsia="宋体" w:cs="Times New Roman"/>
          <w:b/>
          <w:color w:val="auto"/>
          <w:sz w:val="30"/>
          <w:szCs w:val="30"/>
          <w:highlight w:val="none"/>
          <w:lang w:val="en"/>
        </w:rPr>
      </w:pPr>
      <w:r>
        <w:rPr>
          <w:rFonts w:hint="default" w:ascii="宋体" w:hAnsi="宋体" w:eastAsia="宋体" w:cs="Times New Roman"/>
          <w:b/>
          <w:bCs w:val="0"/>
          <w:color w:val="auto"/>
          <w:sz w:val="30"/>
          <w:szCs w:val="30"/>
          <w:highlight w:val="none"/>
          <w:lang w:val="en"/>
        </w:rPr>
        <w:t>工程保修与结清结算支付申请</w:t>
      </w:r>
      <w:r>
        <w:rPr>
          <w:rFonts w:hint="eastAsia" w:ascii="宋体" w:hAnsi="宋体" w:eastAsia="宋体" w:cs="Times New Roman"/>
          <w:b/>
          <w:bCs w:val="0"/>
          <w:color w:val="auto"/>
          <w:sz w:val="30"/>
          <w:szCs w:val="30"/>
          <w:highlight w:val="none"/>
          <w:lang w:val="en" w:eastAsia="zh-CN"/>
        </w:rPr>
        <w:t>（</w:t>
      </w:r>
      <w:r>
        <w:rPr>
          <w:rFonts w:hint="default" w:ascii="宋体" w:hAnsi="宋体" w:eastAsia="宋体" w:cs="Times New Roman"/>
          <w:b/>
          <w:bCs w:val="0"/>
          <w:color w:val="auto"/>
          <w:sz w:val="30"/>
          <w:szCs w:val="30"/>
          <w:highlight w:val="none"/>
          <w:lang w:val="en"/>
        </w:rPr>
        <w:t>核准</w:t>
      </w:r>
      <w:r>
        <w:rPr>
          <w:rFonts w:hint="eastAsia" w:ascii="宋体" w:hAnsi="宋体" w:eastAsia="宋体" w:cs="Times New Roman"/>
          <w:b/>
          <w:bCs w:val="0"/>
          <w:color w:val="auto"/>
          <w:sz w:val="30"/>
          <w:szCs w:val="30"/>
          <w:highlight w:val="none"/>
          <w:lang w:val="en" w:eastAsia="zh-CN"/>
        </w:rPr>
        <w:t>）</w:t>
      </w:r>
      <w:r>
        <w:rPr>
          <w:rFonts w:hint="default" w:ascii="宋体" w:hAnsi="宋体" w:eastAsia="宋体" w:cs="Times New Roman"/>
          <w:b/>
          <w:bCs w:val="0"/>
          <w:color w:val="auto"/>
          <w:sz w:val="30"/>
          <w:szCs w:val="30"/>
          <w:highlight w:val="none"/>
          <w:lang w:val="en"/>
        </w:rPr>
        <w:t>表</w:t>
      </w:r>
    </w:p>
    <w:p w14:paraId="6EF72F4D">
      <w:pP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工程</w:t>
      </w:r>
      <w:r>
        <w:rPr>
          <w:rFonts w:hint="eastAsia" w:ascii="宋体" w:hAnsi="宋体" w:eastAsia="宋体" w:cs="Times New Roman"/>
          <w:color w:val="auto"/>
          <w:spacing w:val="-3"/>
          <w:szCs w:val="21"/>
          <w:highlight w:val="none"/>
        </w:rPr>
        <w:t>名</w:t>
      </w:r>
      <w:r>
        <w:rPr>
          <w:rFonts w:hint="eastAsia" w:ascii="宋体" w:hAnsi="宋体" w:eastAsia="宋体" w:cs="Times New Roman"/>
          <w:color w:val="auto"/>
          <w:szCs w:val="21"/>
          <w:highlight w:val="none"/>
        </w:rPr>
        <w:t>称：</w:t>
      </w:r>
      <w:r>
        <w:rPr>
          <w:rFonts w:hint="eastAsia" w:ascii="宋体" w:hAnsi="宋体" w:eastAsia="宋体" w:cs="Times New Roman"/>
          <w:color w:val="auto"/>
          <w:szCs w:val="21"/>
          <w:highlight w:val="none"/>
        </w:rPr>
        <w:tab/>
      </w:r>
      <w:r>
        <w:rPr>
          <w:rFonts w:hint="eastAsia" w:ascii="宋体" w:hAnsi="宋体" w:eastAsia="宋体" w:cs="Times New Roman"/>
          <w:color w:val="auto"/>
          <w:szCs w:val="21"/>
          <w:highlight w:val="none"/>
        </w:rPr>
        <w:tab/>
      </w:r>
      <w:r>
        <w:rPr>
          <w:rFonts w:hint="eastAsia" w:ascii="宋体" w:hAnsi="宋体" w:eastAsia="宋体" w:cs="Times New Roman"/>
          <w:color w:val="auto"/>
          <w:szCs w:val="21"/>
          <w:highlight w:val="none"/>
        </w:rPr>
        <w:tab/>
      </w:r>
      <w:r>
        <w:rPr>
          <w:rFonts w:hint="eastAsia" w:ascii="宋体" w:hAnsi="宋体" w:eastAsia="宋体" w:cs="Times New Roman"/>
          <w:color w:val="auto"/>
          <w:szCs w:val="21"/>
          <w:highlight w:val="none"/>
        </w:rPr>
        <w:tab/>
      </w:r>
      <w:r>
        <w:rPr>
          <w:rFonts w:hint="eastAsia" w:ascii="宋体" w:hAnsi="宋体" w:eastAsia="宋体" w:cs="Times New Roman"/>
          <w:color w:val="auto"/>
          <w:szCs w:val="21"/>
          <w:highlight w:val="none"/>
        </w:rPr>
        <w:tab/>
      </w:r>
      <w:r>
        <w:rPr>
          <w:rFonts w:hint="eastAsia" w:ascii="宋体" w:hAnsi="宋体" w:eastAsia="宋体" w:cs="Times New Roman"/>
          <w:color w:val="auto"/>
          <w:szCs w:val="21"/>
          <w:highlight w:val="none"/>
        </w:rPr>
        <w:tab/>
      </w:r>
      <w:r>
        <w:rPr>
          <w:rFonts w:hint="eastAsia" w:ascii="宋体" w:hAnsi="宋体" w:eastAsia="宋体" w:cs="Times New Roman"/>
          <w:color w:val="auto"/>
          <w:szCs w:val="21"/>
          <w:highlight w:val="none"/>
        </w:rPr>
        <w:tab/>
      </w:r>
      <w:r>
        <w:rPr>
          <w:rFonts w:hint="eastAsia" w:ascii="宋体" w:hAnsi="宋体" w:eastAsia="宋体" w:cs="Times New Roman"/>
          <w:color w:val="auto"/>
          <w:szCs w:val="21"/>
          <w:highlight w:val="none"/>
        </w:rPr>
        <w:tab/>
      </w:r>
      <w:r>
        <w:rPr>
          <w:rFonts w:hint="eastAsia" w:ascii="宋体" w:hAnsi="宋体" w:eastAsia="宋体" w:cs="Times New Roman"/>
          <w:color w:val="auto"/>
          <w:szCs w:val="21"/>
          <w:highlight w:val="none"/>
        </w:rPr>
        <w:t>标</w:t>
      </w:r>
      <w:r>
        <w:rPr>
          <w:rFonts w:hint="eastAsia" w:ascii="宋体" w:hAnsi="宋体" w:eastAsia="宋体" w:cs="Times New Roman"/>
          <w:color w:val="auto"/>
          <w:spacing w:val="-3"/>
          <w:szCs w:val="21"/>
          <w:highlight w:val="none"/>
        </w:rPr>
        <w:t>段</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rPr>
        <w:tab/>
      </w:r>
      <w:r>
        <w:rPr>
          <w:rFonts w:hint="eastAsia" w:ascii="宋体" w:hAnsi="宋体" w:eastAsia="宋体" w:cs="Times New Roman"/>
          <w:color w:val="auto"/>
          <w:szCs w:val="21"/>
          <w:highlight w:val="none"/>
        </w:rPr>
        <w:tab/>
      </w:r>
      <w:r>
        <w:rPr>
          <w:rFonts w:hint="eastAsia" w:ascii="宋体" w:hAnsi="宋体" w:eastAsia="宋体" w:cs="Times New Roman"/>
          <w:color w:val="auto"/>
          <w:szCs w:val="21"/>
          <w:highlight w:val="none"/>
        </w:rPr>
        <w:tab/>
      </w:r>
      <w:r>
        <w:rPr>
          <w:rFonts w:hint="eastAsia" w:ascii="宋体" w:hAnsi="宋体" w:eastAsia="宋体" w:cs="Times New Roman"/>
          <w:color w:val="auto"/>
          <w:szCs w:val="21"/>
          <w:highlight w:val="none"/>
        </w:rPr>
        <w:tab/>
      </w:r>
      <w:r>
        <w:rPr>
          <w:rFonts w:hint="eastAsia" w:ascii="宋体" w:hAnsi="宋体" w:eastAsia="宋体" w:cs="Times New Roman"/>
          <w:color w:val="auto"/>
          <w:szCs w:val="21"/>
          <w:highlight w:val="none"/>
        </w:rPr>
        <w:tab/>
      </w:r>
      <w:r>
        <w:rPr>
          <w:rFonts w:hint="eastAsia" w:ascii="宋体" w:hAnsi="宋体" w:eastAsia="宋体" w:cs="Times New Roman"/>
          <w:color w:val="auto"/>
          <w:szCs w:val="21"/>
          <w:highlight w:val="none"/>
        </w:rPr>
        <w:tab/>
      </w:r>
      <w:r>
        <w:rPr>
          <w:rFonts w:hint="eastAsia" w:ascii="宋体" w:hAnsi="宋体" w:eastAsia="宋体" w:cs="Times New Roman"/>
          <w:color w:val="auto"/>
          <w:szCs w:val="21"/>
          <w:highlight w:val="none"/>
        </w:rPr>
        <w:tab/>
      </w:r>
      <w:r>
        <w:rPr>
          <w:rFonts w:hint="eastAsia" w:ascii="宋体" w:hAnsi="宋体" w:eastAsia="宋体" w:cs="Times New Roman"/>
          <w:color w:val="auto"/>
          <w:szCs w:val="21"/>
          <w:highlight w:val="none"/>
        </w:rPr>
        <w:tab/>
      </w:r>
      <w:r>
        <w:rPr>
          <w:rFonts w:hint="eastAsia" w:ascii="宋体" w:hAnsi="宋体" w:eastAsia="宋体" w:cs="Times New Roman"/>
          <w:color w:val="auto"/>
          <w:spacing w:val="-3"/>
          <w:szCs w:val="21"/>
          <w:highlight w:val="none"/>
        </w:rPr>
        <w:t>编</w:t>
      </w:r>
      <w:r>
        <w:rPr>
          <w:rFonts w:hint="eastAsia" w:ascii="宋体" w:hAnsi="宋体" w:eastAsia="宋体" w:cs="Times New Roman"/>
          <w:color w:val="auto"/>
          <w:szCs w:val="21"/>
          <w:highlight w:val="none"/>
        </w:rPr>
        <w:t>号：</w:t>
      </w:r>
    </w:p>
    <w:p w14:paraId="25B83160">
      <w:pPr>
        <w:spacing w:before="9" w:line="40" w:lineRule="exact"/>
        <w:rPr>
          <w:rFonts w:ascii="宋体" w:hAnsi="宋体" w:eastAsia="宋体" w:cs="Times New Roman"/>
          <w:color w:val="auto"/>
          <w:sz w:val="4"/>
          <w:szCs w:val="4"/>
          <w:highlight w:val="none"/>
        </w:rPr>
      </w:pPr>
      <w:r>
        <w:rPr>
          <w:rFonts w:hint="eastAsia" w:ascii="宋体" w:hAnsi="宋体" w:eastAsia="宋体" w:cs="Times New Roman"/>
          <w:color w:val="auto"/>
          <w:sz w:val="4"/>
          <w:szCs w:val="4"/>
          <w:highlight w:val="none"/>
        </w:rPr>
        <w:t xml:space="preserve"> </w:t>
      </w:r>
    </w:p>
    <w:tbl>
      <w:tblPr>
        <w:tblStyle w:val="48"/>
        <w:tblW w:w="9602" w:type="dxa"/>
        <w:jc w:val="center"/>
        <w:tblLayout w:type="fixed"/>
        <w:tblCellMar>
          <w:top w:w="0" w:type="dxa"/>
          <w:left w:w="0" w:type="dxa"/>
          <w:bottom w:w="0" w:type="dxa"/>
          <w:right w:w="0" w:type="dxa"/>
        </w:tblCellMar>
      </w:tblPr>
      <w:tblGrid>
        <w:gridCol w:w="2524"/>
        <w:gridCol w:w="2414"/>
        <w:gridCol w:w="983"/>
        <w:gridCol w:w="3681"/>
      </w:tblGrid>
      <w:tr w14:paraId="1AE6CCFF">
        <w:tblPrEx>
          <w:tblCellMar>
            <w:top w:w="0" w:type="dxa"/>
            <w:left w:w="0" w:type="dxa"/>
            <w:bottom w:w="0" w:type="dxa"/>
            <w:right w:w="0" w:type="dxa"/>
          </w:tblCellMar>
        </w:tblPrEx>
        <w:trPr>
          <w:trHeight w:val="401" w:hRule="atLeast"/>
          <w:jc w:val="center"/>
        </w:trPr>
        <w:tc>
          <w:tcPr>
            <w:tcW w:w="9602" w:type="dxa"/>
            <w:gridSpan w:val="4"/>
            <w:tcBorders>
              <w:top w:val="single" w:color="000000" w:sz="4" w:space="0"/>
              <w:left w:val="single" w:color="000000" w:sz="4" w:space="0"/>
              <w:bottom w:val="nil"/>
              <w:right w:val="single" w:color="000000" w:sz="4" w:space="0"/>
            </w:tcBorders>
            <w:noWrap w:val="0"/>
            <w:vAlign w:val="top"/>
          </w:tcPr>
          <w:p w14:paraId="22D25409">
            <w:pPr>
              <w:keepNext w:val="0"/>
              <w:keepLines w:val="0"/>
              <w:suppressLineNumbers w:val="0"/>
              <w:spacing w:before="54" w:beforeAutospacing="0" w:after="0" w:afterAutospacing="0"/>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致：</w:t>
            </w:r>
            <w:r>
              <w:rPr>
                <w:rFonts w:hint="eastAsia" w:ascii="宋体" w:hAnsi="宋体" w:eastAsia="宋体" w:cs="Times New Roman"/>
                <w:color w:val="auto"/>
                <w:szCs w:val="21"/>
                <w:highlight w:val="none"/>
                <w:u w:val="single"/>
              </w:rPr>
              <w:tab/>
            </w:r>
            <w:r>
              <w:rPr>
                <w:rFonts w:hint="eastAsia" w:ascii="宋体" w:hAnsi="宋体" w:eastAsia="宋体" w:cs="Times New Roman"/>
                <w:color w:val="auto"/>
                <w:szCs w:val="21"/>
                <w:highlight w:val="none"/>
                <w:u w:val="single"/>
              </w:rPr>
              <w:t xml:space="preserve">     （发包人全称）</w:t>
            </w:r>
          </w:p>
        </w:tc>
      </w:tr>
      <w:tr w14:paraId="02B31F53">
        <w:tblPrEx>
          <w:tblCellMar>
            <w:top w:w="0" w:type="dxa"/>
            <w:left w:w="0" w:type="dxa"/>
            <w:bottom w:w="0" w:type="dxa"/>
            <w:right w:w="0" w:type="dxa"/>
          </w:tblCellMar>
        </w:tblPrEx>
        <w:trPr>
          <w:trHeight w:val="631" w:hRule="atLeast"/>
          <w:jc w:val="center"/>
        </w:trPr>
        <w:tc>
          <w:tcPr>
            <w:tcW w:w="9602" w:type="dxa"/>
            <w:gridSpan w:val="4"/>
            <w:tcBorders>
              <w:top w:val="nil"/>
              <w:left w:val="single" w:color="000000" w:sz="4" w:space="0"/>
              <w:bottom w:val="nil"/>
              <w:right w:val="single" w:color="000000" w:sz="4" w:space="0"/>
            </w:tcBorders>
            <w:noWrap w:val="0"/>
            <w:vAlign w:val="top"/>
          </w:tcPr>
          <w:p w14:paraId="0C5EE9F7">
            <w:pPr>
              <w:keepNext w:val="0"/>
              <w:keepLines w:val="0"/>
              <w:suppressLineNumbers w:val="0"/>
              <w:spacing w:before="0" w:beforeAutospacing="0" w:after="0" w:afterAutospacing="0" w:line="246" w:lineRule="exact"/>
              <w:ind w:left="0" w:right="0" w:firstLine="428"/>
              <w:rPr>
                <w:rFonts w:hint="default" w:ascii="宋体" w:hAnsi="宋体" w:eastAsia="宋体" w:cs="Times New Roman"/>
                <w:color w:val="auto"/>
                <w:szCs w:val="21"/>
                <w:highlight w:val="none"/>
              </w:rPr>
            </w:pPr>
            <w:r>
              <w:rPr>
                <w:rFonts w:hint="eastAsia" w:ascii="宋体" w:hAnsi="宋体" w:eastAsia="宋体" w:cs="Times New Roman"/>
                <w:color w:val="auto"/>
                <w:spacing w:val="2"/>
                <w:szCs w:val="21"/>
                <w:highlight w:val="none"/>
              </w:rPr>
              <w:t>我方</w:t>
            </w:r>
            <w:r>
              <w:rPr>
                <w:rFonts w:hint="eastAsia" w:ascii="宋体" w:hAnsi="宋体" w:eastAsia="宋体" w:cs="Times New Roman"/>
                <w:color w:val="auto"/>
                <w:spacing w:val="-1"/>
                <w:szCs w:val="21"/>
                <w:highlight w:val="none"/>
              </w:rPr>
              <w:t>于</w:t>
            </w:r>
            <w:r>
              <w:rPr>
                <w:rFonts w:hint="eastAsia" w:ascii="宋体" w:hAnsi="宋体" w:eastAsia="宋体" w:cs="Times New Roman"/>
                <w:color w:val="auto"/>
                <w:spacing w:val="-1"/>
                <w:szCs w:val="21"/>
                <w:highlight w:val="none"/>
                <w:u w:val="single"/>
              </w:rPr>
              <w:tab/>
            </w:r>
            <w:r>
              <w:rPr>
                <w:rFonts w:hint="eastAsia" w:ascii="宋体" w:hAnsi="宋体" w:eastAsia="宋体" w:cs="Times New Roman"/>
                <w:color w:val="auto"/>
                <w:spacing w:val="-1"/>
                <w:szCs w:val="21"/>
                <w:highlight w:val="none"/>
                <w:u w:val="single"/>
              </w:rPr>
              <w:t xml:space="preserve">      </w:t>
            </w:r>
            <w:r>
              <w:rPr>
                <w:rFonts w:hint="eastAsia" w:ascii="宋体" w:hAnsi="宋体" w:eastAsia="宋体" w:cs="Times New Roman"/>
                <w:color w:val="auto"/>
                <w:szCs w:val="21"/>
                <w:highlight w:val="none"/>
              </w:rPr>
              <w:t>至</w:t>
            </w:r>
            <w:r>
              <w:rPr>
                <w:rFonts w:hint="eastAsia" w:ascii="宋体" w:hAnsi="宋体" w:eastAsia="宋体" w:cs="Times New Roman"/>
                <w:color w:val="auto"/>
                <w:szCs w:val="21"/>
                <w:highlight w:val="none"/>
                <w:u w:val="single"/>
              </w:rPr>
              <w:tab/>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pacing w:val="2"/>
                <w:szCs w:val="21"/>
                <w:highlight w:val="none"/>
              </w:rPr>
              <w:t>期间</w:t>
            </w:r>
            <w:r>
              <w:rPr>
                <w:rFonts w:hint="eastAsia" w:ascii="宋体" w:hAnsi="宋体" w:eastAsia="宋体" w:cs="Times New Roman"/>
                <w:color w:val="auto"/>
                <w:szCs w:val="21"/>
                <w:highlight w:val="none"/>
              </w:rPr>
              <w:t>已</w:t>
            </w:r>
            <w:r>
              <w:rPr>
                <w:rFonts w:hint="eastAsia" w:ascii="宋体" w:hAnsi="宋体" w:eastAsia="宋体" w:cs="Times New Roman"/>
                <w:color w:val="auto"/>
                <w:spacing w:val="2"/>
                <w:szCs w:val="21"/>
                <w:highlight w:val="none"/>
              </w:rPr>
              <w:t>完</w:t>
            </w:r>
            <w:r>
              <w:rPr>
                <w:rFonts w:hint="eastAsia" w:ascii="宋体" w:hAnsi="宋体" w:eastAsia="宋体" w:cs="Times New Roman"/>
                <w:color w:val="auto"/>
                <w:szCs w:val="21"/>
                <w:highlight w:val="none"/>
              </w:rPr>
              <w:t>成了缺陷修复</w:t>
            </w:r>
            <w:r>
              <w:rPr>
                <w:rFonts w:hint="eastAsia" w:ascii="宋体" w:hAnsi="宋体" w:eastAsia="宋体" w:cs="Times New Roman"/>
                <w:color w:val="auto"/>
                <w:spacing w:val="2"/>
                <w:szCs w:val="21"/>
                <w:highlight w:val="none"/>
              </w:rPr>
              <w:t>工作</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pacing w:val="2"/>
                <w:szCs w:val="21"/>
                <w:highlight w:val="none"/>
              </w:rPr>
              <w:t>根</w:t>
            </w:r>
            <w:r>
              <w:rPr>
                <w:rFonts w:hint="eastAsia" w:ascii="宋体" w:hAnsi="宋体" w:eastAsia="宋体" w:cs="Times New Roman"/>
                <w:color w:val="auto"/>
                <w:szCs w:val="21"/>
                <w:highlight w:val="none"/>
              </w:rPr>
              <w:t>据</w:t>
            </w:r>
            <w:r>
              <w:rPr>
                <w:rFonts w:hint="eastAsia" w:ascii="宋体" w:hAnsi="宋体" w:eastAsia="宋体" w:cs="Times New Roman"/>
                <w:color w:val="auto"/>
                <w:spacing w:val="2"/>
                <w:szCs w:val="21"/>
                <w:highlight w:val="none"/>
              </w:rPr>
              <w:t>施</w:t>
            </w:r>
            <w:r>
              <w:rPr>
                <w:rFonts w:hint="eastAsia" w:ascii="宋体" w:hAnsi="宋体" w:eastAsia="宋体" w:cs="Times New Roman"/>
                <w:color w:val="auto"/>
                <w:szCs w:val="21"/>
                <w:highlight w:val="none"/>
              </w:rPr>
              <w:t>工</w:t>
            </w:r>
            <w:r>
              <w:rPr>
                <w:rFonts w:hint="eastAsia" w:ascii="宋体" w:hAnsi="宋体" w:eastAsia="宋体" w:cs="Times New Roman"/>
                <w:color w:val="auto"/>
                <w:spacing w:val="2"/>
                <w:szCs w:val="21"/>
                <w:highlight w:val="none"/>
              </w:rPr>
              <w:t>合</w:t>
            </w:r>
            <w:r>
              <w:rPr>
                <w:rFonts w:hint="eastAsia" w:ascii="宋体" w:hAnsi="宋体" w:eastAsia="宋体" w:cs="Times New Roman"/>
                <w:color w:val="auto"/>
                <w:szCs w:val="21"/>
                <w:highlight w:val="none"/>
              </w:rPr>
              <w:t>同</w:t>
            </w:r>
            <w:r>
              <w:rPr>
                <w:rFonts w:hint="eastAsia" w:ascii="宋体" w:hAnsi="宋体" w:eastAsia="宋体" w:cs="Times New Roman"/>
                <w:color w:val="auto"/>
                <w:spacing w:val="2"/>
                <w:szCs w:val="21"/>
                <w:highlight w:val="none"/>
              </w:rPr>
              <w:t>的约</w:t>
            </w:r>
            <w:r>
              <w:rPr>
                <w:rFonts w:hint="eastAsia" w:ascii="宋体" w:hAnsi="宋体" w:eastAsia="宋体" w:cs="Times New Roman"/>
                <w:color w:val="auto"/>
                <w:szCs w:val="21"/>
                <w:highlight w:val="none"/>
              </w:rPr>
              <w:t>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pacing w:val="2"/>
                <w:szCs w:val="21"/>
                <w:highlight w:val="none"/>
              </w:rPr>
              <w:t>现申</w:t>
            </w:r>
            <w:r>
              <w:rPr>
                <w:rFonts w:hint="eastAsia" w:ascii="宋体" w:hAnsi="宋体" w:eastAsia="宋体" w:cs="Times New Roman"/>
                <w:color w:val="auto"/>
                <w:szCs w:val="21"/>
                <w:highlight w:val="none"/>
              </w:rPr>
              <w:t>请</w:t>
            </w:r>
            <w:r>
              <w:rPr>
                <w:rFonts w:hint="eastAsia" w:ascii="宋体" w:hAnsi="宋体" w:eastAsia="宋体" w:cs="Times New Roman"/>
                <w:color w:val="auto"/>
                <w:spacing w:val="2"/>
                <w:szCs w:val="21"/>
                <w:highlight w:val="none"/>
              </w:rPr>
              <w:t>支</w:t>
            </w:r>
            <w:r>
              <w:rPr>
                <w:rFonts w:hint="eastAsia" w:ascii="宋体" w:hAnsi="宋体" w:eastAsia="宋体" w:cs="Times New Roman"/>
                <w:color w:val="auto"/>
                <w:szCs w:val="21"/>
                <w:highlight w:val="none"/>
              </w:rPr>
              <w:t>付工程保修结算</w:t>
            </w:r>
            <w:r>
              <w:rPr>
                <w:rFonts w:hint="eastAsia" w:ascii="宋体" w:hAnsi="宋体" w:eastAsia="宋体" w:cs="Times New Roman"/>
                <w:color w:val="auto"/>
                <w:spacing w:val="2"/>
                <w:szCs w:val="21"/>
                <w:highlight w:val="none"/>
              </w:rPr>
              <w:t>的</w:t>
            </w:r>
            <w:r>
              <w:rPr>
                <w:rFonts w:hint="eastAsia" w:ascii="宋体" w:hAnsi="宋体" w:eastAsia="宋体" w:cs="Times New Roman"/>
                <w:color w:val="auto"/>
                <w:szCs w:val="21"/>
                <w:highlight w:val="none"/>
              </w:rPr>
              <w:t>合同款额为（大写）</w:t>
            </w:r>
            <w:r>
              <w:rPr>
                <w:rFonts w:hint="eastAsia" w:ascii="宋体" w:hAnsi="宋体" w:eastAsia="宋体" w:cs="Times New Roman"/>
                <w:color w:val="auto"/>
                <w:szCs w:val="21"/>
                <w:highlight w:val="none"/>
                <w:u w:val="single"/>
              </w:rPr>
              <w:tab/>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（小写</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请予核准。</w:t>
            </w:r>
          </w:p>
        </w:tc>
      </w:tr>
      <w:tr w14:paraId="011B7B05">
        <w:tblPrEx>
          <w:tblCellMar>
            <w:top w:w="0" w:type="dxa"/>
            <w:left w:w="0" w:type="dxa"/>
            <w:bottom w:w="0" w:type="dxa"/>
            <w:right w:w="0" w:type="dxa"/>
          </w:tblCellMar>
        </w:tblPrEx>
        <w:trPr>
          <w:trHeight w:val="3352" w:hRule="atLeast"/>
          <w:jc w:val="center"/>
        </w:trPr>
        <w:tc>
          <w:tcPr>
            <w:tcW w:w="9602" w:type="dxa"/>
            <w:gridSpan w:val="4"/>
            <w:tcBorders>
              <w:top w:val="nil"/>
              <w:left w:val="single" w:color="000000" w:sz="4" w:space="0"/>
              <w:bottom w:val="nil"/>
              <w:right w:val="single" w:color="000000" w:sz="4" w:space="0"/>
            </w:tcBorders>
            <w:noWrap w:val="0"/>
            <w:vAlign w:val="top"/>
          </w:tcPr>
          <w:p w14:paraId="704DD7EF">
            <w:pPr>
              <w:keepNext w:val="0"/>
              <w:keepLines w:val="0"/>
              <w:suppressLineNumbers w:val="0"/>
              <w:spacing w:before="0" w:beforeAutospacing="0" w:after="0" w:afterAutospacing="0" w:line="200" w:lineRule="exact"/>
              <w:ind w:left="0" w:right="0"/>
              <w:rPr>
                <w:rFonts w:hint="default" w:ascii="宋体" w:hAnsi="宋体" w:eastAsia="宋体" w:cs="Times New Roman"/>
                <w:color w:val="auto"/>
                <w:szCs w:val="21"/>
                <w:highlight w:val="none"/>
              </w:rPr>
            </w:pPr>
          </w:p>
          <w:p w14:paraId="069AA018">
            <w:pPr>
              <w:keepNext w:val="0"/>
              <w:keepLines w:val="0"/>
              <w:suppressLineNumbers w:val="0"/>
              <w:spacing w:before="0" w:beforeAutospacing="0" w:after="120" w:afterAutospacing="0"/>
              <w:ind w:left="0" w:right="0"/>
              <w:rPr>
                <w:rFonts w:hint="default" w:ascii="Times New Roman" w:hAnsi="Times New Roman" w:eastAsia="宋体" w:cs="Times New Roman"/>
                <w:color w:val="auto"/>
                <w:szCs w:val="21"/>
                <w:highlight w:val="none"/>
              </w:rPr>
            </w:pPr>
          </w:p>
          <w:tbl>
            <w:tblPr>
              <w:tblStyle w:val="48"/>
              <w:tblW w:w="863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36"/>
              <w:gridCol w:w="3060"/>
              <w:gridCol w:w="1676"/>
              <w:gridCol w:w="1676"/>
              <w:gridCol w:w="890"/>
            </w:tblGrid>
            <w:tr w14:paraId="54FAC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4976EBE6">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序号</w:t>
                  </w:r>
                </w:p>
              </w:tc>
              <w:tc>
                <w:tcPr>
                  <w:tcW w:w="3060" w:type="dxa"/>
                  <w:tcBorders>
                    <w:top w:val="single" w:color="000000" w:sz="6" w:space="0"/>
                    <w:left w:val="nil"/>
                    <w:bottom w:val="single" w:color="000000" w:sz="6" w:space="0"/>
                    <w:right w:val="single" w:color="000000" w:sz="6" w:space="0"/>
                  </w:tcBorders>
                  <w:noWrap w:val="0"/>
                  <w:vAlign w:val="center"/>
                </w:tcPr>
                <w:p w14:paraId="2F36C46D">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名称</w:t>
                  </w:r>
                </w:p>
              </w:tc>
              <w:tc>
                <w:tcPr>
                  <w:tcW w:w="1676" w:type="dxa"/>
                  <w:tcBorders>
                    <w:top w:val="single" w:color="000000" w:sz="6" w:space="0"/>
                    <w:left w:val="nil"/>
                    <w:bottom w:val="single" w:color="000000" w:sz="6" w:space="0"/>
                    <w:right w:val="single" w:color="000000" w:sz="6" w:space="0"/>
                  </w:tcBorders>
                  <w:noWrap w:val="0"/>
                  <w:vAlign w:val="center"/>
                </w:tcPr>
                <w:p w14:paraId="4BFDBD15">
                  <w:pPr>
                    <w:keepNext w:val="0"/>
                    <w:keepLines w:val="0"/>
                    <w:suppressLineNumbers w:val="0"/>
                    <w:spacing w:before="0" w:beforeAutospacing="0" w:after="0" w:afterAutospacing="0" w:line="200" w:lineRule="exact"/>
                    <w:ind w:left="0" w:right="0"/>
                    <w:jc w:val="center"/>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rPr>
                    <w:t>申请金额</w:t>
                  </w: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rPr>
                    <w:t>元</w:t>
                  </w:r>
                  <w:r>
                    <w:rPr>
                      <w:rFonts w:hint="eastAsia" w:ascii="宋体" w:hAnsi="宋体" w:eastAsia="宋体" w:cs="Times New Roman"/>
                      <w:color w:val="auto"/>
                      <w:sz w:val="21"/>
                      <w:szCs w:val="21"/>
                      <w:highlight w:val="none"/>
                      <w:lang w:eastAsia="zh-CN"/>
                    </w:rPr>
                    <w:t>）</w:t>
                  </w:r>
                </w:p>
              </w:tc>
              <w:tc>
                <w:tcPr>
                  <w:tcW w:w="1676" w:type="dxa"/>
                  <w:tcBorders>
                    <w:top w:val="single" w:color="000000" w:sz="6" w:space="0"/>
                    <w:left w:val="nil"/>
                    <w:bottom w:val="single" w:color="000000" w:sz="6" w:space="0"/>
                    <w:right w:val="single" w:color="000000" w:sz="6" w:space="0"/>
                  </w:tcBorders>
                  <w:noWrap w:val="0"/>
                  <w:vAlign w:val="center"/>
                </w:tcPr>
                <w:p w14:paraId="6B09FBB9">
                  <w:pPr>
                    <w:keepNext w:val="0"/>
                    <w:keepLines w:val="0"/>
                    <w:suppressLineNumbers w:val="0"/>
                    <w:spacing w:before="0" w:beforeAutospacing="0" w:after="0" w:afterAutospacing="0" w:line="200" w:lineRule="exact"/>
                    <w:ind w:left="0" w:right="0"/>
                    <w:jc w:val="center"/>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rPr>
                    <w:t>复核金额</w:t>
                  </w: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rPr>
                    <w:t>元</w:t>
                  </w:r>
                  <w:r>
                    <w:rPr>
                      <w:rFonts w:hint="eastAsia" w:ascii="宋体" w:hAnsi="宋体" w:eastAsia="宋体" w:cs="Times New Roman"/>
                      <w:color w:val="auto"/>
                      <w:sz w:val="21"/>
                      <w:szCs w:val="21"/>
                      <w:highlight w:val="none"/>
                      <w:lang w:eastAsia="zh-CN"/>
                    </w:rPr>
                    <w:t>）</w:t>
                  </w:r>
                </w:p>
              </w:tc>
              <w:tc>
                <w:tcPr>
                  <w:tcW w:w="890" w:type="dxa"/>
                  <w:tcBorders>
                    <w:top w:val="single" w:color="000000" w:sz="6" w:space="0"/>
                    <w:left w:val="nil"/>
                    <w:bottom w:val="single" w:color="000000" w:sz="6" w:space="0"/>
                    <w:right w:val="single" w:color="000000" w:sz="6" w:space="0"/>
                  </w:tcBorders>
                  <w:noWrap w:val="0"/>
                  <w:vAlign w:val="center"/>
                </w:tcPr>
                <w:p w14:paraId="0B417CC5">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备注</w:t>
                  </w:r>
                </w:p>
              </w:tc>
            </w:tr>
            <w:tr w14:paraId="6C59B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2BF3E91D">
                  <w:pPr>
                    <w:keepNext w:val="0"/>
                    <w:keepLines w:val="0"/>
                    <w:suppressLineNumbers w:val="0"/>
                    <w:spacing w:before="0" w:beforeAutospacing="0" w:after="0" w:afterAutospacing="0" w:line="200" w:lineRule="exact"/>
                    <w:ind w:left="0" w:right="0"/>
                    <w:jc w:val="both"/>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w:t>
                  </w:r>
                </w:p>
              </w:tc>
              <w:tc>
                <w:tcPr>
                  <w:tcW w:w="3060" w:type="dxa"/>
                  <w:tcBorders>
                    <w:top w:val="single" w:color="000000" w:sz="6" w:space="0"/>
                    <w:left w:val="nil"/>
                    <w:bottom w:val="single" w:color="000000" w:sz="6" w:space="0"/>
                    <w:right w:val="single" w:color="000000" w:sz="6" w:space="0"/>
                  </w:tcBorders>
                  <w:noWrap w:val="0"/>
                  <w:vAlign w:val="center"/>
                </w:tcPr>
                <w:p w14:paraId="34315A26">
                  <w:pPr>
                    <w:keepNext w:val="0"/>
                    <w:keepLines w:val="0"/>
                    <w:suppressLineNumbers w:val="0"/>
                    <w:spacing w:before="0" w:beforeAutospacing="0" w:after="0" w:afterAutospacing="0" w:line="243" w:lineRule="exact"/>
                    <w:ind w:left="0" w:right="0"/>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已预留的质量保证金</w:t>
                  </w:r>
                </w:p>
              </w:tc>
              <w:tc>
                <w:tcPr>
                  <w:tcW w:w="1676" w:type="dxa"/>
                  <w:tcBorders>
                    <w:top w:val="single" w:color="000000" w:sz="6" w:space="0"/>
                    <w:left w:val="nil"/>
                    <w:bottom w:val="single" w:color="000000" w:sz="6" w:space="0"/>
                    <w:right w:val="single" w:color="000000" w:sz="6" w:space="0"/>
                  </w:tcBorders>
                  <w:noWrap w:val="0"/>
                  <w:vAlign w:val="center"/>
                </w:tcPr>
                <w:p w14:paraId="2F0D3BE5">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5B9202D7">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1B0DBC42">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sz w:val="21"/>
                      <w:szCs w:val="21"/>
                      <w:highlight w:val="none"/>
                    </w:rPr>
                  </w:pPr>
                </w:p>
              </w:tc>
            </w:tr>
            <w:tr w14:paraId="25BF6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8"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6FE8B5B5">
                  <w:pPr>
                    <w:keepNext w:val="0"/>
                    <w:keepLines w:val="0"/>
                    <w:suppressLineNumbers w:val="0"/>
                    <w:spacing w:before="0" w:beforeAutospacing="0" w:after="0" w:afterAutospacing="0" w:line="200" w:lineRule="exact"/>
                    <w:ind w:left="0" w:right="0"/>
                    <w:jc w:val="both"/>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w:t>
                  </w:r>
                </w:p>
              </w:tc>
              <w:tc>
                <w:tcPr>
                  <w:tcW w:w="3060" w:type="dxa"/>
                  <w:tcBorders>
                    <w:top w:val="single" w:color="000000" w:sz="6" w:space="0"/>
                    <w:left w:val="nil"/>
                    <w:bottom w:val="single" w:color="000000" w:sz="6" w:space="0"/>
                    <w:right w:val="single" w:color="000000" w:sz="6" w:space="0"/>
                  </w:tcBorders>
                  <w:noWrap w:val="0"/>
                  <w:vAlign w:val="center"/>
                </w:tcPr>
                <w:p w14:paraId="7E7D2091">
                  <w:pPr>
                    <w:keepNext w:val="0"/>
                    <w:keepLines w:val="0"/>
                    <w:suppressLineNumbers w:val="0"/>
                    <w:spacing w:before="0" w:beforeAutospacing="0" w:after="0" w:afterAutospacing="0" w:line="245" w:lineRule="exact"/>
                    <w:ind w:left="0" w:right="0"/>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应增加因发包人原因造成缺陷的修复金额</w:t>
                  </w:r>
                </w:p>
              </w:tc>
              <w:tc>
                <w:tcPr>
                  <w:tcW w:w="1676" w:type="dxa"/>
                  <w:tcBorders>
                    <w:top w:val="single" w:color="000000" w:sz="6" w:space="0"/>
                    <w:left w:val="nil"/>
                    <w:bottom w:val="single" w:color="000000" w:sz="6" w:space="0"/>
                    <w:right w:val="single" w:color="000000" w:sz="6" w:space="0"/>
                  </w:tcBorders>
                  <w:noWrap w:val="0"/>
                  <w:vAlign w:val="center"/>
                </w:tcPr>
                <w:p w14:paraId="0CBA42A0">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4A53DBFC">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55954955">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sz w:val="21"/>
                      <w:szCs w:val="21"/>
                      <w:highlight w:val="none"/>
                    </w:rPr>
                  </w:pPr>
                </w:p>
              </w:tc>
            </w:tr>
            <w:tr w14:paraId="40311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3"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6FA68AF6">
                  <w:pPr>
                    <w:keepNext w:val="0"/>
                    <w:keepLines w:val="0"/>
                    <w:suppressLineNumbers w:val="0"/>
                    <w:spacing w:before="0" w:beforeAutospacing="0" w:after="0" w:afterAutospacing="0" w:line="200" w:lineRule="exact"/>
                    <w:ind w:left="0" w:right="0"/>
                    <w:jc w:val="both"/>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w:t>
                  </w:r>
                </w:p>
              </w:tc>
              <w:tc>
                <w:tcPr>
                  <w:tcW w:w="3060" w:type="dxa"/>
                  <w:tcBorders>
                    <w:top w:val="single" w:color="000000" w:sz="6" w:space="0"/>
                    <w:left w:val="nil"/>
                    <w:bottom w:val="single" w:color="000000" w:sz="6" w:space="0"/>
                    <w:right w:val="single" w:color="000000" w:sz="6" w:space="0"/>
                  </w:tcBorders>
                  <w:noWrap w:val="0"/>
                  <w:vAlign w:val="center"/>
                </w:tcPr>
                <w:p w14:paraId="73C30AB0">
                  <w:pPr>
                    <w:keepNext w:val="0"/>
                    <w:keepLines w:val="0"/>
                    <w:suppressLineNumbers w:val="0"/>
                    <w:spacing w:before="0" w:beforeAutospacing="0" w:after="0" w:afterAutospacing="0" w:line="243" w:lineRule="exact"/>
                    <w:ind w:left="0" w:right="0"/>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应扣减承包人不修复缺陷、发包人组织修复的金额</w:t>
                  </w:r>
                </w:p>
              </w:tc>
              <w:tc>
                <w:tcPr>
                  <w:tcW w:w="1676" w:type="dxa"/>
                  <w:tcBorders>
                    <w:top w:val="single" w:color="000000" w:sz="6" w:space="0"/>
                    <w:left w:val="nil"/>
                    <w:bottom w:val="single" w:color="000000" w:sz="6" w:space="0"/>
                    <w:right w:val="single" w:color="000000" w:sz="6" w:space="0"/>
                  </w:tcBorders>
                  <w:noWrap w:val="0"/>
                  <w:vAlign w:val="center"/>
                </w:tcPr>
                <w:p w14:paraId="4712FB39">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34DD16F7">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54DD354C">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sz w:val="21"/>
                      <w:szCs w:val="21"/>
                      <w:highlight w:val="none"/>
                    </w:rPr>
                  </w:pPr>
                </w:p>
              </w:tc>
            </w:tr>
            <w:tr w14:paraId="65021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7A2C7078">
                  <w:pPr>
                    <w:keepNext w:val="0"/>
                    <w:keepLines w:val="0"/>
                    <w:suppressLineNumbers w:val="0"/>
                    <w:spacing w:before="0" w:beforeAutospacing="0" w:after="0" w:afterAutospacing="0" w:line="200" w:lineRule="exact"/>
                    <w:ind w:left="0" w:right="0"/>
                    <w:jc w:val="both"/>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4</w:t>
                  </w:r>
                </w:p>
              </w:tc>
              <w:tc>
                <w:tcPr>
                  <w:tcW w:w="3060" w:type="dxa"/>
                  <w:tcBorders>
                    <w:top w:val="single" w:color="000000" w:sz="6" w:space="0"/>
                    <w:left w:val="nil"/>
                    <w:bottom w:val="single" w:color="000000" w:sz="6" w:space="0"/>
                    <w:right w:val="single" w:color="000000" w:sz="6" w:space="0"/>
                  </w:tcBorders>
                  <w:noWrap w:val="0"/>
                  <w:vAlign w:val="center"/>
                </w:tcPr>
                <w:p w14:paraId="4AE1BBD3">
                  <w:pPr>
                    <w:keepNext w:val="0"/>
                    <w:keepLines w:val="0"/>
                    <w:suppressLineNumbers w:val="0"/>
                    <w:spacing w:before="0" w:beforeAutospacing="0" w:after="0" w:afterAutospacing="0" w:line="243" w:lineRule="exact"/>
                    <w:ind w:left="0" w:right="0"/>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最终应支付的合同价款</w:t>
                  </w:r>
                </w:p>
              </w:tc>
              <w:tc>
                <w:tcPr>
                  <w:tcW w:w="1676" w:type="dxa"/>
                  <w:tcBorders>
                    <w:top w:val="single" w:color="000000" w:sz="6" w:space="0"/>
                    <w:left w:val="nil"/>
                    <w:bottom w:val="single" w:color="000000" w:sz="6" w:space="0"/>
                    <w:right w:val="single" w:color="000000" w:sz="6" w:space="0"/>
                  </w:tcBorders>
                  <w:noWrap w:val="0"/>
                  <w:vAlign w:val="center"/>
                </w:tcPr>
                <w:p w14:paraId="47100A28">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08A870E8">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48906BF9">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sz w:val="21"/>
                      <w:szCs w:val="21"/>
                      <w:highlight w:val="none"/>
                    </w:rPr>
                  </w:pPr>
                </w:p>
              </w:tc>
            </w:tr>
          </w:tbl>
          <w:p w14:paraId="1B2EEE3C">
            <w:pPr>
              <w:keepNext w:val="0"/>
              <w:keepLines w:val="0"/>
              <w:suppressLineNumbers w:val="0"/>
              <w:spacing w:before="10" w:beforeAutospacing="0" w:after="0" w:afterAutospacing="0" w:line="220" w:lineRule="exact"/>
              <w:ind w:left="0" w:right="0"/>
              <w:rPr>
                <w:rFonts w:hint="default" w:ascii="宋体" w:hAnsi="宋体" w:eastAsia="宋体" w:cs="Times New Roman"/>
                <w:color w:val="auto"/>
                <w:szCs w:val="21"/>
                <w:highlight w:val="none"/>
              </w:rPr>
            </w:pPr>
          </w:p>
          <w:p w14:paraId="3707F884">
            <w:pPr>
              <w:keepNext w:val="0"/>
              <w:keepLines w:val="0"/>
              <w:suppressLineNumbers w:val="0"/>
              <w:spacing w:before="10" w:beforeAutospacing="0" w:after="0" w:afterAutospacing="0" w:line="22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附：上述3、4详见附件清单。</w:t>
            </w:r>
          </w:p>
          <w:p w14:paraId="79FA56F5">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479A38AD">
        <w:tblPrEx>
          <w:tblCellMar>
            <w:top w:w="0" w:type="dxa"/>
            <w:left w:w="0" w:type="dxa"/>
            <w:bottom w:w="0" w:type="dxa"/>
            <w:right w:w="0" w:type="dxa"/>
          </w:tblCellMar>
        </w:tblPrEx>
        <w:trPr>
          <w:trHeight w:val="239" w:hRule="atLeast"/>
          <w:jc w:val="center"/>
        </w:trPr>
        <w:tc>
          <w:tcPr>
            <w:tcW w:w="9602" w:type="dxa"/>
            <w:gridSpan w:val="4"/>
            <w:tcBorders>
              <w:top w:val="nil"/>
              <w:left w:val="single" w:color="000000" w:sz="4" w:space="0"/>
              <w:bottom w:val="nil"/>
              <w:right w:val="single" w:color="000000" w:sz="4" w:space="0"/>
            </w:tcBorders>
            <w:noWrap w:val="0"/>
            <w:vAlign w:val="top"/>
          </w:tcPr>
          <w:p w14:paraId="1C750C6B">
            <w:pPr>
              <w:keepNext w:val="0"/>
              <w:keepLines w:val="0"/>
              <w:suppressLineNumbers w:val="0"/>
              <w:spacing w:before="0" w:beforeAutospacing="0" w:after="0" w:afterAutospacing="0" w:line="246" w:lineRule="exact"/>
              <w:ind w:left="0" w:right="360"/>
              <w:jc w:val="right"/>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承包人</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章</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 xml:space="preserve">           </w:t>
            </w:r>
          </w:p>
        </w:tc>
      </w:tr>
      <w:tr w14:paraId="0917BF94">
        <w:tblPrEx>
          <w:tblCellMar>
            <w:top w:w="0" w:type="dxa"/>
            <w:left w:w="0" w:type="dxa"/>
            <w:bottom w:w="0" w:type="dxa"/>
            <w:right w:w="0" w:type="dxa"/>
          </w:tblCellMar>
        </w:tblPrEx>
        <w:trPr>
          <w:trHeight w:val="645" w:hRule="atLeast"/>
          <w:jc w:val="center"/>
        </w:trPr>
        <w:tc>
          <w:tcPr>
            <w:tcW w:w="2524" w:type="dxa"/>
            <w:tcBorders>
              <w:top w:val="nil"/>
              <w:left w:val="single" w:color="auto" w:sz="4" w:space="0"/>
              <w:bottom w:val="nil"/>
              <w:right w:val="nil"/>
            </w:tcBorders>
            <w:noWrap w:val="0"/>
            <w:vAlign w:val="top"/>
          </w:tcPr>
          <w:p w14:paraId="2289FD30">
            <w:pPr>
              <w:keepNext w:val="0"/>
              <w:keepLines w:val="0"/>
              <w:suppressLineNumbers w:val="0"/>
              <w:spacing w:before="0" w:beforeAutospacing="0" w:after="0" w:afterAutospacing="0" w:line="246" w:lineRule="exact"/>
              <w:ind w:left="0" w:right="0"/>
              <w:rPr>
                <w:rFonts w:hint="eastAsia" w:ascii="宋体" w:hAnsi="宋体" w:eastAsia="宋体" w:cs="Times New Roman"/>
                <w:color w:val="auto"/>
                <w:szCs w:val="21"/>
                <w:highlight w:val="none"/>
              </w:rPr>
            </w:pPr>
          </w:p>
          <w:p w14:paraId="1D5CAAFA">
            <w:pPr>
              <w:keepNext w:val="0"/>
              <w:keepLines w:val="0"/>
              <w:suppressLineNumbers w:val="0"/>
              <w:spacing w:before="0" w:beforeAutospacing="0" w:after="0" w:afterAutospacing="0" w:line="246"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编制人员</w:t>
            </w:r>
            <w:r>
              <w:rPr>
                <w:rFonts w:hint="eastAsia" w:ascii="宋体" w:hAnsi="宋体" w:eastAsia="宋体" w:cs="Times New Roman"/>
                <w:color w:val="auto"/>
                <w:szCs w:val="21"/>
                <w:highlight w:val="none"/>
                <w:u w:val="single"/>
              </w:rPr>
              <w:t xml:space="preserve">            </w:t>
            </w:r>
          </w:p>
        </w:tc>
        <w:tc>
          <w:tcPr>
            <w:tcW w:w="3397" w:type="dxa"/>
            <w:gridSpan w:val="2"/>
            <w:tcBorders>
              <w:top w:val="nil"/>
              <w:left w:val="nil"/>
              <w:bottom w:val="nil"/>
              <w:right w:val="nil"/>
            </w:tcBorders>
            <w:noWrap w:val="0"/>
            <w:vAlign w:val="top"/>
          </w:tcPr>
          <w:p w14:paraId="218A443C">
            <w:pPr>
              <w:keepNext w:val="0"/>
              <w:keepLines w:val="0"/>
              <w:suppressLineNumbers w:val="0"/>
              <w:spacing w:before="0" w:beforeAutospacing="0" w:after="0" w:afterAutospacing="0" w:line="246" w:lineRule="exact"/>
              <w:ind w:left="0" w:right="0"/>
              <w:rPr>
                <w:rFonts w:hint="eastAsia" w:ascii="宋体" w:hAnsi="宋体" w:eastAsia="宋体" w:cs="Times New Roman"/>
                <w:color w:val="auto"/>
                <w:szCs w:val="21"/>
                <w:highlight w:val="none"/>
              </w:rPr>
            </w:pPr>
          </w:p>
          <w:p w14:paraId="17ED7079">
            <w:pPr>
              <w:keepNext w:val="0"/>
              <w:keepLines w:val="0"/>
              <w:suppressLineNumbers w:val="0"/>
              <w:spacing w:before="0" w:beforeAutospacing="0" w:after="0" w:afterAutospacing="0" w:line="246"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承包人代表</w:t>
            </w:r>
            <w:r>
              <w:rPr>
                <w:rFonts w:hint="eastAsia" w:ascii="宋体" w:hAnsi="宋体" w:eastAsia="宋体" w:cs="Times New Roman"/>
                <w:color w:val="auto"/>
                <w:szCs w:val="21"/>
                <w:highlight w:val="none"/>
                <w:u w:val="single"/>
              </w:rPr>
              <w:t xml:space="preserve">            </w:t>
            </w:r>
          </w:p>
        </w:tc>
        <w:tc>
          <w:tcPr>
            <w:tcW w:w="3681" w:type="dxa"/>
            <w:tcBorders>
              <w:top w:val="nil"/>
              <w:left w:val="nil"/>
              <w:bottom w:val="nil"/>
              <w:right w:val="single" w:color="auto" w:sz="4" w:space="0"/>
            </w:tcBorders>
            <w:noWrap w:val="0"/>
            <w:vAlign w:val="top"/>
          </w:tcPr>
          <w:p w14:paraId="4C7A3D2E">
            <w:pPr>
              <w:keepNext w:val="0"/>
              <w:keepLines w:val="0"/>
              <w:suppressLineNumbers w:val="0"/>
              <w:spacing w:before="0" w:beforeAutospacing="0" w:after="0" w:afterAutospacing="0" w:line="246" w:lineRule="exact"/>
              <w:ind w:left="0" w:right="0"/>
              <w:rPr>
                <w:rFonts w:hint="eastAsia" w:ascii="宋体" w:hAnsi="宋体" w:eastAsia="宋体" w:cs="Times New Roman"/>
                <w:color w:val="auto"/>
                <w:szCs w:val="21"/>
                <w:highlight w:val="none"/>
              </w:rPr>
            </w:pPr>
          </w:p>
          <w:p w14:paraId="4EAE3442">
            <w:pPr>
              <w:keepNext w:val="0"/>
              <w:keepLines w:val="0"/>
              <w:suppressLineNumbers w:val="0"/>
              <w:spacing w:before="0" w:beforeAutospacing="0" w:after="0" w:afterAutospacing="0" w:line="246"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日期</w:t>
            </w:r>
            <w:r>
              <w:rPr>
                <w:rFonts w:hint="eastAsia" w:ascii="宋体" w:hAnsi="宋体" w:eastAsia="宋体" w:cs="Times New Roman"/>
                <w:color w:val="auto"/>
                <w:szCs w:val="21"/>
                <w:highlight w:val="none"/>
                <w:u w:val="single"/>
              </w:rPr>
              <w:t xml:space="preserve">            </w:t>
            </w:r>
          </w:p>
        </w:tc>
      </w:tr>
      <w:tr w14:paraId="3D15441A">
        <w:tblPrEx>
          <w:tblCellMar>
            <w:top w:w="0" w:type="dxa"/>
            <w:left w:w="0" w:type="dxa"/>
            <w:bottom w:w="0" w:type="dxa"/>
            <w:right w:w="0" w:type="dxa"/>
          </w:tblCellMar>
        </w:tblPrEx>
        <w:trPr>
          <w:trHeight w:val="479" w:hRule="atLeast"/>
          <w:jc w:val="center"/>
        </w:trPr>
        <w:tc>
          <w:tcPr>
            <w:tcW w:w="4938" w:type="dxa"/>
            <w:gridSpan w:val="2"/>
            <w:tcBorders>
              <w:top w:val="single" w:color="000000" w:sz="4" w:space="0"/>
              <w:left w:val="single" w:color="000000" w:sz="4" w:space="0"/>
              <w:bottom w:val="nil"/>
              <w:right w:val="single" w:color="000000" w:sz="4" w:space="0"/>
            </w:tcBorders>
            <w:noWrap w:val="0"/>
            <w:vAlign w:val="center"/>
          </w:tcPr>
          <w:p w14:paraId="3E8F0E1B">
            <w:pPr>
              <w:keepNext w:val="0"/>
              <w:keepLines w:val="0"/>
              <w:suppressLineNumbers w:val="0"/>
              <w:spacing w:before="0" w:beforeAutospacing="0" w:after="0" w:afterAutospacing="0"/>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复核意见：</w:t>
            </w:r>
          </w:p>
        </w:tc>
        <w:tc>
          <w:tcPr>
            <w:tcW w:w="4664" w:type="dxa"/>
            <w:gridSpan w:val="2"/>
            <w:tcBorders>
              <w:top w:val="single" w:color="000000" w:sz="4" w:space="0"/>
              <w:left w:val="nil"/>
              <w:bottom w:val="nil"/>
              <w:right w:val="single" w:color="000000" w:sz="4" w:space="0"/>
            </w:tcBorders>
            <w:noWrap w:val="0"/>
            <w:vAlign w:val="center"/>
          </w:tcPr>
          <w:p w14:paraId="652A5CD6">
            <w:pPr>
              <w:keepNext w:val="0"/>
              <w:keepLines w:val="0"/>
              <w:suppressLineNumbers w:val="0"/>
              <w:spacing w:before="0" w:beforeAutospacing="0" w:after="0" w:afterAutospacing="0"/>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复核意见：</w:t>
            </w:r>
          </w:p>
        </w:tc>
      </w:tr>
      <w:tr w14:paraId="1C39DD41">
        <w:tblPrEx>
          <w:tblCellMar>
            <w:top w:w="0" w:type="dxa"/>
            <w:left w:w="0" w:type="dxa"/>
            <w:bottom w:w="0" w:type="dxa"/>
            <w:right w:w="0" w:type="dxa"/>
          </w:tblCellMar>
        </w:tblPrEx>
        <w:trPr>
          <w:trHeight w:val="601" w:hRule="atLeast"/>
          <w:jc w:val="center"/>
        </w:trPr>
        <w:tc>
          <w:tcPr>
            <w:tcW w:w="4938" w:type="dxa"/>
            <w:gridSpan w:val="2"/>
            <w:tcBorders>
              <w:top w:val="nil"/>
              <w:left w:val="single" w:color="000000" w:sz="4" w:space="0"/>
              <w:bottom w:val="nil"/>
              <w:right w:val="single" w:color="000000" w:sz="4" w:space="0"/>
            </w:tcBorders>
            <w:noWrap w:val="0"/>
            <w:vAlign w:val="center"/>
          </w:tcPr>
          <w:p w14:paraId="4B5E8E53">
            <w:pPr>
              <w:keepNext w:val="0"/>
              <w:keepLines w:val="0"/>
              <w:suppressLineNumbers w:val="0"/>
              <w:spacing w:before="0" w:beforeAutospacing="0" w:after="0" w:afterAutospacing="0" w:line="246"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□与实际施工情况不相符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修改意见见附件</w:t>
            </w:r>
          </w:p>
        </w:tc>
        <w:tc>
          <w:tcPr>
            <w:tcW w:w="4664" w:type="dxa"/>
            <w:gridSpan w:val="2"/>
            <w:vMerge w:val="restart"/>
            <w:tcBorders>
              <w:top w:val="nil"/>
              <w:left w:val="nil"/>
              <w:bottom w:val="nil"/>
              <w:right w:val="single" w:color="000000" w:sz="4" w:space="0"/>
            </w:tcBorders>
            <w:noWrap w:val="0"/>
            <w:vAlign w:val="top"/>
          </w:tcPr>
          <w:p w14:paraId="5A6722A3">
            <w:pPr>
              <w:keepNext w:val="0"/>
              <w:keepLines w:val="0"/>
              <w:suppressLineNumbers w:val="0"/>
              <w:spacing w:before="0" w:beforeAutospacing="0" w:after="0" w:afterAutospacing="0" w:line="246" w:lineRule="exact"/>
              <w:ind w:left="0" w:right="0" w:firstLine="428"/>
              <w:rPr>
                <w:rFonts w:hint="default" w:ascii="宋体" w:hAnsi="宋体" w:eastAsia="宋体" w:cs="Times New Roman"/>
                <w:color w:val="auto"/>
                <w:szCs w:val="21"/>
                <w:highlight w:val="none"/>
              </w:rPr>
            </w:pPr>
            <w:r>
              <w:rPr>
                <w:rFonts w:hint="eastAsia" w:ascii="宋体" w:hAnsi="宋体" w:eastAsia="宋体" w:cs="Times New Roman"/>
                <w:color w:val="auto"/>
                <w:spacing w:val="2"/>
                <w:szCs w:val="21"/>
                <w:highlight w:val="none"/>
              </w:rPr>
              <w:t>你方提出的支付申请经复核</w:t>
            </w:r>
            <w:r>
              <w:rPr>
                <w:rFonts w:hint="eastAsia" w:ascii="宋体" w:hAnsi="宋体" w:eastAsia="宋体" w:cs="Times New Roman"/>
                <w:color w:val="auto"/>
                <w:spacing w:val="2"/>
                <w:szCs w:val="21"/>
                <w:highlight w:val="none"/>
                <w:lang w:eastAsia="zh-CN"/>
              </w:rPr>
              <w:t>，</w:t>
            </w:r>
            <w:r>
              <w:rPr>
                <w:rFonts w:hint="eastAsia" w:ascii="宋体" w:hAnsi="宋体" w:eastAsia="宋体" w:cs="Times New Roman"/>
                <w:color w:val="auto"/>
                <w:spacing w:val="2"/>
                <w:szCs w:val="21"/>
                <w:highlight w:val="none"/>
              </w:rPr>
              <w:t>本期间应支付金额为（大写）</w:t>
            </w:r>
            <w:r>
              <w:rPr>
                <w:rFonts w:hint="eastAsia" w:ascii="宋体" w:hAnsi="宋体" w:eastAsia="宋体" w:cs="Times New Roman"/>
                <w:color w:val="auto"/>
                <w:spacing w:val="2"/>
                <w:szCs w:val="21"/>
                <w:highlight w:val="none"/>
                <w:u w:val="single"/>
              </w:rPr>
              <w:tab/>
            </w:r>
            <w:r>
              <w:rPr>
                <w:rFonts w:hint="eastAsia" w:ascii="宋体" w:hAnsi="宋体" w:eastAsia="宋体" w:cs="Times New Roman"/>
                <w:color w:val="auto"/>
                <w:spacing w:val="2"/>
                <w:szCs w:val="21"/>
                <w:highlight w:val="none"/>
                <w:u w:val="single"/>
              </w:rPr>
              <w:tab/>
            </w:r>
            <w:r>
              <w:rPr>
                <w:rFonts w:hint="eastAsia" w:ascii="宋体" w:hAnsi="宋体" w:eastAsia="宋体" w:cs="Times New Roman"/>
                <w:color w:val="auto"/>
                <w:spacing w:val="2"/>
                <w:szCs w:val="21"/>
                <w:highlight w:val="none"/>
                <w:u w:val="single"/>
              </w:rPr>
              <w:t xml:space="preserve"> </w:t>
            </w:r>
            <w:r>
              <w:rPr>
                <w:rFonts w:hint="eastAsia" w:ascii="宋体" w:hAnsi="宋体" w:eastAsia="宋体" w:cs="Times New Roman"/>
                <w:color w:val="auto"/>
                <w:spacing w:val="2"/>
                <w:szCs w:val="21"/>
                <w:highlight w:val="none"/>
              </w:rPr>
              <w:t>（小写</w:t>
            </w:r>
            <w:r>
              <w:rPr>
                <w:rFonts w:hint="eastAsia" w:ascii="宋体" w:hAnsi="宋体" w:eastAsia="宋体" w:cs="Times New Roman"/>
                <w:color w:val="auto"/>
                <w:spacing w:val="2"/>
                <w:szCs w:val="21"/>
                <w:highlight w:val="none"/>
                <w:u w:val="single"/>
              </w:rPr>
              <w:tab/>
            </w:r>
            <w:r>
              <w:rPr>
                <w:rFonts w:hint="eastAsia" w:ascii="宋体" w:hAnsi="宋体" w:eastAsia="宋体" w:cs="Times New Roman"/>
                <w:color w:val="auto"/>
                <w:spacing w:val="2"/>
                <w:szCs w:val="21"/>
                <w:highlight w:val="none"/>
                <w:u w:val="single"/>
              </w:rPr>
              <w:tab/>
            </w:r>
            <w:r>
              <w:rPr>
                <w:rFonts w:hint="eastAsia" w:ascii="宋体" w:hAnsi="宋体" w:eastAsia="宋体" w:cs="Times New Roman"/>
                <w:color w:val="auto"/>
                <w:spacing w:val="2"/>
                <w:szCs w:val="21"/>
                <w:highlight w:val="none"/>
                <w:u w:val="single"/>
              </w:rPr>
              <w:t xml:space="preserve">      </w:t>
            </w:r>
            <w:r>
              <w:rPr>
                <w:rFonts w:hint="eastAsia" w:ascii="宋体" w:hAnsi="宋体" w:eastAsia="宋体" w:cs="Times New Roman"/>
                <w:color w:val="auto"/>
                <w:spacing w:val="2"/>
                <w:szCs w:val="21"/>
                <w:highlight w:val="none"/>
                <w:u w:val="single"/>
              </w:rPr>
              <w:tab/>
            </w:r>
            <w:r>
              <w:rPr>
                <w:rFonts w:hint="eastAsia" w:ascii="宋体" w:hAnsi="宋体" w:eastAsia="宋体" w:cs="Times New Roman"/>
                <w:color w:val="auto"/>
                <w:spacing w:val="2"/>
                <w:szCs w:val="21"/>
                <w:highlight w:val="none"/>
              </w:rPr>
              <w:t>）。</w:t>
            </w:r>
          </w:p>
        </w:tc>
      </w:tr>
      <w:tr w14:paraId="2F6C40FD">
        <w:tblPrEx>
          <w:tblCellMar>
            <w:top w:w="0" w:type="dxa"/>
            <w:left w:w="0" w:type="dxa"/>
            <w:bottom w:w="0" w:type="dxa"/>
            <w:right w:w="0" w:type="dxa"/>
          </w:tblCellMar>
        </w:tblPrEx>
        <w:trPr>
          <w:trHeight w:val="623" w:hRule="atLeast"/>
          <w:jc w:val="center"/>
        </w:trPr>
        <w:tc>
          <w:tcPr>
            <w:tcW w:w="4938" w:type="dxa"/>
            <w:gridSpan w:val="2"/>
            <w:tcBorders>
              <w:top w:val="nil"/>
              <w:left w:val="single" w:color="000000" w:sz="4" w:space="0"/>
              <w:bottom w:val="nil"/>
              <w:right w:val="single" w:color="000000" w:sz="4" w:space="0"/>
            </w:tcBorders>
            <w:noWrap w:val="0"/>
            <w:vAlign w:val="center"/>
          </w:tcPr>
          <w:p w14:paraId="5E2F07E9">
            <w:pPr>
              <w:keepNext w:val="0"/>
              <w:keepLines w:val="0"/>
              <w:suppressLineNumbers w:val="0"/>
              <w:spacing w:before="0" w:beforeAutospacing="0" w:after="0" w:afterAutospacing="0" w:line="246"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pacing w:val="7"/>
                <w:szCs w:val="21"/>
                <w:highlight w:val="none"/>
              </w:rPr>
              <w:t>□与实际施工</w:t>
            </w:r>
            <w:r>
              <w:rPr>
                <w:rFonts w:hint="eastAsia" w:ascii="宋体" w:hAnsi="宋体" w:eastAsia="宋体" w:cs="Times New Roman"/>
                <w:color w:val="auto"/>
                <w:spacing w:val="4"/>
                <w:szCs w:val="21"/>
                <w:highlight w:val="none"/>
              </w:rPr>
              <w:t>情</w:t>
            </w:r>
            <w:r>
              <w:rPr>
                <w:rFonts w:hint="eastAsia" w:ascii="宋体" w:hAnsi="宋体" w:eastAsia="宋体" w:cs="Times New Roman"/>
                <w:color w:val="auto"/>
                <w:spacing w:val="7"/>
                <w:szCs w:val="21"/>
                <w:highlight w:val="none"/>
              </w:rPr>
              <w:t>况相符</w:t>
            </w:r>
            <w:r>
              <w:rPr>
                <w:rFonts w:hint="eastAsia" w:ascii="宋体" w:hAnsi="宋体" w:eastAsia="宋体" w:cs="Times New Roman"/>
                <w:color w:val="auto"/>
                <w:spacing w:val="7"/>
                <w:szCs w:val="21"/>
                <w:highlight w:val="none"/>
                <w:lang w:eastAsia="zh-CN"/>
              </w:rPr>
              <w:t>，</w:t>
            </w:r>
            <w:r>
              <w:rPr>
                <w:rFonts w:hint="eastAsia" w:ascii="宋体" w:hAnsi="宋体" w:eastAsia="宋体" w:cs="Times New Roman"/>
                <w:color w:val="auto"/>
                <w:spacing w:val="4"/>
                <w:szCs w:val="21"/>
                <w:highlight w:val="none"/>
              </w:rPr>
              <w:t>具体</w:t>
            </w:r>
            <w:r>
              <w:rPr>
                <w:rFonts w:hint="eastAsia" w:ascii="宋体" w:hAnsi="宋体" w:eastAsia="宋体" w:cs="Times New Roman"/>
                <w:color w:val="auto"/>
                <w:spacing w:val="7"/>
                <w:szCs w:val="21"/>
                <w:highlight w:val="none"/>
              </w:rPr>
              <w:t>金额应由造价工</w:t>
            </w:r>
            <w:r>
              <w:rPr>
                <w:rFonts w:hint="eastAsia" w:ascii="宋体" w:hAnsi="宋体" w:eastAsia="宋体" w:cs="Times New Roman"/>
                <w:color w:val="auto"/>
                <w:spacing w:val="4"/>
                <w:szCs w:val="21"/>
                <w:highlight w:val="none"/>
              </w:rPr>
              <w:t>程</w:t>
            </w:r>
            <w:r>
              <w:rPr>
                <w:rFonts w:hint="eastAsia" w:ascii="宋体" w:hAnsi="宋体" w:eastAsia="宋体" w:cs="Times New Roman"/>
                <w:color w:val="auto"/>
                <w:spacing w:val="7"/>
                <w:szCs w:val="21"/>
                <w:highlight w:val="none"/>
              </w:rPr>
              <w:t>师</w:t>
            </w:r>
            <w:r>
              <w:rPr>
                <w:rFonts w:hint="eastAsia" w:ascii="宋体" w:hAnsi="宋体" w:eastAsia="宋体" w:cs="Times New Roman"/>
                <w:color w:val="auto"/>
                <w:szCs w:val="21"/>
                <w:highlight w:val="none"/>
              </w:rPr>
              <w:t>复核</w:t>
            </w:r>
          </w:p>
        </w:tc>
        <w:tc>
          <w:tcPr>
            <w:tcW w:w="4664" w:type="dxa"/>
            <w:gridSpan w:val="2"/>
            <w:vMerge w:val="continue"/>
            <w:tcBorders>
              <w:top w:val="nil"/>
              <w:left w:val="nil"/>
              <w:bottom w:val="nil"/>
              <w:right w:val="single" w:color="000000" w:sz="4" w:space="0"/>
            </w:tcBorders>
            <w:noWrap w:val="0"/>
            <w:vAlign w:val="center"/>
          </w:tcPr>
          <w:p w14:paraId="6C2606A8">
            <w:pPr>
              <w:keepNext w:val="0"/>
              <w:keepLines w:val="0"/>
              <w:widowControl/>
              <w:suppressLineNumbers w:val="0"/>
              <w:spacing w:before="0" w:beforeAutospacing="0" w:after="0" w:afterAutospacing="0"/>
              <w:ind w:left="0" w:right="0"/>
              <w:jc w:val="left"/>
              <w:rPr>
                <w:rFonts w:hint="default" w:ascii="宋体" w:hAnsi="宋体" w:eastAsia="宋体" w:cs="Times New Roman"/>
                <w:color w:val="auto"/>
                <w:szCs w:val="21"/>
                <w:highlight w:val="none"/>
              </w:rPr>
            </w:pPr>
          </w:p>
        </w:tc>
      </w:tr>
      <w:tr w14:paraId="02B37E5B">
        <w:tblPrEx>
          <w:tblCellMar>
            <w:top w:w="0" w:type="dxa"/>
            <w:left w:w="0" w:type="dxa"/>
            <w:bottom w:w="0" w:type="dxa"/>
            <w:right w:w="0" w:type="dxa"/>
          </w:tblCellMar>
        </w:tblPrEx>
        <w:trPr>
          <w:trHeight w:val="70" w:hRule="atLeast"/>
          <w:jc w:val="center"/>
        </w:trPr>
        <w:tc>
          <w:tcPr>
            <w:tcW w:w="4938" w:type="dxa"/>
            <w:gridSpan w:val="2"/>
            <w:tcBorders>
              <w:top w:val="nil"/>
              <w:left w:val="single" w:color="000000" w:sz="4" w:space="0"/>
              <w:bottom w:val="nil"/>
              <w:right w:val="single" w:color="000000" w:sz="4" w:space="0"/>
            </w:tcBorders>
            <w:noWrap w:val="0"/>
            <w:vAlign w:val="center"/>
          </w:tcPr>
          <w:p w14:paraId="3378B516">
            <w:pPr>
              <w:keepNext w:val="0"/>
              <w:keepLines w:val="0"/>
              <w:suppressLineNumbers w:val="0"/>
              <w:spacing w:before="0" w:beforeAutospacing="0" w:after="0" w:afterAutospacing="0" w:line="246" w:lineRule="exact"/>
              <w:ind w:left="0" w:right="0"/>
              <w:rPr>
                <w:rFonts w:hint="default" w:ascii="宋体" w:hAnsi="宋体" w:eastAsia="宋体" w:cs="Times New Roman"/>
                <w:color w:val="auto"/>
                <w:szCs w:val="21"/>
                <w:highlight w:val="none"/>
              </w:rPr>
            </w:pPr>
          </w:p>
        </w:tc>
        <w:tc>
          <w:tcPr>
            <w:tcW w:w="4664" w:type="dxa"/>
            <w:gridSpan w:val="2"/>
            <w:tcBorders>
              <w:top w:val="nil"/>
              <w:left w:val="nil"/>
              <w:bottom w:val="nil"/>
              <w:right w:val="single" w:color="000000" w:sz="4" w:space="0"/>
            </w:tcBorders>
            <w:noWrap w:val="0"/>
            <w:vAlign w:val="center"/>
          </w:tcPr>
          <w:p w14:paraId="75FC14F4">
            <w:pPr>
              <w:keepNext w:val="0"/>
              <w:keepLines w:val="0"/>
              <w:suppressLineNumbers w:val="0"/>
              <w:spacing w:before="0" w:beforeAutospacing="0" w:after="0" w:afterAutospacing="0" w:line="246" w:lineRule="exact"/>
              <w:ind w:left="0" w:right="0"/>
              <w:rPr>
                <w:rFonts w:hint="default" w:ascii="宋体" w:hAnsi="宋体" w:eastAsia="宋体" w:cs="Times New Roman"/>
                <w:color w:val="auto"/>
                <w:szCs w:val="21"/>
                <w:highlight w:val="none"/>
              </w:rPr>
            </w:pPr>
          </w:p>
        </w:tc>
      </w:tr>
      <w:tr w14:paraId="4C6646B8">
        <w:tblPrEx>
          <w:tblCellMar>
            <w:top w:w="0" w:type="dxa"/>
            <w:left w:w="0" w:type="dxa"/>
            <w:bottom w:w="0" w:type="dxa"/>
            <w:right w:w="0" w:type="dxa"/>
          </w:tblCellMar>
        </w:tblPrEx>
        <w:trPr>
          <w:trHeight w:val="899" w:hRule="atLeast"/>
          <w:jc w:val="center"/>
        </w:trPr>
        <w:tc>
          <w:tcPr>
            <w:tcW w:w="4938" w:type="dxa"/>
            <w:gridSpan w:val="2"/>
            <w:tcBorders>
              <w:top w:val="nil"/>
              <w:left w:val="single" w:color="000000" w:sz="4" w:space="0"/>
              <w:bottom w:val="single" w:color="000000" w:sz="4" w:space="0"/>
              <w:right w:val="single" w:color="000000" w:sz="4" w:space="0"/>
            </w:tcBorders>
            <w:noWrap w:val="0"/>
            <w:vAlign w:val="center"/>
          </w:tcPr>
          <w:p w14:paraId="79027543">
            <w:pPr>
              <w:keepNext w:val="0"/>
              <w:keepLines w:val="0"/>
              <w:suppressLineNumbers w:val="0"/>
              <w:spacing w:before="0" w:beforeAutospacing="0" w:after="0" w:afterAutospacing="0" w:line="278" w:lineRule="auto"/>
              <w:ind w:left="0" w:right="0"/>
              <w:jc w:val="right"/>
              <w:rPr>
                <w:rFonts w:hint="default"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监理工程师</w:t>
            </w:r>
            <w:r>
              <w:rPr>
                <w:rFonts w:hint="eastAsia" w:ascii="宋体" w:hAnsi="宋体" w:eastAsia="宋体" w:cs="Times New Roman"/>
                <w:color w:val="auto"/>
                <w:szCs w:val="21"/>
                <w:highlight w:val="none"/>
                <w:u w:val="single"/>
              </w:rPr>
              <w:t xml:space="preserve">         </w:t>
            </w:r>
          </w:p>
          <w:p w14:paraId="466A1387">
            <w:pPr>
              <w:keepNext w:val="0"/>
              <w:keepLines w:val="0"/>
              <w:suppressLineNumbers w:val="0"/>
              <w:spacing w:before="0" w:beforeAutospacing="0" w:after="0" w:afterAutospacing="0" w:line="278" w:lineRule="auto"/>
              <w:ind w:left="0" w:right="0"/>
              <w:jc w:val="right"/>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日期</w:t>
            </w:r>
            <w:r>
              <w:rPr>
                <w:rFonts w:hint="eastAsia" w:ascii="宋体" w:hAnsi="宋体" w:eastAsia="宋体" w:cs="Times New Roman"/>
                <w:color w:val="auto"/>
                <w:szCs w:val="21"/>
                <w:highlight w:val="none"/>
                <w:u w:val="single"/>
              </w:rPr>
              <w:t xml:space="preserve">         </w:t>
            </w:r>
          </w:p>
        </w:tc>
        <w:tc>
          <w:tcPr>
            <w:tcW w:w="4664" w:type="dxa"/>
            <w:gridSpan w:val="2"/>
            <w:tcBorders>
              <w:top w:val="nil"/>
              <w:left w:val="nil"/>
              <w:bottom w:val="single" w:color="000000" w:sz="4" w:space="0"/>
              <w:right w:val="single" w:color="000000" w:sz="4" w:space="0"/>
            </w:tcBorders>
            <w:noWrap w:val="0"/>
            <w:vAlign w:val="center"/>
          </w:tcPr>
          <w:p w14:paraId="3D73E4E4">
            <w:pPr>
              <w:keepNext w:val="0"/>
              <w:keepLines w:val="0"/>
              <w:suppressLineNumbers w:val="0"/>
              <w:spacing w:before="0" w:beforeAutospacing="0" w:after="0" w:afterAutospacing="0" w:line="278" w:lineRule="auto"/>
              <w:ind w:left="0" w:right="0"/>
              <w:jc w:val="right"/>
              <w:rPr>
                <w:rFonts w:hint="default"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一级注册造价工程师</w:t>
            </w:r>
            <w:r>
              <w:rPr>
                <w:rFonts w:hint="eastAsia" w:ascii="宋体" w:hAnsi="宋体" w:eastAsia="宋体" w:cs="Times New Roman"/>
                <w:color w:val="auto"/>
                <w:szCs w:val="21"/>
                <w:highlight w:val="none"/>
                <w:u w:val="single"/>
              </w:rPr>
              <w:t xml:space="preserve">         </w:t>
            </w:r>
          </w:p>
          <w:p w14:paraId="6B612881">
            <w:pPr>
              <w:keepNext w:val="0"/>
              <w:keepLines w:val="0"/>
              <w:suppressLineNumbers w:val="0"/>
              <w:spacing w:before="0" w:beforeAutospacing="0" w:after="0" w:afterAutospacing="0" w:line="278" w:lineRule="auto"/>
              <w:ind w:left="0" w:right="0"/>
              <w:jc w:val="right"/>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日期</w:t>
            </w:r>
            <w:r>
              <w:rPr>
                <w:rFonts w:hint="eastAsia" w:ascii="宋体" w:hAnsi="宋体" w:eastAsia="宋体" w:cs="Times New Roman"/>
                <w:color w:val="auto"/>
                <w:szCs w:val="21"/>
                <w:highlight w:val="none"/>
                <w:u w:val="single"/>
              </w:rPr>
              <w:t xml:space="preserve">         </w:t>
            </w:r>
          </w:p>
        </w:tc>
      </w:tr>
      <w:tr w14:paraId="359CE5D2">
        <w:tblPrEx>
          <w:tblCellMar>
            <w:top w:w="0" w:type="dxa"/>
            <w:left w:w="0" w:type="dxa"/>
            <w:bottom w:w="0" w:type="dxa"/>
            <w:right w:w="0" w:type="dxa"/>
          </w:tblCellMar>
        </w:tblPrEx>
        <w:trPr>
          <w:trHeight w:val="403" w:hRule="atLeast"/>
          <w:jc w:val="center"/>
        </w:trPr>
        <w:tc>
          <w:tcPr>
            <w:tcW w:w="9602" w:type="dxa"/>
            <w:gridSpan w:val="4"/>
            <w:tcBorders>
              <w:top w:val="single" w:color="000000" w:sz="4" w:space="0"/>
              <w:left w:val="single" w:color="000000" w:sz="4" w:space="0"/>
              <w:bottom w:val="nil"/>
              <w:right w:val="single" w:color="000000" w:sz="4" w:space="0"/>
            </w:tcBorders>
            <w:noWrap w:val="0"/>
            <w:vAlign w:val="center"/>
          </w:tcPr>
          <w:p w14:paraId="0CE454CB">
            <w:pPr>
              <w:keepNext w:val="0"/>
              <w:keepLines w:val="0"/>
              <w:suppressLineNumbers w:val="0"/>
              <w:spacing w:before="56" w:beforeAutospacing="0" w:after="0" w:afterAutospacing="0"/>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审核意见：</w:t>
            </w:r>
          </w:p>
        </w:tc>
      </w:tr>
      <w:tr w14:paraId="0686BC01">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0918E14F">
            <w:pPr>
              <w:keepNext w:val="0"/>
              <w:keepLines w:val="0"/>
              <w:suppressLineNumbers w:val="0"/>
              <w:spacing w:before="0" w:beforeAutospacing="0" w:after="0" w:afterAutospacing="0" w:line="246"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□不同意</w:t>
            </w:r>
          </w:p>
        </w:tc>
      </w:tr>
      <w:tr w14:paraId="138D504C">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145AC2C7">
            <w:pPr>
              <w:keepNext w:val="0"/>
              <w:keepLines w:val="0"/>
              <w:suppressLineNumbers w:val="0"/>
              <w:spacing w:before="0" w:beforeAutospacing="0" w:after="0" w:afterAutospacing="0" w:line="246"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□同意</w:t>
            </w:r>
          </w:p>
        </w:tc>
      </w:tr>
      <w:tr w14:paraId="1EA4BB55">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3580F656">
            <w:pPr>
              <w:keepNext w:val="0"/>
              <w:keepLines w:val="0"/>
              <w:suppressLineNumbers w:val="0"/>
              <w:spacing w:before="0" w:beforeAutospacing="0" w:after="0" w:afterAutospacing="0" w:line="246" w:lineRule="exact"/>
              <w:ind w:left="0" w:right="360"/>
              <w:jc w:val="right"/>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发包人（章）     </w:t>
            </w:r>
          </w:p>
        </w:tc>
      </w:tr>
      <w:tr w14:paraId="7FCAA80C">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75064876">
            <w:pPr>
              <w:keepNext w:val="0"/>
              <w:keepLines w:val="0"/>
              <w:suppressLineNumbers w:val="0"/>
              <w:spacing w:before="0" w:beforeAutospacing="0" w:after="0" w:afterAutospacing="0" w:line="246" w:lineRule="exact"/>
              <w:ind w:left="0" w:right="0"/>
              <w:jc w:val="right"/>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发包人代表</w:t>
            </w:r>
            <w:r>
              <w:rPr>
                <w:rFonts w:hint="eastAsia" w:ascii="宋体" w:hAnsi="宋体" w:eastAsia="宋体" w:cs="Times New Roman"/>
                <w:color w:val="auto"/>
                <w:szCs w:val="21"/>
                <w:highlight w:val="none"/>
                <w:u w:val="single"/>
              </w:rPr>
              <w:tab/>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ab/>
            </w:r>
          </w:p>
        </w:tc>
      </w:tr>
      <w:tr w14:paraId="1718AA43">
        <w:tblPrEx>
          <w:tblCellMar>
            <w:top w:w="0" w:type="dxa"/>
            <w:left w:w="0" w:type="dxa"/>
            <w:bottom w:w="0" w:type="dxa"/>
            <w:right w:w="0" w:type="dxa"/>
          </w:tblCellMar>
        </w:tblPrEx>
        <w:trPr>
          <w:trHeight w:val="489" w:hRule="atLeast"/>
          <w:jc w:val="center"/>
        </w:trPr>
        <w:tc>
          <w:tcPr>
            <w:tcW w:w="9602" w:type="dxa"/>
            <w:gridSpan w:val="4"/>
            <w:tcBorders>
              <w:top w:val="nil"/>
              <w:left w:val="single" w:color="000000" w:sz="4" w:space="0"/>
              <w:bottom w:val="single" w:color="000000" w:sz="4" w:space="0"/>
              <w:right w:val="single" w:color="000000" w:sz="4" w:space="0"/>
            </w:tcBorders>
            <w:noWrap w:val="0"/>
            <w:vAlign w:val="top"/>
          </w:tcPr>
          <w:p w14:paraId="055D748C">
            <w:pPr>
              <w:keepNext w:val="0"/>
              <w:keepLines w:val="0"/>
              <w:suppressLineNumbers w:val="0"/>
              <w:spacing w:before="0" w:beforeAutospacing="0" w:after="0" w:afterAutospacing="0" w:line="246" w:lineRule="exact"/>
              <w:ind w:left="0" w:right="0"/>
              <w:jc w:val="right"/>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日期</w:t>
            </w:r>
            <w:r>
              <w:rPr>
                <w:rFonts w:hint="eastAsia" w:ascii="宋体" w:hAnsi="宋体" w:eastAsia="宋体" w:cs="Times New Roman"/>
                <w:color w:val="auto"/>
                <w:szCs w:val="21"/>
                <w:highlight w:val="none"/>
                <w:u w:val="single"/>
              </w:rPr>
              <w:tab/>
            </w:r>
            <w:r>
              <w:rPr>
                <w:rFonts w:hint="eastAsia" w:ascii="宋体" w:hAnsi="宋体" w:eastAsia="宋体" w:cs="Times New Roman"/>
                <w:color w:val="auto"/>
                <w:szCs w:val="21"/>
                <w:highlight w:val="none"/>
                <w:u w:val="single"/>
              </w:rPr>
              <w:t xml:space="preserve">      </w:t>
            </w:r>
          </w:p>
        </w:tc>
      </w:tr>
    </w:tbl>
    <w:p w14:paraId="14D8088C">
      <w:pPr>
        <w:spacing w:line="243" w:lineRule="exact"/>
        <w:ind w:firstLine="0"/>
        <w:rPr>
          <w:rFonts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注：</w:t>
      </w:r>
      <w:r>
        <w:rPr>
          <w:rFonts w:hint="eastAsia" w:ascii="宋体" w:hAnsi="宋体" w:eastAsia="宋体" w:cs="Times New Roman"/>
          <w:color w:val="auto"/>
          <w:spacing w:val="1"/>
          <w:sz w:val="18"/>
          <w:szCs w:val="18"/>
          <w:highlight w:val="none"/>
        </w:rPr>
        <w:t>1  应</w:t>
      </w:r>
      <w:r>
        <w:rPr>
          <w:rFonts w:hint="eastAsia" w:ascii="宋体" w:hAnsi="宋体" w:eastAsia="宋体" w:cs="Times New Roman"/>
          <w:color w:val="auto"/>
          <w:sz w:val="18"/>
          <w:szCs w:val="18"/>
          <w:highlight w:val="none"/>
        </w:rPr>
        <w:t>在选择栏中的</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内作标识</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pacing w:val="-92"/>
          <w:sz w:val="18"/>
          <w:szCs w:val="18"/>
          <w:highlight w:val="none"/>
          <w:lang w:eastAsia="zh-CN"/>
        </w:rPr>
        <w:t>”</w:t>
      </w:r>
      <w:r>
        <w:rPr>
          <w:rFonts w:hint="eastAsia" w:ascii="宋体" w:hAnsi="宋体" w:eastAsia="宋体" w:cs="Times New Roman"/>
          <w:color w:val="auto"/>
          <w:sz w:val="18"/>
          <w:szCs w:val="18"/>
          <w:highlight w:val="none"/>
        </w:rPr>
        <w:t>。如监理人已退场</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监理工程师栏可空缺；</w:t>
      </w:r>
    </w:p>
    <w:p w14:paraId="4044118E">
      <w:pPr>
        <w:spacing w:before="46"/>
        <w:ind w:firstLine="364"/>
        <w:jc w:val="left"/>
        <w:rPr>
          <w:rFonts w:hint="eastAsia" w:ascii="宋体" w:hAnsi="宋体" w:eastAsia="宋体" w:cs="Times New Roman"/>
          <w:color w:val="auto"/>
          <w:sz w:val="18"/>
          <w:szCs w:val="18"/>
          <w:highlight w:val="none"/>
        </w:rPr>
      </w:pPr>
      <w:r>
        <w:rPr>
          <w:rFonts w:hint="eastAsia" w:ascii="宋体" w:hAnsi="宋体" w:eastAsia="宋体" w:cs="Times New Roman"/>
          <w:color w:val="auto"/>
          <w:spacing w:val="1"/>
          <w:sz w:val="18"/>
          <w:szCs w:val="18"/>
          <w:highlight w:val="none"/>
        </w:rPr>
        <w:t xml:space="preserve">2  </w:t>
      </w:r>
      <w:r>
        <w:rPr>
          <w:rFonts w:hint="eastAsia" w:ascii="宋体" w:hAnsi="宋体" w:eastAsia="宋体" w:cs="Times New Roman"/>
          <w:color w:val="auto"/>
          <w:sz w:val="18"/>
          <w:szCs w:val="18"/>
          <w:highlight w:val="none"/>
        </w:rPr>
        <w:t>本表一式四份</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应由承包人填报</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发包人、监理人、工程造价咨询人、承包人各存一份；</w:t>
      </w:r>
    </w:p>
    <w:p w14:paraId="637800E6">
      <w:pPr>
        <w:spacing w:before="46"/>
        <w:ind w:left="0" w:firstLine="364"/>
        <w:rPr>
          <w:rFonts w:ascii="宋体" w:hAnsi="Times New Roman" w:eastAsia="宋体" w:cs="Times New Roman"/>
          <w:color w:val="auto"/>
          <w:sz w:val="30"/>
          <w:szCs w:val="30"/>
          <w:highlight w:val="none"/>
        </w:rPr>
      </w:pPr>
      <w:r>
        <w:rPr>
          <w:rFonts w:hint="eastAsia" w:ascii="宋体" w:hAnsi="宋体" w:eastAsia="宋体" w:cs="Times New Roman"/>
          <w:color w:val="auto"/>
          <w:spacing w:val="1"/>
          <w:sz w:val="18"/>
          <w:szCs w:val="18"/>
          <w:highlight w:val="none"/>
        </w:rPr>
        <w:t xml:space="preserve">3  </w:t>
      </w:r>
      <w:r>
        <w:rPr>
          <w:rFonts w:hint="eastAsia" w:ascii="宋体" w:hAnsi="宋体" w:eastAsia="宋体" w:cs="Times New Roman"/>
          <w:color w:val="auto"/>
          <w:sz w:val="18"/>
          <w:szCs w:val="18"/>
          <w:highlight w:val="none"/>
        </w:rPr>
        <w:t>编制人员、一级注册造价工程师应签字和盖章</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承包人代表、监理工程师、发包人代表应签字或盖章。</w:t>
      </w:r>
    </w:p>
    <w:p w14:paraId="2833DADB">
      <w:pPr>
        <w:spacing w:before="46"/>
        <w:ind w:left="0" w:firstLine="300"/>
        <w:rPr>
          <w:rFonts w:ascii="宋体" w:hAnsi="Times New Roman" w:eastAsia="宋体" w:cs="Times New Roman"/>
          <w:color w:val="auto"/>
          <w:sz w:val="30"/>
          <w:szCs w:val="30"/>
          <w:highlight w:val="none"/>
        </w:rPr>
      </w:pPr>
    </w:p>
    <w:p w14:paraId="214D6BC0">
      <w:pPr>
        <w:spacing w:before="46"/>
        <w:ind w:left="0" w:firstLine="300"/>
        <w:rPr>
          <w:rFonts w:ascii="宋体" w:hAnsi="Times New Roman" w:eastAsia="宋体" w:cs="Times New Roman"/>
          <w:color w:val="auto"/>
          <w:sz w:val="30"/>
          <w:szCs w:val="30"/>
          <w:highlight w:val="none"/>
        </w:rPr>
      </w:pPr>
    </w:p>
    <w:p w14:paraId="4D398D3B">
      <w:pPr>
        <w:spacing w:before="120" w:after="12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附件14：进度款支付分解表</w:t>
      </w:r>
    </w:p>
    <w:p w14:paraId="23F43966">
      <w:pPr>
        <w:ind w:firstLine="1807"/>
        <w:outlineLvl w:val="1"/>
        <w:rPr>
          <w:rFonts w:ascii="宋体" w:hAnsi="宋体" w:eastAsia="宋体" w:cs="Times New Roman"/>
          <w:b/>
          <w:color w:val="auto"/>
          <w:sz w:val="30"/>
          <w:szCs w:val="30"/>
          <w:highlight w:val="none"/>
          <w:lang w:val="en"/>
        </w:rPr>
      </w:pPr>
      <w:r>
        <w:rPr>
          <w:rFonts w:hint="default" w:ascii="宋体" w:hAnsi="宋体" w:eastAsia="宋体" w:cs="Times New Roman"/>
          <w:b/>
          <w:color w:val="auto"/>
          <w:sz w:val="30"/>
          <w:szCs w:val="30"/>
          <w:highlight w:val="none"/>
          <w:lang w:val="en"/>
        </w:rPr>
        <w:t>进度款支付分解表</w:t>
      </w:r>
      <w:r>
        <w:rPr>
          <w:rFonts w:hint="default" w:ascii="宋体" w:hAnsi="宋体" w:eastAsia="宋体" w:cs="Times New Roman"/>
          <w:b/>
          <w:color w:val="auto"/>
          <w:sz w:val="30"/>
          <w:szCs w:val="30"/>
          <w:highlight w:val="none"/>
          <w:lang w:val="en" w:eastAsia="zh-CN"/>
        </w:rPr>
        <w:t>（适用于</w:t>
      </w:r>
      <w:r>
        <w:rPr>
          <w:rFonts w:hint="default" w:ascii="宋体" w:hAnsi="宋体" w:eastAsia="宋体" w:cs="Times New Roman"/>
          <w:b/>
          <w:color w:val="auto"/>
          <w:sz w:val="30"/>
          <w:szCs w:val="30"/>
          <w:highlight w:val="none"/>
          <w:lang w:val="en"/>
        </w:rPr>
        <w:t>总价合同</w:t>
      </w:r>
      <w:r>
        <w:rPr>
          <w:rFonts w:hint="default" w:ascii="宋体" w:hAnsi="宋体" w:eastAsia="宋体" w:cs="Times New Roman"/>
          <w:b/>
          <w:color w:val="auto"/>
          <w:sz w:val="30"/>
          <w:szCs w:val="30"/>
          <w:highlight w:val="none"/>
          <w:lang w:val="en" w:eastAsia="zh-CN"/>
        </w:rPr>
        <w:t>）</w:t>
      </w:r>
    </w:p>
    <w:p w14:paraId="1EA4019A">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工程名称：</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19"/>
        <w:gridCol w:w="675"/>
        <w:gridCol w:w="2268"/>
        <w:gridCol w:w="1276"/>
      </w:tblGrid>
      <w:tr w14:paraId="3E7C5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3D28502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进度款期次</w:t>
            </w:r>
          </w:p>
        </w:tc>
        <w:tc>
          <w:tcPr>
            <w:tcW w:w="3794" w:type="dxa"/>
            <w:gridSpan w:val="2"/>
            <w:noWrap w:val="0"/>
            <w:vAlign w:val="top"/>
          </w:tcPr>
          <w:p w14:paraId="078B238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形象进度</w:t>
            </w:r>
          </w:p>
        </w:tc>
        <w:tc>
          <w:tcPr>
            <w:tcW w:w="2268" w:type="dxa"/>
            <w:noWrap w:val="0"/>
            <w:vAlign w:val="top"/>
          </w:tcPr>
          <w:p w14:paraId="3773E7D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进度款付款金额（元）</w:t>
            </w:r>
          </w:p>
        </w:tc>
        <w:tc>
          <w:tcPr>
            <w:tcW w:w="1276" w:type="dxa"/>
            <w:noWrap w:val="0"/>
            <w:vAlign w:val="top"/>
          </w:tcPr>
          <w:p w14:paraId="63133708">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6079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4762555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第一期</w:t>
            </w:r>
          </w:p>
        </w:tc>
        <w:tc>
          <w:tcPr>
            <w:tcW w:w="3794" w:type="dxa"/>
            <w:gridSpan w:val="2"/>
            <w:noWrap w:val="0"/>
            <w:vAlign w:val="top"/>
          </w:tcPr>
          <w:p w14:paraId="4873777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p>
        </w:tc>
        <w:tc>
          <w:tcPr>
            <w:tcW w:w="2268" w:type="dxa"/>
            <w:noWrap w:val="0"/>
            <w:vAlign w:val="top"/>
          </w:tcPr>
          <w:p w14:paraId="344FEDB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p>
        </w:tc>
        <w:tc>
          <w:tcPr>
            <w:tcW w:w="1276" w:type="dxa"/>
            <w:noWrap w:val="0"/>
            <w:vAlign w:val="top"/>
          </w:tcPr>
          <w:p w14:paraId="757782E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p>
        </w:tc>
      </w:tr>
      <w:tr w14:paraId="66FD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68F9799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第二期</w:t>
            </w:r>
          </w:p>
        </w:tc>
        <w:tc>
          <w:tcPr>
            <w:tcW w:w="3794" w:type="dxa"/>
            <w:gridSpan w:val="2"/>
            <w:noWrap w:val="0"/>
            <w:vAlign w:val="top"/>
          </w:tcPr>
          <w:p w14:paraId="691BBC7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p>
        </w:tc>
        <w:tc>
          <w:tcPr>
            <w:tcW w:w="2268" w:type="dxa"/>
            <w:noWrap w:val="0"/>
            <w:vAlign w:val="top"/>
          </w:tcPr>
          <w:p w14:paraId="4CEF8A1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p>
        </w:tc>
        <w:tc>
          <w:tcPr>
            <w:tcW w:w="1276" w:type="dxa"/>
            <w:noWrap w:val="0"/>
            <w:vAlign w:val="top"/>
          </w:tcPr>
          <w:p w14:paraId="6220E02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p>
        </w:tc>
      </w:tr>
      <w:tr w14:paraId="5418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447C715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第三期</w:t>
            </w:r>
          </w:p>
        </w:tc>
        <w:tc>
          <w:tcPr>
            <w:tcW w:w="3794" w:type="dxa"/>
            <w:gridSpan w:val="2"/>
            <w:noWrap w:val="0"/>
            <w:vAlign w:val="top"/>
          </w:tcPr>
          <w:p w14:paraId="04B9097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p>
        </w:tc>
        <w:tc>
          <w:tcPr>
            <w:tcW w:w="2268" w:type="dxa"/>
            <w:noWrap w:val="0"/>
            <w:vAlign w:val="top"/>
          </w:tcPr>
          <w:p w14:paraId="2BFFF00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p>
        </w:tc>
        <w:tc>
          <w:tcPr>
            <w:tcW w:w="1276" w:type="dxa"/>
            <w:noWrap w:val="0"/>
            <w:vAlign w:val="top"/>
          </w:tcPr>
          <w:p w14:paraId="6D52671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p>
        </w:tc>
      </w:tr>
      <w:tr w14:paraId="16AC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40383D9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default" w:ascii="宋体" w:hAnsi="宋体" w:eastAsia="宋体" w:cs="宋体"/>
                <w:color w:val="auto"/>
                <w:szCs w:val="21"/>
                <w:highlight w:val="none"/>
              </w:rPr>
              <w:t>……</w:t>
            </w:r>
          </w:p>
        </w:tc>
        <w:tc>
          <w:tcPr>
            <w:tcW w:w="3794" w:type="dxa"/>
            <w:gridSpan w:val="2"/>
            <w:noWrap w:val="0"/>
            <w:vAlign w:val="top"/>
          </w:tcPr>
          <w:p w14:paraId="24FCAB5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p>
        </w:tc>
        <w:tc>
          <w:tcPr>
            <w:tcW w:w="2268" w:type="dxa"/>
            <w:noWrap w:val="0"/>
            <w:vAlign w:val="top"/>
          </w:tcPr>
          <w:p w14:paraId="18BA99C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p>
        </w:tc>
        <w:tc>
          <w:tcPr>
            <w:tcW w:w="1276" w:type="dxa"/>
            <w:noWrap w:val="0"/>
            <w:vAlign w:val="top"/>
          </w:tcPr>
          <w:p w14:paraId="63E7A59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p>
        </w:tc>
      </w:tr>
      <w:tr w14:paraId="1DD1B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4536" w:type="dxa"/>
            <w:gridSpan w:val="2"/>
            <w:noWrap w:val="0"/>
            <w:vAlign w:val="top"/>
          </w:tcPr>
          <w:p w14:paraId="229AA7C0">
            <w:pPr>
              <w:keepNext w:val="0"/>
              <w:keepLines w:val="0"/>
              <w:suppressLineNumbers w:val="0"/>
              <w:spacing w:before="0" w:beforeAutospacing="0" w:after="0" w:afterAutospacing="0" w:line="360" w:lineRule="exact"/>
              <w:ind w:left="0" w:right="0" w:firstLine="435"/>
              <w:jc w:val="right"/>
              <w:rPr>
                <w:rFonts w:hint="eastAsia" w:ascii="Calibri" w:hAnsi="Calibri" w:eastAsia="宋体" w:cs="Times New Roman"/>
                <w:color w:val="auto"/>
                <w:szCs w:val="21"/>
                <w:highlight w:val="none"/>
              </w:rPr>
            </w:pPr>
          </w:p>
          <w:p w14:paraId="3BB96DEC">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5283D8E9">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发包人代表签字：</w:t>
            </w:r>
          </w:p>
          <w:p w14:paraId="7599E1AE">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146489AE">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发包人（盖公章）</w:t>
            </w:r>
          </w:p>
          <w:p w14:paraId="00638801">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2D33D59B">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u w:val="single"/>
              </w:rPr>
            </w:pPr>
            <w:r>
              <w:rPr>
                <w:rFonts w:hint="default" w:ascii="Calibri" w:hAnsi="Calibri" w:eastAsia="宋体" w:cs="Times New Roman"/>
                <w:color w:val="auto"/>
                <w:szCs w:val="21"/>
                <w:highlight w:val="none"/>
              </w:rPr>
              <w:t xml:space="preserve">    </w:t>
            </w:r>
            <w:r>
              <w:rPr>
                <w:rFonts w:hint="eastAsia" w:ascii="Calibri" w:hAnsi="Calibri" w:eastAsia="宋体" w:cs="Times New Roman"/>
                <w:color w:val="auto"/>
                <w:szCs w:val="21"/>
                <w:highlight w:val="none"/>
              </w:rPr>
              <w:t xml:space="preserve">    日      期        </w:t>
            </w:r>
            <w:r>
              <w:rPr>
                <w:rFonts w:hint="eastAsia" w:ascii="Calibri" w:hAnsi="Calibri" w:eastAsia="宋体" w:cs="Times New Roman"/>
                <w:color w:val="auto"/>
                <w:szCs w:val="21"/>
                <w:highlight w:val="none"/>
                <w:u w:val="single"/>
              </w:rPr>
              <w:t xml:space="preserve">   </w:t>
            </w:r>
          </w:p>
        </w:tc>
        <w:tc>
          <w:tcPr>
            <w:tcW w:w="4219" w:type="dxa"/>
            <w:gridSpan w:val="3"/>
            <w:noWrap w:val="0"/>
            <w:vAlign w:val="top"/>
          </w:tcPr>
          <w:p w14:paraId="4B3D5273">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463BD833">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u w:val="single"/>
              </w:rPr>
            </w:pPr>
          </w:p>
          <w:p w14:paraId="130A3237">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承包人代表签字：</w:t>
            </w:r>
          </w:p>
          <w:p w14:paraId="38F9FDAF">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10C66E21">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承包人（盖公章）</w:t>
            </w:r>
          </w:p>
          <w:p w14:paraId="4E9A598A">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24A6684F">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u w:val="single"/>
              </w:rPr>
            </w:pPr>
            <w:r>
              <w:rPr>
                <w:rFonts w:hint="default" w:ascii="Calibri" w:hAnsi="Calibri" w:eastAsia="宋体" w:cs="Times New Roman"/>
                <w:color w:val="auto"/>
                <w:szCs w:val="21"/>
                <w:highlight w:val="none"/>
              </w:rPr>
              <w:t xml:space="preserve">    </w:t>
            </w:r>
            <w:r>
              <w:rPr>
                <w:rFonts w:hint="eastAsia" w:ascii="Calibri" w:hAnsi="Calibri" w:eastAsia="宋体" w:cs="Times New Roman"/>
                <w:color w:val="auto"/>
                <w:szCs w:val="21"/>
                <w:highlight w:val="none"/>
              </w:rPr>
              <w:t xml:space="preserve">    日      期</w:t>
            </w:r>
            <w:r>
              <w:rPr>
                <w:rFonts w:hint="eastAsia" w:ascii="Calibri" w:hAnsi="Calibri" w:eastAsia="宋体" w:cs="Times New Roman"/>
                <w:color w:val="auto"/>
                <w:szCs w:val="21"/>
                <w:highlight w:val="none"/>
                <w:u w:val="single"/>
              </w:rPr>
              <w:t xml:space="preserve">        </w:t>
            </w:r>
          </w:p>
        </w:tc>
      </w:tr>
    </w:tbl>
    <w:p w14:paraId="015BE51F">
      <w:pPr>
        <w:spacing w:line="360" w:lineRule="auto"/>
        <w:rPr>
          <w:rFonts w:ascii="宋体" w:hAnsi="Times New Roman" w:eastAsia="宋体" w:cs="Times New Roman"/>
          <w:color w:val="auto"/>
          <w:szCs w:val="21"/>
          <w:highlight w:val="none"/>
        </w:rPr>
      </w:pPr>
    </w:p>
    <w:p w14:paraId="28847967">
      <w:pPr>
        <w:spacing w:line="360" w:lineRule="auto"/>
        <w:rPr>
          <w:rFonts w:ascii="宋体" w:hAnsi="Times New Roman" w:eastAsia="宋体" w:cs="Times New Roman"/>
          <w:color w:val="auto"/>
          <w:szCs w:val="21"/>
          <w:highlight w:val="none"/>
        </w:rPr>
      </w:pPr>
    </w:p>
    <w:p w14:paraId="6F69F06B">
      <w:pPr>
        <w:spacing w:line="360" w:lineRule="auto"/>
        <w:rPr>
          <w:rFonts w:ascii="宋体" w:hAnsi="Times New Roman" w:eastAsia="宋体" w:cs="Times New Roman"/>
          <w:color w:val="auto"/>
          <w:szCs w:val="21"/>
          <w:highlight w:val="none"/>
        </w:rPr>
      </w:pPr>
    </w:p>
    <w:p w14:paraId="7C80D450">
      <w:pPr>
        <w:spacing w:line="360" w:lineRule="auto"/>
        <w:rPr>
          <w:rFonts w:ascii="宋体" w:hAnsi="Times New Roman" w:eastAsia="宋体" w:cs="Times New Roman"/>
          <w:color w:val="auto"/>
          <w:szCs w:val="21"/>
          <w:highlight w:val="none"/>
        </w:rPr>
      </w:pPr>
    </w:p>
    <w:p w14:paraId="3B0FA85D">
      <w:pPr>
        <w:spacing w:line="360" w:lineRule="auto"/>
        <w:rPr>
          <w:rFonts w:ascii="宋体" w:hAnsi="Times New Roman" w:eastAsia="宋体" w:cs="Times New Roman"/>
          <w:color w:val="auto"/>
          <w:szCs w:val="21"/>
          <w:highlight w:val="none"/>
        </w:rPr>
      </w:pPr>
    </w:p>
    <w:p w14:paraId="622E928C">
      <w:pPr>
        <w:spacing w:line="360" w:lineRule="auto"/>
        <w:rPr>
          <w:rFonts w:ascii="宋体" w:hAnsi="Times New Roman" w:eastAsia="宋体" w:cs="Times New Roman"/>
          <w:color w:val="auto"/>
          <w:szCs w:val="21"/>
          <w:highlight w:val="none"/>
        </w:rPr>
      </w:pPr>
    </w:p>
    <w:p w14:paraId="38C86B9D">
      <w:pPr>
        <w:pStyle w:val="47"/>
        <w:rPr>
          <w:rFonts w:ascii="宋体"/>
          <w:color w:val="auto"/>
          <w:highlight w:val="none"/>
        </w:rPr>
      </w:pPr>
    </w:p>
    <w:p w14:paraId="30656A4F">
      <w:pPr>
        <w:pStyle w:val="47"/>
        <w:rPr>
          <w:rFonts w:ascii="宋体"/>
          <w:color w:val="auto"/>
          <w:highlight w:val="none"/>
        </w:rPr>
      </w:pPr>
    </w:p>
    <w:p w14:paraId="001A3D04">
      <w:pPr>
        <w:pStyle w:val="47"/>
        <w:rPr>
          <w:rFonts w:ascii="宋体"/>
          <w:color w:val="auto"/>
          <w:highlight w:val="none"/>
        </w:rPr>
      </w:pPr>
    </w:p>
    <w:p w14:paraId="685497E8">
      <w:pPr>
        <w:pStyle w:val="47"/>
        <w:rPr>
          <w:rFonts w:ascii="宋体"/>
          <w:color w:val="auto"/>
          <w:highlight w:val="none"/>
        </w:rPr>
      </w:pPr>
    </w:p>
    <w:p w14:paraId="0255A5A7">
      <w:pPr>
        <w:pStyle w:val="47"/>
        <w:rPr>
          <w:rFonts w:ascii="宋体"/>
          <w:color w:val="auto"/>
          <w:highlight w:val="none"/>
        </w:rPr>
      </w:pPr>
    </w:p>
    <w:p w14:paraId="359CBD78">
      <w:pPr>
        <w:pStyle w:val="47"/>
        <w:rPr>
          <w:rFonts w:ascii="宋体"/>
          <w:color w:val="auto"/>
          <w:highlight w:val="none"/>
        </w:rPr>
      </w:pPr>
    </w:p>
    <w:p w14:paraId="14489DA8">
      <w:pPr>
        <w:pStyle w:val="47"/>
        <w:rPr>
          <w:rFonts w:ascii="宋体"/>
          <w:color w:val="auto"/>
          <w:highlight w:val="none"/>
        </w:rPr>
      </w:pPr>
    </w:p>
    <w:p w14:paraId="6A7582AC">
      <w:pPr>
        <w:pStyle w:val="47"/>
        <w:rPr>
          <w:rFonts w:ascii="宋体"/>
          <w:color w:val="auto"/>
          <w:highlight w:val="none"/>
        </w:rPr>
      </w:pPr>
    </w:p>
    <w:p w14:paraId="402BD84D">
      <w:pPr>
        <w:pStyle w:val="47"/>
        <w:rPr>
          <w:rFonts w:ascii="宋体"/>
          <w:color w:val="auto"/>
          <w:highlight w:val="none"/>
        </w:rPr>
      </w:pPr>
    </w:p>
    <w:p w14:paraId="2C7FF69B">
      <w:pPr>
        <w:pStyle w:val="47"/>
        <w:rPr>
          <w:rFonts w:ascii="宋体"/>
          <w:color w:val="auto"/>
          <w:highlight w:val="none"/>
        </w:rPr>
      </w:pPr>
    </w:p>
    <w:p w14:paraId="18173A60">
      <w:pPr>
        <w:spacing w:before="120" w:after="120" w:line="440" w:lineRule="exact"/>
        <w:jc w:val="left"/>
        <w:rPr>
          <w:rFonts w:hint="eastAsia" w:ascii="仿宋_GB2312" w:hAnsi="Times New Roman" w:eastAsia="仿宋_GB2312" w:cs="仿宋_GB2312"/>
          <w:color w:val="auto"/>
          <w:sz w:val="30"/>
          <w:szCs w:val="30"/>
          <w:highlight w:val="none"/>
          <w:lang w:val="en-US" w:eastAsia="zh-CN"/>
        </w:rPr>
      </w:pPr>
      <w:bookmarkStart w:id="1309" w:name="_Toc633689172"/>
      <w:bookmarkStart w:id="1310" w:name="_Toc441683618"/>
      <w:bookmarkStart w:id="1311" w:name="_Toc1842771986"/>
      <w:bookmarkStart w:id="1312" w:name="_Toc1909664075"/>
      <w:bookmarkStart w:id="1313" w:name="_Toc1130643390"/>
      <w:bookmarkStart w:id="1314" w:name="_Toc1993706012"/>
      <w:bookmarkStart w:id="1315" w:name="_Toc1316360315"/>
      <w:bookmarkStart w:id="1316" w:name="_Toc1827315382"/>
      <w:bookmarkStart w:id="1317" w:name="_Toc12824"/>
      <w:bookmarkStart w:id="1318" w:name="_Toc564658636"/>
      <w:bookmarkStart w:id="1319" w:name="_Toc173801266"/>
      <w:bookmarkStart w:id="1320" w:name="_Toc1731322991"/>
      <w:bookmarkStart w:id="1321" w:name="_Toc1300612461"/>
      <w:bookmarkStart w:id="1322" w:name="_Toc5300"/>
      <w:bookmarkStart w:id="1323" w:name="_Toc475060052"/>
      <w:r>
        <w:rPr>
          <w:rFonts w:hint="eastAsia" w:ascii="仿宋_GB2312" w:hAnsi="Times New Roman" w:eastAsia="仿宋_GB2312" w:cs="仿宋_GB2312"/>
          <w:color w:val="auto"/>
          <w:sz w:val="30"/>
          <w:szCs w:val="30"/>
          <w:highlight w:val="none"/>
          <w:lang w:val="en" w:eastAsia="zh-CN"/>
        </w:rPr>
        <w:t>附件</w:t>
      </w:r>
      <w:r>
        <w:rPr>
          <w:rFonts w:hint="eastAsia" w:ascii="仿宋_GB2312" w:hAnsi="Times New Roman" w:eastAsia="仿宋_GB2312" w:cs="仿宋_GB2312"/>
          <w:color w:val="auto"/>
          <w:sz w:val="30"/>
          <w:szCs w:val="30"/>
          <w:highlight w:val="none"/>
          <w:lang w:val="en-US" w:eastAsia="zh-CN"/>
        </w:rPr>
        <w:t>15：措施项目费用分拆表</w:t>
      </w:r>
    </w:p>
    <w:p w14:paraId="31D1F6CD">
      <w:pPr>
        <w:jc w:val="center"/>
        <w:outlineLvl w:val="1"/>
        <w:rPr>
          <w:rFonts w:ascii="宋体" w:hAnsi="宋体" w:eastAsia="宋体" w:cs="Times New Roman"/>
          <w:b/>
          <w:color w:val="auto"/>
          <w:sz w:val="32"/>
          <w:szCs w:val="32"/>
          <w:highlight w:val="none"/>
        </w:rPr>
      </w:pPr>
      <w:r>
        <w:rPr>
          <w:rFonts w:hint="default" w:ascii="宋体" w:hAnsi="宋体" w:eastAsia="宋体" w:cs="Times New Roman"/>
          <w:b/>
          <w:color w:val="auto"/>
          <w:sz w:val="30"/>
          <w:szCs w:val="30"/>
          <w:highlight w:val="none"/>
          <w:lang w:val="en"/>
        </w:rPr>
        <w:t xml:space="preserve"> 措施项目费用分拆表</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14:paraId="36CBD5CE">
      <w:pPr>
        <w:pStyle w:val="47"/>
        <w:ind w:firstLine="210"/>
        <w:rPr>
          <w:rFonts w:ascii="宋体" w:hAnsi="宋体"/>
          <w:b/>
          <w:color w:val="auto"/>
          <w:sz w:val="32"/>
          <w:szCs w:val="32"/>
          <w:highlight w:val="none"/>
        </w:rPr>
      </w:pPr>
      <w:r>
        <w:rPr>
          <w:rFonts w:hint="eastAsia" w:ascii="宋体" w:hAnsi="宋体"/>
          <w:color w:val="auto"/>
          <w:highlight w:val="none"/>
        </w:rPr>
        <w:t>工程</w:t>
      </w:r>
      <w:r>
        <w:rPr>
          <w:rFonts w:hint="eastAsia" w:ascii="宋体" w:hAnsi="宋体"/>
          <w:color w:val="auto"/>
          <w:spacing w:val="-3"/>
          <w:highlight w:val="none"/>
        </w:rPr>
        <w:t>名</w:t>
      </w:r>
      <w:r>
        <w:rPr>
          <w:rFonts w:hint="eastAsia" w:ascii="宋体" w:hAnsi="宋体"/>
          <w:color w:val="auto"/>
          <w:highlight w:val="none"/>
        </w:rPr>
        <w:t>称：</w:t>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 xml:space="preserve">  第   </w:t>
      </w:r>
      <w:r>
        <w:rPr>
          <w:rFonts w:hint="eastAsia" w:ascii="宋体" w:hAnsi="宋体"/>
          <w:color w:val="auto"/>
          <w:spacing w:val="-3"/>
          <w:highlight w:val="none"/>
        </w:rPr>
        <w:t xml:space="preserve">页 </w:t>
      </w:r>
      <w:r>
        <w:rPr>
          <w:rFonts w:hint="eastAsia" w:ascii="宋体" w:hAnsi="宋体"/>
          <w:color w:val="auto"/>
          <w:highlight w:val="none"/>
        </w:rPr>
        <w:t>共   页</w:t>
      </w:r>
    </w:p>
    <w:tbl>
      <w:tblPr>
        <w:tblStyle w:val="48"/>
        <w:tblW w:w="5035"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95"/>
        <w:gridCol w:w="709"/>
        <w:gridCol w:w="1151"/>
        <w:gridCol w:w="756"/>
        <w:gridCol w:w="907"/>
        <w:gridCol w:w="1096"/>
        <w:gridCol w:w="693"/>
        <w:gridCol w:w="856"/>
        <w:gridCol w:w="936"/>
        <w:gridCol w:w="1142"/>
      </w:tblGrid>
      <w:tr w14:paraId="6943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564" w:type="dxa"/>
            <w:vMerge w:val="restart"/>
            <w:tcBorders>
              <w:top w:val="single" w:color="auto" w:sz="4" w:space="0"/>
              <w:left w:val="single" w:color="auto" w:sz="4" w:space="0"/>
              <w:bottom w:val="single" w:color="auto" w:sz="4" w:space="0"/>
              <w:right w:val="single" w:color="auto" w:sz="4" w:space="0"/>
            </w:tcBorders>
            <w:noWrap w:val="0"/>
            <w:vAlign w:val="center"/>
          </w:tcPr>
          <w:p w14:paraId="466F96D6">
            <w:pPr>
              <w:keepNext w:val="0"/>
              <w:keepLines w:val="0"/>
              <w:suppressLineNumbers w:val="0"/>
              <w:spacing w:before="0" w:beforeAutospacing="0" w:after="0" w:afterAutospacing="0"/>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序号</w:t>
            </w:r>
          </w:p>
        </w:tc>
        <w:tc>
          <w:tcPr>
            <w:tcW w:w="829" w:type="dxa"/>
            <w:vMerge w:val="restart"/>
            <w:tcBorders>
              <w:top w:val="single" w:color="auto" w:sz="4" w:space="0"/>
              <w:left w:val="nil"/>
              <w:bottom w:val="single" w:color="auto" w:sz="4" w:space="0"/>
              <w:right w:val="single" w:color="auto" w:sz="4" w:space="0"/>
            </w:tcBorders>
            <w:noWrap w:val="0"/>
            <w:vAlign w:val="center"/>
          </w:tcPr>
          <w:p w14:paraId="6D930D55">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项目</w:t>
            </w:r>
          </w:p>
          <w:p w14:paraId="5EEB4F3F">
            <w:pPr>
              <w:keepNext w:val="0"/>
              <w:keepLines w:val="0"/>
              <w:suppressLineNumbers w:val="0"/>
              <w:spacing w:before="0" w:beforeAutospacing="0" w:after="0" w:afterAutospacing="0"/>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编码</w:t>
            </w:r>
          </w:p>
        </w:tc>
        <w:tc>
          <w:tcPr>
            <w:tcW w:w="1380" w:type="dxa"/>
            <w:vMerge w:val="restart"/>
            <w:tcBorders>
              <w:top w:val="single" w:color="auto" w:sz="4" w:space="0"/>
              <w:left w:val="nil"/>
              <w:bottom w:val="single" w:color="auto" w:sz="4" w:space="0"/>
              <w:right w:val="single" w:color="auto" w:sz="4" w:space="0"/>
            </w:tcBorders>
            <w:noWrap w:val="0"/>
            <w:vAlign w:val="center"/>
          </w:tcPr>
          <w:p w14:paraId="2C49B05D">
            <w:pPr>
              <w:keepNext w:val="0"/>
              <w:keepLines w:val="0"/>
              <w:suppressLineNumbers w:val="0"/>
              <w:spacing w:before="0" w:beforeAutospacing="0" w:after="0" w:afterAutospacing="0"/>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措施项目名称</w:t>
            </w:r>
          </w:p>
        </w:tc>
        <w:tc>
          <w:tcPr>
            <w:tcW w:w="785" w:type="dxa"/>
            <w:vMerge w:val="restart"/>
            <w:tcBorders>
              <w:top w:val="single" w:color="auto" w:sz="4" w:space="0"/>
              <w:left w:val="nil"/>
              <w:bottom w:val="single" w:color="auto" w:sz="4" w:space="0"/>
              <w:right w:val="single" w:color="auto" w:sz="4" w:space="0"/>
            </w:tcBorders>
            <w:noWrap w:val="0"/>
            <w:vAlign w:val="center"/>
          </w:tcPr>
          <w:p w14:paraId="745A47D9">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价格</w:t>
            </w:r>
          </w:p>
          <w:p w14:paraId="7ABDD75D">
            <w:pPr>
              <w:keepNext w:val="0"/>
              <w:keepLines w:val="0"/>
              <w:suppressLineNumbers w:val="0"/>
              <w:spacing w:before="0" w:beforeAutospacing="0" w:after="0" w:afterAutospacing="0"/>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（元）</w:t>
            </w:r>
          </w:p>
        </w:tc>
        <w:tc>
          <w:tcPr>
            <w:tcW w:w="2206" w:type="dxa"/>
            <w:gridSpan w:val="2"/>
            <w:tcBorders>
              <w:top w:val="single" w:color="auto" w:sz="4" w:space="0"/>
              <w:left w:val="nil"/>
              <w:bottom w:val="single" w:color="auto" w:sz="4" w:space="0"/>
              <w:right w:val="single" w:color="auto" w:sz="4" w:space="0"/>
            </w:tcBorders>
            <w:noWrap w:val="0"/>
            <w:vAlign w:val="center"/>
          </w:tcPr>
          <w:p w14:paraId="5ACCD65A">
            <w:pPr>
              <w:keepNext w:val="0"/>
              <w:keepLines w:val="0"/>
              <w:suppressLineNumbers w:val="0"/>
              <w:spacing w:before="0" w:beforeAutospacing="0" w:after="0" w:afterAutospacing="0"/>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1.初始设立费用</w:t>
            </w:r>
          </w:p>
        </w:tc>
        <w:tc>
          <w:tcPr>
            <w:tcW w:w="1641" w:type="dxa"/>
            <w:gridSpan w:val="2"/>
            <w:tcBorders>
              <w:top w:val="single" w:color="auto" w:sz="4" w:space="0"/>
              <w:left w:val="nil"/>
              <w:bottom w:val="single" w:color="auto" w:sz="4" w:space="0"/>
              <w:right w:val="single" w:color="auto" w:sz="4" w:space="0"/>
            </w:tcBorders>
            <w:noWrap w:val="0"/>
            <w:vAlign w:val="center"/>
          </w:tcPr>
          <w:p w14:paraId="783F4E5A">
            <w:pPr>
              <w:keepNext w:val="0"/>
              <w:keepLines w:val="0"/>
              <w:suppressLineNumbers w:val="0"/>
              <w:spacing w:before="0" w:beforeAutospacing="0" w:after="0" w:afterAutospacing="0"/>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2.中期运行费用</w:t>
            </w:r>
          </w:p>
        </w:tc>
        <w:tc>
          <w:tcPr>
            <w:tcW w:w="2300" w:type="dxa"/>
            <w:gridSpan w:val="2"/>
            <w:tcBorders>
              <w:top w:val="single" w:color="auto" w:sz="4" w:space="0"/>
              <w:left w:val="nil"/>
              <w:bottom w:val="single" w:color="auto" w:sz="4" w:space="0"/>
              <w:right w:val="single" w:color="auto" w:sz="4" w:space="0"/>
            </w:tcBorders>
            <w:noWrap w:val="0"/>
            <w:vAlign w:val="center"/>
          </w:tcPr>
          <w:p w14:paraId="21A1B85B">
            <w:pPr>
              <w:keepNext w:val="0"/>
              <w:keepLines w:val="0"/>
              <w:suppressLineNumbers w:val="0"/>
              <w:spacing w:before="0" w:beforeAutospacing="0" w:after="0" w:afterAutospacing="0"/>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3.后期拆除费用</w:t>
            </w:r>
          </w:p>
        </w:tc>
      </w:tr>
      <w:tr w14:paraId="0A8F5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 w:hRule="atLeast"/>
        </w:trPr>
        <w:tc>
          <w:tcPr>
            <w:tcW w:w="564" w:type="dxa"/>
            <w:vMerge w:val="continue"/>
            <w:tcBorders>
              <w:top w:val="single" w:color="auto" w:sz="4" w:space="0"/>
              <w:left w:val="single" w:color="auto" w:sz="4" w:space="0"/>
              <w:bottom w:val="single" w:color="auto" w:sz="4" w:space="0"/>
              <w:right w:val="single" w:color="auto" w:sz="4" w:space="0"/>
            </w:tcBorders>
            <w:noWrap w:val="0"/>
            <w:vAlign w:val="center"/>
          </w:tcPr>
          <w:p w14:paraId="346A7A7A">
            <w:pPr>
              <w:keepNext w:val="0"/>
              <w:keepLines w:val="0"/>
              <w:widowControl/>
              <w:suppressLineNumbers w:val="0"/>
              <w:spacing w:before="0" w:beforeAutospacing="0" w:after="0" w:afterAutospacing="0"/>
              <w:ind w:left="0" w:right="0"/>
              <w:jc w:val="left"/>
              <w:rPr>
                <w:rFonts w:hint="default" w:ascii="宋体" w:hAnsi="宋体" w:eastAsia="宋体" w:cs="Times New Roman"/>
                <w:color w:val="auto"/>
                <w:sz w:val="21"/>
                <w:szCs w:val="21"/>
                <w:highlight w:val="none"/>
              </w:rPr>
            </w:pPr>
          </w:p>
        </w:tc>
        <w:tc>
          <w:tcPr>
            <w:tcW w:w="829" w:type="dxa"/>
            <w:vMerge w:val="continue"/>
            <w:tcBorders>
              <w:top w:val="single" w:color="auto" w:sz="4" w:space="0"/>
              <w:left w:val="nil"/>
              <w:bottom w:val="single" w:color="auto" w:sz="4" w:space="0"/>
              <w:right w:val="single" w:color="auto" w:sz="4" w:space="0"/>
            </w:tcBorders>
            <w:noWrap w:val="0"/>
            <w:vAlign w:val="center"/>
          </w:tcPr>
          <w:p w14:paraId="37D4AA4F">
            <w:pPr>
              <w:keepNext w:val="0"/>
              <w:keepLines w:val="0"/>
              <w:widowControl/>
              <w:suppressLineNumbers w:val="0"/>
              <w:spacing w:before="0" w:beforeAutospacing="0" w:after="0" w:afterAutospacing="0"/>
              <w:ind w:left="0" w:right="0"/>
              <w:jc w:val="left"/>
              <w:rPr>
                <w:rFonts w:hint="default" w:ascii="宋体" w:hAnsi="宋体" w:eastAsia="宋体" w:cs="Times New Roman"/>
                <w:color w:val="auto"/>
                <w:sz w:val="21"/>
                <w:szCs w:val="21"/>
                <w:highlight w:val="none"/>
              </w:rPr>
            </w:pPr>
          </w:p>
        </w:tc>
        <w:tc>
          <w:tcPr>
            <w:tcW w:w="1380" w:type="dxa"/>
            <w:vMerge w:val="continue"/>
            <w:tcBorders>
              <w:top w:val="single" w:color="auto" w:sz="4" w:space="0"/>
              <w:left w:val="nil"/>
              <w:bottom w:val="single" w:color="auto" w:sz="4" w:space="0"/>
              <w:right w:val="single" w:color="auto" w:sz="4" w:space="0"/>
            </w:tcBorders>
            <w:noWrap w:val="0"/>
            <w:vAlign w:val="center"/>
          </w:tcPr>
          <w:p w14:paraId="0A4AA4F3">
            <w:pPr>
              <w:keepNext w:val="0"/>
              <w:keepLines w:val="0"/>
              <w:widowControl/>
              <w:suppressLineNumbers w:val="0"/>
              <w:spacing w:before="0" w:beforeAutospacing="0" w:after="0" w:afterAutospacing="0"/>
              <w:ind w:left="0" w:right="0"/>
              <w:jc w:val="left"/>
              <w:rPr>
                <w:rFonts w:hint="default" w:ascii="宋体" w:hAnsi="宋体" w:eastAsia="宋体" w:cs="Times New Roman"/>
                <w:color w:val="auto"/>
                <w:sz w:val="21"/>
                <w:szCs w:val="21"/>
                <w:highlight w:val="none"/>
              </w:rPr>
            </w:pPr>
          </w:p>
        </w:tc>
        <w:tc>
          <w:tcPr>
            <w:tcW w:w="785" w:type="dxa"/>
            <w:vMerge w:val="continue"/>
            <w:tcBorders>
              <w:top w:val="single" w:color="auto" w:sz="4" w:space="0"/>
              <w:left w:val="nil"/>
              <w:bottom w:val="single" w:color="auto" w:sz="4" w:space="0"/>
              <w:right w:val="single" w:color="auto" w:sz="4" w:space="0"/>
            </w:tcBorders>
            <w:noWrap w:val="0"/>
            <w:vAlign w:val="center"/>
          </w:tcPr>
          <w:p w14:paraId="50103049">
            <w:pPr>
              <w:keepNext w:val="0"/>
              <w:keepLines w:val="0"/>
              <w:widowControl/>
              <w:suppressLineNumbers w:val="0"/>
              <w:spacing w:before="0" w:beforeAutospacing="0" w:after="0" w:afterAutospacing="0"/>
              <w:ind w:left="0" w:right="0"/>
              <w:jc w:val="left"/>
              <w:rPr>
                <w:rFonts w:hint="default" w:ascii="宋体" w:hAnsi="宋体" w:eastAsia="宋体" w:cs="Times New Roman"/>
                <w:color w:val="auto"/>
                <w:sz w:val="21"/>
                <w:szCs w:val="21"/>
                <w:highlight w:val="none"/>
              </w:rPr>
            </w:pPr>
          </w:p>
        </w:tc>
        <w:tc>
          <w:tcPr>
            <w:tcW w:w="998" w:type="dxa"/>
            <w:tcBorders>
              <w:top w:val="single" w:color="auto" w:sz="4" w:space="0"/>
              <w:left w:val="nil"/>
              <w:bottom w:val="single" w:color="auto" w:sz="4" w:space="0"/>
              <w:right w:val="single" w:color="auto" w:sz="4" w:space="0"/>
            </w:tcBorders>
            <w:noWrap w:val="0"/>
            <w:vAlign w:val="center"/>
          </w:tcPr>
          <w:p w14:paraId="65F79E61">
            <w:pPr>
              <w:keepNext w:val="0"/>
              <w:keepLines w:val="0"/>
              <w:suppressLineNumbers w:val="0"/>
              <w:spacing w:before="0" w:beforeAutospacing="0" w:after="0" w:afterAutospacing="0"/>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占比</w:t>
            </w:r>
          </w:p>
          <w:p w14:paraId="1106E4E5">
            <w:pPr>
              <w:keepNext w:val="0"/>
              <w:keepLines w:val="0"/>
              <w:suppressLineNumbers w:val="0"/>
              <w:spacing w:before="0" w:beforeAutospacing="0" w:after="0" w:afterAutospacing="0"/>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w:t>
            </w:r>
          </w:p>
        </w:tc>
        <w:tc>
          <w:tcPr>
            <w:tcW w:w="1208" w:type="dxa"/>
            <w:tcBorders>
              <w:top w:val="single" w:color="auto" w:sz="4" w:space="0"/>
              <w:left w:val="nil"/>
              <w:bottom w:val="single" w:color="auto" w:sz="4" w:space="0"/>
              <w:right w:val="single" w:color="auto" w:sz="4" w:space="0"/>
            </w:tcBorders>
            <w:noWrap w:val="0"/>
            <w:vAlign w:val="center"/>
          </w:tcPr>
          <w:p w14:paraId="4AA8CDC3">
            <w:pPr>
              <w:keepNext w:val="0"/>
              <w:keepLines w:val="0"/>
              <w:suppressLineNumbers w:val="0"/>
              <w:spacing w:before="0" w:beforeAutospacing="0" w:after="0" w:afterAutospacing="0"/>
              <w:ind w:left="0" w:right="0"/>
              <w:jc w:val="center"/>
              <w:rPr>
                <w:rFonts w:hint="default" w:ascii="宋体" w:hAnsi="宋体" w:eastAsia="宋体" w:cs="Calibri"/>
                <w:color w:val="auto"/>
                <w:sz w:val="21"/>
                <w:szCs w:val="21"/>
                <w:highlight w:val="none"/>
              </w:rPr>
            </w:pPr>
            <w:r>
              <w:rPr>
                <w:rFonts w:hint="eastAsia" w:ascii="宋体" w:hAnsi="宋体" w:eastAsia="宋体" w:cs="Calibri"/>
                <w:color w:val="auto"/>
                <w:sz w:val="21"/>
                <w:szCs w:val="21"/>
                <w:highlight w:val="none"/>
              </w:rPr>
              <w:t>金额</w:t>
            </w:r>
          </w:p>
          <w:p w14:paraId="21A40D4C">
            <w:pPr>
              <w:keepNext w:val="0"/>
              <w:keepLines w:val="0"/>
              <w:suppressLineNumbers w:val="0"/>
              <w:spacing w:before="0" w:beforeAutospacing="0" w:after="0" w:afterAutospacing="0"/>
              <w:ind w:left="0" w:right="0"/>
              <w:jc w:val="center"/>
              <w:rPr>
                <w:rFonts w:hint="eastAsia" w:ascii="宋体" w:hAnsi="宋体" w:eastAsia="宋体" w:cs="Times New Roman"/>
                <w:color w:val="auto"/>
                <w:sz w:val="21"/>
                <w:szCs w:val="21"/>
                <w:highlight w:val="none"/>
                <w:lang w:eastAsia="zh-CN"/>
              </w:rPr>
            </w:pPr>
            <w:r>
              <w:rPr>
                <w:rFonts w:hint="eastAsia" w:ascii="宋体" w:hAnsi="宋体" w:eastAsia="宋体" w:cs="Calibri"/>
                <w:color w:val="auto"/>
                <w:sz w:val="21"/>
                <w:szCs w:val="21"/>
                <w:highlight w:val="none"/>
                <w:lang w:eastAsia="zh-CN"/>
              </w:rPr>
              <w:t>（</w:t>
            </w:r>
            <w:r>
              <w:rPr>
                <w:rFonts w:hint="eastAsia" w:ascii="宋体" w:hAnsi="宋体" w:eastAsia="宋体" w:cs="Calibri"/>
                <w:color w:val="auto"/>
                <w:sz w:val="21"/>
                <w:szCs w:val="21"/>
                <w:highlight w:val="none"/>
              </w:rPr>
              <w:t>元</w:t>
            </w:r>
            <w:r>
              <w:rPr>
                <w:rFonts w:hint="eastAsia" w:ascii="宋体" w:hAnsi="宋体" w:eastAsia="宋体" w:cs="Calibri"/>
                <w:color w:val="auto"/>
                <w:sz w:val="21"/>
                <w:szCs w:val="21"/>
                <w:highlight w:val="none"/>
                <w:lang w:eastAsia="zh-CN"/>
              </w:rPr>
              <w:t>）</w:t>
            </w:r>
          </w:p>
        </w:tc>
        <w:tc>
          <w:tcPr>
            <w:tcW w:w="732" w:type="dxa"/>
            <w:tcBorders>
              <w:top w:val="single" w:color="auto" w:sz="4" w:space="0"/>
              <w:left w:val="nil"/>
              <w:bottom w:val="single" w:color="auto" w:sz="4" w:space="0"/>
              <w:right w:val="single" w:color="auto" w:sz="4" w:space="0"/>
            </w:tcBorders>
            <w:noWrap w:val="0"/>
            <w:vAlign w:val="center"/>
          </w:tcPr>
          <w:p w14:paraId="5DE9BBA5">
            <w:pPr>
              <w:keepNext w:val="0"/>
              <w:keepLines w:val="0"/>
              <w:suppressLineNumbers w:val="0"/>
              <w:spacing w:before="0" w:beforeAutospacing="0" w:after="0" w:afterAutospacing="0"/>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占比</w:t>
            </w:r>
          </w:p>
          <w:p w14:paraId="3F77D38F">
            <w:pPr>
              <w:keepNext w:val="0"/>
              <w:keepLines w:val="0"/>
              <w:suppressLineNumbers w:val="0"/>
              <w:spacing w:before="0" w:beforeAutospacing="0" w:after="0" w:afterAutospacing="0"/>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w:t>
            </w:r>
          </w:p>
        </w:tc>
        <w:tc>
          <w:tcPr>
            <w:tcW w:w="909" w:type="dxa"/>
            <w:tcBorders>
              <w:top w:val="single" w:color="auto" w:sz="4" w:space="0"/>
              <w:left w:val="nil"/>
              <w:bottom w:val="single" w:color="auto" w:sz="4" w:space="0"/>
              <w:right w:val="single" w:color="auto" w:sz="4" w:space="0"/>
            </w:tcBorders>
            <w:noWrap w:val="0"/>
            <w:vAlign w:val="center"/>
          </w:tcPr>
          <w:p w14:paraId="731A58CE">
            <w:pPr>
              <w:keepNext w:val="0"/>
              <w:keepLines w:val="0"/>
              <w:suppressLineNumbers w:val="0"/>
              <w:spacing w:before="0" w:beforeAutospacing="0" w:after="0" w:afterAutospacing="0"/>
              <w:ind w:left="0" w:right="0"/>
              <w:jc w:val="center"/>
              <w:rPr>
                <w:rFonts w:hint="default" w:ascii="宋体" w:hAnsi="宋体" w:eastAsia="宋体" w:cs="Calibri"/>
                <w:color w:val="auto"/>
                <w:sz w:val="21"/>
                <w:szCs w:val="21"/>
                <w:highlight w:val="none"/>
              </w:rPr>
            </w:pPr>
            <w:r>
              <w:rPr>
                <w:rFonts w:hint="eastAsia" w:ascii="宋体" w:hAnsi="宋体" w:eastAsia="宋体" w:cs="Calibri"/>
                <w:color w:val="auto"/>
                <w:sz w:val="21"/>
                <w:szCs w:val="21"/>
                <w:highlight w:val="none"/>
              </w:rPr>
              <w:t>金额</w:t>
            </w:r>
          </w:p>
          <w:p w14:paraId="6EBCF185">
            <w:pPr>
              <w:keepNext w:val="0"/>
              <w:keepLines w:val="0"/>
              <w:suppressLineNumbers w:val="0"/>
              <w:spacing w:before="0" w:beforeAutospacing="0" w:after="0" w:afterAutospacing="0"/>
              <w:ind w:left="0" w:right="0"/>
              <w:jc w:val="center"/>
              <w:rPr>
                <w:rFonts w:hint="eastAsia" w:ascii="宋体" w:hAnsi="宋体" w:eastAsia="宋体" w:cs="Times New Roman"/>
                <w:color w:val="auto"/>
                <w:sz w:val="21"/>
                <w:szCs w:val="21"/>
                <w:highlight w:val="none"/>
                <w:lang w:eastAsia="zh-CN"/>
              </w:rPr>
            </w:pPr>
            <w:r>
              <w:rPr>
                <w:rFonts w:hint="eastAsia" w:ascii="宋体" w:hAnsi="宋体" w:eastAsia="宋体" w:cs="Calibri"/>
                <w:color w:val="auto"/>
                <w:sz w:val="21"/>
                <w:szCs w:val="21"/>
                <w:highlight w:val="none"/>
                <w:lang w:eastAsia="zh-CN"/>
              </w:rPr>
              <w:t>（</w:t>
            </w:r>
            <w:r>
              <w:rPr>
                <w:rFonts w:hint="eastAsia" w:ascii="宋体" w:hAnsi="宋体" w:eastAsia="宋体" w:cs="Calibri"/>
                <w:color w:val="auto"/>
                <w:sz w:val="21"/>
                <w:szCs w:val="21"/>
                <w:highlight w:val="none"/>
              </w:rPr>
              <w:t>元</w:t>
            </w:r>
            <w:r>
              <w:rPr>
                <w:rFonts w:hint="eastAsia" w:ascii="宋体" w:hAnsi="宋体" w:eastAsia="宋体" w:cs="Calibri"/>
                <w:color w:val="auto"/>
                <w:sz w:val="21"/>
                <w:szCs w:val="21"/>
                <w:highlight w:val="none"/>
                <w:lang w:eastAsia="zh-CN"/>
              </w:rPr>
              <w:t>）</w:t>
            </w:r>
          </w:p>
        </w:tc>
        <w:tc>
          <w:tcPr>
            <w:tcW w:w="1035" w:type="dxa"/>
            <w:tcBorders>
              <w:top w:val="single" w:color="auto" w:sz="4" w:space="0"/>
              <w:left w:val="nil"/>
              <w:bottom w:val="single" w:color="auto" w:sz="4" w:space="0"/>
              <w:right w:val="single" w:color="auto" w:sz="4" w:space="0"/>
            </w:tcBorders>
            <w:noWrap w:val="0"/>
            <w:vAlign w:val="center"/>
          </w:tcPr>
          <w:p w14:paraId="31E6B52C">
            <w:pPr>
              <w:keepNext w:val="0"/>
              <w:keepLines w:val="0"/>
              <w:suppressLineNumbers w:val="0"/>
              <w:spacing w:before="0" w:beforeAutospacing="0" w:after="0" w:afterAutospacing="0"/>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占比</w:t>
            </w:r>
          </w:p>
          <w:p w14:paraId="61C8F358">
            <w:pPr>
              <w:keepNext w:val="0"/>
              <w:keepLines w:val="0"/>
              <w:suppressLineNumbers w:val="0"/>
              <w:spacing w:before="0" w:beforeAutospacing="0" w:after="0" w:afterAutospacing="0"/>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w:t>
            </w:r>
          </w:p>
        </w:tc>
        <w:tc>
          <w:tcPr>
            <w:tcW w:w="1265" w:type="dxa"/>
            <w:tcBorders>
              <w:top w:val="single" w:color="auto" w:sz="4" w:space="0"/>
              <w:left w:val="nil"/>
              <w:bottom w:val="single" w:color="auto" w:sz="4" w:space="0"/>
              <w:right w:val="single" w:color="auto" w:sz="4" w:space="0"/>
            </w:tcBorders>
            <w:noWrap w:val="0"/>
            <w:vAlign w:val="center"/>
          </w:tcPr>
          <w:p w14:paraId="0F71B8A0">
            <w:pPr>
              <w:keepNext w:val="0"/>
              <w:keepLines w:val="0"/>
              <w:suppressLineNumbers w:val="0"/>
              <w:spacing w:before="0" w:beforeAutospacing="0" w:after="0" w:afterAutospacing="0"/>
              <w:ind w:left="0" w:right="0"/>
              <w:jc w:val="center"/>
              <w:rPr>
                <w:rFonts w:hint="default" w:ascii="宋体" w:hAnsi="宋体" w:eastAsia="宋体" w:cs="Calibri"/>
                <w:color w:val="auto"/>
                <w:sz w:val="21"/>
                <w:szCs w:val="21"/>
                <w:highlight w:val="none"/>
              </w:rPr>
            </w:pPr>
            <w:r>
              <w:rPr>
                <w:rFonts w:hint="eastAsia" w:ascii="宋体" w:hAnsi="宋体" w:eastAsia="宋体" w:cs="Calibri"/>
                <w:color w:val="auto"/>
                <w:sz w:val="21"/>
                <w:szCs w:val="21"/>
                <w:highlight w:val="none"/>
              </w:rPr>
              <w:t>金额</w:t>
            </w:r>
          </w:p>
          <w:p w14:paraId="500AD8E0">
            <w:pPr>
              <w:keepNext w:val="0"/>
              <w:keepLines w:val="0"/>
              <w:suppressLineNumbers w:val="0"/>
              <w:spacing w:before="0" w:beforeAutospacing="0" w:after="0" w:afterAutospacing="0"/>
              <w:ind w:left="0" w:right="0"/>
              <w:jc w:val="center"/>
              <w:rPr>
                <w:rFonts w:hint="eastAsia" w:ascii="宋体" w:hAnsi="宋体" w:eastAsia="宋体" w:cs="Times New Roman"/>
                <w:color w:val="auto"/>
                <w:sz w:val="21"/>
                <w:szCs w:val="21"/>
                <w:highlight w:val="none"/>
                <w:lang w:eastAsia="zh-CN"/>
              </w:rPr>
            </w:pPr>
            <w:r>
              <w:rPr>
                <w:rFonts w:hint="eastAsia" w:ascii="宋体" w:hAnsi="宋体" w:eastAsia="宋体" w:cs="Calibri"/>
                <w:color w:val="auto"/>
                <w:sz w:val="21"/>
                <w:szCs w:val="21"/>
                <w:highlight w:val="none"/>
                <w:lang w:eastAsia="zh-CN"/>
              </w:rPr>
              <w:t>（</w:t>
            </w:r>
            <w:r>
              <w:rPr>
                <w:rFonts w:hint="eastAsia" w:ascii="宋体" w:hAnsi="宋体" w:eastAsia="宋体" w:cs="Calibri"/>
                <w:color w:val="auto"/>
                <w:sz w:val="21"/>
                <w:szCs w:val="21"/>
                <w:highlight w:val="none"/>
              </w:rPr>
              <w:t>元</w:t>
            </w:r>
            <w:r>
              <w:rPr>
                <w:rFonts w:hint="eastAsia" w:ascii="宋体" w:hAnsi="宋体" w:eastAsia="宋体" w:cs="Calibri"/>
                <w:color w:val="auto"/>
                <w:sz w:val="21"/>
                <w:szCs w:val="21"/>
                <w:highlight w:val="none"/>
                <w:lang w:eastAsia="zh-CN"/>
              </w:rPr>
              <w:t>）</w:t>
            </w:r>
          </w:p>
        </w:tc>
      </w:tr>
      <w:tr w14:paraId="4A5C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CBBD51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49F544C1">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333F962A">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13D24937">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60AE42A9">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486FA47B">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457AECD4">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2455FE0">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00D685D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686076B8">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50BE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6EEF7EDF">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5CEA8A4">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66B2F24C">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4D8DAB79">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13D72180">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435577C1">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6982EE4">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2667E74F">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35D64344">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54B15FBC">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43EE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652A7D7F">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21F60E94">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6B0E2032">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6F3CE1AD">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9C5EA1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32B67A81">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5AF7B926">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E7CF4BB">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187A22D3">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2E808109">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10CC3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53A38EB2">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318C408F">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6C8E2100">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4E3AF817">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616793D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6605F0B3">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46CC0D71">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57A9196A">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0EA39C71">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7942879C">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4B575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27F26CCB">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7EAF07D4">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2FC6963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5DC4C8B7">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60C84296">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1EF1553C">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607CE463">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698BC8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2723971C">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66B2A0D2">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0C459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420493C7">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6988F384">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79C27982">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413ACF4F">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3B07345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3C144466">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1828F0CD">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3093B157">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0769EC47">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624ADC6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41E22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20998C9D">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7692C5C0">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959A13C">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374F71D8">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67B4A800">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77C930E8">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0CFB813F">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34854579">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4BF1134E">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5715E08F">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1268C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4D3F5F0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7F2B86EF">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0E28F5A">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04A4B16C">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221C296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0BF49ACC">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0F929B69">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2C204024">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0ECC0D27">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1428002D">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704D0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65472D8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2B9A7F0A">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D944EDD">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6466003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19A718FF">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2B541432">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4888B297">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519C8FE7">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0C4F2B0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2EB2A419">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40E9B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6E4A68AB">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454A2120">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32E88A72">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EFDA183">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FAFBDC8">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381A64A2">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900110B">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2ACC299">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3FE26E0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0E0DC7C6">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2E8C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4DC626D8">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5D3010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211BBCB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50CBA2B9">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564E18BD">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31535830">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419A31AD">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75898BC9">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3BD4916B">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55876A64">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2A8F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A3C3879">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23AD27D2">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688CEAA">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34DAAB1D">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5C6FEE1">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72F6EF14">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5326B79F">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4D31FCA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70477442">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28B72044">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1B8B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6AE66AFB">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13B563D2">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E7E2686">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3FEC5040">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5B679C31">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49354EE2">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57E8870C">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F504846">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47460503">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63BC129C">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707A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6799FB81">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136EE1AF">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53EB84DD">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09814EE1">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5660B8B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18A3A2A8">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47C06322">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77110F8A">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726331A0">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4DED29F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65A5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4F52980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131A120">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2C145FC8">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70A4B88F">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55BBE0B1">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4A4B9257">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4975C8A6">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74A126A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34AFA323">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75CAF277">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42EAF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4CE0CF87">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674FF867">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0D92078D">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570A910D">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24903B4F">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74C47503">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03F0EE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527A94BD">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2235CA02">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5F5649D3">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6539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620D5083">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D1221EC">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6DD91307">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3A99B022">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2A72B831">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588FF550">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544D808B">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57F045FF">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4EBFB794">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1C3F9E8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64D3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4C5F1802">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7D008E30">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6DF01311">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30A03061">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65B73D88">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255071AF">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FBC4735">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70F2180F">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46147A79">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4D529188">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r w14:paraId="1A08B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15F1363F">
            <w:pPr>
              <w:keepNext w:val="0"/>
              <w:keepLines w:val="0"/>
              <w:suppressLineNumbers w:val="0"/>
              <w:spacing w:before="0" w:beforeAutospacing="0" w:after="120" w:afterAutospacing="0"/>
              <w:ind w:left="0" w:right="0"/>
              <w:jc w:val="center"/>
              <w:rPr>
                <w:rFonts w:hint="default"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w:t>
            </w:r>
          </w:p>
        </w:tc>
        <w:tc>
          <w:tcPr>
            <w:tcW w:w="829" w:type="dxa"/>
            <w:tcBorders>
              <w:top w:val="single" w:color="auto" w:sz="4" w:space="0"/>
              <w:left w:val="nil"/>
              <w:bottom w:val="single" w:color="auto" w:sz="4" w:space="0"/>
              <w:right w:val="single" w:color="auto" w:sz="4" w:space="0"/>
            </w:tcBorders>
            <w:noWrap w:val="0"/>
            <w:vAlign w:val="top"/>
          </w:tcPr>
          <w:p w14:paraId="2BC19E74">
            <w:pPr>
              <w:keepNext w:val="0"/>
              <w:keepLines w:val="0"/>
              <w:suppressLineNumbers w:val="0"/>
              <w:spacing w:before="0" w:beforeAutospacing="0" w:after="120" w:afterAutospacing="0"/>
              <w:ind w:left="0" w:right="0"/>
              <w:jc w:val="center"/>
              <w:rPr>
                <w:rFonts w:hint="default"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w:t>
            </w:r>
          </w:p>
        </w:tc>
        <w:tc>
          <w:tcPr>
            <w:tcW w:w="1380" w:type="dxa"/>
            <w:tcBorders>
              <w:top w:val="single" w:color="auto" w:sz="4" w:space="0"/>
              <w:left w:val="nil"/>
              <w:bottom w:val="single" w:color="auto" w:sz="4" w:space="0"/>
              <w:right w:val="single" w:color="auto" w:sz="4" w:space="0"/>
            </w:tcBorders>
            <w:noWrap w:val="0"/>
            <w:vAlign w:val="center"/>
          </w:tcPr>
          <w:p w14:paraId="760E5534">
            <w:pPr>
              <w:keepNext w:val="0"/>
              <w:keepLines w:val="0"/>
              <w:suppressLineNumbers w:val="0"/>
              <w:spacing w:before="0" w:beforeAutospacing="0" w:after="120" w:afterAutospacing="0"/>
              <w:ind w:left="0" w:right="0"/>
              <w:jc w:val="center"/>
              <w:rPr>
                <w:rFonts w:hint="default"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合计</w:t>
            </w:r>
          </w:p>
        </w:tc>
        <w:tc>
          <w:tcPr>
            <w:tcW w:w="785" w:type="dxa"/>
            <w:tcBorders>
              <w:top w:val="single" w:color="auto" w:sz="4" w:space="0"/>
              <w:left w:val="nil"/>
              <w:bottom w:val="single" w:color="auto" w:sz="4" w:space="0"/>
              <w:right w:val="single" w:color="auto" w:sz="4" w:space="0"/>
            </w:tcBorders>
            <w:noWrap w:val="0"/>
            <w:vAlign w:val="top"/>
          </w:tcPr>
          <w:p w14:paraId="65971677">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c>
          <w:tcPr>
            <w:tcW w:w="998" w:type="dxa"/>
            <w:tcBorders>
              <w:top w:val="single" w:color="auto" w:sz="4" w:space="0"/>
              <w:left w:val="nil"/>
              <w:bottom w:val="single" w:color="auto" w:sz="4" w:space="0"/>
              <w:right w:val="single" w:color="auto" w:sz="4" w:space="0"/>
            </w:tcBorders>
            <w:noWrap w:val="0"/>
            <w:vAlign w:val="center"/>
          </w:tcPr>
          <w:p w14:paraId="3C577FAA">
            <w:pPr>
              <w:keepNext w:val="0"/>
              <w:keepLines w:val="0"/>
              <w:suppressLineNumbers w:val="0"/>
              <w:spacing w:before="0" w:beforeAutospacing="0" w:after="120" w:afterAutospacing="0"/>
              <w:ind w:left="0" w:right="0"/>
              <w:jc w:val="center"/>
              <w:rPr>
                <w:rFonts w:hint="default" w:ascii="宋体" w:hAnsi="宋体" w:eastAsia="宋体" w:cs="Times New Roman"/>
                <w:color w:val="auto"/>
                <w:sz w:val="18"/>
                <w:szCs w:val="18"/>
                <w:highlight w:val="none"/>
                <w:lang w:val="en-US" w:eastAsia="zh-CN" w:bidi="ar-SA"/>
              </w:rPr>
            </w:pPr>
            <w:r>
              <w:rPr>
                <w:rFonts w:hint="eastAsia" w:ascii="宋体" w:hAnsi="宋体" w:eastAsia="宋体" w:cs="Times New Roman"/>
                <w:color w:val="auto"/>
                <w:sz w:val="18"/>
                <w:szCs w:val="18"/>
                <w:highlight w:val="none"/>
              </w:rPr>
              <w:t>—</w:t>
            </w:r>
          </w:p>
        </w:tc>
        <w:tc>
          <w:tcPr>
            <w:tcW w:w="1208" w:type="dxa"/>
            <w:tcBorders>
              <w:top w:val="single" w:color="auto" w:sz="4" w:space="0"/>
              <w:left w:val="nil"/>
              <w:bottom w:val="single" w:color="auto" w:sz="4" w:space="0"/>
              <w:right w:val="single" w:color="auto" w:sz="4" w:space="0"/>
            </w:tcBorders>
            <w:noWrap w:val="0"/>
            <w:vAlign w:val="center"/>
          </w:tcPr>
          <w:p w14:paraId="24E7FF6A">
            <w:pPr>
              <w:keepNext w:val="0"/>
              <w:keepLines w:val="0"/>
              <w:suppressLineNumbers w:val="0"/>
              <w:spacing w:before="0" w:beforeAutospacing="0" w:after="120" w:afterAutospacing="0"/>
              <w:ind w:left="0" w:right="0"/>
              <w:jc w:val="center"/>
              <w:rPr>
                <w:rFonts w:hint="default" w:ascii="宋体" w:hAnsi="宋体" w:eastAsia="宋体" w:cs="Times New Roman"/>
                <w:color w:val="auto"/>
                <w:sz w:val="18"/>
                <w:szCs w:val="18"/>
                <w:highlight w:val="none"/>
                <w:lang w:val="en-US" w:eastAsia="zh-CN" w:bidi="ar-SA"/>
              </w:rPr>
            </w:pPr>
          </w:p>
        </w:tc>
        <w:tc>
          <w:tcPr>
            <w:tcW w:w="732" w:type="dxa"/>
            <w:tcBorders>
              <w:top w:val="single" w:color="auto" w:sz="4" w:space="0"/>
              <w:left w:val="nil"/>
              <w:bottom w:val="single" w:color="auto" w:sz="4" w:space="0"/>
              <w:right w:val="single" w:color="auto" w:sz="4" w:space="0"/>
            </w:tcBorders>
            <w:noWrap w:val="0"/>
            <w:vAlign w:val="center"/>
          </w:tcPr>
          <w:p w14:paraId="6865449E">
            <w:pPr>
              <w:keepNext w:val="0"/>
              <w:keepLines w:val="0"/>
              <w:suppressLineNumbers w:val="0"/>
              <w:spacing w:before="0" w:beforeAutospacing="0" w:after="120" w:afterAutospacing="0"/>
              <w:ind w:left="0" w:right="0"/>
              <w:jc w:val="center"/>
              <w:rPr>
                <w:rFonts w:hint="default" w:ascii="宋体" w:hAnsi="宋体" w:eastAsia="宋体" w:cs="Times New Roman"/>
                <w:color w:val="auto"/>
                <w:sz w:val="18"/>
                <w:szCs w:val="18"/>
                <w:highlight w:val="none"/>
                <w:lang w:val="en-US" w:eastAsia="zh-CN" w:bidi="ar-SA"/>
              </w:rPr>
            </w:pPr>
            <w:r>
              <w:rPr>
                <w:rFonts w:hint="eastAsia" w:ascii="宋体" w:hAnsi="宋体" w:eastAsia="宋体" w:cs="Times New Roman"/>
                <w:color w:val="auto"/>
                <w:sz w:val="18"/>
                <w:szCs w:val="18"/>
                <w:highlight w:val="none"/>
              </w:rPr>
              <w:t>—</w:t>
            </w:r>
          </w:p>
        </w:tc>
        <w:tc>
          <w:tcPr>
            <w:tcW w:w="909" w:type="dxa"/>
            <w:tcBorders>
              <w:top w:val="single" w:color="auto" w:sz="4" w:space="0"/>
              <w:left w:val="nil"/>
              <w:bottom w:val="single" w:color="auto" w:sz="4" w:space="0"/>
              <w:right w:val="single" w:color="auto" w:sz="4" w:space="0"/>
            </w:tcBorders>
            <w:noWrap w:val="0"/>
            <w:vAlign w:val="center"/>
          </w:tcPr>
          <w:p w14:paraId="005AE442">
            <w:pPr>
              <w:keepNext w:val="0"/>
              <w:keepLines w:val="0"/>
              <w:suppressLineNumbers w:val="0"/>
              <w:spacing w:before="0" w:beforeAutospacing="0" w:after="120" w:afterAutospacing="0"/>
              <w:ind w:left="0" w:right="0"/>
              <w:jc w:val="center"/>
              <w:rPr>
                <w:rFonts w:hint="default" w:ascii="宋体" w:hAnsi="宋体" w:eastAsia="宋体" w:cs="Times New Roman"/>
                <w:color w:val="auto"/>
                <w:sz w:val="18"/>
                <w:szCs w:val="18"/>
                <w:highlight w:val="none"/>
                <w:lang w:val="en-US" w:eastAsia="zh-CN" w:bidi="ar-SA"/>
              </w:rPr>
            </w:pPr>
          </w:p>
        </w:tc>
        <w:tc>
          <w:tcPr>
            <w:tcW w:w="1035" w:type="dxa"/>
            <w:tcBorders>
              <w:top w:val="single" w:color="auto" w:sz="4" w:space="0"/>
              <w:left w:val="nil"/>
              <w:bottom w:val="single" w:color="auto" w:sz="4" w:space="0"/>
              <w:right w:val="single" w:color="auto" w:sz="4" w:space="0"/>
            </w:tcBorders>
            <w:noWrap w:val="0"/>
            <w:vAlign w:val="center"/>
          </w:tcPr>
          <w:p w14:paraId="3F5E4627">
            <w:pPr>
              <w:keepNext w:val="0"/>
              <w:keepLines w:val="0"/>
              <w:suppressLineNumbers w:val="0"/>
              <w:spacing w:before="0" w:beforeAutospacing="0" w:after="120" w:afterAutospacing="0"/>
              <w:ind w:left="0" w:right="0"/>
              <w:jc w:val="center"/>
              <w:rPr>
                <w:rFonts w:hint="default" w:ascii="宋体" w:hAnsi="宋体" w:eastAsia="宋体" w:cs="Times New Roman"/>
                <w:color w:val="auto"/>
                <w:sz w:val="18"/>
                <w:szCs w:val="18"/>
                <w:highlight w:val="none"/>
                <w:lang w:val="en-US" w:eastAsia="zh-CN" w:bidi="ar-SA"/>
              </w:rPr>
            </w:pPr>
            <w:r>
              <w:rPr>
                <w:rFonts w:hint="eastAsia" w:ascii="宋体" w:hAnsi="宋体" w:eastAsia="宋体" w:cs="Times New Roman"/>
                <w:color w:val="auto"/>
                <w:sz w:val="18"/>
                <w:szCs w:val="18"/>
                <w:highlight w:val="none"/>
              </w:rPr>
              <w:t>—</w:t>
            </w:r>
          </w:p>
        </w:tc>
        <w:tc>
          <w:tcPr>
            <w:tcW w:w="1265" w:type="dxa"/>
            <w:tcBorders>
              <w:top w:val="single" w:color="auto" w:sz="4" w:space="0"/>
              <w:left w:val="nil"/>
              <w:bottom w:val="single" w:color="auto" w:sz="4" w:space="0"/>
              <w:right w:val="single" w:color="auto" w:sz="4" w:space="0"/>
            </w:tcBorders>
            <w:noWrap w:val="0"/>
            <w:vAlign w:val="top"/>
          </w:tcPr>
          <w:p w14:paraId="67AECE86">
            <w:pPr>
              <w:keepNext w:val="0"/>
              <w:keepLines w:val="0"/>
              <w:suppressLineNumbers w:val="0"/>
              <w:spacing w:before="0" w:beforeAutospacing="0" w:after="120" w:afterAutospacing="0"/>
              <w:ind w:left="0" w:right="0"/>
              <w:rPr>
                <w:rFonts w:hint="default" w:ascii="宋体" w:hAnsi="宋体" w:eastAsia="宋体" w:cs="Times New Roman"/>
                <w:color w:val="auto"/>
                <w:sz w:val="18"/>
                <w:szCs w:val="18"/>
                <w:highlight w:val="none"/>
              </w:rPr>
            </w:pPr>
          </w:p>
        </w:tc>
      </w:tr>
    </w:tbl>
    <w:p w14:paraId="0729E9C9">
      <w:pPr>
        <w:pStyle w:val="47"/>
        <w:rPr>
          <w:rFonts w:hint="eastAsia"/>
          <w:color w:val="auto"/>
          <w:highlight w:val="none"/>
        </w:rPr>
        <w:sectPr>
          <w:pgSz w:w="11907" w:h="16840"/>
          <w:pgMar w:top="1440" w:right="1440" w:bottom="1440" w:left="1797" w:header="851" w:footer="851" w:gutter="0"/>
          <w:cols w:space="720" w:num="1"/>
        </w:sectPr>
      </w:pPr>
    </w:p>
    <w:p w14:paraId="23D1A092">
      <w:pPr>
        <w:spacing w:before="120" w:after="120" w:line="440" w:lineRule="exact"/>
        <w:jc w:val="left"/>
        <w:rPr>
          <w:rFonts w:hint="default" w:ascii="仿宋_GB2312" w:hAnsi="Times New Roman" w:eastAsia="仿宋_GB2312" w:cs="仿宋_GB2312"/>
          <w:color w:val="auto"/>
          <w:sz w:val="30"/>
          <w:szCs w:val="30"/>
          <w:highlight w:val="none"/>
          <w:lang w:val="en-US" w:eastAsia="zh-CN"/>
        </w:rPr>
      </w:pPr>
      <w:r>
        <w:rPr>
          <w:rFonts w:hint="eastAsia" w:ascii="仿宋_GB2312" w:hAnsi="Times New Roman" w:eastAsia="仿宋_GB2312" w:cs="仿宋_GB2312"/>
          <w:color w:val="auto"/>
          <w:sz w:val="30"/>
          <w:szCs w:val="30"/>
          <w:highlight w:val="none"/>
          <w:lang w:eastAsia="zh-CN"/>
        </w:rPr>
        <w:t>附件</w:t>
      </w:r>
      <w:r>
        <w:rPr>
          <w:rFonts w:hint="eastAsia" w:ascii="仿宋_GB2312" w:hAnsi="Times New Roman" w:eastAsia="仿宋_GB2312" w:cs="仿宋_GB2312"/>
          <w:color w:val="auto"/>
          <w:sz w:val="30"/>
          <w:szCs w:val="30"/>
          <w:highlight w:val="none"/>
          <w:lang w:val="en-US" w:eastAsia="zh-CN"/>
        </w:rPr>
        <w:t>16：零星签证费用确认单</w:t>
      </w:r>
    </w:p>
    <w:p w14:paraId="032B5914">
      <w:pPr>
        <w:jc w:val="center"/>
        <w:outlineLvl w:val="1"/>
        <w:rPr>
          <w:rFonts w:ascii="Times New Roman" w:hAnsi="Times New Roman" w:eastAsia="宋体" w:cs="Times New Roman"/>
          <w:b/>
          <w:color w:val="auto"/>
          <w:sz w:val="36"/>
          <w:szCs w:val="36"/>
          <w:highlight w:val="none"/>
        </w:rPr>
      </w:pPr>
      <w:r>
        <w:rPr>
          <w:rFonts w:hint="eastAsia" w:ascii="宋体" w:hAnsi="宋体" w:eastAsia="宋体" w:cs="Times New Roman"/>
          <w:b/>
          <w:color w:val="auto"/>
          <w:sz w:val="36"/>
          <w:szCs w:val="36"/>
          <w:highlight w:val="none"/>
          <w:lang w:eastAsia="zh-CN"/>
        </w:rPr>
        <w:t>零星签证费用确认单</w:t>
      </w:r>
    </w:p>
    <w:p w14:paraId="01598A6D">
      <w:pPr>
        <w:spacing w:line="360" w:lineRule="auto"/>
        <w:ind w:firstLine="420"/>
        <w:rPr>
          <w:rFonts w:hint="eastAsia" w:ascii="宋体" w:hAnsi="宋体" w:eastAsia="宋体" w:cs="Times New Roman"/>
          <w:color w:val="auto"/>
          <w:sz w:val="21"/>
          <w:szCs w:val="21"/>
          <w:highlight w:val="none"/>
        </w:rPr>
      </w:pPr>
    </w:p>
    <w:p w14:paraId="34CEE46C">
      <w:pPr>
        <w:spacing w:line="360" w:lineRule="auto"/>
        <w:ind w:firstLine="420"/>
        <w:rPr>
          <w:rFonts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编号：</w:t>
      </w:r>
    </w:p>
    <w:tbl>
      <w:tblPr>
        <w:tblStyle w:val="4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11C47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9"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08C34B79">
            <w:pPr>
              <w:keepNext w:val="0"/>
              <w:keepLines w:val="0"/>
              <w:suppressLineNumbers w:val="0"/>
              <w:spacing w:before="0" w:beforeAutospacing="0" w:after="0" w:afterAutospacing="0" w:line="400" w:lineRule="exact"/>
              <w:ind w:left="0" w:right="0"/>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（发包人全称） </w:t>
            </w:r>
          </w:p>
          <w:p w14:paraId="00A006B7">
            <w:pPr>
              <w:keepNext w:val="0"/>
              <w:keepLines w:val="0"/>
              <w:suppressLineNumbers w:val="0"/>
              <w:spacing w:before="0" w:beforeAutospacing="0" w:after="0" w:afterAutospacing="0" w:line="340" w:lineRule="exact"/>
              <w:ind w:left="1333" w:right="0" w:hanging="7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lang w:val="en-US" w:eastAsia="zh-CN"/>
              </w:rPr>
              <w:t xml:space="preserve">   年   月   日</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由于</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原因</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我方</w:t>
            </w:r>
            <w:r>
              <w:rPr>
                <w:rFonts w:hint="eastAsia" w:ascii="宋体" w:hAnsi="宋体" w:eastAsia="宋体" w:cs="Times New Roman"/>
                <w:color w:val="auto"/>
                <w:szCs w:val="21"/>
                <w:highlight w:val="none"/>
                <w:lang w:eastAsia="zh-CN"/>
              </w:rPr>
              <w:t>发生零星签证不含税</w:t>
            </w:r>
            <w:r>
              <w:rPr>
                <w:rFonts w:hint="eastAsia" w:ascii="宋体" w:hAnsi="宋体" w:eastAsia="宋体" w:cs="Times New Roman"/>
                <w:color w:val="auto"/>
                <w:szCs w:val="21"/>
                <w:highlight w:val="none"/>
              </w:rPr>
              <w:t>金额（大写）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请予核准。</w:t>
            </w:r>
          </w:p>
          <w:p w14:paraId="521B7EC6">
            <w:pPr>
              <w:keepNext w:val="0"/>
              <w:keepLines w:val="0"/>
              <w:suppressLineNumbers w:val="0"/>
              <w:spacing w:before="0" w:beforeAutospacing="0" w:after="0" w:afterAutospacing="0" w:line="34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附：</w:t>
            </w:r>
            <w:r>
              <w:rPr>
                <w:rFonts w:hint="eastAsia" w:ascii="Times New Roman" w:hAnsi="Times New Roman" w:eastAsia="宋体" w:cs="Times New Roman"/>
                <w:color w:val="auto"/>
                <w:szCs w:val="21"/>
                <w:highlight w:val="none"/>
              </w:rPr>
              <w:t>1.</w:t>
            </w:r>
            <w:r>
              <w:rPr>
                <w:rFonts w:hint="eastAsia" w:ascii="宋体" w:hAnsi="宋体" w:eastAsia="宋体" w:cs="Times New Roman"/>
                <w:color w:val="auto"/>
                <w:szCs w:val="21"/>
                <w:highlight w:val="none"/>
                <w:lang w:eastAsia="zh-CN"/>
              </w:rPr>
              <w:t>零星签证</w:t>
            </w:r>
            <w:r>
              <w:rPr>
                <w:rFonts w:hint="eastAsia" w:ascii="宋体" w:hAnsi="宋体" w:eastAsia="宋体" w:cs="Times New Roman"/>
                <w:color w:val="auto"/>
                <w:szCs w:val="21"/>
                <w:highlight w:val="none"/>
              </w:rPr>
              <w:t>的详细</w:t>
            </w:r>
            <w:r>
              <w:rPr>
                <w:rFonts w:hint="eastAsia" w:ascii="宋体" w:hAnsi="宋体" w:eastAsia="宋体" w:cs="Times New Roman"/>
                <w:color w:val="auto"/>
                <w:szCs w:val="21"/>
                <w:highlight w:val="none"/>
                <w:lang w:eastAsia="zh-CN"/>
              </w:rPr>
              <w:t>计算清单</w:t>
            </w:r>
            <w:r>
              <w:rPr>
                <w:rFonts w:hint="eastAsia" w:ascii="宋体" w:hAnsi="宋体" w:eastAsia="宋体" w:cs="Times New Roman"/>
                <w:color w:val="auto"/>
                <w:szCs w:val="21"/>
                <w:highlight w:val="none"/>
              </w:rPr>
              <w:t>：</w:t>
            </w:r>
          </w:p>
          <w:p w14:paraId="6650AF17">
            <w:pPr>
              <w:keepNext w:val="0"/>
              <w:keepLines w:val="0"/>
              <w:suppressLineNumbers w:val="0"/>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2</w:t>
            </w:r>
            <w:r>
              <w:rPr>
                <w:rFonts w:hint="eastAsia" w:ascii="Times New Roman" w:hAnsi="Times New Roman" w:eastAsia="宋体" w:cs="Times New Roman"/>
                <w:color w:val="auto"/>
                <w:szCs w:val="21"/>
                <w:highlight w:val="none"/>
              </w:rPr>
              <w:t>.</w:t>
            </w:r>
            <w:r>
              <w:rPr>
                <w:rFonts w:hint="eastAsia" w:ascii="宋体" w:hAnsi="宋体" w:eastAsia="宋体" w:cs="Times New Roman"/>
                <w:color w:val="auto"/>
                <w:szCs w:val="21"/>
                <w:highlight w:val="none"/>
              </w:rPr>
              <w:t>证明材料：</w:t>
            </w:r>
          </w:p>
          <w:p w14:paraId="4DB4FC3E">
            <w:pPr>
              <w:keepNext w:val="0"/>
              <w:keepLines w:val="0"/>
              <w:suppressLineNumbers w:val="0"/>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p>
          <w:p w14:paraId="76781135">
            <w:pPr>
              <w:keepNext w:val="0"/>
              <w:keepLines w:val="0"/>
              <w:suppressLineNumbers w:val="0"/>
              <w:spacing w:before="0" w:beforeAutospacing="0" w:after="0" w:afterAutospacing="0" w:line="34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承包人（章）</w:t>
            </w:r>
            <w:r>
              <w:rPr>
                <w:rFonts w:hint="default" w:ascii="Times New Roman" w:hAnsi="Times New Roman" w:eastAsia="宋体" w:cs="Times New Roman"/>
                <w:color w:val="auto"/>
                <w:szCs w:val="21"/>
                <w:highlight w:val="none"/>
              </w:rPr>
              <w:t xml:space="preserve">            </w:t>
            </w:r>
          </w:p>
          <w:p w14:paraId="4742DBE6">
            <w:pPr>
              <w:keepNext w:val="0"/>
              <w:keepLines w:val="0"/>
              <w:suppressLineNumbers w:val="0"/>
              <w:spacing w:before="0" w:beforeAutospacing="0" w:after="0" w:afterAutospacing="0" w:line="340" w:lineRule="exact"/>
              <w:ind w:left="0" w:right="0"/>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造价人员</w:t>
            </w:r>
            <w:r>
              <w:rPr>
                <w:rFonts w:hint="eastAsia" w:ascii="Times New Roman" w:hAnsi="Times New Roman" w:eastAsia="宋体" w:cs="Times New Roman"/>
                <w:color w:val="auto"/>
                <w:szCs w:val="21"/>
                <w:highlight w:val="none"/>
              </w:rPr>
              <w:t xml:space="preserve">____________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p w14:paraId="26CFEA60">
            <w:pPr>
              <w:keepNext w:val="0"/>
              <w:keepLines w:val="0"/>
              <w:suppressLineNumbers w:val="0"/>
              <w:spacing w:before="0" w:beforeAutospacing="0" w:after="0" w:afterAutospacing="0" w:line="340" w:lineRule="exact"/>
              <w:ind w:left="0" w:right="0"/>
              <w:rPr>
                <w:rFonts w:hint="default" w:ascii="Times New Roman" w:hAnsi="Times New Roman" w:eastAsia="宋体" w:cs="Times New Roman"/>
                <w:color w:val="auto"/>
                <w:szCs w:val="21"/>
                <w:highlight w:val="none"/>
                <w:u w:val="single"/>
              </w:rPr>
            </w:pPr>
          </w:p>
        </w:tc>
      </w:tr>
      <w:tr w14:paraId="51F3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36601A36">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B841DB5">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根据施工合同条款第</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条的约定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你方提出的</w:t>
            </w:r>
            <w:r>
              <w:rPr>
                <w:rFonts w:hint="eastAsia" w:ascii="宋体" w:hAnsi="宋体" w:eastAsia="宋体" w:cs="Times New Roman"/>
                <w:color w:val="auto"/>
                <w:szCs w:val="21"/>
                <w:highlight w:val="none"/>
                <w:lang w:eastAsia="zh-CN"/>
              </w:rPr>
              <w:t>零星签证</w:t>
            </w:r>
            <w:r>
              <w:rPr>
                <w:rFonts w:hint="eastAsia" w:ascii="宋体" w:hAnsi="宋体" w:eastAsia="宋体" w:cs="Times New Roman"/>
                <w:color w:val="auto"/>
                <w:szCs w:val="21"/>
                <w:highlight w:val="none"/>
              </w:rPr>
              <w:t>申请经复核：</w:t>
            </w:r>
          </w:p>
          <w:p w14:paraId="57E0B71E">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□不同意此项</w:t>
            </w:r>
            <w:r>
              <w:rPr>
                <w:rFonts w:hint="eastAsia" w:ascii="宋体" w:hAnsi="宋体" w:eastAsia="宋体" w:cs="Times New Roman"/>
                <w:color w:val="auto"/>
                <w:szCs w:val="21"/>
                <w:highlight w:val="none"/>
                <w:lang w:eastAsia="zh-CN"/>
              </w:rPr>
              <w:t>签证，</w:t>
            </w:r>
            <w:r>
              <w:rPr>
                <w:rFonts w:hint="eastAsia" w:ascii="宋体" w:hAnsi="宋体" w:eastAsia="宋体" w:cs="Times New Roman"/>
                <w:color w:val="auto"/>
                <w:szCs w:val="21"/>
                <w:highlight w:val="none"/>
              </w:rPr>
              <w:t>具体意见见附件。</w:t>
            </w:r>
          </w:p>
          <w:p w14:paraId="507F188B">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□同意此项</w:t>
            </w:r>
            <w:r>
              <w:rPr>
                <w:rFonts w:hint="eastAsia" w:ascii="宋体" w:hAnsi="宋体" w:eastAsia="宋体" w:cs="Times New Roman"/>
                <w:color w:val="auto"/>
                <w:szCs w:val="21"/>
                <w:highlight w:val="none"/>
                <w:lang w:eastAsia="zh-CN"/>
              </w:rPr>
              <w:t>签证，签证</w:t>
            </w:r>
            <w:r>
              <w:rPr>
                <w:rFonts w:hint="eastAsia" w:ascii="宋体" w:hAnsi="宋体" w:eastAsia="宋体" w:cs="Times New Roman"/>
                <w:color w:val="auto"/>
                <w:szCs w:val="21"/>
                <w:highlight w:val="none"/>
              </w:rPr>
              <w:t>金额的计算</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由造价工程师复核。</w:t>
            </w:r>
          </w:p>
          <w:p w14:paraId="1885F109">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p>
          <w:p w14:paraId="26D39D43">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p>
          <w:p w14:paraId="552E165B">
            <w:pPr>
              <w:keepNext w:val="0"/>
              <w:keepLines w:val="0"/>
              <w:suppressLineNumbers w:val="0"/>
              <w:spacing w:before="0" w:beforeAutospacing="0" w:after="0" w:afterAutospacing="0" w:line="360" w:lineRule="exact"/>
              <w:ind w:left="0" w:right="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监理工程师</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u w:val="single"/>
              </w:rPr>
              <w:t xml:space="preserve">           </w:t>
            </w:r>
          </w:p>
          <w:p w14:paraId="39222E90">
            <w:pPr>
              <w:keepNext w:val="0"/>
              <w:keepLines w:val="0"/>
              <w:suppressLineNumbers w:val="0"/>
              <w:spacing w:before="0" w:beforeAutospacing="0" w:after="0" w:afterAutospacing="0" w:line="360" w:lineRule="exact"/>
              <w:ind w:left="0" w:right="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6F2DB250">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7407B733">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根据施工合同条款第</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条的约定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你方提出的</w:t>
            </w:r>
            <w:r>
              <w:rPr>
                <w:rFonts w:hint="eastAsia" w:ascii="宋体" w:hAnsi="宋体" w:eastAsia="宋体" w:cs="Times New Roman"/>
                <w:color w:val="auto"/>
                <w:szCs w:val="21"/>
                <w:highlight w:val="none"/>
                <w:lang w:eastAsia="zh-CN"/>
              </w:rPr>
              <w:t>零星签证</w:t>
            </w:r>
            <w:r>
              <w:rPr>
                <w:rFonts w:hint="eastAsia" w:ascii="宋体" w:hAnsi="宋体" w:eastAsia="宋体" w:cs="Times New Roman"/>
                <w:color w:val="auto"/>
                <w:szCs w:val="21"/>
                <w:highlight w:val="none"/>
              </w:rPr>
              <w:t>申请经复核</w:t>
            </w:r>
            <w:r>
              <w:rPr>
                <w:rFonts w:hint="eastAsia" w:ascii="宋体" w:hAnsi="宋体" w:eastAsia="宋体" w:cs="Times New Roman"/>
                <w:color w:val="auto"/>
                <w:szCs w:val="21"/>
                <w:highlight w:val="none"/>
                <w:lang w:eastAsia="zh-CN"/>
              </w:rPr>
              <w:t>，签证不含税</w:t>
            </w:r>
            <w:r>
              <w:rPr>
                <w:rFonts w:hint="eastAsia" w:ascii="宋体" w:hAnsi="宋体" w:eastAsia="宋体" w:cs="Times New Roman"/>
                <w:color w:val="auto"/>
                <w:szCs w:val="21"/>
                <w:highlight w:val="none"/>
              </w:rPr>
              <w:t>金额为</w:t>
            </w:r>
          </w:p>
          <w:p w14:paraId="48B8C40D">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（大写）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p>
          <w:p w14:paraId="16532330">
            <w:pPr>
              <w:keepNext w:val="0"/>
              <w:keepLines w:val="0"/>
              <w:suppressLineNumbers w:val="0"/>
              <w:spacing w:before="0" w:beforeAutospacing="0" w:after="0" w:afterAutospacing="0" w:line="360" w:lineRule="exact"/>
              <w:ind w:left="0" w:right="0" w:firstLine="435"/>
              <w:jc w:val="right"/>
              <w:rPr>
                <w:rFonts w:hint="default" w:ascii="Times New Roman" w:hAnsi="Times New Roman" w:eastAsia="宋体" w:cs="Times New Roman"/>
                <w:color w:val="auto"/>
                <w:szCs w:val="21"/>
                <w:highlight w:val="none"/>
              </w:rPr>
            </w:pPr>
          </w:p>
          <w:p w14:paraId="5B537038">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p>
          <w:p w14:paraId="5E31AD04">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p>
          <w:p w14:paraId="151129EA">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p>
          <w:p w14:paraId="5BEF7899">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p>
          <w:p w14:paraId="61346319">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54DF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7E4368C8">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707DA655">
            <w:pPr>
              <w:keepNext w:val="0"/>
              <w:keepLines w:val="0"/>
              <w:suppressLineNumbers w:val="0"/>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□不同意此项</w:t>
            </w:r>
            <w:r>
              <w:rPr>
                <w:rFonts w:hint="eastAsia" w:ascii="宋体" w:hAnsi="宋体" w:eastAsia="宋体" w:cs="Times New Roman"/>
                <w:color w:val="auto"/>
                <w:szCs w:val="21"/>
                <w:highlight w:val="none"/>
                <w:lang w:eastAsia="zh-CN"/>
              </w:rPr>
              <w:t>签证</w:t>
            </w:r>
            <w:r>
              <w:rPr>
                <w:rFonts w:hint="eastAsia" w:ascii="宋体" w:hAnsi="宋体" w:eastAsia="宋体" w:cs="Times New Roman"/>
                <w:color w:val="auto"/>
                <w:szCs w:val="21"/>
                <w:highlight w:val="none"/>
              </w:rPr>
              <w:t>。</w:t>
            </w:r>
          </w:p>
          <w:p w14:paraId="77FE4FCE">
            <w:pPr>
              <w:keepNext w:val="0"/>
              <w:keepLines w:val="0"/>
              <w:suppressLineNumbers w:val="0"/>
              <w:spacing w:before="0" w:beforeAutospacing="0" w:after="0" w:afterAutospacing="0" w:line="340" w:lineRule="exact"/>
              <w:ind w:left="0" w:right="0" w:firstLine="42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□同意此项</w:t>
            </w:r>
            <w:r>
              <w:rPr>
                <w:rFonts w:hint="eastAsia" w:ascii="宋体" w:hAnsi="宋体" w:eastAsia="宋体" w:cs="Times New Roman"/>
                <w:color w:val="auto"/>
                <w:szCs w:val="21"/>
                <w:highlight w:val="none"/>
                <w:lang w:eastAsia="zh-CN"/>
              </w:rPr>
              <w:t>签证，</w:t>
            </w:r>
            <w:r>
              <w:rPr>
                <w:rFonts w:hint="eastAsia" w:ascii="宋体" w:hAnsi="宋体" w:eastAsia="宋体" w:cs="Times New Roman"/>
                <w:color w:val="auto"/>
                <w:szCs w:val="21"/>
                <w:highlight w:val="none"/>
              </w:rPr>
              <w:t>与本期进度款同期支付。</w:t>
            </w:r>
          </w:p>
          <w:p w14:paraId="18AA04CE">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p>
          <w:p w14:paraId="5448C256">
            <w:pPr>
              <w:keepNext w:val="0"/>
              <w:keepLines w:val="0"/>
              <w:suppressLineNumbers w:val="0"/>
              <w:spacing w:before="0" w:beforeAutospacing="0" w:after="0" w:afterAutospacing="0" w:line="340" w:lineRule="exact"/>
              <w:ind w:left="0" w:right="0" w:firstLine="0"/>
              <w:jc w:val="both"/>
              <w:rPr>
                <w:rFonts w:hint="default" w:ascii="Times New Roman" w:hAnsi="Times New Roman" w:eastAsia="宋体" w:cs="Times New Roman"/>
                <w:color w:val="auto"/>
                <w:szCs w:val="21"/>
                <w:highlight w:val="none"/>
              </w:rPr>
            </w:pPr>
          </w:p>
          <w:p w14:paraId="0A84F2E4">
            <w:pPr>
              <w:keepNext w:val="0"/>
              <w:keepLines w:val="0"/>
              <w:suppressLineNumbers w:val="0"/>
              <w:spacing w:before="0" w:beforeAutospacing="0" w:after="0" w:afterAutospacing="0" w:line="340" w:lineRule="exact"/>
              <w:ind w:left="0" w:right="0" w:firstLine="420"/>
              <w:jc w:val="center"/>
              <w:rPr>
                <w:rFonts w:hint="default" w:ascii="Times New Roman" w:hAnsi="Times New Roman" w:eastAsia="宋体" w:cs="Times New Roman"/>
                <w:color w:val="auto"/>
                <w:szCs w:val="21"/>
                <w:highlight w:val="none"/>
              </w:rPr>
            </w:pPr>
          </w:p>
          <w:p w14:paraId="00C20238">
            <w:pPr>
              <w:keepNext w:val="0"/>
              <w:keepLines w:val="0"/>
              <w:suppressLineNumbers w:val="0"/>
              <w:spacing w:before="0" w:beforeAutospacing="0" w:after="0" w:afterAutospacing="0" w:line="340" w:lineRule="exact"/>
              <w:ind w:left="0" w:right="0" w:firstLine="420"/>
              <w:jc w:val="center"/>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11EDEFE3">
      <w:pPr>
        <w:ind w:firstLine="360"/>
        <w:rPr>
          <w:rFonts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注：</w:t>
      </w:r>
      <w:r>
        <w:rPr>
          <w:rFonts w:hint="eastAsia" w:ascii="Times New Roman" w:hAnsi="Times New Roman" w:eastAsia="宋体" w:cs="Times New Roman"/>
          <w:color w:val="auto"/>
          <w:sz w:val="18"/>
          <w:szCs w:val="18"/>
          <w:highlight w:val="none"/>
        </w:rPr>
        <w:t xml:space="preserve">1. </w:t>
      </w:r>
      <w:r>
        <w:rPr>
          <w:rFonts w:hint="eastAsia" w:ascii="宋体" w:hAnsi="宋体" w:eastAsia="宋体" w:cs="Times New Roman"/>
          <w:color w:val="auto"/>
          <w:sz w:val="18"/>
          <w:szCs w:val="18"/>
          <w:highlight w:val="none"/>
        </w:rPr>
        <w:t>在选择栏中的</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内作标识</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 xml:space="preserve">。 </w:t>
      </w:r>
    </w:p>
    <w:p w14:paraId="1075D7EA">
      <w:pPr>
        <w:numPr>
          <w:ilvl w:val="0"/>
          <w:numId w:val="7"/>
        </w:numPr>
        <w:ind w:left="720"/>
        <w:rPr>
          <w:rFonts w:hint="eastAsia"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本表一式四份</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由承包人填报</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发包人、监理人、造价咨询人、承包人各存一份。</w:t>
      </w:r>
    </w:p>
    <w:p w14:paraId="7BECF0F7">
      <w:pPr>
        <w:pStyle w:val="47"/>
        <w:ind w:firstLine="0"/>
        <w:rPr>
          <w:rFonts w:hint="eastAsia"/>
          <w:color w:val="auto"/>
          <w:highlight w:val="none"/>
        </w:rPr>
      </w:pPr>
    </w:p>
    <w:p w14:paraId="06C69E87">
      <w:pPr>
        <w:jc w:val="left"/>
        <w:outlineLvl w:val="1"/>
        <w:rPr>
          <w:rFonts w:hint="eastAsia" w:ascii="宋体" w:hAnsi="宋体" w:eastAsia="宋体" w:cs="Times New Roman"/>
          <w:b/>
          <w:color w:val="auto"/>
          <w:sz w:val="30"/>
          <w:szCs w:val="30"/>
          <w:highlight w:val="none"/>
          <w:lang w:val="en" w:eastAsia="zh-CN"/>
        </w:rPr>
      </w:pPr>
    </w:p>
    <w:p w14:paraId="00FA1500">
      <w:pPr>
        <w:spacing w:before="120" w:after="120" w:line="440" w:lineRule="exact"/>
        <w:jc w:val="left"/>
        <w:outlineLvl w:val="9"/>
        <w:rPr>
          <w:rFonts w:hint="eastAsia" w:ascii="仿宋_GB2312" w:hAnsi="Times New Roman" w:eastAsia="仿宋_GB2312" w:cs="仿宋_GB2312"/>
          <w:b w:val="0"/>
          <w:color w:val="auto"/>
          <w:sz w:val="30"/>
          <w:szCs w:val="30"/>
          <w:highlight w:val="none"/>
          <w:lang w:val="en-US" w:eastAsia="zh-CN"/>
        </w:rPr>
      </w:pPr>
      <w:r>
        <w:rPr>
          <w:rFonts w:hint="eastAsia" w:ascii="仿宋_GB2312" w:hAnsi="Times New Roman" w:eastAsia="仿宋_GB2312" w:cs="仿宋_GB2312"/>
          <w:b w:val="0"/>
          <w:color w:val="auto"/>
          <w:sz w:val="30"/>
          <w:szCs w:val="30"/>
          <w:highlight w:val="none"/>
          <w:lang w:val="en-US" w:eastAsia="zh-CN"/>
        </w:rPr>
        <w:t>附件17：</w:t>
      </w:r>
      <w:r>
        <w:rPr>
          <w:rFonts w:hint="eastAsia" w:ascii="仿宋_GB2312" w:hAnsi="Times New Roman" w:eastAsia="仿宋_GB2312" w:cs="仿宋_GB2312"/>
          <w:b w:val="0"/>
          <w:color w:val="auto"/>
          <w:sz w:val="30"/>
          <w:szCs w:val="30"/>
          <w:highlight w:val="none"/>
          <w:lang w:val="en-US"/>
        </w:rPr>
        <w:t>索赔费用申请（核准）表</w:t>
      </w:r>
    </w:p>
    <w:p w14:paraId="5004D5E6">
      <w:pPr>
        <w:jc w:val="center"/>
        <w:outlineLvl w:val="9"/>
        <w:rPr>
          <w:rFonts w:ascii="Times New Roman" w:hAnsi="Times New Roman" w:eastAsia="宋体" w:cs="Times New Roman"/>
          <w:b/>
          <w:color w:val="auto"/>
          <w:sz w:val="36"/>
          <w:szCs w:val="36"/>
          <w:highlight w:val="none"/>
        </w:rPr>
      </w:pPr>
      <w:r>
        <w:rPr>
          <w:rFonts w:hint="eastAsia" w:ascii="宋体" w:hAnsi="宋体" w:eastAsia="宋体" w:cs="Times New Roman"/>
          <w:b/>
          <w:color w:val="auto"/>
          <w:sz w:val="36"/>
          <w:szCs w:val="36"/>
          <w:highlight w:val="none"/>
        </w:rPr>
        <w:t>索赔费用申请（核准）表</w:t>
      </w:r>
    </w:p>
    <w:p w14:paraId="301DA1ED">
      <w:pPr>
        <w:spacing w:line="360" w:lineRule="auto"/>
        <w:ind w:firstLine="420"/>
        <w:rPr>
          <w:rFonts w:hint="eastAsia" w:ascii="宋体" w:hAnsi="宋体" w:eastAsia="宋体" w:cs="Times New Roman"/>
          <w:color w:val="auto"/>
          <w:sz w:val="21"/>
          <w:szCs w:val="21"/>
          <w:highlight w:val="none"/>
        </w:rPr>
      </w:pPr>
    </w:p>
    <w:p w14:paraId="096FB66D">
      <w:pPr>
        <w:spacing w:line="360" w:lineRule="auto"/>
        <w:ind w:firstLine="420"/>
        <w:rPr>
          <w:rFonts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 xml:space="preserve">         编号：</w:t>
      </w:r>
    </w:p>
    <w:tbl>
      <w:tblPr>
        <w:tblStyle w:val="4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51450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9"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4D3B1535">
            <w:pPr>
              <w:keepNext w:val="0"/>
              <w:keepLines w:val="0"/>
              <w:suppressLineNumbers w:val="0"/>
              <w:spacing w:before="0" w:beforeAutospacing="0" w:after="0" w:afterAutospacing="0" w:line="400" w:lineRule="exact"/>
              <w:ind w:left="0" w:right="0"/>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（发包人全称） </w:t>
            </w:r>
          </w:p>
          <w:p w14:paraId="364659F5">
            <w:pPr>
              <w:keepNext w:val="0"/>
              <w:keepLines w:val="0"/>
              <w:suppressLineNumbers w:val="0"/>
              <w:spacing w:before="0" w:beforeAutospacing="0" w:after="0" w:afterAutospacing="0" w:line="340" w:lineRule="exact"/>
              <w:ind w:left="0" w:right="0" w:firstLine="52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根据施工合同条款第</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条的约定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由于</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原因</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我方要求索赔</w:t>
            </w:r>
            <w:r>
              <w:rPr>
                <w:rFonts w:hint="eastAsia" w:ascii="宋体" w:hAnsi="宋体" w:eastAsia="宋体" w:cs="Times New Roman"/>
                <w:color w:val="auto"/>
                <w:szCs w:val="21"/>
                <w:highlight w:val="none"/>
                <w:lang w:eastAsia="zh-CN"/>
              </w:rPr>
              <w:t>不含税</w:t>
            </w:r>
            <w:r>
              <w:rPr>
                <w:rFonts w:hint="eastAsia" w:ascii="宋体" w:hAnsi="宋体" w:eastAsia="宋体" w:cs="Times New Roman"/>
                <w:color w:val="auto"/>
                <w:szCs w:val="21"/>
                <w:highlight w:val="none"/>
              </w:rPr>
              <w:t>金额（大写）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请予核准。</w:t>
            </w:r>
          </w:p>
          <w:p w14:paraId="3DA7B21A">
            <w:pPr>
              <w:keepNext w:val="0"/>
              <w:keepLines w:val="0"/>
              <w:suppressLineNumbers w:val="0"/>
              <w:spacing w:before="0" w:beforeAutospacing="0" w:after="0" w:afterAutospacing="0" w:line="34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附：</w:t>
            </w:r>
            <w:r>
              <w:rPr>
                <w:rFonts w:hint="eastAsia" w:ascii="Times New Roman" w:hAnsi="Times New Roman" w:eastAsia="宋体" w:cs="Times New Roman"/>
                <w:color w:val="auto"/>
                <w:szCs w:val="21"/>
                <w:highlight w:val="none"/>
              </w:rPr>
              <w:t>1.</w:t>
            </w:r>
            <w:r>
              <w:rPr>
                <w:rFonts w:hint="eastAsia" w:ascii="宋体" w:hAnsi="宋体" w:eastAsia="宋体" w:cs="Times New Roman"/>
                <w:color w:val="auto"/>
                <w:szCs w:val="21"/>
                <w:highlight w:val="none"/>
              </w:rPr>
              <w:t>索赔费用的详细理由和依据：</w:t>
            </w:r>
          </w:p>
          <w:p w14:paraId="23D333DD">
            <w:pPr>
              <w:keepNext w:val="0"/>
              <w:keepLines w:val="0"/>
              <w:suppressLineNumbers w:val="0"/>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2.</w:t>
            </w:r>
            <w:r>
              <w:rPr>
                <w:rFonts w:hint="eastAsia" w:ascii="宋体" w:hAnsi="宋体" w:eastAsia="宋体" w:cs="Times New Roman"/>
                <w:color w:val="auto"/>
                <w:szCs w:val="21"/>
                <w:highlight w:val="none"/>
              </w:rPr>
              <w:t>索赔金额的计算：</w:t>
            </w:r>
          </w:p>
          <w:p w14:paraId="28C8A202">
            <w:pPr>
              <w:keepNext w:val="0"/>
              <w:keepLines w:val="0"/>
              <w:suppressLineNumbers w:val="0"/>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3.</w:t>
            </w:r>
            <w:r>
              <w:rPr>
                <w:rFonts w:hint="eastAsia" w:ascii="宋体" w:hAnsi="宋体" w:eastAsia="宋体" w:cs="Times New Roman"/>
                <w:color w:val="auto"/>
                <w:szCs w:val="21"/>
                <w:highlight w:val="none"/>
              </w:rPr>
              <w:t>证明材料：</w:t>
            </w:r>
          </w:p>
          <w:p w14:paraId="3DBFA851">
            <w:pPr>
              <w:keepNext w:val="0"/>
              <w:keepLines w:val="0"/>
              <w:suppressLineNumbers w:val="0"/>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p>
          <w:p w14:paraId="07D01008">
            <w:pPr>
              <w:keepNext w:val="0"/>
              <w:keepLines w:val="0"/>
              <w:suppressLineNumbers w:val="0"/>
              <w:spacing w:before="0" w:beforeAutospacing="0" w:after="0" w:afterAutospacing="0" w:line="34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承包人（章）</w:t>
            </w:r>
            <w:r>
              <w:rPr>
                <w:rFonts w:hint="default" w:ascii="Times New Roman" w:hAnsi="Times New Roman" w:eastAsia="宋体" w:cs="Times New Roman"/>
                <w:color w:val="auto"/>
                <w:szCs w:val="21"/>
                <w:highlight w:val="none"/>
              </w:rPr>
              <w:t xml:space="preserve">            </w:t>
            </w:r>
          </w:p>
          <w:p w14:paraId="611ED05F">
            <w:pPr>
              <w:keepNext w:val="0"/>
              <w:keepLines w:val="0"/>
              <w:suppressLineNumbers w:val="0"/>
              <w:spacing w:before="0" w:beforeAutospacing="0" w:after="0" w:afterAutospacing="0" w:line="340" w:lineRule="exact"/>
              <w:ind w:left="0" w:right="0"/>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造价人员</w:t>
            </w:r>
            <w:r>
              <w:rPr>
                <w:rFonts w:hint="eastAsia" w:ascii="Times New Roman" w:hAnsi="Times New Roman" w:eastAsia="宋体" w:cs="Times New Roman"/>
                <w:color w:val="auto"/>
                <w:szCs w:val="21"/>
                <w:highlight w:val="none"/>
              </w:rPr>
              <w:t xml:space="preserve">____________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p w14:paraId="7EFC1047">
            <w:pPr>
              <w:keepNext w:val="0"/>
              <w:keepLines w:val="0"/>
              <w:suppressLineNumbers w:val="0"/>
              <w:spacing w:before="0" w:beforeAutospacing="0" w:after="0" w:afterAutospacing="0" w:line="340" w:lineRule="exact"/>
              <w:ind w:left="0" w:right="0"/>
              <w:rPr>
                <w:rFonts w:hint="default" w:ascii="Times New Roman" w:hAnsi="Times New Roman" w:eastAsia="宋体" w:cs="Times New Roman"/>
                <w:color w:val="auto"/>
                <w:szCs w:val="21"/>
                <w:highlight w:val="none"/>
                <w:u w:val="single"/>
              </w:rPr>
            </w:pPr>
          </w:p>
        </w:tc>
      </w:tr>
      <w:tr w14:paraId="1FF26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0B75D90D">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284F675D">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根据施工合同条款第</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条的约定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你方提出的索赔费用申请经复核：</w:t>
            </w:r>
          </w:p>
          <w:p w14:paraId="16682402">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□不同意此项索赔</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具体意见见附件。</w:t>
            </w:r>
          </w:p>
          <w:p w14:paraId="4BD17C90">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□同意此项索赔</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索赔金额的计算</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由造价工程师复核。</w:t>
            </w:r>
          </w:p>
          <w:p w14:paraId="1ABA7F14">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p>
          <w:p w14:paraId="7F90F2B3">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p>
          <w:p w14:paraId="5B7DF14B">
            <w:pPr>
              <w:keepNext w:val="0"/>
              <w:keepLines w:val="0"/>
              <w:suppressLineNumbers w:val="0"/>
              <w:spacing w:before="0" w:beforeAutospacing="0" w:after="0" w:afterAutospacing="0" w:line="360" w:lineRule="exact"/>
              <w:ind w:left="0" w:right="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监理工程师</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u w:val="single"/>
              </w:rPr>
              <w:t xml:space="preserve">           </w:t>
            </w:r>
          </w:p>
          <w:p w14:paraId="3A6D8E79">
            <w:pPr>
              <w:keepNext w:val="0"/>
              <w:keepLines w:val="0"/>
              <w:suppressLineNumbers w:val="0"/>
              <w:spacing w:before="0" w:beforeAutospacing="0" w:after="0" w:afterAutospacing="0" w:line="360" w:lineRule="exact"/>
              <w:ind w:left="0" w:right="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38A056FA">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3FAFB280">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根据施工合同条款第</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条的约定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你方提出的索赔费用申请经复核</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索赔</w:t>
            </w:r>
            <w:r>
              <w:rPr>
                <w:rFonts w:hint="eastAsia" w:ascii="宋体" w:hAnsi="宋体" w:eastAsia="宋体" w:cs="Times New Roman"/>
                <w:color w:val="auto"/>
                <w:szCs w:val="21"/>
                <w:highlight w:val="none"/>
                <w:lang w:eastAsia="zh-CN"/>
              </w:rPr>
              <w:t>不含税</w:t>
            </w:r>
            <w:r>
              <w:rPr>
                <w:rFonts w:hint="eastAsia" w:ascii="宋体" w:hAnsi="宋体" w:eastAsia="宋体" w:cs="Times New Roman"/>
                <w:color w:val="auto"/>
                <w:szCs w:val="21"/>
                <w:highlight w:val="none"/>
              </w:rPr>
              <w:t>金额为</w:t>
            </w:r>
          </w:p>
          <w:p w14:paraId="1FE4CB63">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（大写）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p>
          <w:p w14:paraId="6F864ECC">
            <w:pPr>
              <w:keepNext w:val="0"/>
              <w:keepLines w:val="0"/>
              <w:suppressLineNumbers w:val="0"/>
              <w:spacing w:before="0" w:beforeAutospacing="0" w:after="0" w:afterAutospacing="0" w:line="360" w:lineRule="exact"/>
              <w:ind w:left="0" w:right="0" w:firstLine="435"/>
              <w:jc w:val="right"/>
              <w:rPr>
                <w:rFonts w:hint="default" w:ascii="Times New Roman" w:hAnsi="Times New Roman" w:eastAsia="宋体" w:cs="Times New Roman"/>
                <w:color w:val="auto"/>
                <w:szCs w:val="21"/>
                <w:highlight w:val="none"/>
              </w:rPr>
            </w:pPr>
          </w:p>
          <w:p w14:paraId="0F62A3A0">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p>
          <w:p w14:paraId="38903832">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p>
          <w:p w14:paraId="3CE1FC87">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p>
          <w:p w14:paraId="78A1B564">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p>
          <w:p w14:paraId="21A76FAA">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0CAF7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7CB5E3E8">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16778926">
            <w:pPr>
              <w:keepNext w:val="0"/>
              <w:keepLines w:val="0"/>
              <w:suppressLineNumbers w:val="0"/>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□不同意此项索赔。</w:t>
            </w:r>
          </w:p>
          <w:p w14:paraId="2A3D1C6C">
            <w:pPr>
              <w:keepNext w:val="0"/>
              <w:keepLines w:val="0"/>
              <w:suppressLineNumbers w:val="0"/>
              <w:spacing w:before="0" w:beforeAutospacing="0" w:after="0" w:afterAutospacing="0" w:line="340" w:lineRule="exact"/>
              <w:ind w:left="0" w:right="0" w:firstLine="42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□同意此项索赔</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与本期进度款同期支付。</w:t>
            </w:r>
          </w:p>
          <w:p w14:paraId="5C0B686C">
            <w:pPr>
              <w:keepNext w:val="0"/>
              <w:keepLines w:val="0"/>
              <w:suppressLineNumbers w:val="0"/>
              <w:spacing w:before="0" w:beforeAutospacing="0" w:after="0" w:afterAutospacing="0" w:line="340" w:lineRule="exact"/>
              <w:ind w:left="0" w:right="0" w:firstLine="0"/>
              <w:jc w:val="both"/>
              <w:rPr>
                <w:rFonts w:hint="default" w:ascii="Times New Roman" w:hAnsi="Times New Roman" w:eastAsia="宋体" w:cs="Times New Roman"/>
                <w:color w:val="auto"/>
                <w:szCs w:val="21"/>
                <w:highlight w:val="none"/>
              </w:rPr>
            </w:pPr>
          </w:p>
          <w:p w14:paraId="0C1D6672">
            <w:pPr>
              <w:keepNext w:val="0"/>
              <w:keepLines w:val="0"/>
              <w:suppressLineNumbers w:val="0"/>
              <w:spacing w:before="0" w:beforeAutospacing="0" w:after="0" w:afterAutospacing="0" w:line="340" w:lineRule="exact"/>
              <w:ind w:left="0" w:right="0" w:firstLine="420"/>
              <w:jc w:val="center"/>
              <w:rPr>
                <w:rFonts w:hint="default" w:ascii="Times New Roman" w:hAnsi="Times New Roman" w:eastAsia="宋体" w:cs="Times New Roman"/>
                <w:color w:val="auto"/>
                <w:szCs w:val="21"/>
                <w:highlight w:val="none"/>
              </w:rPr>
            </w:pPr>
          </w:p>
          <w:p w14:paraId="5400B7A9">
            <w:pPr>
              <w:keepNext w:val="0"/>
              <w:keepLines w:val="0"/>
              <w:suppressLineNumbers w:val="0"/>
              <w:spacing w:before="0" w:beforeAutospacing="0" w:after="0" w:afterAutospacing="0" w:line="340" w:lineRule="exact"/>
              <w:ind w:left="0" w:right="0" w:firstLine="420"/>
              <w:jc w:val="center"/>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2E6EF87F">
      <w:pPr>
        <w:ind w:firstLine="360"/>
        <w:rPr>
          <w:rFonts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注：</w:t>
      </w:r>
      <w:r>
        <w:rPr>
          <w:rFonts w:hint="eastAsia" w:ascii="Times New Roman" w:hAnsi="Times New Roman" w:eastAsia="宋体" w:cs="Times New Roman"/>
          <w:color w:val="auto"/>
          <w:sz w:val="18"/>
          <w:szCs w:val="18"/>
          <w:highlight w:val="none"/>
        </w:rPr>
        <w:t>1</w:t>
      </w:r>
      <w:r>
        <w:rPr>
          <w:rFonts w:hint="eastAsia" w:ascii="Times New Roman" w:hAnsi="Times New Roman" w:eastAsia="宋体" w:cs="Times New Roman"/>
          <w:color w:val="auto"/>
          <w:sz w:val="18"/>
          <w:szCs w:val="18"/>
          <w:highlight w:val="none"/>
          <w:lang w:val="en-US" w:eastAsia="zh-CN"/>
        </w:rPr>
        <w:t>.</w:t>
      </w:r>
      <w:r>
        <w:rPr>
          <w:rFonts w:hint="eastAsia" w:ascii="宋体" w:hAnsi="宋体" w:eastAsia="宋体" w:cs="Times New Roman"/>
          <w:color w:val="auto"/>
          <w:sz w:val="18"/>
          <w:szCs w:val="18"/>
          <w:highlight w:val="none"/>
        </w:rPr>
        <w:t xml:space="preserve">在选择栏中的“□”内作标识“√”。 </w:t>
      </w:r>
    </w:p>
    <w:p w14:paraId="4ABDAC83">
      <w:pPr>
        <w:numPr>
          <w:ilvl w:val="0"/>
          <w:numId w:val="0"/>
        </w:numPr>
        <w:ind w:left="720"/>
        <w:rPr>
          <w:rFonts w:hint="eastAsia"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lang w:val="en-US" w:eastAsia="zh-CN"/>
        </w:rPr>
        <w:t>2.</w:t>
      </w:r>
      <w:r>
        <w:rPr>
          <w:rFonts w:hint="eastAsia" w:ascii="宋体" w:hAnsi="宋体" w:eastAsia="宋体" w:cs="Times New Roman"/>
          <w:color w:val="auto"/>
          <w:sz w:val="18"/>
          <w:szCs w:val="18"/>
          <w:highlight w:val="none"/>
        </w:rPr>
        <w:t>本表一式四份</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由承包人填报</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发包人、监理人、造价咨询人、承包人各存一份。</w:t>
      </w:r>
    </w:p>
    <w:p w14:paraId="195BEEAD">
      <w:pPr>
        <w:pStyle w:val="47"/>
        <w:ind w:firstLine="0"/>
        <w:rPr>
          <w:rFonts w:hint="eastAsia"/>
          <w:color w:val="auto"/>
          <w:highlight w:val="none"/>
        </w:rPr>
        <w:sectPr>
          <w:pgSz w:w="11907" w:h="16840"/>
          <w:pgMar w:top="1440" w:right="1440" w:bottom="1440" w:left="1797" w:header="851" w:footer="851" w:gutter="0"/>
          <w:cols w:space="720" w:num="1"/>
        </w:sectPr>
      </w:pPr>
    </w:p>
    <w:p w14:paraId="5D04C187">
      <w:pPr>
        <w:spacing w:before="120" w:after="120" w:line="440" w:lineRule="exact"/>
        <w:jc w:val="left"/>
        <w:outlineLvl w:val="9"/>
        <w:rPr>
          <w:rFonts w:hint="eastAsia" w:ascii="仿宋_GB2312" w:hAnsi="Times New Roman" w:eastAsia="仿宋_GB2312" w:cs="仿宋_GB2312"/>
          <w:b w:val="0"/>
          <w:color w:val="auto"/>
          <w:sz w:val="30"/>
          <w:szCs w:val="30"/>
          <w:highlight w:val="none"/>
          <w:lang w:val="en-US" w:eastAsia="zh-CN"/>
        </w:rPr>
      </w:pPr>
      <w:r>
        <w:rPr>
          <w:rFonts w:hint="eastAsia" w:ascii="仿宋_GB2312" w:hAnsi="Times New Roman" w:eastAsia="仿宋_GB2312" w:cs="仿宋_GB2312"/>
          <w:b w:val="0"/>
          <w:color w:val="auto"/>
          <w:sz w:val="30"/>
          <w:szCs w:val="30"/>
          <w:highlight w:val="none"/>
          <w:lang w:val="en-US" w:eastAsia="zh-CN"/>
        </w:rPr>
        <w:t>附件18：</w:t>
      </w:r>
      <w:r>
        <w:rPr>
          <w:rFonts w:hint="eastAsia" w:ascii="仿宋_GB2312" w:hAnsi="Times New Roman" w:eastAsia="仿宋_GB2312" w:cs="仿宋_GB2312"/>
          <w:b w:val="0"/>
          <w:color w:val="auto"/>
          <w:sz w:val="30"/>
          <w:szCs w:val="30"/>
          <w:highlight w:val="none"/>
          <w:lang w:val="en-US"/>
        </w:rPr>
        <w:t>安全生产费支付申请（核准）表</w:t>
      </w:r>
    </w:p>
    <w:p w14:paraId="07E8B410">
      <w:pPr>
        <w:jc w:val="center"/>
        <w:outlineLvl w:val="9"/>
        <w:rPr>
          <w:rFonts w:ascii="Times New Roman" w:hAnsi="Times New Roman" w:eastAsia="宋体" w:cs="Times New Roman"/>
          <w:b/>
          <w:color w:val="auto"/>
          <w:sz w:val="36"/>
          <w:szCs w:val="36"/>
          <w:highlight w:val="none"/>
        </w:rPr>
      </w:pPr>
      <w:r>
        <w:rPr>
          <w:rFonts w:hint="default" w:ascii="宋体" w:hAnsi="宋体" w:eastAsia="宋体" w:cs="Times New Roman"/>
          <w:b/>
          <w:color w:val="auto"/>
          <w:sz w:val="30"/>
          <w:szCs w:val="30"/>
          <w:highlight w:val="none"/>
          <w:lang w:val="en"/>
        </w:rPr>
        <w:t>安全生产费</w:t>
      </w:r>
      <w:r>
        <w:rPr>
          <w:rFonts w:hint="eastAsia" w:ascii="宋体" w:hAnsi="宋体" w:eastAsia="宋体" w:cs="Times New Roman"/>
          <w:b/>
          <w:color w:val="auto"/>
          <w:sz w:val="30"/>
          <w:szCs w:val="30"/>
          <w:highlight w:val="none"/>
        </w:rPr>
        <w:t>支付申请（核准）表</w:t>
      </w:r>
    </w:p>
    <w:p w14:paraId="1C3D0E04">
      <w:pPr>
        <w:spacing w:line="360" w:lineRule="auto"/>
        <w:ind w:firstLine="214"/>
        <w:rPr>
          <w:rFonts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 xml:space="preserve">          编号：</w:t>
      </w:r>
    </w:p>
    <w:tbl>
      <w:tblPr>
        <w:tblStyle w:val="4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0"/>
        <w:gridCol w:w="4552"/>
      </w:tblGrid>
      <w:tr w14:paraId="00B39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7CEC9DAD">
            <w:pPr>
              <w:keepNext w:val="0"/>
              <w:keepLines w:val="0"/>
              <w:suppressLineNumbers w:val="0"/>
              <w:spacing w:before="0" w:beforeAutospacing="0" w:after="0" w:afterAutospacing="0" w:line="480" w:lineRule="exact"/>
              <w:ind w:left="534" w:right="0" w:hanging="216"/>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（发包人全称）</w:t>
            </w:r>
          </w:p>
          <w:p w14:paraId="75C28065">
            <w:pPr>
              <w:keepNext w:val="0"/>
              <w:keepLines w:val="0"/>
              <w:suppressLineNumbers w:val="0"/>
              <w:spacing w:before="0" w:beforeAutospacing="0" w:after="0" w:afterAutospacing="0" w:line="400" w:lineRule="exact"/>
              <w:ind w:left="-4" w:right="0" w:firstLine="321"/>
              <w:rPr>
                <w:rFonts w:hint="eastAsia" w:ascii="Times New Roman" w:hAnsi="Times New Roman" w:eastAsia="宋体" w:cs="Times New Roman"/>
                <w:color w:val="auto"/>
                <w:szCs w:val="21"/>
                <w:highlight w:val="none"/>
                <w:lang w:eastAsia="zh-CN"/>
              </w:rPr>
            </w:pPr>
            <w:r>
              <w:rPr>
                <w:rFonts w:hint="eastAsia" w:ascii="宋体" w:hAnsi="宋体" w:eastAsia="宋体" w:cs="Times New Roman"/>
                <w:color w:val="auto"/>
                <w:szCs w:val="21"/>
                <w:highlight w:val="none"/>
              </w:rPr>
              <w:t>我方根据施工合同的约定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现申请支付</w:t>
            </w:r>
            <w:r>
              <w:rPr>
                <w:rFonts w:hint="default" w:ascii="宋体" w:hAnsi="宋体" w:eastAsia="宋体" w:cs="Times New Roman"/>
                <w:color w:val="auto"/>
                <w:szCs w:val="21"/>
                <w:highlight w:val="none"/>
                <w:lang w:val="en"/>
              </w:rPr>
              <w:t>安全生产费</w:t>
            </w:r>
            <w:r>
              <w:rPr>
                <w:rFonts w:hint="eastAsia" w:ascii="宋体" w:hAnsi="宋体" w:eastAsia="宋体" w:cs="Times New Roman"/>
                <w:color w:val="auto"/>
                <w:szCs w:val="21"/>
                <w:highlight w:val="none"/>
              </w:rPr>
              <w:t>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eastAsia" w:ascii="Times New Roman" w:hAnsi="Times New Roman" w:eastAsia="宋体" w:cs="Times New Roman"/>
                <w:color w:val="auto"/>
                <w:szCs w:val="21"/>
                <w:highlight w:val="none"/>
                <w:lang w:eastAsia="zh-CN"/>
              </w:rPr>
              <w:t>）</w:t>
            </w:r>
          </w:p>
          <w:p w14:paraId="6EEAA2AB">
            <w:pPr>
              <w:keepNext w:val="0"/>
              <w:keepLines w:val="0"/>
              <w:suppressLineNumbers w:val="0"/>
              <w:spacing w:before="0" w:beforeAutospacing="0" w:after="0" w:afterAutospacing="0" w:line="400" w:lineRule="exact"/>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请予核准。</w:t>
            </w:r>
          </w:p>
          <w:tbl>
            <w:tblPr>
              <w:tblStyle w:val="48"/>
              <w:tblW w:w="8859"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3286"/>
              <w:gridCol w:w="1571"/>
              <w:gridCol w:w="1671"/>
              <w:gridCol w:w="1500"/>
            </w:tblGrid>
            <w:tr w14:paraId="6036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831" w:type="dxa"/>
                  <w:tcBorders>
                    <w:top w:val="single" w:color="auto" w:sz="4" w:space="0"/>
                    <w:left w:val="single" w:color="auto" w:sz="4" w:space="0"/>
                    <w:bottom w:val="single" w:color="auto" w:sz="4" w:space="0"/>
                    <w:right w:val="single" w:color="auto" w:sz="4" w:space="0"/>
                  </w:tcBorders>
                  <w:noWrap w:val="0"/>
                  <w:vAlign w:val="center"/>
                </w:tcPr>
                <w:p w14:paraId="00B2995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3286" w:type="dxa"/>
                  <w:tcBorders>
                    <w:top w:val="single" w:color="auto" w:sz="4" w:space="0"/>
                    <w:left w:val="single" w:color="auto" w:sz="4" w:space="0"/>
                    <w:bottom w:val="single" w:color="auto" w:sz="4" w:space="0"/>
                    <w:right w:val="single" w:color="auto" w:sz="4" w:space="0"/>
                  </w:tcBorders>
                  <w:noWrap w:val="0"/>
                  <w:vAlign w:val="center"/>
                </w:tcPr>
                <w:p w14:paraId="4C296A37">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名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称</w:t>
                  </w:r>
                </w:p>
              </w:tc>
              <w:tc>
                <w:tcPr>
                  <w:tcW w:w="1571" w:type="dxa"/>
                  <w:tcBorders>
                    <w:top w:val="single" w:color="auto" w:sz="4" w:space="0"/>
                    <w:left w:val="single" w:color="auto" w:sz="4" w:space="0"/>
                    <w:bottom w:val="single" w:color="auto" w:sz="4" w:space="0"/>
                    <w:right w:val="single" w:color="auto" w:sz="4" w:space="0"/>
                  </w:tcBorders>
                  <w:noWrap w:val="0"/>
                  <w:vAlign w:val="center"/>
                </w:tcPr>
                <w:p w14:paraId="4DDAEB9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申请金额（元）</w:t>
                  </w:r>
                </w:p>
              </w:tc>
              <w:tc>
                <w:tcPr>
                  <w:tcW w:w="1671" w:type="dxa"/>
                  <w:tcBorders>
                    <w:top w:val="single" w:color="auto" w:sz="4" w:space="0"/>
                    <w:left w:val="single" w:color="auto" w:sz="4" w:space="0"/>
                    <w:bottom w:val="single" w:color="auto" w:sz="4" w:space="0"/>
                    <w:right w:val="single" w:color="auto" w:sz="4" w:space="0"/>
                  </w:tcBorders>
                  <w:noWrap w:val="0"/>
                  <w:vAlign w:val="center"/>
                </w:tcPr>
                <w:p w14:paraId="31D0CDDE">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复核金额（元）</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47DD5C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备注</w:t>
                  </w:r>
                </w:p>
              </w:tc>
            </w:tr>
            <w:tr w14:paraId="4E1D6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2C08397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0663348F">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lang w:val="en"/>
                    </w:rPr>
                  </w:pPr>
                  <w:r>
                    <w:rPr>
                      <w:rFonts w:hint="eastAsia" w:ascii="宋体" w:hAnsi="宋体" w:eastAsia="宋体" w:cs="Times New Roman"/>
                      <w:color w:val="auto"/>
                      <w:szCs w:val="21"/>
                      <w:highlight w:val="none"/>
                    </w:rPr>
                    <w:t>签约合同价中的</w:t>
                  </w:r>
                  <w:r>
                    <w:rPr>
                      <w:rFonts w:hint="default" w:ascii="宋体" w:hAnsi="宋体" w:eastAsia="宋体" w:cs="Times New Roman"/>
                      <w:color w:val="auto"/>
                      <w:szCs w:val="21"/>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68F39FF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3EBB729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598C4810">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0AB0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4E0E07F6">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2</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23813290">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lang w:val="en"/>
                    </w:rPr>
                  </w:pPr>
                  <w:r>
                    <w:rPr>
                      <w:rFonts w:hint="eastAsia" w:ascii="宋体" w:hAnsi="宋体" w:eastAsia="宋体" w:cs="Times New Roman"/>
                      <w:color w:val="auto"/>
                      <w:szCs w:val="21"/>
                      <w:highlight w:val="none"/>
                    </w:rPr>
                    <w:t>累计已支付的</w:t>
                  </w:r>
                  <w:r>
                    <w:rPr>
                      <w:rFonts w:hint="default" w:ascii="宋体" w:hAnsi="宋体" w:eastAsia="宋体" w:cs="Times New Roman"/>
                      <w:color w:val="auto"/>
                      <w:szCs w:val="21"/>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7F0327B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6BCB9B1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6B43CB2A">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0BA93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54981415">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r>
                    <w:rPr>
                      <w:rFonts w:hint="eastAsia" w:ascii="Calibri" w:hAnsi="Calibri" w:eastAsia="宋体" w:cs="Times New Roman"/>
                      <w:color w:val="auto"/>
                      <w:szCs w:val="21"/>
                      <w:highlight w:val="none"/>
                    </w:rPr>
                    <w:t>3</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12B80FCE">
                  <w:pPr>
                    <w:keepNext w:val="0"/>
                    <w:keepLines w:val="0"/>
                    <w:suppressLineNumbers w:val="0"/>
                    <w:spacing w:before="0" w:beforeAutospacing="0" w:after="0" w:afterAutospacing="0" w:line="280" w:lineRule="exact"/>
                    <w:ind w:left="0" w:right="0"/>
                    <w:rPr>
                      <w:rFonts w:hint="default" w:ascii="Calibri" w:hAnsi="Calibri" w:eastAsia="宋体" w:cs="Times New Roman"/>
                      <w:color w:val="auto"/>
                      <w:szCs w:val="21"/>
                      <w:highlight w:val="none"/>
                      <w:lang w:val="en"/>
                    </w:rPr>
                  </w:pPr>
                  <w:r>
                    <w:rPr>
                      <w:rFonts w:hint="eastAsia" w:ascii="宋体" w:hAnsi="宋体" w:eastAsia="宋体" w:cs="Times New Roman"/>
                      <w:color w:val="auto"/>
                      <w:szCs w:val="21"/>
                      <w:highlight w:val="none"/>
                    </w:rPr>
                    <w:t>本期应支付的</w:t>
                  </w:r>
                  <w:r>
                    <w:rPr>
                      <w:rFonts w:hint="default" w:ascii="宋体" w:hAnsi="宋体" w:eastAsia="宋体" w:cs="Times New Roman"/>
                      <w:color w:val="auto"/>
                      <w:szCs w:val="21"/>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35303C1A">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0515F059">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15930576">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54D4E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0737B662">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06C8233B">
                  <w:pPr>
                    <w:keepNext w:val="0"/>
                    <w:keepLines w:val="0"/>
                    <w:suppressLineNumbers w:val="0"/>
                    <w:spacing w:before="0" w:beforeAutospacing="0" w:after="0" w:afterAutospacing="0" w:line="280" w:lineRule="exact"/>
                    <w:ind w:left="0" w:right="0"/>
                    <w:rPr>
                      <w:rFonts w:hint="default" w:ascii="Calibri" w:hAnsi="Calibri"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71A854CC">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53C0B519">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4301A2C2">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3101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682201E4">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299EC7D5">
                  <w:pPr>
                    <w:keepNext w:val="0"/>
                    <w:keepLines w:val="0"/>
                    <w:suppressLineNumbers w:val="0"/>
                    <w:spacing w:before="0" w:beforeAutospacing="0" w:after="0" w:afterAutospacing="0" w:line="280" w:lineRule="exact"/>
                    <w:ind w:left="0" w:right="0"/>
                    <w:rPr>
                      <w:rFonts w:hint="default" w:ascii="Calibri" w:hAnsi="Calibri"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19A43669">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5CC1300F">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5AFE80A5">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5A0EF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6CA0413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299C6DBA">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4E52EFA8">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4369F399">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541F4DC6">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5721D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1527313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49A3DDCC">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296E49C8">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1C69A721">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72BCE280">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58CF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60084A8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6F893228">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4D5970BA">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2DC0FC40">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1CAF25F4">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58AF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3F3D612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7DA44F2A">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6B571A96">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0C35A4CD">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15B327A6">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72D0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26434695">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60E30886">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408B6FBE">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77517843">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03618D88">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bl>
          <w:p w14:paraId="00D43680">
            <w:pPr>
              <w:keepNext w:val="0"/>
              <w:keepLines w:val="0"/>
              <w:suppressLineNumbers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p>
          <w:p w14:paraId="107AF452">
            <w:pPr>
              <w:keepNext w:val="0"/>
              <w:keepLines w:val="0"/>
              <w:suppressLineNumbers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承包人（章） </w:t>
            </w:r>
            <w:r>
              <w:rPr>
                <w:rFonts w:hint="default" w:ascii="Times New Roman" w:hAnsi="Times New Roman" w:eastAsia="宋体" w:cs="Times New Roman"/>
                <w:color w:val="auto"/>
                <w:szCs w:val="21"/>
                <w:highlight w:val="none"/>
              </w:rPr>
              <w:t xml:space="preserve">            </w:t>
            </w:r>
          </w:p>
          <w:p w14:paraId="5E289761">
            <w:pPr>
              <w:keepNext w:val="0"/>
              <w:keepLines w:val="0"/>
              <w:suppressLineNumbers w:val="0"/>
              <w:spacing w:before="0" w:beforeAutospacing="0" w:after="0" w:afterAutospacing="0" w:line="400" w:lineRule="exact"/>
              <w:ind w:left="0" w:right="42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造价人员</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083E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78D862EB">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257F7099">
            <w:pPr>
              <w:keepNext w:val="0"/>
              <w:keepLines w:val="0"/>
              <w:suppressLineNumbers w:val="0"/>
              <w:spacing w:before="0" w:beforeAutospacing="0" w:after="0" w:afterAutospacing="0" w:line="360" w:lineRule="exact"/>
              <w:ind w:left="0" w:right="0" w:firstLine="312"/>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□与合同约定不相符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修改意见见附件。</w:t>
            </w:r>
          </w:p>
          <w:p w14:paraId="3593E72A">
            <w:pPr>
              <w:keepNext w:val="0"/>
              <w:keepLines w:val="0"/>
              <w:suppressLineNumbers w:val="0"/>
              <w:spacing w:before="0" w:beforeAutospacing="0" w:after="0" w:afterAutospacing="0" w:line="360" w:lineRule="exact"/>
              <w:ind w:left="0" w:right="0" w:firstLine="312"/>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具体金额由造价工程师复核。</w:t>
            </w:r>
          </w:p>
          <w:p w14:paraId="14D23B12">
            <w:pPr>
              <w:keepNext w:val="0"/>
              <w:keepLines w:val="0"/>
              <w:suppressLineNumbers w:val="0"/>
              <w:spacing w:before="0" w:beforeAutospacing="0" w:after="0" w:afterAutospacing="0" w:line="360" w:lineRule="exact"/>
              <w:ind w:left="0" w:right="0" w:firstLine="435"/>
              <w:jc w:val="right"/>
              <w:rPr>
                <w:rFonts w:hint="default" w:ascii="Times New Roman" w:hAnsi="Times New Roman" w:eastAsia="宋体" w:cs="Times New Roman"/>
                <w:color w:val="auto"/>
                <w:szCs w:val="21"/>
                <w:highlight w:val="none"/>
              </w:rPr>
            </w:pPr>
          </w:p>
          <w:p w14:paraId="3607B6B8">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监理工程师</w:t>
            </w:r>
            <w:r>
              <w:rPr>
                <w:rFonts w:hint="default" w:ascii="Times New Roman" w:hAnsi="Times New Roman" w:eastAsia="宋体" w:cs="Times New Roman"/>
                <w:color w:val="auto"/>
                <w:szCs w:val="21"/>
                <w:highlight w:val="none"/>
                <w:u w:val="single"/>
              </w:rPr>
              <w:t xml:space="preserve">           </w:t>
            </w:r>
          </w:p>
          <w:p w14:paraId="0CB42952">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2AE9A716">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44878DA0">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你方提出的支付申请经复核</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应支付预付款金额为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p>
          <w:p w14:paraId="6D6BC018">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元。</w:t>
            </w:r>
          </w:p>
          <w:p w14:paraId="6DF63C4C">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u w:val="single"/>
              </w:rPr>
            </w:pPr>
          </w:p>
          <w:p w14:paraId="69A46CEF">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p>
          <w:p w14:paraId="77E44319">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3D4E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0976E8D7">
            <w:pPr>
              <w:keepNext w:val="0"/>
              <w:keepLines w:val="0"/>
              <w:suppressLineNumbers w:val="0"/>
              <w:spacing w:before="0" w:beforeAutospacing="0" w:after="0" w:afterAutospacing="0" w:line="40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6DEBB19E">
            <w:pPr>
              <w:keepNext w:val="0"/>
              <w:keepLines w:val="0"/>
              <w:suppressLineNumbers w:val="0"/>
              <w:spacing w:before="0" w:beforeAutospacing="0" w:after="0" w:afterAutospacing="0" w:line="40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w:t>
            </w:r>
          </w:p>
          <w:p w14:paraId="0BD64A76">
            <w:pPr>
              <w:keepNext w:val="0"/>
              <w:keepLines w:val="0"/>
              <w:suppressLineNumbers w:val="0"/>
              <w:spacing w:before="0" w:beforeAutospacing="0" w:after="0" w:afterAutospacing="0" w:line="400" w:lineRule="exact"/>
              <w:ind w:left="0" w:right="0" w:firstLine="428"/>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支付时间为本表签发后的</w:t>
            </w:r>
            <w:r>
              <w:rPr>
                <w:rFonts w:hint="eastAsia" w:ascii="Times New Roman" w:hAnsi="Times New Roman" w:eastAsia="宋体" w:cs="Times New Roman"/>
                <w:color w:val="auto"/>
                <w:szCs w:val="21"/>
                <w:highlight w:val="none"/>
              </w:rPr>
              <w:t>15</w:t>
            </w:r>
            <w:r>
              <w:rPr>
                <w:rFonts w:hint="eastAsia" w:ascii="宋体" w:hAnsi="宋体" w:eastAsia="宋体" w:cs="Times New Roman"/>
                <w:color w:val="auto"/>
                <w:szCs w:val="21"/>
                <w:highlight w:val="none"/>
              </w:rPr>
              <w:t>天内。</w:t>
            </w:r>
          </w:p>
          <w:p w14:paraId="7AF117D0">
            <w:pPr>
              <w:keepNext w:val="0"/>
              <w:keepLines w:val="0"/>
              <w:suppressLineNumbers w:val="0"/>
              <w:spacing w:before="0" w:beforeAutospacing="0" w:after="0" w:afterAutospacing="0" w:line="400" w:lineRule="exact"/>
              <w:ind w:left="0" w:right="0" w:firstLine="428"/>
              <w:jc w:val="right"/>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p>
          <w:p w14:paraId="11F1BEAB">
            <w:pPr>
              <w:keepNext w:val="0"/>
              <w:keepLines w:val="0"/>
              <w:suppressLineNumbers w:val="0"/>
              <w:spacing w:before="0" w:beforeAutospacing="0" w:after="0" w:afterAutospacing="0" w:line="400" w:lineRule="exact"/>
              <w:ind w:left="0" w:right="0" w:firstLine="428"/>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p>
          <w:p w14:paraId="18F9026F">
            <w:pPr>
              <w:keepNext w:val="0"/>
              <w:keepLines w:val="0"/>
              <w:suppressLineNumbers w:val="0"/>
              <w:spacing w:before="0" w:beforeAutospacing="0" w:after="0" w:afterAutospacing="0" w:line="400" w:lineRule="exact"/>
              <w:ind w:left="0" w:right="0" w:firstLine="428"/>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5E31DB9E">
      <w:pPr>
        <w:ind w:firstLine="368"/>
        <w:rPr>
          <w:rFonts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注：</w:t>
      </w:r>
      <w:r>
        <w:rPr>
          <w:rFonts w:hint="eastAsia" w:ascii="Times New Roman" w:hAnsi="Times New Roman" w:eastAsia="宋体" w:cs="Times New Roman"/>
          <w:color w:val="auto"/>
          <w:sz w:val="18"/>
          <w:szCs w:val="18"/>
          <w:highlight w:val="none"/>
        </w:rPr>
        <w:t>1.</w:t>
      </w:r>
      <w:r>
        <w:rPr>
          <w:rFonts w:hint="eastAsia" w:ascii="宋体" w:hAnsi="宋体" w:eastAsia="宋体" w:cs="Times New Roman"/>
          <w:color w:val="auto"/>
          <w:sz w:val="18"/>
          <w:szCs w:val="18"/>
          <w:highlight w:val="none"/>
        </w:rPr>
        <w:t xml:space="preserve">在选择栏中的“□”内作标识“√”。 </w:t>
      </w:r>
    </w:p>
    <w:p w14:paraId="3BA89E40">
      <w:pPr>
        <w:pStyle w:val="47"/>
        <w:ind w:firstLine="0"/>
        <w:rPr>
          <w:rFonts w:hint="eastAsia" w:ascii="宋体" w:hAnsi="宋体"/>
          <w:color w:val="auto"/>
          <w:sz w:val="18"/>
          <w:szCs w:val="18"/>
          <w:highlight w:val="none"/>
        </w:rPr>
      </w:pPr>
      <w:r>
        <w:rPr>
          <w:rFonts w:hint="eastAsia" w:ascii="宋体" w:hAnsi="宋体"/>
          <w:color w:val="auto"/>
          <w:sz w:val="18"/>
          <w:szCs w:val="18"/>
          <w:highlight w:val="none"/>
        </w:rPr>
        <w:t xml:space="preserve">    </w:t>
      </w:r>
      <w:r>
        <w:rPr>
          <w:color w:val="auto"/>
          <w:sz w:val="18"/>
          <w:szCs w:val="18"/>
          <w:highlight w:val="none"/>
        </w:rPr>
        <w:t xml:space="preserve">  </w:t>
      </w:r>
      <w:r>
        <w:rPr>
          <w:rFonts w:hint="eastAsia" w:ascii="宋体" w:hAnsi="宋体"/>
          <w:color w:val="auto"/>
          <w:sz w:val="18"/>
          <w:szCs w:val="18"/>
          <w:highlight w:val="none"/>
        </w:rPr>
        <w:t xml:space="preserve">  </w:t>
      </w:r>
      <w:r>
        <w:rPr>
          <w:rFonts w:hint="eastAsia"/>
          <w:color w:val="auto"/>
          <w:sz w:val="18"/>
          <w:szCs w:val="18"/>
          <w:highlight w:val="none"/>
        </w:rPr>
        <w:t>2.</w:t>
      </w:r>
      <w:r>
        <w:rPr>
          <w:rFonts w:hint="eastAsia" w:ascii="宋体" w:hAnsi="宋体"/>
          <w:color w:val="auto"/>
          <w:sz w:val="18"/>
          <w:szCs w:val="18"/>
          <w:highlight w:val="none"/>
        </w:rPr>
        <w:t>本表一式四份</w:t>
      </w:r>
      <w:r>
        <w:rPr>
          <w:rFonts w:hint="eastAsia" w:ascii="宋体" w:hAnsi="宋体"/>
          <w:color w:val="auto"/>
          <w:sz w:val="18"/>
          <w:szCs w:val="18"/>
          <w:highlight w:val="none"/>
          <w:lang w:eastAsia="zh-CN"/>
        </w:rPr>
        <w:t>，</w:t>
      </w:r>
      <w:r>
        <w:rPr>
          <w:rFonts w:hint="eastAsia" w:ascii="宋体" w:hAnsi="宋体"/>
          <w:color w:val="auto"/>
          <w:sz w:val="18"/>
          <w:szCs w:val="18"/>
          <w:highlight w:val="none"/>
        </w:rPr>
        <w:t>由承包人填报</w:t>
      </w:r>
      <w:r>
        <w:rPr>
          <w:rFonts w:hint="eastAsia" w:ascii="宋体" w:hAnsi="宋体"/>
          <w:color w:val="auto"/>
          <w:sz w:val="18"/>
          <w:szCs w:val="18"/>
          <w:highlight w:val="none"/>
          <w:lang w:eastAsia="zh-CN"/>
        </w:rPr>
        <w:t>，</w:t>
      </w:r>
      <w:r>
        <w:rPr>
          <w:rFonts w:hint="eastAsia" w:ascii="宋体" w:hAnsi="宋体"/>
          <w:color w:val="auto"/>
          <w:sz w:val="18"/>
          <w:szCs w:val="18"/>
          <w:highlight w:val="none"/>
        </w:rPr>
        <w:t xml:space="preserve">发包人、监理人、造价咨询人、承包人各存一份。     </w:t>
      </w:r>
    </w:p>
    <w:p w14:paraId="766CF1F9">
      <w:pPr>
        <w:pStyle w:val="47"/>
        <w:ind w:firstLine="0"/>
        <w:rPr>
          <w:rFonts w:hint="eastAsia" w:ascii="宋体" w:hAnsi="宋体"/>
          <w:color w:val="auto"/>
          <w:sz w:val="18"/>
          <w:szCs w:val="18"/>
          <w:highlight w:val="none"/>
        </w:rPr>
      </w:pPr>
    </w:p>
    <w:p w14:paraId="1D641E8D">
      <w:pPr>
        <w:widowControl/>
        <w:spacing w:before="120" w:after="120" w:line="440" w:lineRule="exact"/>
        <w:jc w:val="left"/>
        <w:outlineLvl w:val="9"/>
        <w:rPr>
          <w:rFonts w:hint="eastAsia" w:ascii="仿宋_GB2312" w:hAnsi="Times New Roman" w:eastAsia="仿宋_GB2312" w:cs="仿宋_GB2312"/>
          <w:b w:val="0"/>
          <w:color w:val="auto"/>
          <w:sz w:val="30"/>
          <w:szCs w:val="30"/>
          <w:highlight w:val="none"/>
          <w:lang w:val="en-US" w:eastAsia="zh-CN"/>
        </w:rPr>
      </w:pPr>
      <w:r>
        <w:rPr>
          <w:rFonts w:hint="eastAsia" w:ascii="仿宋_GB2312" w:hAnsi="Times New Roman" w:eastAsia="仿宋_GB2312" w:cs="仿宋_GB2312"/>
          <w:b w:val="0"/>
          <w:color w:val="auto"/>
          <w:sz w:val="30"/>
          <w:szCs w:val="30"/>
          <w:highlight w:val="none"/>
          <w:lang w:val="en-US" w:eastAsia="zh-CN"/>
        </w:rPr>
        <w:t xml:space="preserve">附件19 </w:t>
      </w:r>
      <w:r>
        <w:rPr>
          <w:rFonts w:hint="eastAsia" w:ascii="仿宋_GB2312" w:hAnsi="Times New Roman" w:eastAsia="仿宋_GB2312" w:cs="仿宋_GB2312"/>
          <w:b w:val="0"/>
          <w:color w:val="auto"/>
          <w:sz w:val="30"/>
          <w:szCs w:val="30"/>
          <w:highlight w:val="none"/>
          <w:lang w:val="en-US"/>
        </w:rPr>
        <w:t>发包人提供材料一览表</w:t>
      </w:r>
    </w:p>
    <w:p w14:paraId="39F0884D">
      <w:pPr>
        <w:widowControl/>
        <w:jc w:val="center"/>
        <w:rPr>
          <w:rFonts w:ascii="Times New Roman" w:hAnsi="Times New Roman" w:eastAsia="宋体" w:cs="Times New Roman"/>
          <w:b/>
          <w:color w:val="auto"/>
          <w:sz w:val="36"/>
          <w:szCs w:val="36"/>
          <w:highlight w:val="none"/>
        </w:rPr>
      </w:pPr>
      <w:r>
        <w:rPr>
          <w:rFonts w:hint="eastAsia" w:ascii="宋体" w:hAnsi="宋体" w:eastAsia="宋体" w:cs="Times New Roman"/>
          <w:b/>
          <w:color w:val="auto"/>
          <w:sz w:val="36"/>
          <w:szCs w:val="36"/>
          <w:highlight w:val="none"/>
        </w:rPr>
        <w:t>发包人提供材料一览表</w:t>
      </w:r>
    </w:p>
    <w:p w14:paraId="778B2B88">
      <w:pP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 xml:space="preserve"> </w:t>
      </w:r>
    </w:p>
    <w:p w14:paraId="1F941D69">
      <w:pPr>
        <w:ind w:firstLine="428"/>
        <w:rPr>
          <w:rFonts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工程名称：                                                  </w:t>
      </w:r>
      <w:r>
        <w:rPr>
          <w:rFonts w:hint="eastAsia" w:ascii="宋体" w:hAnsi="宋体"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 xml:space="preserve"> 第  页  共  页</w:t>
      </w:r>
    </w:p>
    <w:tbl>
      <w:tblPr>
        <w:tblStyle w:val="48"/>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976"/>
        <w:gridCol w:w="744"/>
        <w:gridCol w:w="743"/>
        <w:gridCol w:w="979"/>
        <w:gridCol w:w="979"/>
        <w:gridCol w:w="1118"/>
        <w:gridCol w:w="805"/>
        <w:gridCol w:w="853"/>
      </w:tblGrid>
      <w:tr w14:paraId="63B87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1E9A4A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8C994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名称、规格、型号</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5ACE1A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单位</w:t>
            </w:r>
          </w:p>
        </w:tc>
        <w:tc>
          <w:tcPr>
            <w:tcW w:w="743" w:type="dxa"/>
            <w:tcBorders>
              <w:top w:val="single" w:color="auto" w:sz="4" w:space="0"/>
              <w:left w:val="single" w:color="auto" w:sz="4" w:space="0"/>
              <w:bottom w:val="single" w:color="auto" w:sz="4" w:space="0"/>
              <w:right w:val="single" w:color="auto" w:sz="4" w:space="0"/>
            </w:tcBorders>
            <w:noWrap w:val="0"/>
            <w:vAlign w:val="center"/>
          </w:tcPr>
          <w:p w14:paraId="0B51E8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数量</w:t>
            </w:r>
          </w:p>
        </w:tc>
        <w:tc>
          <w:tcPr>
            <w:tcW w:w="979" w:type="dxa"/>
            <w:tcBorders>
              <w:top w:val="single" w:color="auto" w:sz="4" w:space="0"/>
              <w:left w:val="single" w:color="auto" w:sz="4" w:space="0"/>
              <w:bottom w:val="single" w:color="auto" w:sz="4" w:space="0"/>
              <w:right w:val="single" w:color="auto" w:sz="4" w:space="0"/>
            </w:tcBorders>
            <w:noWrap w:val="0"/>
            <w:vAlign w:val="center"/>
          </w:tcPr>
          <w:p w14:paraId="1BF065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单价（元）</w:t>
            </w:r>
          </w:p>
        </w:tc>
        <w:tc>
          <w:tcPr>
            <w:tcW w:w="979" w:type="dxa"/>
            <w:tcBorders>
              <w:top w:val="single" w:color="auto" w:sz="4" w:space="0"/>
              <w:left w:val="single" w:color="auto" w:sz="4" w:space="0"/>
              <w:bottom w:val="single" w:color="auto" w:sz="4" w:space="0"/>
              <w:right w:val="single" w:color="auto" w:sz="4" w:space="0"/>
            </w:tcBorders>
            <w:noWrap w:val="0"/>
            <w:vAlign w:val="center"/>
          </w:tcPr>
          <w:p w14:paraId="60C188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合价（元）</w:t>
            </w:r>
          </w:p>
        </w:tc>
        <w:tc>
          <w:tcPr>
            <w:tcW w:w="1118" w:type="dxa"/>
            <w:tcBorders>
              <w:top w:val="single" w:color="auto" w:sz="4" w:space="0"/>
              <w:left w:val="single" w:color="auto" w:sz="4" w:space="0"/>
              <w:bottom w:val="single" w:color="auto" w:sz="4" w:space="0"/>
              <w:right w:val="single" w:color="auto" w:sz="4" w:space="0"/>
            </w:tcBorders>
            <w:noWrap w:val="0"/>
            <w:vAlign w:val="center"/>
          </w:tcPr>
          <w:p w14:paraId="78FF83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有效损耗率（%）</w:t>
            </w:r>
          </w:p>
        </w:tc>
        <w:tc>
          <w:tcPr>
            <w:tcW w:w="805" w:type="dxa"/>
            <w:tcBorders>
              <w:top w:val="single" w:color="auto" w:sz="4" w:space="0"/>
              <w:left w:val="single" w:color="auto" w:sz="4" w:space="0"/>
              <w:bottom w:val="single" w:color="auto" w:sz="4" w:space="0"/>
              <w:right w:val="single" w:color="auto" w:sz="4" w:space="0"/>
            </w:tcBorders>
            <w:noWrap w:val="0"/>
            <w:vAlign w:val="center"/>
          </w:tcPr>
          <w:p w14:paraId="1F7DF7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lang w:eastAsia="zh-CN"/>
              </w:rPr>
              <w:t>交货地点</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9FAB723">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备注</w:t>
            </w:r>
          </w:p>
        </w:tc>
      </w:tr>
      <w:tr w14:paraId="273F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49CA9BD1">
            <w:pPr>
              <w:keepNext w:val="0"/>
              <w:keepLines w:val="0"/>
              <w:suppressLineNumbers w:val="0"/>
              <w:spacing w:before="0" w:beforeAutospacing="0" w:after="0" w:afterAutospacing="0"/>
              <w:ind w:left="0" w:right="0"/>
              <w:jc w:val="center"/>
              <w:rPr>
                <w:rFonts w:hint="default" w:ascii="宋体" w:hAnsi="宋体" w:eastAsia="宋体" w:cs="Times New Roman"/>
                <w:b/>
                <w:bCs/>
                <w:color w:val="auto"/>
                <w:szCs w:val="21"/>
                <w:highlight w:val="none"/>
              </w:rPr>
            </w:pPr>
            <w:r>
              <w:rPr>
                <w:rFonts w:hint="eastAsia" w:ascii="宋体" w:hAnsi="宋体" w:eastAsia="宋体" w:cs="Times New Roman"/>
                <w:b/>
                <w:bCs/>
                <w:color w:val="auto"/>
                <w:szCs w:val="21"/>
                <w:highlight w:val="none"/>
                <w:lang w:val="en-US" w:eastAsia="zh-CN"/>
              </w:rPr>
              <w:t>一</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4F7B4496">
            <w:pPr>
              <w:keepNext w:val="0"/>
              <w:keepLines w:val="0"/>
              <w:suppressLineNumbers w:val="0"/>
              <w:spacing w:before="0" w:beforeAutospacing="0" w:after="0" w:afterAutospacing="0"/>
              <w:ind w:left="0" w:right="0"/>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lang w:eastAsia="zh-CN"/>
              </w:rPr>
              <w:t>单项工程</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4CD17FF7">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1416751C">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0FFEDB4">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022FE85">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0B8752F">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2AC813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39352C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7DD2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4BA7F2A6">
            <w:pPr>
              <w:keepNext w:val="0"/>
              <w:keepLines w:val="0"/>
              <w:suppressLineNumbers w:val="0"/>
              <w:spacing w:before="0" w:beforeAutospacing="0" w:after="0" w:afterAutospacing="0"/>
              <w:ind w:left="0" w:right="0"/>
              <w:jc w:val="center"/>
              <w:rPr>
                <w:rFonts w:hint="default" w:ascii="宋体" w:hAnsi="宋体" w:eastAsia="宋体" w:cs="Times New Roman"/>
                <w:color w:val="auto"/>
                <w:sz w:val="21"/>
                <w:szCs w:val="21"/>
                <w:highlight w:val="none"/>
                <w:lang w:val="en-US" w:eastAsia="zh-CN" w:bidi="ar-SA"/>
              </w:rPr>
            </w:pPr>
            <w:r>
              <w:rPr>
                <w:rFonts w:hint="eastAsia" w:ascii="宋体" w:hAnsi="宋体" w:eastAsia="宋体" w:cs="Times New Roman"/>
                <w:b w:val="0"/>
                <w:bCs w:val="0"/>
                <w:color w:val="auto"/>
                <w:szCs w:val="21"/>
                <w:highlight w:val="none"/>
                <w:lang w:eastAsia="zh-CN"/>
              </w:rPr>
              <w:t>（一）</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4C0C99A4">
            <w:pPr>
              <w:keepNext w:val="0"/>
              <w:keepLines w:val="0"/>
              <w:suppressLineNumbers w:val="0"/>
              <w:spacing w:before="0" w:beforeAutospacing="0" w:after="0" w:afterAutospacing="0"/>
              <w:ind w:left="0" w:right="0"/>
              <w:jc w:val="left"/>
              <w:rPr>
                <w:rFonts w:hint="eastAsia" w:ascii="宋体" w:hAnsi="宋体" w:eastAsia="宋体" w:cs="Times New Roman"/>
                <w:color w:val="auto"/>
                <w:sz w:val="21"/>
                <w:szCs w:val="21"/>
                <w:highlight w:val="none"/>
                <w:lang w:val="en-US" w:eastAsia="zh-CN" w:bidi="ar-SA"/>
              </w:rPr>
            </w:pPr>
            <w:r>
              <w:rPr>
                <w:rFonts w:hint="eastAsia" w:ascii="宋体" w:hAnsi="宋体" w:eastAsia="宋体" w:cs="Times New Roman"/>
                <w:b w:val="0"/>
                <w:bCs w:val="0"/>
                <w:color w:val="auto"/>
                <w:szCs w:val="21"/>
                <w:highlight w:val="none"/>
                <w:lang w:eastAsia="zh-CN"/>
              </w:rPr>
              <w:t>单位</w:t>
            </w:r>
            <w:r>
              <w:rPr>
                <w:rFonts w:hint="eastAsia" w:ascii="宋体" w:hAnsi="宋体" w:eastAsia="宋体" w:cs="Times New Roman"/>
                <w:b w:val="0"/>
                <w:bCs w:val="0"/>
                <w:color w:val="auto"/>
                <w:szCs w:val="21"/>
                <w:highlight w:val="none"/>
              </w:rPr>
              <w:t>工程</w:t>
            </w:r>
            <w:r>
              <w:rPr>
                <w:rFonts w:hint="eastAsia" w:ascii="宋体" w:hAnsi="宋体" w:eastAsia="宋体" w:cs="Times New Roman"/>
                <w:b w:val="0"/>
                <w:bCs w:val="0"/>
                <w:color w:val="auto"/>
                <w:szCs w:val="21"/>
                <w:highlight w:val="none"/>
                <w:lang w:val="en-US" w:eastAsia="zh-CN"/>
              </w:rPr>
              <w:t>1</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3EB1B506">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32A977D8">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AE4F13B">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3CA4DA2F">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70B85E20">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74011E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C6043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514C6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73438F4B">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E7F55BF">
            <w:pPr>
              <w:keepNext w:val="0"/>
              <w:keepLines w:val="0"/>
              <w:suppressLineNumbers w:val="0"/>
              <w:spacing w:before="0" w:beforeAutospacing="0" w:after="0" w:afterAutospacing="0"/>
              <w:ind w:left="0" w:right="0"/>
              <w:jc w:val="both"/>
              <w:rPr>
                <w:rFonts w:hint="default" w:ascii="宋体" w:hAnsi="宋体" w:eastAsia="宋体" w:cs="Times New Roman"/>
                <w:color w:val="auto"/>
                <w:szCs w:val="21"/>
                <w:highlight w:val="none"/>
              </w:rPr>
            </w:pPr>
            <w:r>
              <w:rPr>
                <w:rFonts w:hint="default" w:ascii="宋体" w:hAnsi="宋体" w:eastAsia="宋体" w:cs="Times New Roman"/>
                <w:color w:val="auto"/>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2B6AEF63">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4E96D55">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E84E54C">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A3ACE8F">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16C92E55">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F54E9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7878FD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664E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30DE9D25">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6FD25944">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031784BD">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1B937C4F">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66931F1">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C58ED88">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84302B6">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E7915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1D64A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54C8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864A0AD">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b w:val="0"/>
                <w:bCs w:val="0"/>
                <w:color w:val="auto"/>
                <w:szCs w:val="21"/>
                <w:highlight w:val="none"/>
                <w:lang w:eastAsia="zh-CN"/>
              </w:rPr>
              <w:t>（二）</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EA2CE6D">
            <w:pPr>
              <w:keepNext w:val="0"/>
              <w:keepLines w:val="0"/>
              <w:suppressLineNumbers w:val="0"/>
              <w:spacing w:before="0" w:beforeAutospacing="0" w:after="0" w:afterAutospacing="0"/>
              <w:ind w:left="0" w:right="0"/>
              <w:jc w:val="left"/>
              <w:rPr>
                <w:rFonts w:hint="eastAsia" w:ascii="宋体" w:hAnsi="宋体" w:eastAsia="宋体" w:cs="Times New Roman"/>
                <w:color w:val="auto"/>
                <w:szCs w:val="21"/>
                <w:highlight w:val="none"/>
              </w:rPr>
            </w:pPr>
            <w:r>
              <w:rPr>
                <w:rFonts w:hint="eastAsia" w:ascii="宋体" w:hAnsi="宋体" w:eastAsia="宋体" w:cs="Times New Roman"/>
                <w:b w:val="0"/>
                <w:bCs w:val="0"/>
                <w:color w:val="auto"/>
                <w:sz w:val="21"/>
                <w:szCs w:val="21"/>
                <w:highlight w:val="none"/>
                <w:lang w:eastAsia="zh-CN"/>
              </w:rPr>
              <w:t>单位</w:t>
            </w:r>
            <w:r>
              <w:rPr>
                <w:rFonts w:hint="eastAsia" w:ascii="宋体" w:hAnsi="宋体" w:eastAsia="宋体" w:cs="Times New Roman"/>
                <w:b w:val="0"/>
                <w:bCs w:val="0"/>
                <w:color w:val="auto"/>
                <w:sz w:val="21"/>
                <w:szCs w:val="21"/>
                <w:highlight w:val="none"/>
              </w:rPr>
              <w:t>工程</w:t>
            </w:r>
            <w:r>
              <w:rPr>
                <w:rFonts w:hint="eastAsia" w:ascii="宋体" w:hAnsi="宋体" w:eastAsia="宋体" w:cs="Times New Roman"/>
                <w:b w:val="0"/>
                <w:bCs w:val="0"/>
                <w:color w:val="auto"/>
                <w:sz w:val="21"/>
                <w:szCs w:val="21"/>
                <w:highlight w:val="none"/>
                <w:lang w:val="en-US" w:eastAsia="zh-CN"/>
              </w:rPr>
              <w:t>2</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073B9E3">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250180C3">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5540BB3">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C388099">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3011D32">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5EE7B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3EF43E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6F7B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366412B5">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36D2670">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r>
              <w:rPr>
                <w:rFonts w:hint="default" w:ascii="宋体" w:hAnsi="宋体" w:eastAsia="宋体" w:cs="Times New Roman"/>
                <w:color w:val="auto"/>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926A06C">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1588133C">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772D9A9">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598EF5C">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621BE87">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0B1D1B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FF3E3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73298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0B6672AE">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1D76CD7">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450908C7">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741DBFF7">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2952691">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0765D57">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ACDC5E5">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7038C2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E077F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7FFE4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19EE3634">
            <w:pPr>
              <w:keepNext w:val="0"/>
              <w:keepLines w:val="0"/>
              <w:suppressLineNumbers w:val="0"/>
              <w:spacing w:before="0" w:beforeAutospacing="0" w:after="0" w:afterAutospacing="0"/>
              <w:ind w:left="0" w:right="0"/>
              <w:jc w:val="center"/>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lang w:eastAsia="zh-CN"/>
              </w:rPr>
              <w:t>二</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B3D1DC9">
            <w:pPr>
              <w:keepNext w:val="0"/>
              <w:keepLines w:val="0"/>
              <w:suppressLineNumbers w:val="0"/>
              <w:spacing w:before="0" w:beforeAutospacing="0" w:after="0" w:afterAutospacing="0"/>
              <w:ind w:left="0" w:right="0"/>
              <w:jc w:val="left"/>
              <w:rPr>
                <w:rFonts w:hint="eastAsia" w:ascii="Times New Roman" w:hAnsi="Times New Roman" w:eastAsia="宋体" w:cs="Times New Roman"/>
                <w:b w:val="0"/>
                <w:bCs w:val="0"/>
                <w:color w:val="auto"/>
                <w:sz w:val="21"/>
                <w:szCs w:val="21"/>
                <w:highlight w:val="none"/>
              </w:rPr>
            </w:pPr>
            <w:r>
              <w:rPr>
                <w:rFonts w:hint="eastAsia" w:ascii="宋体" w:hAnsi="宋体" w:eastAsia="宋体" w:cs="Times New Roman"/>
                <w:b/>
                <w:bCs/>
                <w:color w:val="auto"/>
                <w:sz w:val="21"/>
                <w:szCs w:val="21"/>
                <w:highlight w:val="none"/>
                <w:lang w:eastAsia="zh-CN"/>
              </w:rPr>
              <w:t>单项</w:t>
            </w:r>
            <w:r>
              <w:rPr>
                <w:rFonts w:hint="eastAsia" w:ascii="宋体" w:hAnsi="宋体" w:eastAsia="宋体" w:cs="Times New Roman"/>
                <w:b/>
                <w:bCs/>
                <w:color w:val="auto"/>
                <w:sz w:val="21"/>
                <w:szCs w:val="21"/>
                <w:highlight w:val="none"/>
              </w:rPr>
              <w:t>工程</w:t>
            </w:r>
            <w:r>
              <w:rPr>
                <w:rFonts w:hint="eastAsia" w:ascii="宋体" w:hAnsi="宋体" w:eastAsia="宋体" w:cs="Times New Roman"/>
                <w:b/>
                <w:bCs/>
                <w:color w:val="auto"/>
                <w:sz w:val="21"/>
                <w:szCs w:val="21"/>
                <w:highlight w:val="none"/>
                <w:lang w:val="en-US" w:eastAsia="zh-CN"/>
              </w:rPr>
              <w:t>2</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14D0B8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112073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CB0BE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3D817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1509C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21A3A3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2214B5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4858A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B7178A2">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9A14142">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r>
              <w:rPr>
                <w:rFonts w:hint="default" w:ascii="宋体" w:hAnsi="宋体" w:eastAsia="宋体" w:cs="Times New Roman"/>
                <w:color w:val="auto"/>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665C1F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1FD31B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C1922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47CBF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0D5354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681192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0994F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4AAB5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35795457">
            <w:pPr>
              <w:keepNext w:val="0"/>
              <w:keepLines w:val="0"/>
              <w:suppressLineNumbers w:val="0"/>
              <w:spacing w:before="0" w:beforeAutospacing="0" w:after="0" w:afterAutospacing="0"/>
              <w:ind w:left="0" w:right="0"/>
              <w:jc w:val="center"/>
              <w:rPr>
                <w:rFonts w:hint="default" w:ascii="宋体" w:hAnsi="宋体" w:eastAsia="宋体" w:cs="Times New Roman"/>
                <w:b/>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C7D69B1">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425CAA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54E477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4146A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CA0AE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776F93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24B7A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8BD0B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712B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2E89BF47">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9A2DBA6">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2CB206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0D805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D638F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AE534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7A7480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4C9D96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357AE0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61DF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516B1C5F">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E7F696F">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1F245F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64FF72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0DD39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0DDE8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12D430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A77A2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4EB2F5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6CF0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5DBB26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42A568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4D87F5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352183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32BBF4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4D064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3ECBC2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2197E3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8E5C8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5869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2C425D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52F5A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75F6DE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1DF567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98A71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C47C8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5182A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76600D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2AC21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2EC2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D1F79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720E7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240E26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1AC2FD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F8B47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97B2F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7D6B2A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BBA73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6FED4C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0A51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0774C0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0282B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143636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0C38FC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335B3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44FF3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A4140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22AA67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704627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46B4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5BE700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85584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Cs w:val="21"/>
                <w:highlight w:val="none"/>
              </w:rPr>
              <w:t>合计</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582406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3BD4C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A44F9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3E176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125D7F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21B41A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3CA3CC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bl>
    <w:p w14:paraId="0B25D9C3">
      <w:pPr>
        <w:rPr>
          <w:rFonts w:hint="eastAsia" w:ascii="宋体" w:hAnsi="宋体" w:eastAsia="宋体" w:cs="Times New Roman"/>
          <w:color w:val="auto"/>
          <w:sz w:val="20"/>
          <w:szCs w:val="20"/>
          <w:highlight w:val="none"/>
        </w:rPr>
      </w:pPr>
      <w:r>
        <w:rPr>
          <w:rFonts w:hint="eastAsia" w:ascii="宋体" w:hAnsi="宋体" w:eastAsia="宋体" w:cs="Times New Roman"/>
          <w:color w:val="auto"/>
          <w:sz w:val="20"/>
          <w:szCs w:val="20"/>
          <w:highlight w:val="none"/>
        </w:rPr>
        <w:t>注：</w:t>
      </w:r>
      <w:r>
        <w:rPr>
          <w:rFonts w:hint="eastAsia" w:ascii="宋体" w:hAnsi="宋体" w:eastAsia="宋体" w:cs="Times New Roman"/>
          <w:color w:val="auto"/>
          <w:sz w:val="20"/>
          <w:szCs w:val="20"/>
          <w:highlight w:val="none"/>
          <w:lang w:val="en-US" w:eastAsia="zh-CN"/>
        </w:rPr>
        <w:t>1.</w:t>
      </w:r>
      <w:r>
        <w:rPr>
          <w:rFonts w:hint="eastAsia" w:ascii="宋体" w:hAnsi="宋体" w:eastAsia="宋体" w:cs="Times New Roman"/>
          <w:color w:val="auto"/>
          <w:sz w:val="20"/>
          <w:szCs w:val="20"/>
          <w:highlight w:val="none"/>
        </w:rPr>
        <w:t>此表由招标人填写</w:t>
      </w:r>
      <w:r>
        <w:rPr>
          <w:rFonts w:hint="eastAsia" w:ascii="宋体" w:hAnsi="宋体" w:eastAsia="宋体" w:cs="Times New Roman"/>
          <w:color w:val="auto"/>
          <w:sz w:val="20"/>
          <w:szCs w:val="20"/>
          <w:highlight w:val="none"/>
          <w:lang w:eastAsia="zh-CN"/>
        </w:rPr>
        <w:t>，</w:t>
      </w:r>
      <w:r>
        <w:rPr>
          <w:rFonts w:hint="eastAsia" w:ascii="宋体" w:hAnsi="宋体" w:eastAsia="宋体" w:cs="Times New Roman"/>
          <w:color w:val="auto"/>
          <w:sz w:val="20"/>
          <w:szCs w:val="20"/>
          <w:highlight w:val="none"/>
        </w:rPr>
        <w:t>供投标人在投标报价、确定总承包服务费时参考。</w:t>
      </w:r>
    </w:p>
    <w:p w14:paraId="70D04F3B">
      <w:pPr>
        <w:rPr>
          <w:rFonts w:hint="default" w:ascii="宋体" w:hAnsi="宋体" w:eastAsia="宋体" w:cs="Times New Roman"/>
          <w:color w:val="auto"/>
          <w:sz w:val="20"/>
          <w:szCs w:val="20"/>
          <w:highlight w:val="none"/>
          <w:lang w:val="en-US" w:eastAsia="zh-CN"/>
        </w:rPr>
      </w:pPr>
      <w:r>
        <w:rPr>
          <w:rFonts w:hint="eastAsia" w:ascii="宋体" w:hAnsi="宋体" w:eastAsia="宋体" w:cs="Times New Roman"/>
          <w:color w:val="auto"/>
          <w:sz w:val="20"/>
          <w:szCs w:val="20"/>
          <w:highlight w:val="none"/>
          <w:lang w:val="en-US" w:eastAsia="zh-CN"/>
        </w:rPr>
        <w:t xml:space="preserve">    2.应用于一般计税法为除税价，应用于简易计税法为含税价。</w:t>
      </w:r>
    </w:p>
    <w:p w14:paraId="2CFCA559">
      <w:pPr>
        <w:rPr>
          <w:rFonts w:ascii="Times New Roman" w:hAnsi="Times New Roman" w:eastAsia="宋体" w:cs="Times New Roman"/>
          <w:color w:val="auto"/>
          <w:sz w:val="32"/>
          <w:szCs w:val="32"/>
          <w:highlight w:val="none"/>
        </w:rPr>
      </w:pPr>
      <w:r>
        <w:rPr>
          <w:rFonts w:ascii="Times New Roman" w:hAnsi="Times New Roman" w:eastAsia="宋体" w:cs="Times New Roman"/>
          <w:color w:val="auto"/>
          <w:sz w:val="32"/>
          <w:szCs w:val="32"/>
          <w:highlight w:val="none"/>
        </w:rPr>
        <w:t xml:space="preserve"> </w:t>
      </w:r>
    </w:p>
    <w:p w14:paraId="5F97C67A">
      <w:pPr>
        <w:rPr>
          <w:rFonts w:ascii="Times New Roman" w:hAnsi="Times New Roman" w:eastAsia="宋体" w:cs="Times New Roman"/>
          <w:color w:val="auto"/>
          <w:sz w:val="18"/>
          <w:szCs w:val="18"/>
          <w:highlight w:val="none"/>
        </w:rPr>
      </w:pPr>
      <w:r>
        <w:rPr>
          <w:rFonts w:ascii="Times New Roman" w:hAnsi="Times New Roman" w:eastAsia="宋体" w:cs="Times New Roman"/>
          <w:color w:val="auto"/>
          <w:sz w:val="18"/>
          <w:szCs w:val="18"/>
          <w:highlight w:val="none"/>
        </w:rPr>
        <w:t xml:space="preserve"> </w:t>
      </w:r>
    </w:p>
    <w:p w14:paraId="7B0372D7">
      <w:pPr>
        <w:jc w:val="right"/>
        <w:rPr>
          <w:rFonts w:hint="eastAsia" w:ascii="宋体" w:hAnsi="宋体"/>
          <w:color w:val="auto"/>
          <w:sz w:val="32"/>
          <w:szCs w:val="32"/>
          <w:highlight w:val="none"/>
        </w:rPr>
        <w:sectPr>
          <w:pgSz w:w="11905" w:h="16838"/>
          <w:pgMar w:top="850" w:right="1134" w:bottom="850" w:left="1134" w:header="850" w:footer="992" w:gutter="0"/>
          <w:cols w:space="720" w:num="1"/>
        </w:sectPr>
      </w:pPr>
      <w:r>
        <w:rPr>
          <w:rFonts w:hint="eastAsia" w:ascii="宋体" w:hAnsi="宋体" w:eastAsia="宋体" w:cs="Times New Roman"/>
          <w:color w:val="auto"/>
          <w:sz w:val="24"/>
          <w:szCs w:val="24"/>
          <w:highlight w:val="none"/>
        </w:rPr>
        <w:t xml:space="preserve"> </w:t>
      </w:r>
      <w:r>
        <w:rPr>
          <w:rFonts w:hint="eastAsia" w:ascii="宋体" w:hAnsi="宋体" w:eastAsia="宋体" w:cs="Times New Roman"/>
          <w:color w:val="auto"/>
          <w:sz w:val="21"/>
          <w:szCs w:val="21"/>
          <w:highlight w:val="none"/>
        </w:rPr>
        <w:t>表-1</w:t>
      </w:r>
      <w:r>
        <w:rPr>
          <w:rFonts w:hint="eastAsia" w:ascii="宋体" w:hAnsi="宋体" w:eastAsia="宋体" w:cs="Times New Roman"/>
          <w:color w:val="auto"/>
          <w:sz w:val="21"/>
          <w:szCs w:val="21"/>
          <w:highlight w:val="none"/>
          <w:lang w:val="en-US" w:eastAsia="zh-CN"/>
        </w:rPr>
        <w:t>5</w:t>
      </w:r>
    </w:p>
    <w:p w14:paraId="25F1BBB3">
      <w:pPr>
        <w:jc w:val="center"/>
        <w:rPr>
          <w:rFonts w:hint="eastAsia" w:ascii="宋体" w:hAnsi="宋体" w:eastAsia="宋体" w:cs="Times New Roman"/>
          <w:b/>
          <w:color w:val="auto"/>
          <w:sz w:val="36"/>
          <w:szCs w:val="36"/>
          <w:highlight w:val="none"/>
        </w:rPr>
      </w:pPr>
    </w:p>
    <w:p w14:paraId="5E695852">
      <w:pPr>
        <w:jc w:val="center"/>
        <w:rPr>
          <w:rFonts w:hint="eastAsia" w:ascii="宋体" w:hAnsi="宋体" w:eastAsia="宋体" w:cs="Times New Roman"/>
          <w:b/>
          <w:color w:val="auto"/>
          <w:sz w:val="36"/>
          <w:szCs w:val="36"/>
          <w:highlight w:val="none"/>
        </w:rPr>
      </w:pPr>
    </w:p>
    <w:p w14:paraId="44330F55">
      <w:pPr>
        <w:jc w:val="center"/>
        <w:rPr>
          <w:rFonts w:hint="eastAsia" w:ascii="宋体" w:hAnsi="宋体" w:eastAsia="宋体" w:cs="Times New Roman"/>
          <w:b/>
          <w:color w:val="auto"/>
          <w:sz w:val="36"/>
          <w:szCs w:val="36"/>
          <w:highlight w:val="none"/>
        </w:rPr>
      </w:pPr>
    </w:p>
    <w:p w14:paraId="32A15A05">
      <w:pPr>
        <w:jc w:val="center"/>
        <w:rPr>
          <w:rFonts w:hint="eastAsia" w:ascii="宋体" w:hAnsi="宋体" w:eastAsia="宋体" w:cs="Times New Roman"/>
          <w:b/>
          <w:color w:val="auto"/>
          <w:sz w:val="36"/>
          <w:szCs w:val="36"/>
          <w:highlight w:val="none"/>
        </w:rPr>
      </w:pPr>
    </w:p>
    <w:p w14:paraId="262F2BA6">
      <w:pPr>
        <w:widowControl/>
        <w:spacing w:before="120" w:after="120" w:line="440" w:lineRule="exact"/>
        <w:jc w:val="left"/>
        <w:outlineLvl w:val="9"/>
        <w:rPr>
          <w:rFonts w:hint="eastAsia" w:ascii="仿宋_GB2312" w:hAnsi="Times New Roman" w:eastAsia="仿宋_GB2312" w:cs="仿宋_GB2312"/>
          <w:b w:val="0"/>
          <w:color w:val="auto"/>
          <w:sz w:val="30"/>
          <w:szCs w:val="30"/>
          <w:highlight w:val="none"/>
          <w:lang w:val="en-US" w:eastAsia="zh-CN"/>
        </w:rPr>
      </w:pPr>
      <w:r>
        <w:rPr>
          <w:rFonts w:hint="eastAsia" w:ascii="仿宋_GB2312" w:hAnsi="Times New Roman" w:eastAsia="仿宋_GB2312" w:cs="仿宋_GB2312"/>
          <w:b w:val="0"/>
          <w:color w:val="auto"/>
          <w:sz w:val="30"/>
          <w:szCs w:val="30"/>
          <w:highlight w:val="none"/>
          <w:lang w:val="en-US" w:eastAsia="zh-CN"/>
        </w:rPr>
        <w:t xml:space="preserve">附件20 </w:t>
      </w:r>
      <w:r>
        <w:rPr>
          <w:rFonts w:hint="eastAsia" w:ascii="仿宋_GB2312" w:hAnsi="Times New Roman" w:eastAsia="仿宋_GB2312" w:cs="仿宋_GB2312"/>
          <w:b w:val="0"/>
          <w:color w:val="auto"/>
          <w:sz w:val="30"/>
          <w:szCs w:val="30"/>
          <w:highlight w:val="none"/>
          <w:lang w:val="en-US"/>
        </w:rPr>
        <w:t>允许调整价格的主要材料一览表</w:t>
      </w:r>
    </w:p>
    <w:p w14:paraId="5B3EDCED">
      <w:pPr>
        <w:jc w:val="center"/>
        <w:rPr>
          <w:rFonts w:ascii="Times New Roman" w:hAnsi="Times New Roman" w:eastAsia="宋体" w:cs="Times New Roman"/>
          <w:b/>
          <w:color w:val="auto"/>
          <w:sz w:val="36"/>
          <w:szCs w:val="36"/>
          <w:highlight w:val="none"/>
        </w:rPr>
      </w:pPr>
      <w:r>
        <w:rPr>
          <w:rFonts w:hint="eastAsia" w:ascii="宋体" w:hAnsi="宋体" w:eastAsia="宋体" w:cs="Times New Roman"/>
          <w:b/>
          <w:color w:val="auto"/>
          <w:sz w:val="36"/>
          <w:szCs w:val="36"/>
          <w:highlight w:val="none"/>
        </w:rPr>
        <w:t>允许调整价格的主要材料一览表</w:t>
      </w:r>
    </w:p>
    <w:p w14:paraId="77EE0C36">
      <w:pPr>
        <w:jc w:val="center"/>
        <w:rPr>
          <w:rFonts w:ascii="Times New Roman" w:hAnsi="Times New Roman" w:eastAsia="宋体" w:cs="Times New Roman"/>
          <w:b/>
          <w:bCs/>
          <w:color w:val="auto"/>
          <w:sz w:val="28"/>
          <w:szCs w:val="28"/>
          <w:highlight w:val="none"/>
        </w:rPr>
      </w:pPr>
      <w:r>
        <w:rPr>
          <w:rFonts w:hint="eastAsia" w:ascii="宋体" w:hAnsi="宋体" w:eastAsia="宋体" w:cs="Times New Roman"/>
          <w:b/>
          <w:bCs/>
          <w:color w:val="auto"/>
          <w:sz w:val="28"/>
          <w:szCs w:val="28"/>
          <w:highlight w:val="none"/>
        </w:rPr>
        <w:t>（适用于</w:t>
      </w:r>
      <w:r>
        <w:rPr>
          <w:rFonts w:hint="eastAsia" w:ascii="宋体" w:hAnsi="宋体" w:eastAsia="宋体" w:cs="Times New Roman"/>
          <w:b/>
          <w:bCs/>
          <w:color w:val="auto"/>
          <w:sz w:val="28"/>
          <w:szCs w:val="28"/>
          <w:highlight w:val="none"/>
          <w:lang w:eastAsia="zh-CN"/>
        </w:rPr>
        <w:t>单价合同</w:t>
      </w:r>
      <w:r>
        <w:rPr>
          <w:rFonts w:hint="eastAsia" w:ascii="宋体" w:hAnsi="宋体" w:eastAsia="宋体" w:cs="Times New Roman"/>
          <w:b/>
          <w:bCs/>
          <w:color w:val="auto"/>
          <w:sz w:val="28"/>
          <w:szCs w:val="28"/>
          <w:highlight w:val="none"/>
        </w:rPr>
        <w:t>）</w:t>
      </w:r>
    </w:p>
    <w:p w14:paraId="5A565E1B">
      <w:pPr>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工程名称：          </w:t>
      </w:r>
      <w:r>
        <w:rPr>
          <w:rFonts w:hint="eastAsia" w:ascii="宋体" w:hAnsi="宋体"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第  页  共  页</w:t>
      </w:r>
    </w:p>
    <w:tbl>
      <w:tblPr>
        <w:tblStyle w:val="48"/>
        <w:tblW w:w="99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4"/>
        <w:gridCol w:w="4602"/>
        <w:gridCol w:w="851"/>
        <w:gridCol w:w="1075"/>
        <w:gridCol w:w="1225"/>
        <w:gridCol w:w="1257"/>
      </w:tblGrid>
      <w:tr w14:paraId="5738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371E0F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4602" w:type="dxa"/>
            <w:noWrap w:val="0"/>
            <w:vAlign w:val="center"/>
          </w:tcPr>
          <w:p w14:paraId="5FEAC0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名称、规格、型号</w:t>
            </w:r>
          </w:p>
        </w:tc>
        <w:tc>
          <w:tcPr>
            <w:tcW w:w="851" w:type="dxa"/>
            <w:noWrap w:val="0"/>
            <w:vAlign w:val="center"/>
          </w:tcPr>
          <w:p w14:paraId="79DFC5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单位</w:t>
            </w:r>
          </w:p>
        </w:tc>
        <w:tc>
          <w:tcPr>
            <w:tcW w:w="1075" w:type="dxa"/>
            <w:noWrap w:val="0"/>
            <w:vAlign w:val="center"/>
          </w:tcPr>
          <w:p w14:paraId="4764025A">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基准单价（元）</w:t>
            </w:r>
          </w:p>
        </w:tc>
        <w:tc>
          <w:tcPr>
            <w:tcW w:w="1225" w:type="dxa"/>
            <w:noWrap w:val="0"/>
            <w:vAlign w:val="center"/>
          </w:tcPr>
          <w:p w14:paraId="3B30CF56">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投标单价（元）</w:t>
            </w:r>
          </w:p>
        </w:tc>
        <w:tc>
          <w:tcPr>
            <w:tcW w:w="1257" w:type="dxa"/>
            <w:noWrap w:val="0"/>
            <w:vAlign w:val="center"/>
          </w:tcPr>
          <w:p w14:paraId="0EFA1D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风险幅度（</w:t>
            </w:r>
            <w:r>
              <w:rPr>
                <w:rFonts w:hint="eastAsia" w:ascii="Times New Roman" w:hAnsi="Times New Roman" w:eastAsia="宋体" w:cs="Times New Roman"/>
                <w:color w:val="auto"/>
                <w:szCs w:val="21"/>
                <w:highlight w:val="none"/>
              </w:rPr>
              <w:t>%</w:t>
            </w:r>
            <w:r>
              <w:rPr>
                <w:rFonts w:hint="eastAsia" w:ascii="宋体" w:hAnsi="宋体" w:eastAsia="宋体" w:cs="Times New Roman"/>
                <w:color w:val="auto"/>
                <w:szCs w:val="21"/>
                <w:highlight w:val="none"/>
              </w:rPr>
              <w:t>）</w:t>
            </w:r>
          </w:p>
        </w:tc>
      </w:tr>
      <w:tr w14:paraId="5E05C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3CECC70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b/>
                <w:bCs/>
                <w:color w:val="auto"/>
                <w:szCs w:val="21"/>
                <w:highlight w:val="none"/>
                <w:lang w:eastAsia="zh-CN"/>
              </w:rPr>
              <w:t>一</w:t>
            </w:r>
          </w:p>
        </w:tc>
        <w:tc>
          <w:tcPr>
            <w:tcW w:w="4602" w:type="dxa"/>
            <w:noWrap w:val="0"/>
            <w:vAlign w:val="center"/>
          </w:tcPr>
          <w:p w14:paraId="5E769131">
            <w:pPr>
              <w:keepNext w:val="0"/>
              <w:keepLines w:val="0"/>
              <w:widowControl/>
              <w:suppressLineNumbers w:val="0"/>
              <w:spacing w:before="0" w:beforeAutospacing="0" w:after="0" w:afterAutospacing="0"/>
              <w:ind w:left="0" w:right="0"/>
              <w:jc w:val="left"/>
              <w:rPr>
                <w:rFonts w:hint="default" w:ascii="宋体" w:hAnsi="宋体" w:eastAsia="宋体" w:cs="Times New Roman"/>
                <w:color w:val="auto"/>
                <w:szCs w:val="21"/>
                <w:highlight w:val="none"/>
              </w:rPr>
            </w:pPr>
            <w:r>
              <w:rPr>
                <w:rFonts w:hint="eastAsia" w:ascii="宋体" w:hAnsi="宋体" w:eastAsia="宋体" w:cs="Times New Roman"/>
                <w:b/>
                <w:bCs w:val="0"/>
                <w:color w:val="auto"/>
                <w:szCs w:val="21"/>
                <w:highlight w:val="none"/>
                <w:lang w:eastAsia="zh-CN"/>
              </w:rPr>
              <w:t>单项工程</w:t>
            </w:r>
            <w:r>
              <w:rPr>
                <w:rFonts w:hint="eastAsia" w:ascii="宋体" w:hAnsi="宋体" w:eastAsia="宋体" w:cs="Times New Roman"/>
                <w:b/>
                <w:bCs w:val="0"/>
                <w:color w:val="auto"/>
                <w:szCs w:val="21"/>
                <w:highlight w:val="none"/>
                <w:lang w:val="en-US" w:eastAsia="zh-CN"/>
              </w:rPr>
              <w:t>1</w:t>
            </w:r>
          </w:p>
        </w:tc>
        <w:tc>
          <w:tcPr>
            <w:tcW w:w="851" w:type="dxa"/>
            <w:noWrap w:val="0"/>
            <w:vAlign w:val="center"/>
          </w:tcPr>
          <w:p w14:paraId="44FE5EC9">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418F40DE">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0F9DA7AE">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41B548A9">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28D88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0656A6D3">
            <w:pPr>
              <w:keepNext w:val="0"/>
              <w:keepLines w:val="0"/>
              <w:suppressLineNumbers w:val="0"/>
              <w:spacing w:before="0" w:beforeAutospacing="0" w:after="0" w:afterAutospacing="0"/>
              <w:ind w:left="0" w:right="0"/>
              <w:jc w:val="center"/>
              <w:rPr>
                <w:rFonts w:hint="eastAsia" w:ascii="宋体" w:hAnsi="宋体" w:eastAsia="宋体" w:cs="Times New Roman"/>
                <w:color w:val="auto"/>
                <w:sz w:val="21"/>
                <w:szCs w:val="21"/>
                <w:highlight w:val="none"/>
                <w:lang w:val="en-US" w:eastAsia="zh-CN" w:bidi="ar-SA"/>
              </w:rPr>
            </w:pPr>
            <w:r>
              <w:rPr>
                <w:rFonts w:hint="eastAsia" w:ascii="Times New Roman" w:hAnsi="Times New Roman" w:eastAsia="宋体" w:cs="Times New Roman"/>
                <w:color w:val="auto"/>
                <w:szCs w:val="21"/>
                <w:highlight w:val="none"/>
              </w:rPr>
              <w:t>（一）</w:t>
            </w:r>
          </w:p>
        </w:tc>
        <w:tc>
          <w:tcPr>
            <w:tcW w:w="4602" w:type="dxa"/>
            <w:noWrap w:val="0"/>
            <w:vAlign w:val="center"/>
          </w:tcPr>
          <w:p w14:paraId="670EED9E">
            <w:pPr>
              <w:keepNext w:val="0"/>
              <w:keepLines w:val="0"/>
              <w:suppressLineNumbers w:val="0"/>
              <w:spacing w:before="0" w:beforeAutospacing="0" w:after="0" w:afterAutospacing="0"/>
              <w:ind w:left="0" w:right="0"/>
              <w:jc w:val="left"/>
              <w:rPr>
                <w:rFonts w:hint="eastAsia" w:ascii="宋体" w:hAnsi="宋体" w:eastAsia="宋体" w:cs="Times New Roman"/>
                <w:color w:val="auto"/>
                <w:sz w:val="21"/>
                <w:szCs w:val="21"/>
                <w:highlight w:val="none"/>
                <w:lang w:val="en-US" w:eastAsia="zh-CN" w:bidi="ar-SA"/>
              </w:rPr>
            </w:pPr>
            <w:r>
              <w:rPr>
                <w:rFonts w:hint="eastAsia" w:ascii="宋体" w:hAnsi="宋体" w:eastAsia="宋体" w:cs="Times New Roman"/>
                <w:bCs/>
                <w:color w:val="auto"/>
                <w:szCs w:val="21"/>
                <w:highlight w:val="none"/>
                <w:lang w:eastAsia="zh-CN"/>
              </w:rPr>
              <w:t>单位工程</w:t>
            </w:r>
            <w:r>
              <w:rPr>
                <w:rFonts w:hint="eastAsia" w:ascii="宋体" w:hAnsi="宋体" w:eastAsia="宋体" w:cs="Times New Roman"/>
                <w:bCs/>
                <w:color w:val="auto"/>
                <w:szCs w:val="21"/>
                <w:highlight w:val="none"/>
                <w:lang w:val="en-US" w:eastAsia="zh-CN"/>
              </w:rPr>
              <w:t>1</w:t>
            </w:r>
          </w:p>
        </w:tc>
        <w:tc>
          <w:tcPr>
            <w:tcW w:w="851" w:type="dxa"/>
            <w:noWrap w:val="0"/>
            <w:vAlign w:val="center"/>
          </w:tcPr>
          <w:p w14:paraId="303E6432">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25162306">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75B3BCC6">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3B6053CF">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7AAFB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5D4D974C">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1C4EF503">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r>
              <w:rPr>
                <w:rFonts w:hint="default" w:ascii="宋体" w:hAnsi="宋体" w:eastAsia="宋体" w:cs="Times New Roman"/>
                <w:b w:val="0"/>
                <w:bCs w:val="0"/>
                <w:color w:val="auto"/>
                <w:sz w:val="21"/>
                <w:szCs w:val="21"/>
                <w:highlight w:val="none"/>
              </w:rPr>
              <w:t>……</w:t>
            </w:r>
          </w:p>
        </w:tc>
        <w:tc>
          <w:tcPr>
            <w:tcW w:w="851" w:type="dxa"/>
            <w:noWrap w:val="0"/>
            <w:vAlign w:val="center"/>
          </w:tcPr>
          <w:p w14:paraId="263D5792">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514C8DC5">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0CEBA323">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794094DD">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7A046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9DF7E43">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7E2112D6">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p>
        </w:tc>
        <w:tc>
          <w:tcPr>
            <w:tcW w:w="851" w:type="dxa"/>
            <w:noWrap w:val="0"/>
            <w:vAlign w:val="center"/>
          </w:tcPr>
          <w:p w14:paraId="2A942FBE">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20066C5F">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5402C359">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0976928A">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146B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3B71B763">
            <w:pPr>
              <w:keepNext w:val="0"/>
              <w:keepLines w:val="0"/>
              <w:suppressLineNumbers w:val="0"/>
              <w:spacing w:before="0" w:beforeAutospacing="0" w:after="0" w:afterAutospacing="0"/>
              <w:ind w:left="0" w:right="0"/>
              <w:jc w:val="center"/>
              <w:rPr>
                <w:rFonts w:hint="default" w:ascii="宋体" w:hAnsi="宋体" w:eastAsia="宋体" w:cs="Times New Roman"/>
                <w:b w:val="0"/>
                <w:color w:val="auto"/>
                <w:szCs w:val="21"/>
                <w:highlight w:val="none"/>
              </w:rPr>
            </w:pPr>
            <w:r>
              <w:rPr>
                <w:rFonts w:hint="eastAsia" w:ascii="宋体" w:hAnsi="宋体" w:eastAsia="宋体" w:cs="Times New Roman"/>
                <w:b/>
                <w:color w:val="auto"/>
                <w:szCs w:val="21"/>
                <w:highlight w:val="none"/>
              </w:rPr>
              <w:t>二</w:t>
            </w:r>
          </w:p>
        </w:tc>
        <w:tc>
          <w:tcPr>
            <w:tcW w:w="4602" w:type="dxa"/>
            <w:noWrap w:val="0"/>
            <w:vAlign w:val="center"/>
          </w:tcPr>
          <w:p w14:paraId="12A33D43">
            <w:pPr>
              <w:keepNext w:val="0"/>
              <w:keepLines w:val="0"/>
              <w:widowControl/>
              <w:suppressLineNumbers w:val="0"/>
              <w:spacing w:before="0" w:beforeAutospacing="0" w:after="0" w:afterAutospacing="0"/>
              <w:ind w:left="0" w:right="0"/>
              <w:jc w:val="left"/>
              <w:rPr>
                <w:rFonts w:hint="default" w:ascii="宋体" w:hAnsi="宋体" w:eastAsia="宋体" w:cs="Times New Roman"/>
                <w:b w:val="0"/>
                <w:bCs w:val="0"/>
                <w:color w:val="auto"/>
                <w:sz w:val="21"/>
                <w:szCs w:val="21"/>
                <w:highlight w:val="none"/>
              </w:rPr>
            </w:pPr>
            <w:r>
              <w:rPr>
                <w:rFonts w:hint="eastAsia" w:ascii="宋体" w:hAnsi="宋体" w:eastAsia="宋体" w:cs="Times New Roman"/>
                <w:b/>
                <w:bCs/>
                <w:color w:val="auto"/>
                <w:sz w:val="21"/>
                <w:szCs w:val="21"/>
                <w:highlight w:val="none"/>
                <w:lang w:eastAsia="zh-CN"/>
              </w:rPr>
              <w:t>单项</w:t>
            </w:r>
            <w:r>
              <w:rPr>
                <w:rFonts w:hint="eastAsia" w:ascii="宋体" w:hAnsi="宋体" w:eastAsia="宋体" w:cs="Times New Roman"/>
                <w:b/>
                <w:bCs/>
                <w:color w:val="auto"/>
                <w:sz w:val="21"/>
                <w:szCs w:val="21"/>
                <w:highlight w:val="none"/>
              </w:rPr>
              <w:t>工程</w:t>
            </w:r>
            <w:r>
              <w:rPr>
                <w:rFonts w:hint="eastAsia" w:ascii="宋体" w:hAnsi="宋体" w:eastAsia="宋体" w:cs="Times New Roman"/>
                <w:b/>
                <w:bCs/>
                <w:color w:val="auto"/>
                <w:sz w:val="21"/>
                <w:szCs w:val="21"/>
                <w:highlight w:val="none"/>
                <w:lang w:val="en-US" w:eastAsia="zh-CN"/>
              </w:rPr>
              <w:t>2</w:t>
            </w:r>
          </w:p>
        </w:tc>
        <w:tc>
          <w:tcPr>
            <w:tcW w:w="851" w:type="dxa"/>
            <w:noWrap w:val="0"/>
            <w:vAlign w:val="center"/>
          </w:tcPr>
          <w:p w14:paraId="4334C56D">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1A9D1AE5">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7072E97F">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5B0B2437">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786B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6E1CE931">
            <w:pPr>
              <w:keepNext w:val="0"/>
              <w:keepLines w:val="0"/>
              <w:suppressLineNumbers w:val="0"/>
              <w:spacing w:before="0" w:beforeAutospacing="0" w:after="0" w:afterAutospacing="0"/>
              <w:ind w:left="0" w:right="0"/>
              <w:jc w:val="center"/>
              <w:rPr>
                <w:rFonts w:hint="default" w:ascii="宋体" w:hAnsi="宋体" w:eastAsia="宋体" w:cs="Times New Roman"/>
                <w:b/>
                <w:color w:val="auto"/>
                <w:szCs w:val="21"/>
                <w:highlight w:val="none"/>
              </w:rPr>
            </w:pPr>
          </w:p>
        </w:tc>
        <w:tc>
          <w:tcPr>
            <w:tcW w:w="4602" w:type="dxa"/>
            <w:noWrap w:val="0"/>
            <w:vAlign w:val="center"/>
          </w:tcPr>
          <w:p w14:paraId="56676F2A">
            <w:pPr>
              <w:keepNext w:val="0"/>
              <w:keepLines w:val="0"/>
              <w:suppressLineNumbers w:val="0"/>
              <w:spacing w:before="0" w:beforeAutospacing="0" w:after="0" w:afterAutospacing="0"/>
              <w:ind w:left="0" w:right="0"/>
              <w:jc w:val="left"/>
              <w:rPr>
                <w:rFonts w:hint="default" w:ascii="宋体" w:hAnsi="宋体" w:eastAsia="宋体" w:cs="Times New Roman"/>
                <w:b/>
                <w:bCs/>
                <w:color w:val="auto"/>
                <w:sz w:val="21"/>
                <w:szCs w:val="21"/>
                <w:highlight w:val="none"/>
              </w:rPr>
            </w:pPr>
            <w:r>
              <w:rPr>
                <w:rFonts w:hint="default" w:ascii="宋体" w:hAnsi="宋体" w:eastAsia="宋体" w:cs="Times New Roman"/>
                <w:b w:val="0"/>
                <w:bCs w:val="0"/>
                <w:color w:val="auto"/>
                <w:sz w:val="21"/>
                <w:szCs w:val="21"/>
                <w:highlight w:val="none"/>
              </w:rPr>
              <w:t>……</w:t>
            </w:r>
          </w:p>
        </w:tc>
        <w:tc>
          <w:tcPr>
            <w:tcW w:w="851" w:type="dxa"/>
            <w:noWrap w:val="0"/>
            <w:vAlign w:val="center"/>
          </w:tcPr>
          <w:p w14:paraId="39F16D27">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0B18AA47">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2022562E">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6E77DC72">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675F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73E7E442">
            <w:pPr>
              <w:keepNext w:val="0"/>
              <w:keepLines w:val="0"/>
              <w:suppressLineNumbers w:val="0"/>
              <w:spacing w:before="0" w:beforeAutospacing="0" w:after="0" w:afterAutospacing="0"/>
              <w:ind w:left="0" w:right="0"/>
              <w:jc w:val="center"/>
              <w:rPr>
                <w:rFonts w:hint="default" w:ascii="宋体" w:hAnsi="宋体" w:eastAsia="宋体" w:cs="Times New Roman"/>
                <w:b/>
                <w:color w:val="auto"/>
                <w:szCs w:val="21"/>
                <w:highlight w:val="none"/>
              </w:rPr>
            </w:pPr>
            <w:r>
              <w:rPr>
                <w:rFonts w:hint="eastAsia" w:ascii="宋体" w:hAnsi="宋体" w:eastAsia="宋体" w:cs="Times New Roman"/>
                <w:b/>
                <w:color w:val="auto"/>
                <w:szCs w:val="21"/>
                <w:highlight w:val="none"/>
              </w:rPr>
              <w:t>三</w:t>
            </w:r>
          </w:p>
        </w:tc>
        <w:tc>
          <w:tcPr>
            <w:tcW w:w="4602" w:type="dxa"/>
            <w:noWrap w:val="0"/>
            <w:vAlign w:val="center"/>
          </w:tcPr>
          <w:p w14:paraId="275B63F5">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r>
              <w:rPr>
                <w:rFonts w:hint="eastAsia" w:ascii="宋体" w:hAnsi="宋体" w:eastAsia="宋体" w:cs="Times New Roman"/>
                <w:b/>
                <w:bCs/>
                <w:color w:val="auto"/>
                <w:sz w:val="21"/>
                <w:szCs w:val="21"/>
                <w:highlight w:val="none"/>
                <w:lang w:eastAsia="zh-CN"/>
              </w:rPr>
              <w:t>单项</w:t>
            </w:r>
            <w:r>
              <w:rPr>
                <w:rFonts w:hint="eastAsia" w:ascii="宋体" w:hAnsi="宋体" w:eastAsia="宋体" w:cs="Times New Roman"/>
                <w:b/>
                <w:bCs/>
                <w:color w:val="auto"/>
                <w:sz w:val="21"/>
                <w:szCs w:val="21"/>
                <w:highlight w:val="none"/>
              </w:rPr>
              <w:t>工程</w:t>
            </w:r>
            <w:r>
              <w:rPr>
                <w:rFonts w:hint="eastAsia" w:ascii="宋体" w:hAnsi="宋体" w:eastAsia="宋体" w:cs="Times New Roman"/>
                <w:b/>
                <w:bCs/>
                <w:color w:val="auto"/>
                <w:sz w:val="21"/>
                <w:szCs w:val="21"/>
                <w:highlight w:val="none"/>
                <w:lang w:val="en-US" w:eastAsia="zh-CN"/>
              </w:rPr>
              <w:t>3</w:t>
            </w:r>
          </w:p>
        </w:tc>
        <w:tc>
          <w:tcPr>
            <w:tcW w:w="851" w:type="dxa"/>
            <w:noWrap w:val="0"/>
            <w:vAlign w:val="center"/>
          </w:tcPr>
          <w:p w14:paraId="01C137A4">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2A6CE2D6">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7CDC35AE">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37E8D75A">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742BC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1F06209B">
            <w:pPr>
              <w:keepNext w:val="0"/>
              <w:keepLines w:val="0"/>
              <w:suppressLineNumbers w:val="0"/>
              <w:spacing w:before="0" w:beforeAutospacing="0" w:after="0" w:afterAutospacing="0"/>
              <w:ind w:left="0" w:right="0"/>
              <w:jc w:val="center"/>
              <w:rPr>
                <w:rFonts w:hint="default" w:ascii="宋体" w:hAnsi="宋体" w:eastAsia="宋体" w:cs="Times New Roman"/>
                <w:b/>
                <w:color w:val="auto"/>
                <w:szCs w:val="21"/>
                <w:highlight w:val="none"/>
              </w:rPr>
            </w:pPr>
          </w:p>
        </w:tc>
        <w:tc>
          <w:tcPr>
            <w:tcW w:w="4602" w:type="dxa"/>
            <w:noWrap w:val="0"/>
            <w:vAlign w:val="center"/>
          </w:tcPr>
          <w:p w14:paraId="3A976BFD">
            <w:pPr>
              <w:keepNext w:val="0"/>
              <w:keepLines w:val="0"/>
              <w:suppressLineNumbers w:val="0"/>
              <w:spacing w:before="0" w:beforeAutospacing="0" w:after="0" w:afterAutospacing="0"/>
              <w:ind w:left="0" w:right="0"/>
              <w:jc w:val="left"/>
              <w:rPr>
                <w:rFonts w:hint="default" w:ascii="宋体" w:hAnsi="宋体" w:eastAsia="宋体" w:cs="Times New Roman"/>
                <w:b/>
                <w:bCs/>
                <w:color w:val="auto"/>
                <w:sz w:val="21"/>
                <w:szCs w:val="21"/>
                <w:highlight w:val="none"/>
              </w:rPr>
            </w:pPr>
            <w:r>
              <w:rPr>
                <w:rFonts w:hint="default" w:ascii="宋体" w:hAnsi="宋体" w:eastAsia="宋体" w:cs="Times New Roman"/>
                <w:b w:val="0"/>
                <w:bCs w:val="0"/>
                <w:color w:val="auto"/>
                <w:sz w:val="21"/>
                <w:szCs w:val="21"/>
                <w:highlight w:val="none"/>
              </w:rPr>
              <w:t>……</w:t>
            </w:r>
          </w:p>
        </w:tc>
        <w:tc>
          <w:tcPr>
            <w:tcW w:w="851" w:type="dxa"/>
            <w:noWrap w:val="0"/>
            <w:vAlign w:val="center"/>
          </w:tcPr>
          <w:p w14:paraId="62BCC1E2">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364F4153">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70B00479">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69BAD64C">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0341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AE7D78A">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595296F6">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p>
        </w:tc>
        <w:tc>
          <w:tcPr>
            <w:tcW w:w="851" w:type="dxa"/>
            <w:noWrap w:val="0"/>
            <w:vAlign w:val="center"/>
          </w:tcPr>
          <w:p w14:paraId="54DA06D2">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1AA1B0D7">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3AD6F57C">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0B2787B2">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5A3D1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2CD5203">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6A9BA4FE">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p>
        </w:tc>
        <w:tc>
          <w:tcPr>
            <w:tcW w:w="851" w:type="dxa"/>
            <w:noWrap w:val="0"/>
            <w:vAlign w:val="center"/>
          </w:tcPr>
          <w:p w14:paraId="3ADDD1CF">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6A38F6D2">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0B1FFFA2">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30AD62DC">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5E20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3276897A">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4007DB0F">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p>
        </w:tc>
        <w:tc>
          <w:tcPr>
            <w:tcW w:w="851" w:type="dxa"/>
            <w:noWrap w:val="0"/>
            <w:vAlign w:val="center"/>
          </w:tcPr>
          <w:p w14:paraId="40748713">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305B9DE8">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0B98A64A">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7BF5A578">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2FC87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5C2B2564">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4467D880">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p>
        </w:tc>
        <w:tc>
          <w:tcPr>
            <w:tcW w:w="851" w:type="dxa"/>
            <w:noWrap w:val="0"/>
            <w:vAlign w:val="center"/>
          </w:tcPr>
          <w:p w14:paraId="755328DD">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332E47CF">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274D7D86">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72D8BF24">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018DC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32E2BCB9">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04143828">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p>
        </w:tc>
        <w:tc>
          <w:tcPr>
            <w:tcW w:w="851" w:type="dxa"/>
            <w:noWrap w:val="0"/>
            <w:vAlign w:val="center"/>
          </w:tcPr>
          <w:p w14:paraId="7C471D33">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6F08CFB5">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12E73DF8">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249CE331">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13FE0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BECEEF7">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45113645">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p>
        </w:tc>
        <w:tc>
          <w:tcPr>
            <w:tcW w:w="851" w:type="dxa"/>
            <w:noWrap w:val="0"/>
            <w:vAlign w:val="center"/>
          </w:tcPr>
          <w:p w14:paraId="41329202">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310022FE">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178705E4">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3F36856A">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330D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685FBFA">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08A5E3BD">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p>
        </w:tc>
        <w:tc>
          <w:tcPr>
            <w:tcW w:w="851" w:type="dxa"/>
            <w:noWrap w:val="0"/>
            <w:vAlign w:val="center"/>
          </w:tcPr>
          <w:p w14:paraId="669991E6">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061C5B3B">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77DE4BE2">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29EDC9E1">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bl>
    <w:p w14:paraId="6B77A2E6">
      <w:pPr>
        <w:ind w:left="360" w:hanging="400"/>
        <w:rPr>
          <w:rFonts w:hint="eastAsia" w:ascii="宋体" w:hAnsi="宋体" w:eastAsia="宋体" w:cs="Times New Roman"/>
          <w:color w:val="auto"/>
          <w:sz w:val="20"/>
          <w:szCs w:val="20"/>
          <w:highlight w:val="none"/>
        </w:rPr>
      </w:pPr>
      <w:r>
        <w:rPr>
          <w:rFonts w:hint="eastAsia" w:ascii="宋体" w:hAnsi="宋体" w:eastAsia="宋体" w:cs="Times New Roman"/>
          <w:color w:val="auto"/>
          <w:sz w:val="20"/>
          <w:szCs w:val="20"/>
          <w:highlight w:val="none"/>
        </w:rPr>
        <w:t>注：</w:t>
      </w:r>
      <w:r>
        <w:rPr>
          <w:rFonts w:hint="eastAsia" w:ascii="宋体" w:hAnsi="宋体" w:eastAsia="宋体" w:cs="Times New Roman"/>
          <w:color w:val="auto"/>
          <w:sz w:val="20"/>
          <w:szCs w:val="20"/>
          <w:highlight w:val="none"/>
          <w:lang w:val="en-US" w:eastAsia="zh-CN"/>
        </w:rPr>
        <w:t>1.</w:t>
      </w:r>
      <w:r>
        <w:rPr>
          <w:rFonts w:hint="eastAsia" w:ascii="宋体" w:hAnsi="宋体" w:eastAsia="宋体" w:cs="Times New Roman"/>
          <w:color w:val="auto"/>
          <w:sz w:val="20"/>
          <w:szCs w:val="20"/>
          <w:highlight w:val="none"/>
        </w:rPr>
        <w:t>此表由招标人填写除“投标单价”栏的内容</w:t>
      </w:r>
      <w:r>
        <w:rPr>
          <w:rFonts w:hint="eastAsia" w:ascii="宋体" w:hAnsi="宋体" w:eastAsia="宋体" w:cs="Times New Roman"/>
          <w:color w:val="auto"/>
          <w:sz w:val="20"/>
          <w:szCs w:val="20"/>
          <w:highlight w:val="none"/>
          <w:lang w:eastAsia="zh-CN"/>
        </w:rPr>
        <w:t>，</w:t>
      </w:r>
      <w:r>
        <w:rPr>
          <w:rFonts w:hint="eastAsia" w:ascii="宋体" w:hAnsi="宋体" w:eastAsia="宋体" w:cs="Times New Roman"/>
          <w:color w:val="auto"/>
          <w:sz w:val="20"/>
          <w:szCs w:val="20"/>
          <w:highlight w:val="none"/>
        </w:rPr>
        <w:t>投标人在投标时自主确定投标单价。</w:t>
      </w:r>
    </w:p>
    <w:p w14:paraId="754039A3">
      <w:pPr>
        <w:ind w:left="357" w:firstLine="0"/>
        <w:rPr>
          <w:rFonts w:ascii="Times New Roman" w:hAnsi="Times New Roman" w:eastAsia="宋体" w:cs="Times New Roman"/>
          <w:color w:val="auto"/>
          <w:sz w:val="20"/>
          <w:szCs w:val="20"/>
          <w:highlight w:val="none"/>
        </w:rPr>
      </w:pPr>
      <w:r>
        <w:rPr>
          <w:rFonts w:hint="eastAsia" w:ascii="宋体" w:hAnsi="宋体" w:eastAsia="宋体" w:cs="Times New Roman"/>
          <w:color w:val="auto"/>
          <w:sz w:val="20"/>
          <w:szCs w:val="20"/>
          <w:highlight w:val="none"/>
          <w:lang w:val="en-US" w:eastAsia="zh-CN"/>
        </w:rPr>
        <w:t>2.应用于一般计税法为除税价，应用于简易计税法为含税价。</w:t>
      </w:r>
    </w:p>
    <w:p w14:paraId="1332B563">
      <w:pPr>
        <w:jc w:val="lef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 xml:space="preserve"> </w:t>
      </w:r>
    </w:p>
    <w:p w14:paraId="23930773">
      <w:pPr>
        <w:jc w:val="right"/>
        <w:rPr>
          <w:rFonts w:hint="default" w:ascii="Times New Roman" w:hAnsi="Times New Roman" w:eastAsia="宋体" w:cs="Times New Roman"/>
          <w:color w:val="auto"/>
          <w:sz w:val="24"/>
          <w:szCs w:val="21"/>
          <w:highlight w:val="none"/>
          <w:lang w:val="en-US" w:eastAsia="zh-CN"/>
        </w:rPr>
      </w:pPr>
      <w:r>
        <w:rPr>
          <w:rFonts w:hint="eastAsia" w:ascii="宋体" w:hAnsi="宋体" w:eastAsia="宋体" w:cs="Times New Roman"/>
          <w:color w:val="auto"/>
          <w:sz w:val="21"/>
          <w:szCs w:val="21"/>
          <w:highlight w:val="none"/>
        </w:rPr>
        <w:t>表-</w:t>
      </w:r>
      <w:r>
        <w:rPr>
          <w:rFonts w:hint="eastAsia" w:ascii="宋体" w:hAnsi="宋体" w:eastAsia="宋体" w:cs="Times New Roman"/>
          <w:color w:val="auto"/>
          <w:sz w:val="21"/>
          <w:szCs w:val="21"/>
          <w:highlight w:val="none"/>
          <w:lang w:val="en-US" w:eastAsia="zh-CN"/>
        </w:rPr>
        <w:t>16</w:t>
      </w:r>
    </w:p>
    <w:p w14:paraId="2F9F1613">
      <w:pPr>
        <w:pStyle w:val="47"/>
        <w:spacing w:after="0"/>
        <w:ind w:firstLine="210"/>
        <w:rPr>
          <w:color w:val="auto"/>
          <w:highlight w:val="none"/>
        </w:rPr>
      </w:pPr>
    </w:p>
    <w:p w14:paraId="10E5B3D5">
      <w:pPr>
        <w:pStyle w:val="47"/>
        <w:spacing w:after="0"/>
        <w:ind w:firstLine="0"/>
        <w:rPr>
          <w:rFonts w:ascii="黑体" w:hAnsi="黑体" w:eastAsia="黑体"/>
          <w:color w:val="auto"/>
          <w:highlight w:val="none"/>
        </w:rPr>
      </w:pPr>
    </w:p>
    <w:p w14:paraId="7EFAF49C">
      <w:pPr>
        <w:pStyle w:val="47"/>
        <w:spacing w:after="0"/>
        <w:ind w:firstLine="210"/>
        <w:rPr>
          <w:color w:val="auto"/>
          <w:highlight w:val="none"/>
        </w:rPr>
      </w:pPr>
    </w:p>
    <w:p w14:paraId="516E23A8">
      <w:pPr>
        <w:jc w:val="center"/>
        <w:rPr>
          <w:rFonts w:hint="eastAsia" w:ascii="宋体" w:hAnsi="宋体" w:eastAsia="宋体" w:cs="Times New Roman"/>
          <w:b/>
          <w:bCs w:val="0"/>
          <w:color w:val="auto"/>
          <w:sz w:val="36"/>
          <w:szCs w:val="36"/>
          <w:highlight w:val="none"/>
        </w:rPr>
      </w:pPr>
      <w:r>
        <w:rPr>
          <w:rFonts w:hint="eastAsia" w:ascii="宋体" w:hAnsi="宋体" w:eastAsia="宋体" w:cs="Times New Roman"/>
          <w:b/>
          <w:bCs w:val="0"/>
          <w:color w:val="auto"/>
          <w:sz w:val="36"/>
          <w:szCs w:val="36"/>
          <w:highlight w:val="none"/>
          <w:lang w:eastAsia="zh-CN"/>
        </w:rPr>
        <w:t>人工及主要材料费可调因子价格指数及</w:t>
      </w:r>
      <w:r>
        <w:rPr>
          <w:rFonts w:hint="eastAsia" w:ascii="宋体" w:hAnsi="宋体" w:eastAsia="宋体" w:cs="Times New Roman"/>
          <w:b/>
          <w:bCs w:val="0"/>
          <w:color w:val="auto"/>
          <w:sz w:val="36"/>
          <w:szCs w:val="36"/>
          <w:highlight w:val="none"/>
        </w:rPr>
        <w:t>权重表</w:t>
      </w:r>
    </w:p>
    <w:p w14:paraId="45DDED16">
      <w:pPr>
        <w:jc w:val="center"/>
        <w:rPr>
          <w:rFonts w:hint="eastAsia" w:ascii="宋体" w:hAnsi="宋体" w:eastAsia="宋体" w:cs="Times New Roman"/>
          <w:b/>
          <w:bCs/>
          <w:color w:val="auto"/>
          <w:sz w:val="28"/>
          <w:szCs w:val="28"/>
          <w:highlight w:val="none"/>
        </w:rPr>
      </w:pPr>
      <w:r>
        <w:rPr>
          <w:rFonts w:hint="eastAsia" w:ascii="宋体" w:hAnsi="宋体" w:eastAsia="宋体" w:cs="Times New Roman"/>
          <w:b/>
          <w:bCs/>
          <w:color w:val="auto"/>
          <w:sz w:val="28"/>
          <w:szCs w:val="28"/>
          <w:highlight w:val="none"/>
          <w:lang w:eastAsia="zh-CN"/>
        </w:rPr>
        <w:t>（适用于总价合同）</w:t>
      </w:r>
    </w:p>
    <w:p w14:paraId="5877D420">
      <w:pPr>
        <w:widowControl w:val="0"/>
        <w:spacing w:after="60" w:line="360" w:lineRule="atLeast"/>
        <w:ind w:left="63" w:right="63"/>
        <w:jc w:val="center"/>
        <w:rPr>
          <w:rFonts w:ascii="宋体" w:hAnsi="宋体" w:eastAsia="宋体" w:cs="Times New Roman"/>
          <w:color w:val="auto"/>
          <w:sz w:val="22"/>
          <w:szCs w:val="22"/>
          <w:highlight w:val="none"/>
          <w:lang w:val="en-US" w:eastAsia="zh-CN" w:bidi="ar-SA"/>
        </w:rPr>
      </w:pPr>
      <w:r>
        <w:rPr>
          <w:rFonts w:hint="eastAsia" w:ascii="宋体" w:hAnsi="宋体" w:eastAsia="宋体" w:cs="Times New Roman"/>
          <w:color w:val="auto"/>
          <w:sz w:val="22"/>
          <w:szCs w:val="22"/>
          <w:highlight w:val="none"/>
          <w:lang w:val="en-US" w:eastAsia="zh-CN" w:bidi="ar-SA"/>
        </w:rPr>
        <w:t xml:space="preserve"> 工程名称：                                                       第  页  共  页</w:t>
      </w:r>
    </w:p>
    <w:tbl>
      <w:tblPr>
        <w:tblStyle w:val="287"/>
        <w:tblW w:w="9048" w:type="dxa"/>
        <w:tblInd w:w="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7"/>
        <w:gridCol w:w="1405"/>
        <w:gridCol w:w="1091"/>
        <w:gridCol w:w="1445"/>
        <w:gridCol w:w="1309"/>
        <w:gridCol w:w="1268"/>
        <w:gridCol w:w="1303"/>
      </w:tblGrid>
      <w:tr w14:paraId="55E4B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atLeast"/>
        </w:trPr>
        <w:tc>
          <w:tcPr>
            <w:tcW w:w="1227" w:type="dxa"/>
            <w:noWrap w:val="0"/>
            <w:vAlign w:val="center"/>
          </w:tcPr>
          <w:p w14:paraId="40AA3CAE">
            <w:pPr>
              <w:pStyle w:val="290"/>
              <w:spacing w:before="1"/>
              <w:ind w:left="105"/>
              <w:jc w:val="center"/>
              <w:rPr>
                <w:color w:val="auto"/>
                <w:sz w:val="21"/>
                <w:highlight w:val="none"/>
              </w:rPr>
            </w:pPr>
            <w:r>
              <w:rPr>
                <w:rFonts w:hint="eastAsia"/>
                <w:color w:val="auto"/>
                <w:sz w:val="21"/>
                <w:highlight w:val="none"/>
                <w:lang w:eastAsia="zh-CN"/>
              </w:rPr>
              <w:t>可调因子</w:t>
            </w:r>
          </w:p>
        </w:tc>
        <w:tc>
          <w:tcPr>
            <w:tcW w:w="1405" w:type="dxa"/>
            <w:noWrap w:val="0"/>
            <w:vAlign w:val="center"/>
          </w:tcPr>
          <w:p w14:paraId="154CB91A">
            <w:pPr>
              <w:pStyle w:val="290"/>
              <w:spacing w:before="1"/>
              <w:jc w:val="center"/>
              <w:rPr>
                <w:rFonts w:hint="eastAsia" w:ascii="黑体"/>
                <w:color w:val="auto"/>
                <w:sz w:val="20"/>
                <w:highlight w:val="none"/>
                <w:lang w:eastAsia="zh-CN"/>
              </w:rPr>
            </w:pPr>
            <w:r>
              <w:rPr>
                <w:rFonts w:hint="eastAsia" w:ascii="黑体"/>
                <w:color w:val="auto"/>
                <w:sz w:val="20"/>
                <w:highlight w:val="none"/>
                <w:lang w:eastAsia="zh-CN"/>
              </w:rPr>
              <w:t>基准日价格</w:t>
            </w:r>
          </w:p>
          <w:p w14:paraId="0B857717">
            <w:pPr>
              <w:pStyle w:val="290"/>
              <w:spacing w:before="1"/>
              <w:jc w:val="center"/>
              <w:rPr>
                <w:rFonts w:hint="eastAsia"/>
                <w:color w:val="auto"/>
                <w:sz w:val="21"/>
                <w:highlight w:val="none"/>
                <w:lang w:val="en-US" w:eastAsia="zh-CN"/>
              </w:rPr>
            </w:pPr>
            <w:r>
              <w:rPr>
                <w:color w:val="auto"/>
                <w:sz w:val="21"/>
                <w:highlight w:val="none"/>
              </w:rPr>
              <w:t>指数</w:t>
            </w:r>
            <w:r>
              <w:rPr>
                <w:rFonts w:hint="eastAsia"/>
                <w:color w:val="auto"/>
                <w:sz w:val="21"/>
                <w:highlight w:val="none"/>
                <w:lang w:eastAsia="zh-CN"/>
              </w:rPr>
              <w:t>或</w:t>
            </w:r>
            <w:r>
              <w:rPr>
                <w:rFonts w:hint="eastAsia"/>
                <w:color w:val="auto"/>
                <w:sz w:val="21"/>
                <w:highlight w:val="none"/>
                <w:lang w:val="en-US" w:eastAsia="zh-CN"/>
              </w:rPr>
              <w:t>单价</w:t>
            </w:r>
          </w:p>
          <w:p w14:paraId="0CF39139">
            <w:pPr>
              <w:pStyle w:val="290"/>
              <w:spacing w:before="1"/>
              <w:jc w:val="center"/>
              <w:rPr>
                <w:rFonts w:hint="eastAsia"/>
                <w:color w:val="auto"/>
                <w:sz w:val="21"/>
                <w:highlight w:val="none"/>
                <w:lang w:val="en-US" w:eastAsia="zh-CN"/>
              </w:rPr>
            </w:pPr>
            <w:r>
              <w:rPr>
                <w:rFonts w:hint="eastAsia"/>
                <w:color w:val="auto"/>
                <w:sz w:val="21"/>
                <w:highlight w:val="none"/>
                <w:lang w:eastAsia="zh-CN"/>
              </w:rPr>
              <w:t>（元）</w:t>
            </w:r>
          </w:p>
        </w:tc>
        <w:tc>
          <w:tcPr>
            <w:tcW w:w="1091" w:type="dxa"/>
            <w:noWrap w:val="0"/>
            <w:vAlign w:val="center"/>
          </w:tcPr>
          <w:p w14:paraId="019B4836">
            <w:pPr>
              <w:pStyle w:val="290"/>
              <w:spacing w:before="1"/>
              <w:ind w:left="108" w:right="0"/>
              <w:jc w:val="both"/>
              <w:rPr>
                <w:rFonts w:hint="default"/>
                <w:color w:val="auto"/>
                <w:sz w:val="21"/>
                <w:highlight w:val="none"/>
                <w:lang w:val="en-US" w:eastAsia="zh-CN"/>
              </w:rPr>
            </w:pPr>
            <w:r>
              <w:rPr>
                <w:rFonts w:hint="eastAsia"/>
                <w:color w:val="auto"/>
                <w:sz w:val="21"/>
                <w:highlight w:val="none"/>
                <w:lang w:val="en-US" w:eastAsia="zh-CN"/>
              </w:rPr>
              <w:t>风险幅度（%）</w:t>
            </w:r>
          </w:p>
        </w:tc>
        <w:tc>
          <w:tcPr>
            <w:tcW w:w="1445" w:type="dxa"/>
            <w:noWrap w:val="0"/>
            <w:vAlign w:val="center"/>
          </w:tcPr>
          <w:p w14:paraId="6A286C5E">
            <w:pPr>
              <w:pStyle w:val="290"/>
              <w:spacing w:before="1"/>
              <w:jc w:val="center"/>
              <w:rPr>
                <w:rFonts w:hint="eastAsia"/>
                <w:color w:val="auto"/>
                <w:sz w:val="21"/>
                <w:highlight w:val="none"/>
                <w:lang w:val="en-US" w:eastAsia="zh-CN"/>
              </w:rPr>
            </w:pPr>
            <w:r>
              <w:rPr>
                <w:rFonts w:hint="eastAsia"/>
                <w:color w:val="auto"/>
                <w:sz w:val="21"/>
                <w:highlight w:val="none"/>
                <w:lang w:val="en-US" w:eastAsia="zh-CN"/>
              </w:rPr>
              <w:t>基本价格</w:t>
            </w:r>
          </w:p>
          <w:p w14:paraId="4B032411">
            <w:pPr>
              <w:pStyle w:val="290"/>
              <w:spacing w:before="1"/>
              <w:jc w:val="center"/>
              <w:rPr>
                <w:rFonts w:hint="eastAsia"/>
                <w:color w:val="auto"/>
                <w:sz w:val="21"/>
                <w:highlight w:val="none"/>
                <w:lang w:val="en-US" w:eastAsia="zh-CN"/>
              </w:rPr>
            </w:pPr>
            <w:r>
              <w:rPr>
                <w:rFonts w:hint="eastAsia"/>
                <w:color w:val="auto"/>
                <w:sz w:val="21"/>
                <w:highlight w:val="none"/>
                <w:lang w:val="en-US" w:eastAsia="zh-CN"/>
              </w:rPr>
              <w:t>指数或单价</w:t>
            </w:r>
          </w:p>
          <w:p w14:paraId="2988FF6C">
            <w:pPr>
              <w:pStyle w:val="290"/>
              <w:spacing w:before="1"/>
              <w:jc w:val="center"/>
              <w:rPr>
                <w:rFonts w:hint="eastAsia"/>
                <w:color w:val="auto"/>
                <w:sz w:val="21"/>
                <w:highlight w:val="none"/>
                <w:lang w:val="en-US" w:eastAsia="zh-CN"/>
              </w:rPr>
            </w:pPr>
            <w:r>
              <w:rPr>
                <w:rFonts w:hint="eastAsia"/>
                <w:color w:val="auto"/>
                <w:sz w:val="21"/>
                <w:highlight w:val="none"/>
                <w:lang w:val="en-US" w:eastAsia="zh-CN"/>
              </w:rPr>
              <w:t>（元）</w:t>
            </w:r>
          </w:p>
        </w:tc>
        <w:tc>
          <w:tcPr>
            <w:tcW w:w="1309" w:type="dxa"/>
            <w:noWrap w:val="0"/>
            <w:vAlign w:val="center"/>
          </w:tcPr>
          <w:p w14:paraId="0CEBE85B">
            <w:pPr>
              <w:pStyle w:val="290"/>
              <w:spacing w:before="1"/>
              <w:ind w:left="105"/>
              <w:jc w:val="center"/>
              <w:rPr>
                <w:color w:val="auto"/>
                <w:sz w:val="21"/>
                <w:highlight w:val="none"/>
                <w:u w:val="single"/>
              </w:rPr>
            </w:pPr>
            <w:r>
              <w:rPr>
                <w:rFonts w:hint="eastAsia"/>
                <w:color w:val="auto"/>
                <w:sz w:val="21"/>
                <w:highlight w:val="none"/>
                <w:lang w:val="en-US" w:eastAsia="zh-CN"/>
              </w:rPr>
              <w:t>招标</w:t>
            </w:r>
            <w:r>
              <w:rPr>
                <w:rFonts w:hint="eastAsia"/>
                <w:color w:val="auto"/>
                <w:sz w:val="21"/>
                <w:highlight w:val="none"/>
                <w:lang w:eastAsia="zh-CN"/>
              </w:rPr>
              <w:t>人</w:t>
            </w:r>
            <w:r>
              <w:rPr>
                <w:color w:val="auto"/>
                <w:sz w:val="21"/>
                <w:highlight w:val="none"/>
              </w:rPr>
              <w:t>允许</w:t>
            </w:r>
            <w:r>
              <w:rPr>
                <w:rFonts w:hint="eastAsia"/>
                <w:color w:val="auto"/>
                <w:sz w:val="21"/>
                <w:highlight w:val="none"/>
                <w:lang w:eastAsia="zh-CN"/>
              </w:rPr>
              <w:t>权重</w:t>
            </w:r>
            <w:r>
              <w:rPr>
                <w:color w:val="auto"/>
                <w:sz w:val="21"/>
                <w:highlight w:val="none"/>
              </w:rPr>
              <w:t>范围</w:t>
            </w:r>
          </w:p>
        </w:tc>
        <w:tc>
          <w:tcPr>
            <w:tcW w:w="1268" w:type="dxa"/>
            <w:noWrap w:val="0"/>
            <w:vAlign w:val="center"/>
          </w:tcPr>
          <w:p w14:paraId="0DF70119">
            <w:pPr>
              <w:pStyle w:val="290"/>
              <w:spacing w:before="1"/>
              <w:ind w:left="0"/>
              <w:jc w:val="center"/>
              <w:rPr>
                <w:rFonts w:hint="eastAsia"/>
                <w:color w:val="auto"/>
                <w:sz w:val="21"/>
                <w:highlight w:val="none"/>
                <w:lang w:eastAsia="zh-CN"/>
              </w:rPr>
            </w:pPr>
            <w:r>
              <w:rPr>
                <w:color w:val="auto"/>
                <w:sz w:val="21"/>
                <w:highlight w:val="none"/>
              </w:rPr>
              <w:t>投标人</w:t>
            </w:r>
          </w:p>
          <w:p w14:paraId="5F074252">
            <w:pPr>
              <w:pStyle w:val="290"/>
              <w:spacing w:before="1"/>
              <w:ind w:left="0"/>
              <w:jc w:val="center"/>
              <w:rPr>
                <w:rFonts w:hint="eastAsia"/>
                <w:color w:val="auto"/>
                <w:sz w:val="21"/>
                <w:highlight w:val="none"/>
                <w:lang w:val="en-US" w:eastAsia="zh-CN"/>
              </w:rPr>
            </w:pPr>
            <w:r>
              <w:rPr>
                <w:rFonts w:hint="eastAsia"/>
                <w:color w:val="auto"/>
                <w:sz w:val="21"/>
                <w:highlight w:val="none"/>
                <w:lang w:eastAsia="zh-CN"/>
              </w:rPr>
              <w:t>填报权重</w:t>
            </w:r>
          </w:p>
        </w:tc>
        <w:tc>
          <w:tcPr>
            <w:tcW w:w="1303" w:type="dxa"/>
            <w:noWrap w:val="0"/>
            <w:vAlign w:val="center"/>
          </w:tcPr>
          <w:p w14:paraId="7956E35B">
            <w:pPr>
              <w:pStyle w:val="290"/>
              <w:spacing w:before="1"/>
              <w:ind w:left="0"/>
              <w:jc w:val="center"/>
              <w:rPr>
                <w:rFonts w:hint="eastAsia"/>
                <w:color w:val="auto"/>
                <w:sz w:val="21"/>
                <w:highlight w:val="none"/>
                <w:lang w:val="en-US" w:eastAsia="zh-CN"/>
              </w:rPr>
            </w:pPr>
            <w:r>
              <w:rPr>
                <w:rFonts w:hint="eastAsia"/>
                <w:color w:val="auto"/>
                <w:sz w:val="21"/>
                <w:highlight w:val="none"/>
                <w:lang w:val="en-US" w:eastAsia="zh-CN"/>
              </w:rPr>
              <w:t>价格指数</w:t>
            </w:r>
          </w:p>
          <w:p w14:paraId="56E5BC5D">
            <w:pPr>
              <w:pStyle w:val="290"/>
              <w:spacing w:before="1"/>
              <w:ind w:left="0"/>
              <w:jc w:val="center"/>
              <w:rPr>
                <w:rFonts w:hint="default" w:eastAsia="宋体"/>
                <w:color w:val="auto"/>
                <w:sz w:val="21"/>
                <w:highlight w:val="none"/>
                <w:lang w:val="en-US" w:eastAsia="zh-CN"/>
              </w:rPr>
            </w:pPr>
            <w:r>
              <w:rPr>
                <w:rFonts w:hint="eastAsia"/>
                <w:color w:val="auto"/>
                <w:sz w:val="21"/>
                <w:highlight w:val="none"/>
                <w:lang w:val="en-US" w:eastAsia="zh-CN"/>
              </w:rPr>
              <w:t>来源</w:t>
            </w:r>
          </w:p>
        </w:tc>
      </w:tr>
      <w:tr w14:paraId="53852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0385545B">
            <w:pPr>
              <w:pStyle w:val="290"/>
              <w:spacing w:before="1"/>
              <w:ind w:left="105"/>
              <w:rPr>
                <w:color w:val="auto"/>
                <w:sz w:val="21"/>
                <w:highlight w:val="none"/>
              </w:rPr>
            </w:pPr>
          </w:p>
        </w:tc>
        <w:tc>
          <w:tcPr>
            <w:tcW w:w="1405" w:type="dxa"/>
            <w:noWrap w:val="0"/>
            <w:vAlign w:val="center"/>
          </w:tcPr>
          <w:p w14:paraId="47CE42F9">
            <w:pPr>
              <w:pStyle w:val="290"/>
              <w:spacing w:before="1"/>
              <w:jc w:val="both"/>
              <w:rPr>
                <w:rFonts w:hint="default" w:eastAsia="宋体"/>
                <w:color w:val="auto"/>
                <w:sz w:val="21"/>
                <w:highlight w:val="none"/>
                <w:lang w:val="en-US" w:eastAsia="zh-CN"/>
              </w:rPr>
            </w:pPr>
          </w:p>
        </w:tc>
        <w:tc>
          <w:tcPr>
            <w:tcW w:w="1091" w:type="dxa"/>
            <w:noWrap w:val="0"/>
            <w:vAlign w:val="center"/>
          </w:tcPr>
          <w:p w14:paraId="5203DB38">
            <w:pPr>
              <w:pStyle w:val="290"/>
              <w:spacing w:before="1"/>
              <w:ind w:left="108" w:right="0"/>
              <w:jc w:val="both"/>
              <w:rPr>
                <w:rFonts w:hint="eastAsia" w:ascii="Times New Roman" w:hAnsi="Times New Roman" w:eastAsia="宋体" w:cs="Times New Roman"/>
                <w:color w:val="auto"/>
                <w:sz w:val="21"/>
                <w:szCs w:val="24"/>
                <w:highlight w:val="none"/>
                <w:lang w:val="en-US" w:eastAsia="zh-CN" w:bidi="ar-SA"/>
              </w:rPr>
            </w:pPr>
          </w:p>
        </w:tc>
        <w:tc>
          <w:tcPr>
            <w:tcW w:w="1445" w:type="dxa"/>
            <w:noWrap w:val="0"/>
            <w:vAlign w:val="center"/>
          </w:tcPr>
          <w:p w14:paraId="307BE9C5">
            <w:pPr>
              <w:pStyle w:val="290"/>
              <w:spacing w:before="1"/>
              <w:jc w:val="both"/>
              <w:rPr>
                <w:rFonts w:hint="default"/>
                <w:color w:val="auto"/>
                <w:sz w:val="21"/>
                <w:highlight w:val="none"/>
                <w:lang w:val="en-US" w:eastAsia="zh-CN"/>
              </w:rPr>
            </w:pPr>
          </w:p>
        </w:tc>
        <w:tc>
          <w:tcPr>
            <w:tcW w:w="1309" w:type="dxa"/>
            <w:noWrap w:val="0"/>
            <w:vAlign w:val="top"/>
          </w:tcPr>
          <w:p w14:paraId="6013DB6E">
            <w:pPr>
              <w:pStyle w:val="290"/>
              <w:spacing w:before="1"/>
              <w:ind w:left="105"/>
              <w:rPr>
                <w:color w:val="auto"/>
                <w:sz w:val="21"/>
                <w:highlight w:val="none"/>
              </w:rPr>
            </w:pPr>
          </w:p>
        </w:tc>
        <w:tc>
          <w:tcPr>
            <w:tcW w:w="1268" w:type="dxa"/>
            <w:noWrap w:val="0"/>
            <w:vAlign w:val="top"/>
          </w:tcPr>
          <w:p w14:paraId="0CBCA29A">
            <w:pPr>
              <w:pStyle w:val="290"/>
              <w:spacing w:before="1"/>
              <w:ind w:left="107"/>
              <w:rPr>
                <w:rFonts w:hint="default" w:eastAsia="宋体"/>
                <w:color w:val="auto"/>
                <w:sz w:val="21"/>
                <w:highlight w:val="none"/>
                <w:lang w:val="en-US" w:eastAsia="zh-CN"/>
              </w:rPr>
            </w:pPr>
          </w:p>
        </w:tc>
        <w:tc>
          <w:tcPr>
            <w:tcW w:w="1303" w:type="dxa"/>
            <w:noWrap w:val="0"/>
            <w:vAlign w:val="top"/>
          </w:tcPr>
          <w:p w14:paraId="7F1EB9C9">
            <w:pPr>
              <w:pStyle w:val="290"/>
              <w:spacing w:before="1"/>
              <w:ind w:left="108"/>
              <w:rPr>
                <w:rFonts w:hint="default" w:eastAsia="宋体"/>
                <w:color w:val="auto"/>
                <w:sz w:val="21"/>
                <w:highlight w:val="none"/>
                <w:lang w:val="en-US" w:eastAsia="zh-CN"/>
              </w:rPr>
            </w:pPr>
          </w:p>
        </w:tc>
      </w:tr>
      <w:tr w14:paraId="05F8D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05AAB111">
            <w:pPr>
              <w:pStyle w:val="290"/>
              <w:ind w:left="105"/>
              <w:rPr>
                <w:rFonts w:hint="default" w:eastAsia="宋体"/>
                <w:color w:val="auto"/>
                <w:sz w:val="21"/>
                <w:highlight w:val="none"/>
                <w:lang w:val="en-US" w:eastAsia="zh-CN"/>
              </w:rPr>
            </w:pPr>
          </w:p>
        </w:tc>
        <w:tc>
          <w:tcPr>
            <w:tcW w:w="1405" w:type="dxa"/>
            <w:noWrap w:val="0"/>
            <w:vAlign w:val="center"/>
          </w:tcPr>
          <w:p w14:paraId="5256739E">
            <w:pPr>
              <w:pStyle w:val="290"/>
              <w:ind w:left="105"/>
              <w:jc w:val="both"/>
              <w:rPr>
                <w:rFonts w:hint="default" w:eastAsia="宋体"/>
                <w:color w:val="auto"/>
                <w:sz w:val="21"/>
                <w:highlight w:val="none"/>
                <w:lang w:val="en-US" w:eastAsia="zh-CN"/>
              </w:rPr>
            </w:pPr>
          </w:p>
        </w:tc>
        <w:tc>
          <w:tcPr>
            <w:tcW w:w="1091" w:type="dxa"/>
            <w:noWrap w:val="0"/>
            <w:vAlign w:val="center"/>
          </w:tcPr>
          <w:p w14:paraId="277CC04D">
            <w:pPr>
              <w:pStyle w:val="290"/>
              <w:ind w:left="108" w:right="0"/>
              <w:jc w:val="both"/>
              <w:rPr>
                <w:rFonts w:hint="eastAsia" w:ascii="Times New Roman" w:hAnsi="Times New Roman" w:eastAsia="宋体" w:cs="Times New Roman"/>
                <w:color w:val="auto"/>
                <w:sz w:val="21"/>
                <w:szCs w:val="24"/>
                <w:highlight w:val="none"/>
                <w:lang w:val="en-US" w:eastAsia="zh-CN" w:bidi="ar-SA"/>
              </w:rPr>
            </w:pPr>
          </w:p>
        </w:tc>
        <w:tc>
          <w:tcPr>
            <w:tcW w:w="1445" w:type="dxa"/>
            <w:noWrap w:val="0"/>
            <w:vAlign w:val="center"/>
          </w:tcPr>
          <w:p w14:paraId="1DE97891">
            <w:pPr>
              <w:pStyle w:val="290"/>
              <w:ind w:left="105"/>
              <w:jc w:val="both"/>
              <w:rPr>
                <w:rFonts w:hint="default"/>
                <w:color w:val="auto"/>
                <w:sz w:val="21"/>
                <w:highlight w:val="none"/>
                <w:lang w:val="en-US" w:eastAsia="zh-CN"/>
              </w:rPr>
            </w:pPr>
          </w:p>
        </w:tc>
        <w:tc>
          <w:tcPr>
            <w:tcW w:w="1309" w:type="dxa"/>
            <w:noWrap w:val="0"/>
            <w:vAlign w:val="top"/>
          </w:tcPr>
          <w:p w14:paraId="2D69E975">
            <w:pPr>
              <w:pStyle w:val="290"/>
              <w:ind w:left="105"/>
              <w:rPr>
                <w:color w:val="auto"/>
                <w:sz w:val="21"/>
                <w:highlight w:val="none"/>
              </w:rPr>
            </w:pPr>
          </w:p>
        </w:tc>
        <w:tc>
          <w:tcPr>
            <w:tcW w:w="1268" w:type="dxa"/>
            <w:noWrap w:val="0"/>
            <w:vAlign w:val="top"/>
          </w:tcPr>
          <w:p w14:paraId="137C7D4A">
            <w:pPr>
              <w:pStyle w:val="290"/>
              <w:ind w:left="107"/>
              <w:rPr>
                <w:rFonts w:hint="default" w:eastAsia="宋体"/>
                <w:color w:val="auto"/>
                <w:sz w:val="21"/>
                <w:highlight w:val="none"/>
                <w:lang w:val="en-US" w:eastAsia="zh-CN"/>
              </w:rPr>
            </w:pPr>
          </w:p>
        </w:tc>
        <w:tc>
          <w:tcPr>
            <w:tcW w:w="1303" w:type="dxa"/>
            <w:noWrap w:val="0"/>
            <w:vAlign w:val="top"/>
          </w:tcPr>
          <w:p w14:paraId="37B22F10">
            <w:pPr>
              <w:pStyle w:val="290"/>
              <w:ind w:left="108"/>
              <w:rPr>
                <w:rFonts w:hint="default" w:eastAsia="宋体"/>
                <w:color w:val="auto"/>
                <w:sz w:val="21"/>
                <w:highlight w:val="none"/>
                <w:lang w:val="en-US" w:eastAsia="zh-CN"/>
              </w:rPr>
            </w:pPr>
          </w:p>
        </w:tc>
      </w:tr>
      <w:tr w14:paraId="352C2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6A0764A6">
            <w:pPr>
              <w:pStyle w:val="290"/>
              <w:ind w:left="105"/>
              <w:rPr>
                <w:rFonts w:hint="default" w:eastAsia="宋体"/>
                <w:color w:val="auto"/>
                <w:sz w:val="21"/>
                <w:highlight w:val="none"/>
                <w:lang w:val="en-US" w:eastAsia="zh-CN"/>
              </w:rPr>
            </w:pPr>
          </w:p>
        </w:tc>
        <w:tc>
          <w:tcPr>
            <w:tcW w:w="1405" w:type="dxa"/>
            <w:noWrap w:val="0"/>
            <w:vAlign w:val="center"/>
          </w:tcPr>
          <w:p w14:paraId="0A796881">
            <w:pPr>
              <w:pStyle w:val="290"/>
              <w:ind w:left="105"/>
              <w:jc w:val="both"/>
              <w:rPr>
                <w:rFonts w:hint="default" w:eastAsia="宋体"/>
                <w:color w:val="auto"/>
                <w:sz w:val="21"/>
                <w:highlight w:val="none"/>
                <w:lang w:val="en-US" w:eastAsia="zh-CN"/>
              </w:rPr>
            </w:pPr>
          </w:p>
        </w:tc>
        <w:tc>
          <w:tcPr>
            <w:tcW w:w="1091" w:type="dxa"/>
            <w:noWrap w:val="0"/>
            <w:vAlign w:val="center"/>
          </w:tcPr>
          <w:p w14:paraId="0C262D61">
            <w:pPr>
              <w:pStyle w:val="290"/>
              <w:ind w:left="108" w:right="0"/>
              <w:jc w:val="both"/>
              <w:rPr>
                <w:rFonts w:hint="eastAsia" w:ascii="Times New Roman" w:hAnsi="Times New Roman" w:eastAsia="宋体" w:cs="Times New Roman"/>
                <w:color w:val="auto"/>
                <w:sz w:val="21"/>
                <w:szCs w:val="24"/>
                <w:highlight w:val="none"/>
                <w:lang w:val="en-US" w:eastAsia="zh-CN" w:bidi="ar-SA"/>
              </w:rPr>
            </w:pPr>
          </w:p>
        </w:tc>
        <w:tc>
          <w:tcPr>
            <w:tcW w:w="1445" w:type="dxa"/>
            <w:noWrap w:val="0"/>
            <w:vAlign w:val="center"/>
          </w:tcPr>
          <w:p w14:paraId="36F88037">
            <w:pPr>
              <w:pStyle w:val="290"/>
              <w:ind w:left="105"/>
              <w:jc w:val="both"/>
              <w:rPr>
                <w:rFonts w:hint="default"/>
                <w:color w:val="auto"/>
                <w:sz w:val="21"/>
                <w:highlight w:val="none"/>
                <w:lang w:val="en-US" w:eastAsia="zh-CN"/>
              </w:rPr>
            </w:pPr>
          </w:p>
        </w:tc>
        <w:tc>
          <w:tcPr>
            <w:tcW w:w="1309" w:type="dxa"/>
            <w:noWrap w:val="0"/>
            <w:vAlign w:val="top"/>
          </w:tcPr>
          <w:p w14:paraId="3AF2586C">
            <w:pPr>
              <w:pStyle w:val="290"/>
              <w:ind w:left="105"/>
              <w:rPr>
                <w:color w:val="auto"/>
                <w:sz w:val="21"/>
                <w:highlight w:val="none"/>
              </w:rPr>
            </w:pPr>
          </w:p>
        </w:tc>
        <w:tc>
          <w:tcPr>
            <w:tcW w:w="1268" w:type="dxa"/>
            <w:noWrap w:val="0"/>
            <w:vAlign w:val="top"/>
          </w:tcPr>
          <w:p w14:paraId="5E481310">
            <w:pPr>
              <w:pStyle w:val="290"/>
              <w:ind w:left="107"/>
              <w:rPr>
                <w:rFonts w:hint="default" w:eastAsia="宋体"/>
                <w:color w:val="auto"/>
                <w:sz w:val="21"/>
                <w:highlight w:val="none"/>
                <w:lang w:val="en-US" w:eastAsia="zh-CN"/>
              </w:rPr>
            </w:pPr>
          </w:p>
        </w:tc>
        <w:tc>
          <w:tcPr>
            <w:tcW w:w="1303" w:type="dxa"/>
            <w:noWrap w:val="0"/>
            <w:vAlign w:val="top"/>
          </w:tcPr>
          <w:p w14:paraId="770B0493">
            <w:pPr>
              <w:pStyle w:val="290"/>
              <w:ind w:left="108"/>
              <w:rPr>
                <w:rFonts w:hint="default" w:eastAsia="宋体"/>
                <w:color w:val="auto"/>
                <w:sz w:val="21"/>
                <w:highlight w:val="none"/>
                <w:lang w:val="en-US" w:eastAsia="zh-CN"/>
              </w:rPr>
            </w:pPr>
          </w:p>
        </w:tc>
      </w:tr>
      <w:tr w14:paraId="398EC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01B34818">
            <w:pPr>
              <w:pStyle w:val="290"/>
              <w:ind w:left="105"/>
              <w:rPr>
                <w:rFonts w:hint="default" w:eastAsia="宋体"/>
                <w:color w:val="auto"/>
                <w:sz w:val="21"/>
                <w:highlight w:val="none"/>
                <w:lang w:val="en-US" w:eastAsia="zh-CN"/>
              </w:rPr>
            </w:pPr>
          </w:p>
        </w:tc>
        <w:tc>
          <w:tcPr>
            <w:tcW w:w="1405" w:type="dxa"/>
            <w:noWrap w:val="0"/>
            <w:vAlign w:val="center"/>
          </w:tcPr>
          <w:p w14:paraId="3A2FCF41">
            <w:pPr>
              <w:pStyle w:val="290"/>
              <w:ind w:left="105"/>
              <w:jc w:val="both"/>
              <w:rPr>
                <w:rFonts w:hint="default" w:eastAsia="宋体"/>
                <w:color w:val="auto"/>
                <w:sz w:val="21"/>
                <w:highlight w:val="none"/>
                <w:lang w:val="en-US" w:eastAsia="zh-CN"/>
              </w:rPr>
            </w:pPr>
          </w:p>
        </w:tc>
        <w:tc>
          <w:tcPr>
            <w:tcW w:w="1091" w:type="dxa"/>
            <w:noWrap w:val="0"/>
            <w:vAlign w:val="center"/>
          </w:tcPr>
          <w:p w14:paraId="45922AEE">
            <w:pPr>
              <w:pStyle w:val="290"/>
              <w:ind w:left="108" w:right="0"/>
              <w:jc w:val="both"/>
              <w:rPr>
                <w:rFonts w:hint="eastAsia" w:ascii="Times New Roman" w:hAnsi="Times New Roman" w:eastAsia="宋体" w:cs="Times New Roman"/>
                <w:color w:val="auto"/>
                <w:sz w:val="21"/>
                <w:szCs w:val="24"/>
                <w:highlight w:val="none"/>
                <w:lang w:val="en-US" w:eastAsia="zh-CN" w:bidi="ar-SA"/>
              </w:rPr>
            </w:pPr>
          </w:p>
        </w:tc>
        <w:tc>
          <w:tcPr>
            <w:tcW w:w="1445" w:type="dxa"/>
            <w:noWrap w:val="0"/>
            <w:vAlign w:val="center"/>
          </w:tcPr>
          <w:p w14:paraId="2D63BCD5">
            <w:pPr>
              <w:pStyle w:val="290"/>
              <w:ind w:left="105"/>
              <w:jc w:val="both"/>
              <w:rPr>
                <w:rFonts w:hint="default"/>
                <w:color w:val="auto"/>
                <w:sz w:val="21"/>
                <w:highlight w:val="none"/>
                <w:lang w:val="en-US" w:eastAsia="zh-CN"/>
              </w:rPr>
            </w:pPr>
          </w:p>
        </w:tc>
        <w:tc>
          <w:tcPr>
            <w:tcW w:w="1309" w:type="dxa"/>
            <w:noWrap w:val="0"/>
            <w:vAlign w:val="top"/>
          </w:tcPr>
          <w:p w14:paraId="0658267C">
            <w:pPr>
              <w:pStyle w:val="290"/>
              <w:ind w:left="105"/>
              <w:rPr>
                <w:color w:val="auto"/>
                <w:sz w:val="21"/>
                <w:highlight w:val="none"/>
              </w:rPr>
            </w:pPr>
          </w:p>
        </w:tc>
        <w:tc>
          <w:tcPr>
            <w:tcW w:w="1268" w:type="dxa"/>
            <w:noWrap w:val="0"/>
            <w:vAlign w:val="top"/>
          </w:tcPr>
          <w:p w14:paraId="0871C778">
            <w:pPr>
              <w:pStyle w:val="290"/>
              <w:ind w:left="107"/>
              <w:rPr>
                <w:rFonts w:hint="default" w:eastAsia="宋体"/>
                <w:color w:val="auto"/>
                <w:sz w:val="21"/>
                <w:highlight w:val="none"/>
                <w:lang w:val="en-US" w:eastAsia="zh-CN"/>
              </w:rPr>
            </w:pPr>
          </w:p>
        </w:tc>
        <w:tc>
          <w:tcPr>
            <w:tcW w:w="1303" w:type="dxa"/>
            <w:noWrap w:val="0"/>
            <w:vAlign w:val="top"/>
          </w:tcPr>
          <w:p w14:paraId="26F6908E">
            <w:pPr>
              <w:pStyle w:val="290"/>
              <w:ind w:left="108"/>
              <w:rPr>
                <w:rFonts w:hint="default" w:eastAsia="宋体"/>
                <w:color w:val="auto"/>
                <w:sz w:val="21"/>
                <w:highlight w:val="none"/>
                <w:lang w:val="en-US" w:eastAsia="zh-CN"/>
              </w:rPr>
            </w:pPr>
          </w:p>
        </w:tc>
      </w:tr>
      <w:tr w14:paraId="3CD2C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5BFD0BB6">
            <w:pPr>
              <w:pStyle w:val="290"/>
              <w:ind w:left="105"/>
              <w:rPr>
                <w:rFonts w:hint="default" w:eastAsia="宋体"/>
                <w:color w:val="auto"/>
                <w:sz w:val="21"/>
                <w:highlight w:val="none"/>
                <w:lang w:val="en-US" w:eastAsia="zh-CN"/>
              </w:rPr>
            </w:pPr>
          </w:p>
        </w:tc>
        <w:tc>
          <w:tcPr>
            <w:tcW w:w="1405" w:type="dxa"/>
            <w:noWrap w:val="0"/>
            <w:vAlign w:val="center"/>
          </w:tcPr>
          <w:p w14:paraId="136D71D8">
            <w:pPr>
              <w:pStyle w:val="290"/>
              <w:ind w:left="105"/>
              <w:jc w:val="both"/>
              <w:rPr>
                <w:rFonts w:hint="default" w:eastAsia="宋体"/>
                <w:color w:val="auto"/>
                <w:sz w:val="21"/>
                <w:highlight w:val="none"/>
                <w:lang w:val="en-US" w:eastAsia="zh-CN"/>
              </w:rPr>
            </w:pPr>
          </w:p>
        </w:tc>
        <w:tc>
          <w:tcPr>
            <w:tcW w:w="1091" w:type="dxa"/>
            <w:noWrap w:val="0"/>
            <w:vAlign w:val="center"/>
          </w:tcPr>
          <w:p w14:paraId="67A7FE1A">
            <w:pPr>
              <w:pStyle w:val="290"/>
              <w:ind w:left="108" w:right="0"/>
              <w:jc w:val="both"/>
              <w:rPr>
                <w:rFonts w:hint="eastAsia" w:ascii="Times New Roman" w:hAnsi="Times New Roman" w:eastAsia="宋体" w:cs="Times New Roman"/>
                <w:color w:val="auto"/>
                <w:sz w:val="21"/>
                <w:szCs w:val="24"/>
                <w:highlight w:val="none"/>
                <w:lang w:val="en-US" w:eastAsia="zh-CN" w:bidi="ar-SA"/>
              </w:rPr>
            </w:pPr>
          </w:p>
        </w:tc>
        <w:tc>
          <w:tcPr>
            <w:tcW w:w="1445" w:type="dxa"/>
            <w:noWrap w:val="0"/>
            <w:vAlign w:val="center"/>
          </w:tcPr>
          <w:p w14:paraId="69785905">
            <w:pPr>
              <w:pStyle w:val="290"/>
              <w:ind w:left="105"/>
              <w:jc w:val="both"/>
              <w:rPr>
                <w:rFonts w:hint="default"/>
                <w:color w:val="auto"/>
                <w:sz w:val="21"/>
                <w:highlight w:val="none"/>
                <w:lang w:val="en-US" w:eastAsia="zh-CN"/>
              </w:rPr>
            </w:pPr>
          </w:p>
        </w:tc>
        <w:tc>
          <w:tcPr>
            <w:tcW w:w="1309" w:type="dxa"/>
            <w:noWrap w:val="0"/>
            <w:vAlign w:val="top"/>
          </w:tcPr>
          <w:p w14:paraId="568207FA">
            <w:pPr>
              <w:pStyle w:val="290"/>
              <w:ind w:left="105"/>
              <w:rPr>
                <w:color w:val="auto"/>
                <w:sz w:val="21"/>
                <w:highlight w:val="none"/>
              </w:rPr>
            </w:pPr>
          </w:p>
        </w:tc>
        <w:tc>
          <w:tcPr>
            <w:tcW w:w="1268" w:type="dxa"/>
            <w:noWrap w:val="0"/>
            <w:vAlign w:val="top"/>
          </w:tcPr>
          <w:p w14:paraId="02A91D7B">
            <w:pPr>
              <w:pStyle w:val="290"/>
              <w:ind w:left="107"/>
              <w:rPr>
                <w:rFonts w:hint="default" w:eastAsia="宋体"/>
                <w:color w:val="auto"/>
                <w:sz w:val="21"/>
                <w:highlight w:val="none"/>
                <w:lang w:val="en-US" w:eastAsia="zh-CN"/>
              </w:rPr>
            </w:pPr>
          </w:p>
        </w:tc>
        <w:tc>
          <w:tcPr>
            <w:tcW w:w="1303" w:type="dxa"/>
            <w:noWrap w:val="0"/>
            <w:vAlign w:val="top"/>
          </w:tcPr>
          <w:p w14:paraId="5AEC04DB">
            <w:pPr>
              <w:pStyle w:val="290"/>
              <w:ind w:left="108"/>
              <w:rPr>
                <w:rFonts w:hint="default" w:eastAsia="宋体"/>
                <w:color w:val="auto"/>
                <w:sz w:val="21"/>
                <w:highlight w:val="none"/>
                <w:lang w:val="en-US" w:eastAsia="zh-CN"/>
              </w:rPr>
            </w:pPr>
          </w:p>
        </w:tc>
      </w:tr>
      <w:tr w14:paraId="1E921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6D0B105">
            <w:pPr>
              <w:pStyle w:val="290"/>
              <w:ind w:left="105"/>
              <w:rPr>
                <w:rFonts w:hint="default" w:eastAsia="宋体"/>
                <w:color w:val="auto"/>
                <w:sz w:val="21"/>
                <w:highlight w:val="none"/>
                <w:lang w:val="en-US" w:eastAsia="zh-CN"/>
              </w:rPr>
            </w:pPr>
          </w:p>
        </w:tc>
        <w:tc>
          <w:tcPr>
            <w:tcW w:w="1405" w:type="dxa"/>
            <w:noWrap w:val="0"/>
            <w:vAlign w:val="center"/>
          </w:tcPr>
          <w:p w14:paraId="4C87002E">
            <w:pPr>
              <w:pStyle w:val="290"/>
              <w:ind w:left="105"/>
              <w:jc w:val="both"/>
              <w:rPr>
                <w:rFonts w:hint="default" w:eastAsia="宋体"/>
                <w:color w:val="auto"/>
                <w:sz w:val="21"/>
                <w:highlight w:val="none"/>
                <w:lang w:val="en-US" w:eastAsia="zh-CN"/>
              </w:rPr>
            </w:pPr>
          </w:p>
        </w:tc>
        <w:tc>
          <w:tcPr>
            <w:tcW w:w="1091" w:type="dxa"/>
            <w:noWrap w:val="0"/>
            <w:vAlign w:val="center"/>
          </w:tcPr>
          <w:p w14:paraId="5479C3BB">
            <w:pPr>
              <w:pStyle w:val="290"/>
              <w:ind w:left="108" w:right="0"/>
              <w:jc w:val="both"/>
              <w:rPr>
                <w:rFonts w:hint="eastAsia" w:ascii="Times New Roman" w:hAnsi="Times New Roman" w:eastAsia="宋体" w:cs="Times New Roman"/>
                <w:color w:val="auto"/>
                <w:sz w:val="21"/>
                <w:szCs w:val="24"/>
                <w:highlight w:val="none"/>
                <w:lang w:val="en-US" w:eastAsia="zh-CN" w:bidi="ar-SA"/>
              </w:rPr>
            </w:pPr>
          </w:p>
        </w:tc>
        <w:tc>
          <w:tcPr>
            <w:tcW w:w="1445" w:type="dxa"/>
            <w:noWrap w:val="0"/>
            <w:vAlign w:val="center"/>
          </w:tcPr>
          <w:p w14:paraId="241617D8">
            <w:pPr>
              <w:pStyle w:val="290"/>
              <w:ind w:left="105"/>
              <w:jc w:val="both"/>
              <w:rPr>
                <w:rFonts w:hint="default"/>
                <w:color w:val="auto"/>
                <w:sz w:val="21"/>
                <w:highlight w:val="none"/>
                <w:lang w:val="en-US" w:eastAsia="zh-CN"/>
              </w:rPr>
            </w:pPr>
          </w:p>
        </w:tc>
        <w:tc>
          <w:tcPr>
            <w:tcW w:w="1309" w:type="dxa"/>
            <w:noWrap w:val="0"/>
            <w:vAlign w:val="top"/>
          </w:tcPr>
          <w:p w14:paraId="7855C130">
            <w:pPr>
              <w:pStyle w:val="290"/>
              <w:ind w:left="105"/>
              <w:rPr>
                <w:color w:val="auto"/>
                <w:sz w:val="21"/>
                <w:highlight w:val="none"/>
              </w:rPr>
            </w:pPr>
          </w:p>
        </w:tc>
        <w:tc>
          <w:tcPr>
            <w:tcW w:w="1268" w:type="dxa"/>
            <w:noWrap w:val="0"/>
            <w:vAlign w:val="top"/>
          </w:tcPr>
          <w:p w14:paraId="64553907">
            <w:pPr>
              <w:pStyle w:val="290"/>
              <w:ind w:left="107"/>
              <w:rPr>
                <w:rFonts w:hint="default" w:eastAsia="宋体"/>
                <w:color w:val="auto"/>
                <w:sz w:val="21"/>
                <w:highlight w:val="none"/>
                <w:lang w:val="en-US" w:eastAsia="zh-CN"/>
              </w:rPr>
            </w:pPr>
          </w:p>
        </w:tc>
        <w:tc>
          <w:tcPr>
            <w:tcW w:w="1303" w:type="dxa"/>
            <w:noWrap w:val="0"/>
            <w:vAlign w:val="top"/>
          </w:tcPr>
          <w:p w14:paraId="1F32AA9C">
            <w:pPr>
              <w:pStyle w:val="290"/>
              <w:ind w:left="108"/>
              <w:rPr>
                <w:rFonts w:hint="default" w:eastAsia="宋体"/>
                <w:color w:val="auto"/>
                <w:sz w:val="21"/>
                <w:highlight w:val="none"/>
                <w:lang w:val="en-US" w:eastAsia="zh-CN"/>
              </w:rPr>
            </w:pPr>
          </w:p>
        </w:tc>
      </w:tr>
      <w:tr w14:paraId="3DE32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5DBF3CFA">
            <w:pPr>
              <w:pStyle w:val="290"/>
              <w:ind w:left="105"/>
              <w:rPr>
                <w:rFonts w:hint="default" w:eastAsia="宋体"/>
                <w:color w:val="auto"/>
                <w:sz w:val="21"/>
                <w:highlight w:val="none"/>
                <w:lang w:val="en-US" w:eastAsia="zh-CN"/>
              </w:rPr>
            </w:pPr>
          </w:p>
        </w:tc>
        <w:tc>
          <w:tcPr>
            <w:tcW w:w="1405" w:type="dxa"/>
            <w:noWrap w:val="0"/>
            <w:vAlign w:val="center"/>
          </w:tcPr>
          <w:p w14:paraId="5D185894">
            <w:pPr>
              <w:pStyle w:val="290"/>
              <w:ind w:left="105"/>
              <w:jc w:val="both"/>
              <w:rPr>
                <w:rFonts w:hint="default" w:eastAsia="宋体"/>
                <w:color w:val="auto"/>
                <w:sz w:val="21"/>
                <w:highlight w:val="none"/>
                <w:lang w:val="en-US" w:eastAsia="zh-CN"/>
              </w:rPr>
            </w:pPr>
          </w:p>
        </w:tc>
        <w:tc>
          <w:tcPr>
            <w:tcW w:w="1091" w:type="dxa"/>
            <w:noWrap w:val="0"/>
            <w:vAlign w:val="center"/>
          </w:tcPr>
          <w:p w14:paraId="7D688C5A">
            <w:pPr>
              <w:pStyle w:val="290"/>
              <w:ind w:left="108" w:right="0"/>
              <w:jc w:val="both"/>
              <w:rPr>
                <w:rFonts w:hint="eastAsia" w:ascii="Times New Roman" w:hAnsi="Times New Roman" w:eastAsia="宋体" w:cs="Times New Roman"/>
                <w:color w:val="auto"/>
                <w:sz w:val="21"/>
                <w:szCs w:val="24"/>
                <w:highlight w:val="none"/>
                <w:lang w:val="en-US" w:eastAsia="zh-CN" w:bidi="ar-SA"/>
              </w:rPr>
            </w:pPr>
          </w:p>
        </w:tc>
        <w:tc>
          <w:tcPr>
            <w:tcW w:w="1445" w:type="dxa"/>
            <w:noWrap w:val="0"/>
            <w:vAlign w:val="center"/>
          </w:tcPr>
          <w:p w14:paraId="21702320">
            <w:pPr>
              <w:pStyle w:val="290"/>
              <w:ind w:left="105"/>
              <w:jc w:val="both"/>
              <w:rPr>
                <w:rFonts w:hint="default"/>
                <w:color w:val="auto"/>
                <w:sz w:val="21"/>
                <w:highlight w:val="none"/>
                <w:lang w:val="en-US" w:eastAsia="zh-CN"/>
              </w:rPr>
            </w:pPr>
          </w:p>
        </w:tc>
        <w:tc>
          <w:tcPr>
            <w:tcW w:w="1309" w:type="dxa"/>
            <w:noWrap w:val="0"/>
            <w:vAlign w:val="top"/>
          </w:tcPr>
          <w:p w14:paraId="5F5937C5">
            <w:pPr>
              <w:pStyle w:val="290"/>
              <w:ind w:left="105"/>
              <w:rPr>
                <w:color w:val="auto"/>
                <w:sz w:val="21"/>
                <w:highlight w:val="none"/>
              </w:rPr>
            </w:pPr>
          </w:p>
        </w:tc>
        <w:tc>
          <w:tcPr>
            <w:tcW w:w="1268" w:type="dxa"/>
            <w:noWrap w:val="0"/>
            <w:vAlign w:val="top"/>
          </w:tcPr>
          <w:p w14:paraId="30D4FB62">
            <w:pPr>
              <w:pStyle w:val="290"/>
              <w:ind w:left="107"/>
              <w:rPr>
                <w:rFonts w:hint="default" w:eastAsia="宋体"/>
                <w:color w:val="auto"/>
                <w:sz w:val="21"/>
                <w:highlight w:val="none"/>
                <w:lang w:val="en-US" w:eastAsia="zh-CN"/>
              </w:rPr>
            </w:pPr>
          </w:p>
        </w:tc>
        <w:tc>
          <w:tcPr>
            <w:tcW w:w="1303" w:type="dxa"/>
            <w:noWrap w:val="0"/>
            <w:vAlign w:val="top"/>
          </w:tcPr>
          <w:p w14:paraId="2583EC5F">
            <w:pPr>
              <w:pStyle w:val="290"/>
              <w:ind w:left="108"/>
              <w:rPr>
                <w:rFonts w:hint="default" w:eastAsia="宋体"/>
                <w:color w:val="auto"/>
                <w:sz w:val="21"/>
                <w:highlight w:val="none"/>
                <w:lang w:val="en-US" w:eastAsia="zh-CN"/>
              </w:rPr>
            </w:pPr>
          </w:p>
        </w:tc>
      </w:tr>
      <w:tr w14:paraId="30DDA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4B5C4593">
            <w:pPr>
              <w:pStyle w:val="290"/>
              <w:ind w:left="105"/>
              <w:rPr>
                <w:rFonts w:hint="default" w:eastAsia="宋体"/>
                <w:color w:val="auto"/>
                <w:sz w:val="21"/>
                <w:highlight w:val="none"/>
                <w:lang w:val="en-US" w:eastAsia="zh-CN"/>
              </w:rPr>
            </w:pPr>
          </w:p>
        </w:tc>
        <w:tc>
          <w:tcPr>
            <w:tcW w:w="1405" w:type="dxa"/>
            <w:noWrap w:val="0"/>
            <w:vAlign w:val="center"/>
          </w:tcPr>
          <w:p w14:paraId="33FE0178">
            <w:pPr>
              <w:pStyle w:val="290"/>
              <w:ind w:left="105"/>
              <w:jc w:val="both"/>
              <w:rPr>
                <w:rFonts w:hint="default" w:eastAsia="宋体"/>
                <w:color w:val="auto"/>
                <w:sz w:val="21"/>
                <w:highlight w:val="none"/>
                <w:lang w:val="en-US" w:eastAsia="zh-CN"/>
              </w:rPr>
            </w:pPr>
          </w:p>
        </w:tc>
        <w:tc>
          <w:tcPr>
            <w:tcW w:w="1091" w:type="dxa"/>
            <w:noWrap w:val="0"/>
            <w:vAlign w:val="center"/>
          </w:tcPr>
          <w:p w14:paraId="325127FD">
            <w:pPr>
              <w:pStyle w:val="290"/>
              <w:ind w:left="108" w:right="0"/>
              <w:jc w:val="both"/>
              <w:rPr>
                <w:rFonts w:hint="eastAsia" w:ascii="Times New Roman" w:hAnsi="Times New Roman" w:eastAsia="宋体" w:cs="Times New Roman"/>
                <w:color w:val="auto"/>
                <w:sz w:val="21"/>
                <w:szCs w:val="24"/>
                <w:highlight w:val="none"/>
                <w:lang w:val="en-US" w:eastAsia="zh-CN" w:bidi="ar-SA"/>
              </w:rPr>
            </w:pPr>
          </w:p>
        </w:tc>
        <w:tc>
          <w:tcPr>
            <w:tcW w:w="1445" w:type="dxa"/>
            <w:noWrap w:val="0"/>
            <w:vAlign w:val="center"/>
          </w:tcPr>
          <w:p w14:paraId="064327B7">
            <w:pPr>
              <w:pStyle w:val="290"/>
              <w:ind w:left="105"/>
              <w:jc w:val="both"/>
              <w:rPr>
                <w:rFonts w:hint="default"/>
                <w:color w:val="auto"/>
                <w:sz w:val="21"/>
                <w:highlight w:val="none"/>
                <w:lang w:val="en-US" w:eastAsia="zh-CN"/>
              </w:rPr>
            </w:pPr>
          </w:p>
        </w:tc>
        <w:tc>
          <w:tcPr>
            <w:tcW w:w="1309" w:type="dxa"/>
            <w:noWrap w:val="0"/>
            <w:vAlign w:val="top"/>
          </w:tcPr>
          <w:p w14:paraId="13677FFD">
            <w:pPr>
              <w:pStyle w:val="290"/>
              <w:ind w:left="105"/>
              <w:rPr>
                <w:color w:val="auto"/>
                <w:sz w:val="21"/>
                <w:highlight w:val="none"/>
              </w:rPr>
            </w:pPr>
          </w:p>
        </w:tc>
        <w:tc>
          <w:tcPr>
            <w:tcW w:w="1268" w:type="dxa"/>
            <w:noWrap w:val="0"/>
            <w:vAlign w:val="top"/>
          </w:tcPr>
          <w:p w14:paraId="2B9FEE21">
            <w:pPr>
              <w:pStyle w:val="290"/>
              <w:ind w:left="107"/>
              <w:rPr>
                <w:rFonts w:hint="default" w:eastAsia="宋体"/>
                <w:color w:val="auto"/>
                <w:sz w:val="21"/>
                <w:highlight w:val="none"/>
                <w:lang w:val="en-US" w:eastAsia="zh-CN"/>
              </w:rPr>
            </w:pPr>
          </w:p>
        </w:tc>
        <w:tc>
          <w:tcPr>
            <w:tcW w:w="1303" w:type="dxa"/>
            <w:noWrap w:val="0"/>
            <w:vAlign w:val="top"/>
          </w:tcPr>
          <w:p w14:paraId="1C8A1F90">
            <w:pPr>
              <w:pStyle w:val="290"/>
              <w:ind w:left="108"/>
              <w:rPr>
                <w:rFonts w:hint="default" w:eastAsia="宋体"/>
                <w:color w:val="auto"/>
                <w:sz w:val="21"/>
                <w:highlight w:val="none"/>
                <w:lang w:val="en-US" w:eastAsia="zh-CN"/>
              </w:rPr>
            </w:pPr>
          </w:p>
        </w:tc>
      </w:tr>
      <w:tr w14:paraId="76218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2FC74B26">
            <w:pPr>
              <w:pStyle w:val="290"/>
              <w:ind w:left="105"/>
              <w:rPr>
                <w:rFonts w:hint="default" w:eastAsia="宋体"/>
                <w:color w:val="auto"/>
                <w:sz w:val="21"/>
                <w:highlight w:val="none"/>
                <w:lang w:val="en-US" w:eastAsia="zh-CN"/>
              </w:rPr>
            </w:pPr>
          </w:p>
        </w:tc>
        <w:tc>
          <w:tcPr>
            <w:tcW w:w="1405" w:type="dxa"/>
            <w:noWrap w:val="0"/>
            <w:vAlign w:val="center"/>
          </w:tcPr>
          <w:p w14:paraId="203951CA">
            <w:pPr>
              <w:pStyle w:val="290"/>
              <w:ind w:left="105"/>
              <w:jc w:val="both"/>
              <w:rPr>
                <w:rFonts w:hint="default" w:eastAsia="宋体"/>
                <w:color w:val="auto"/>
                <w:sz w:val="21"/>
                <w:highlight w:val="none"/>
                <w:lang w:val="en-US" w:eastAsia="zh-CN"/>
              </w:rPr>
            </w:pPr>
          </w:p>
        </w:tc>
        <w:tc>
          <w:tcPr>
            <w:tcW w:w="1091" w:type="dxa"/>
            <w:noWrap w:val="0"/>
            <w:vAlign w:val="center"/>
          </w:tcPr>
          <w:p w14:paraId="782EB009">
            <w:pPr>
              <w:pStyle w:val="290"/>
              <w:ind w:left="108" w:right="0"/>
              <w:jc w:val="both"/>
              <w:rPr>
                <w:rFonts w:hint="eastAsia" w:ascii="Times New Roman" w:hAnsi="Times New Roman" w:eastAsia="宋体" w:cs="Times New Roman"/>
                <w:color w:val="auto"/>
                <w:sz w:val="21"/>
                <w:szCs w:val="24"/>
                <w:highlight w:val="none"/>
                <w:lang w:val="en-US" w:eastAsia="zh-CN" w:bidi="ar-SA"/>
              </w:rPr>
            </w:pPr>
          </w:p>
        </w:tc>
        <w:tc>
          <w:tcPr>
            <w:tcW w:w="1445" w:type="dxa"/>
            <w:noWrap w:val="0"/>
            <w:vAlign w:val="center"/>
          </w:tcPr>
          <w:p w14:paraId="2405457B">
            <w:pPr>
              <w:pStyle w:val="290"/>
              <w:ind w:left="105"/>
              <w:jc w:val="both"/>
              <w:rPr>
                <w:rFonts w:hint="default"/>
                <w:color w:val="auto"/>
                <w:sz w:val="21"/>
                <w:highlight w:val="none"/>
                <w:lang w:val="en-US" w:eastAsia="zh-CN"/>
              </w:rPr>
            </w:pPr>
          </w:p>
        </w:tc>
        <w:tc>
          <w:tcPr>
            <w:tcW w:w="1309" w:type="dxa"/>
            <w:noWrap w:val="0"/>
            <w:vAlign w:val="top"/>
          </w:tcPr>
          <w:p w14:paraId="4A211545">
            <w:pPr>
              <w:pStyle w:val="290"/>
              <w:ind w:left="105"/>
              <w:rPr>
                <w:color w:val="auto"/>
                <w:sz w:val="21"/>
                <w:highlight w:val="none"/>
              </w:rPr>
            </w:pPr>
          </w:p>
        </w:tc>
        <w:tc>
          <w:tcPr>
            <w:tcW w:w="1268" w:type="dxa"/>
            <w:noWrap w:val="0"/>
            <w:vAlign w:val="top"/>
          </w:tcPr>
          <w:p w14:paraId="0D6E269C">
            <w:pPr>
              <w:pStyle w:val="290"/>
              <w:ind w:left="107"/>
              <w:rPr>
                <w:rFonts w:hint="default" w:eastAsia="宋体"/>
                <w:color w:val="auto"/>
                <w:sz w:val="21"/>
                <w:highlight w:val="none"/>
                <w:lang w:val="en-US" w:eastAsia="zh-CN"/>
              </w:rPr>
            </w:pPr>
          </w:p>
        </w:tc>
        <w:tc>
          <w:tcPr>
            <w:tcW w:w="1303" w:type="dxa"/>
            <w:noWrap w:val="0"/>
            <w:vAlign w:val="top"/>
          </w:tcPr>
          <w:p w14:paraId="54EDC94C">
            <w:pPr>
              <w:pStyle w:val="290"/>
              <w:ind w:left="108"/>
              <w:rPr>
                <w:rFonts w:hint="default" w:eastAsia="宋体"/>
                <w:color w:val="auto"/>
                <w:sz w:val="21"/>
                <w:highlight w:val="none"/>
                <w:lang w:val="en-US" w:eastAsia="zh-CN"/>
              </w:rPr>
            </w:pPr>
          </w:p>
        </w:tc>
      </w:tr>
      <w:tr w14:paraId="08756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4CF6F2C0">
            <w:pPr>
              <w:pStyle w:val="290"/>
              <w:ind w:left="105"/>
              <w:rPr>
                <w:rFonts w:hint="default" w:eastAsia="宋体"/>
                <w:color w:val="auto"/>
                <w:sz w:val="21"/>
                <w:highlight w:val="none"/>
                <w:lang w:val="en-US" w:eastAsia="zh-CN"/>
              </w:rPr>
            </w:pPr>
          </w:p>
        </w:tc>
        <w:tc>
          <w:tcPr>
            <w:tcW w:w="1405" w:type="dxa"/>
            <w:noWrap w:val="0"/>
            <w:vAlign w:val="center"/>
          </w:tcPr>
          <w:p w14:paraId="30AF7C58">
            <w:pPr>
              <w:pStyle w:val="290"/>
              <w:ind w:left="105"/>
              <w:jc w:val="both"/>
              <w:rPr>
                <w:rFonts w:hint="default" w:eastAsia="宋体"/>
                <w:color w:val="auto"/>
                <w:sz w:val="21"/>
                <w:highlight w:val="none"/>
                <w:lang w:val="en-US" w:eastAsia="zh-CN"/>
              </w:rPr>
            </w:pPr>
          </w:p>
        </w:tc>
        <w:tc>
          <w:tcPr>
            <w:tcW w:w="1091" w:type="dxa"/>
            <w:noWrap w:val="0"/>
            <w:vAlign w:val="center"/>
          </w:tcPr>
          <w:p w14:paraId="478168FA">
            <w:pPr>
              <w:pStyle w:val="290"/>
              <w:ind w:left="108" w:right="0"/>
              <w:jc w:val="both"/>
              <w:rPr>
                <w:rFonts w:hint="eastAsia" w:ascii="Times New Roman" w:hAnsi="Times New Roman" w:eastAsia="宋体" w:cs="Times New Roman"/>
                <w:color w:val="auto"/>
                <w:sz w:val="21"/>
                <w:szCs w:val="24"/>
                <w:highlight w:val="none"/>
                <w:lang w:val="en-US" w:eastAsia="zh-CN" w:bidi="ar-SA"/>
              </w:rPr>
            </w:pPr>
          </w:p>
        </w:tc>
        <w:tc>
          <w:tcPr>
            <w:tcW w:w="1445" w:type="dxa"/>
            <w:noWrap w:val="0"/>
            <w:vAlign w:val="center"/>
          </w:tcPr>
          <w:p w14:paraId="4D508BD6">
            <w:pPr>
              <w:pStyle w:val="290"/>
              <w:ind w:left="105"/>
              <w:jc w:val="both"/>
              <w:rPr>
                <w:rFonts w:hint="default"/>
                <w:color w:val="auto"/>
                <w:sz w:val="21"/>
                <w:highlight w:val="none"/>
                <w:lang w:val="en-US" w:eastAsia="zh-CN"/>
              </w:rPr>
            </w:pPr>
          </w:p>
        </w:tc>
        <w:tc>
          <w:tcPr>
            <w:tcW w:w="1309" w:type="dxa"/>
            <w:noWrap w:val="0"/>
            <w:vAlign w:val="top"/>
          </w:tcPr>
          <w:p w14:paraId="28A25209">
            <w:pPr>
              <w:pStyle w:val="290"/>
              <w:ind w:left="105"/>
              <w:rPr>
                <w:color w:val="auto"/>
                <w:sz w:val="21"/>
                <w:highlight w:val="none"/>
              </w:rPr>
            </w:pPr>
          </w:p>
        </w:tc>
        <w:tc>
          <w:tcPr>
            <w:tcW w:w="1268" w:type="dxa"/>
            <w:noWrap w:val="0"/>
            <w:vAlign w:val="top"/>
          </w:tcPr>
          <w:p w14:paraId="7C0C4330">
            <w:pPr>
              <w:pStyle w:val="290"/>
              <w:ind w:left="107"/>
              <w:rPr>
                <w:rFonts w:hint="default" w:eastAsia="宋体"/>
                <w:color w:val="auto"/>
                <w:sz w:val="21"/>
                <w:highlight w:val="none"/>
                <w:lang w:val="en-US" w:eastAsia="zh-CN"/>
              </w:rPr>
            </w:pPr>
          </w:p>
        </w:tc>
        <w:tc>
          <w:tcPr>
            <w:tcW w:w="1303" w:type="dxa"/>
            <w:noWrap w:val="0"/>
            <w:vAlign w:val="top"/>
          </w:tcPr>
          <w:p w14:paraId="62085591">
            <w:pPr>
              <w:pStyle w:val="290"/>
              <w:ind w:left="108"/>
              <w:rPr>
                <w:rFonts w:hint="default" w:eastAsia="宋体"/>
                <w:color w:val="auto"/>
                <w:sz w:val="21"/>
                <w:highlight w:val="none"/>
                <w:lang w:val="en-US" w:eastAsia="zh-CN"/>
              </w:rPr>
            </w:pPr>
          </w:p>
        </w:tc>
      </w:tr>
      <w:tr w14:paraId="137AD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6E103C42">
            <w:pPr>
              <w:pStyle w:val="290"/>
              <w:ind w:left="105"/>
              <w:rPr>
                <w:rFonts w:hint="default" w:eastAsia="宋体"/>
                <w:color w:val="auto"/>
                <w:sz w:val="21"/>
                <w:highlight w:val="none"/>
                <w:lang w:val="en-US" w:eastAsia="zh-CN"/>
              </w:rPr>
            </w:pPr>
          </w:p>
        </w:tc>
        <w:tc>
          <w:tcPr>
            <w:tcW w:w="1405" w:type="dxa"/>
            <w:noWrap w:val="0"/>
            <w:vAlign w:val="center"/>
          </w:tcPr>
          <w:p w14:paraId="5C570A39">
            <w:pPr>
              <w:pStyle w:val="290"/>
              <w:ind w:left="105"/>
              <w:jc w:val="both"/>
              <w:rPr>
                <w:rFonts w:hint="default" w:eastAsia="宋体"/>
                <w:color w:val="auto"/>
                <w:sz w:val="21"/>
                <w:highlight w:val="none"/>
                <w:lang w:val="en-US" w:eastAsia="zh-CN"/>
              </w:rPr>
            </w:pPr>
          </w:p>
        </w:tc>
        <w:tc>
          <w:tcPr>
            <w:tcW w:w="1091" w:type="dxa"/>
            <w:noWrap w:val="0"/>
            <w:vAlign w:val="center"/>
          </w:tcPr>
          <w:p w14:paraId="71CA93C0">
            <w:pPr>
              <w:pStyle w:val="290"/>
              <w:ind w:left="108" w:right="0"/>
              <w:jc w:val="both"/>
              <w:rPr>
                <w:rFonts w:hint="eastAsia" w:ascii="Times New Roman" w:hAnsi="Times New Roman" w:eastAsia="宋体" w:cs="Times New Roman"/>
                <w:color w:val="auto"/>
                <w:sz w:val="21"/>
                <w:szCs w:val="24"/>
                <w:highlight w:val="none"/>
                <w:lang w:val="en-US" w:eastAsia="zh-CN" w:bidi="ar-SA"/>
              </w:rPr>
            </w:pPr>
          </w:p>
        </w:tc>
        <w:tc>
          <w:tcPr>
            <w:tcW w:w="1445" w:type="dxa"/>
            <w:noWrap w:val="0"/>
            <w:vAlign w:val="center"/>
          </w:tcPr>
          <w:p w14:paraId="0BC7D873">
            <w:pPr>
              <w:pStyle w:val="290"/>
              <w:ind w:left="105"/>
              <w:jc w:val="both"/>
              <w:rPr>
                <w:rFonts w:hint="default"/>
                <w:color w:val="auto"/>
                <w:sz w:val="21"/>
                <w:highlight w:val="none"/>
                <w:lang w:val="en-US" w:eastAsia="zh-CN"/>
              </w:rPr>
            </w:pPr>
          </w:p>
        </w:tc>
        <w:tc>
          <w:tcPr>
            <w:tcW w:w="1309" w:type="dxa"/>
            <w:noWrap w:val="0"/>
            <w:vAlign w:val="top"/>
          </w:tcPr>
          <w:p w14:paraId="325964ED">
            <w:pPr>
              <w:pStyle w:val="290"/>
              <w:ind w:left="105"/>
              <w:rPr>
                <w:color w:val="auto"/>
                <w:sz w:val="21"/>
                <w:highlight w:val="none"/>
              </w:rPr>
            </w:pPr>
          </w:p>
        </w:tc>
        <w:tc>
          <w:tcPr>
            <w:tcW w:w="1268" w:type="dxa"/>
            <w:noWrap w:val="0"/>
            <w:vAlign w:val="top"/>
          </w:tcPr>
          <w:p w14:paraId="31C7BC87">
            <w:pPr>
              <w:pStyle w:val="290"/>
              <w:ind w:left="107"/>
              <w:rPr>
                <w:rFonts w:hint="default" w:eastAsia="宋体"/>
                <w:color w:val="auto"/>
                <w:sz w:val="21"/>
                <w:highlight w:val="none"/>
                <w:lang w:val="en-US" w:eastAsia="zh-CN"/>
              </w:rPr>
            </w:pPr>
          </w:p>
        </w:tc>
        <w:tc>
          <w:tcPr>
            <w:tcW w:w="1303" w:type="dxa"/>
            <w:noWrap w:val="0"/>
            <w:vAlign w:val="top"/>
          </w:tcPr>
          <w:p w14:paraId="0E3C40A8">
            <w:pPr>
              <w:pStyle w:val="290"/>
              <w:ind w:left="108"/>
              <w:rPr>
                <w:rFonts w:hint="default" w:eastAsia="宋体"/>
                <w:color w:val="auto"/>
                <w:sz w:val="21"/>
                <w:highlight w:val="none"/>
                <w:lang w:val="en-US" w:eastAsia="zh-CN"/>
              </w:rPr>
            </w:pPr>
          </w:p>
        </w:tc>
      </w:tr>
      <w:tr w14:paraId="78514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6F5BA543">
            <w:pPr>
              <w:pStyle w:val="290"/>
              <w:ind w:left="105"/>
              <w:rPr>
                <w:rFonts w:hint="default" w:eastAsia="宋体"/>
                <w:color w:val="auto"/>
                <w:sz w:val="21"/>
                <w:highlight w:val="none"/>
                <w:lang w:val="en-US" w:eastAsia="zh-CN"/>
              </w:rPr>
            </w:pPr>
          </w:p>
        </w:tc>
        <w:tc>
          <w:tcPr>
            <w:tcW w:w="1405" w:type="dxa"/>
            <w:noWrap w:val="0"/>
            <w:vAlign w:val="center"/>
          </w:tcPr>
          <w:p w14:paraId="64F7222D">
            <w:pPr>
              <w:pStyle w:val="290"/>
              <w:ind w:left="105"/>
              <w:jc w:val="both"/>
              <w:rPr>
                <w:rFonts w:hint="default" w:eastAsia="宋体"/>
                <w:color w:val="auto"/>
                <w:sz w:val="21"/>
                <w:highlight w:val="none"/>
                <w:lang w:val="en-US" w:eastAsia="zh-CN"/>
              </w:rPr>
            </w:pPr>
          </w:p>
        </w:tc>
        <w:tc>
          <w:tcPr>
            <w:tcW w:w="1091" w:type="dxa"/>
            <w:noWrap w:val="0"/>
            <w:vAlign w:val="center"/>
          </w:tcPr>
          <w:p w14:paraId="4EE5B04B">
            <w:pPr>
              <w:pStyle w:val="290"/>
              <w:ind w:left="108" w:right="0"/>
              <w:jc w:val="both"/>
              <w:rPr>
                <w:rFonts w:hint="eastAsia" w:ascii="Times New Roman" w:hAnsi="Times New Roman" w:eastAsia="宋体" w:cs="Times New Roman"/>
                <w:color w:val="auto"/>
                <w:sz w:val="21"/>
                <w:szCs w:val="24"/>
                <w:highlight w:val="none"/>
                <w:lang w:val="en-US" w:eastAsia="zh-CN" w:bidi="ar-SA"/>
              </w:rPr>
            </w:pPr>
          </w:p>
        </w:tc>
        <w:tc>
          <w:tcPr>
            <w:tcW w:w="1445" w:type="dxa"/>
            <w:noWrap w:val="0"/>
            <w:vAlign w:val="center"/>
          </w:tcPr>
          <w:p w14:paraId="1C729F1B">
            <w:pPr>
              <w:pStyle w:val="290"/>
              <w:ind w:left="105"/>
              <w:jc w:val="both"/>
              <w:rPr>
                <w:rFonts w:hint="default"/>
                <w:color w:val="auto"/>
                <w:sz w:val="21"/>
                <w:highlight w:val="none"/>
                <w:lang w:val="en-US" w:eastAsia="zh-CN"/>
              </w:rPr>
            </w:pPr>
          </w:p>
        </w:tc>
        <w:tc>
          <w:tcPr>
            <w:tcW w:w="1309" w:type="dxa"/>
            <w:noWrap w:val="0"/>
            <w:vAlign w:val="top"/>
          </w:tcPr>
          <w:p w14:paraId="39BA31B4">
            <w:pPr>
              <w:pStyle w:val="290"/>
              <w:ind w:left="105"/>
              <w:rPr>
                <w:color w:val="auto"/>
                <w:sz w:val="21"/>
                <w:highlight w:val="none"/>
              </w:rPr>
            </w:pPr>
          </w:p>
        </w:tc>
        <w:tc>
          <w:tcPr>
            <w:tcW w:w="1268" w:type="dxa"/>
            <w:noWrap w:val="0"/>
            <w:vAlign w:val="top"/>
          </w:tcPr>
          <w:p w14:paraId="521D5A9B">
            <w:pPr>
              <w:pStyle w:val="290"/>
              <w:ind w:left="107"/>
              <w:rPr>
                <w:rFonts w:hint="default" w:eastAsia="宋体"/>
                <w:color w:val="auto"/>
                <w:sz w:val="21"/>
                <w:highlight w:val="none"/>
                <w:lang w:val="en-US" w:eastAsia="zh-CN"/>
              </w:rPr>
            </w:pPr>
          </w:p>
        </w:tc>
        <w:tc>
          <w:tcPr>
            <w:tcW w:w="1303" w:type="dxa"/>
            <w:noWrap w:val="0"/>
            <w:vAlign w:val="top"/>
          </w:tcPr>
          <w:p w14:paraId="0B870040">
            <w:pPr>
              <w:pStyle w:val="290"/>
              <w:ind w:left="108"/>
              <w:rPr>
                <w:rFonts w:hint="default" w:eastAsia="宋体"/>
                <w:color w:val="auto"/>
                <w:sz w:val="21"/>
                <w:highlight w:val="none"/>
                <w:lang w:val="en-US" w:eastAsia="zh-CN"/>
              </w:rPr>
            </w:pPr>
          </w:p>
        </w:tc>
      </w:tr>
      <w:tr w14:paraId="0407A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1C6E1133">
            <w:pPr>
              <w:pStyle w:val="290"/>
              <w:ind w:left="105"/>
              <w:rPr>
                <w:rFonts w:hint="default" w:eastAsia="宋体"/>
                <w:color w:val="auto"/>
                <w:sz w:val="21"/>
                <w:highlight w:val="none"/>
                <w:lang w:val="en-US" w:eastAsia="zh-CN"/>
              </w:rPr>
            </w:pPr>
          </w:p>
        </w:tc>
        <w:tc>
          <w:tcPr>
            <w:tcW w:w="1405" w:type="dxa"/>
            <w:noWrap w:val="0"/>
            <w:vAlign w:val="center"/>
          </w:tcPr>
          <w:p w14:paraId="38C86C58">
            <w:pPr>
              <w:pStyle w:val="290"/>
              <w:ind w:left="105"/>
              <w:jc w:val="both"/>
              <w:rPr>
                <w:rFonts w:hint="default" w:eastAsia="宋体"/>
                <w:color w:val="auto"/>
                <w:sz w:val="21"/>
                <w:highlight w:val="none"/>
                <w:lang w:val="en-US" w:eastAsia="zh-CN"/>
              </w:rPr>
            </w:pPr>
          </w:p>
        </w:tc>
        <w:tc>
          <w:tcPr>
            <w:tcW w:w="1091" w:type="dxa"/>
            <w:noWrap w:val="0"/>
            <w:vAlign w:val="center"/>
          </w:tcPr>
          <w:p w14:paraId="53D01FEA">
            <w:pPr>
              <w:pStyle w:val="290"/>
              <w:ind w:left="108" w:right="0"/>
              <w:jc w:val="both"/>
              <w:rPr>
                <w:rFonts w:hint="eastAsia" w:ascii="Times New Roman" w:hAnsi="Times New Roman" w:eastAsia="宋体" w:cs="Times New Roman"/>
                <w:color w:val="auto"/>
                <w:sz w:val="21"/>
                <w:szCs w:val="24"/>
                <w:highlight w:val="none"/>
                <w:lang w:val="en-US" w:eastAsia="zh-CN" w:bidi="ar-SA"/>
              </w:rPr>
            </w:pPr>
          </w:p>
        </w:tc>
        <w:tc>
          <w:tcPr>
            <w:tcW w:w="1445" w:type="dxa"/>
            <w:noWrap w:val="0"/>
            <w:vAlign w:val="center"/>
          </w:tcPr>
          <w:p w14:paraId="5565DD6A">
            <w:pPr>
              <w:pStyle w:val="290"/>
              <w:ind w:left="105"/>
              <w:jc w:val="both"/>
              <w:rPr>
                <w:rFonts w:hint="default"/>
                <w:color w:val="auto"/>
                <w:sz w:val="21"/>
                <w:highlight w:val="none"/>
                <w:lang w:val="en-US" w:eastAsia="zh-CN"/>
              </w:rPr>
            </w:pPr>
          </w:p>
        </w:tc>
        <w:tc>
          <w:tcPr>
            <w:tcW w:w="1309" w:type="dxa"/>
            <w:noWrap w:val="0"/>
            <w:vAlign w:val="top"/>
          </w:tcPr>
          <w:p w14:paraId="42C22D72">
            <w:pPr>
              <w:pStyle w:val="290"/>
              <w:ind w:left="105"/>
              <w:rPr>
                <w:color w:val="auto"/>
                <w:sz w:val="21"/>
                <w:highlight w:val="none"/>
              </w:rPr>
            </w:pPr>
          </w:p>
        </w:tc>
        <w:tc>
          <w:tcPr>
            <w:tcW w:w="1268" w:type="dxa"/>
            <w:noWrap w:val="0"/>
            <w:vAlign w:val="top"/>
          </w:tcPr>
          <w:p w14:paraId="702A24D3">
            <w:pPr>
              <w:pStyle w:val="290"/>
              <w:ind w:left="107"/>
              <w:rPr>
                <w:rFonts w:hint="default" w:eastAsia="宋体"/>
                <w:color w:val="auto"/>
                <w:sz w:val="21"/>
                <w:highlight w:val="none"/>
                <w:lang w:val="en-US" w:eastAsia="zh-CN"/>
              </w:rPr>
            </w:pPr>
          </w:p>
        </w:tc>
        <w:tc>
          <w:tcPr>
            <w:tcW w:w="1303" w:type="dxa"/>
            <w:noWrap w:val="0"/>
            <w:vAlign w:val="top"/>
          </w:tcPr>
          <w:p w14:paraId="70C2AE9E">
            <w:pPr>
              <w:pStyle w:val="290"/>
              <w:ind w:left="108"/>
              <w:rPr>
                <w:rFonts w:hint="default" w:eastAsia="宋体"/>
                <w:color w:val="auto"/>
                <w:sz w:val="21"/>
                <w:highlight w:val="none"/>
                <w:lang w:val="en-US" w:eastAsia="zh-CN"/>
              </w:rPr>
            </w:pPr>
          </w:p>
        </w:tc>
      </w:tr>
      <w:tr w14:paraId="50F64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0C031265">
            <w:pPr>
              <w:pStyle w:val="290"/>
              <w:ind w:left="105"/>
              <w:rPr>
                <w:rFonts w:hint="default" w:eastAsia="宋体"/>
                <w:color w:val="auto"/>
                <w:sz w:val="21"/>
                <w:highlight w:val="none"/>
                <w:lang w:val="en-US" w:eastAsia="zh-CN"/>
              </w:rPr>
            </w:pPr>
          </w:p>
        </w:tc>
        <w:tc>
          <w:tcPr>
            <w:tcW w:w="1405" w:type="dxa"/>
            <w:noWrap w:val="0"/>
            <w:vAlign w:val="center"/>
          </w:tcPr>
          <w:p w14:paraId="607274B4">
            <w:pPr>
              <w:pStyle w:val="290"/>
              <w:ind w:left="105"/>
              <w:jc w:val="both"/>
              <w:rPr>
                <w:rFonts w:hint="default" w:eastAsia="宋体"/>
                <w:color w:val="auto"/>
                <w:sz w:val="21"/>
                <w:highlight w:val="none"/>
                <w:lang w:val="en-US" w:eastAsia="zh-CN"/>
              </w:rPr>
            </w:pPr>
          </w:p>
        </w:tc>
        <w:tc>
          <w:tcPr>
            <w:tcW w:w="1091" w:type="dxa"/>
            <w:noWrap w:val="0"/>
            <w:vAlign w:val="center"/>
          </w:tcPr>
          <w:p w14:paraId="17EA3825">
            <w:pPr>
              <w:pStyle w:val="290"/>
              <w:ind w:left="108" w:right="0"/>
              <w:jc w:val="both"/>
              <w:rPr>
                <w:rFonts w:hint="eastAsia" w:ascii="Times New Roman" w:hAnsi="Times New Roman" w:eastAsia="宋体" w:cs="Times New Roman"/>
                <w:color w:val="auto"/>
                <w:sz w:val="21"/>
                <w:szCs w:val="24"/>
                <w:highlight w:val="none"/>
                <w:lang w:val="en-US" w:eastAsia="zh-CN" w:bidi="ar-SA"/>
              </w:rPr>
            </w:pPr>
          </w:p>
        </w:tc>
        <w:tc>
          <w:tcPr>
            <w:tcW w:w="1445" w:type="dxa"/>
            <w:noWrap w:val="0"/>
            <w:vAlign w:val="center"/>
          </w:tcPr>
          <w:p w14:paraId="4BEAF524">
            <w:pPr>
              <w:pStyle w:val="290"/>
              <w:ind w:left="105"/>
              <w:jc w:val="both"/>
              <w:rPr>
                <w:rFonts w:hint="default"/>
                <w:color w:val="auto"/>
                <w:sz w:val="21"/>
                <w:highlight w:val="none"/>
                <w:lang w:val="en-US" w:eastAsia="zh-CN"/>
              </w:rPr>
            </w:pPr>
          </w:p>
        </w:tc>
        <w:tc>
          <w:tcPr>
            <w:tcW w:w="1309" w:type="dxa"/>
            <w:noWrap w:val="0"/>
            <w:vAlign w:val="top"/>
          </w:tcPr>
          <w:p w14:paraId="0AE6A30F">
            <w:pPr>
              <w:pStyle w:val="290"/>
              <w:ind w:left="105"/>
              <w:rPr>
                <w:color w:val="auto"/>
                <w:sz w:val="21"/>
                <w:highlight w:val="none"/>
              </w:rPr>
            </w:pPr>
          </w:p>
        </w:tc>
        <w:tc>
          <w:tcPr>
            <w:tcW w:w="1268" w:type="dxa"/>
            <w:noWrap w:val="0"/>
            <w:vAlign w:val="top"/>
          </w:tcPr>
          <w:p w14:paraId="6F8060C9">
            <w:pPr>
              <w:pStyle w:val="290"/>
              <w:ind w:left="107"/>
              <w:rPr>
                <w:rFonts w:hint="default" w:eastAsia="宋体"/>
                <w:color w:val="auto"/>
                <w:sz w:val="21"/>
                <w:highlight w:val="none"/>
                <w:lang w:val="en-US" w:eastAsia="zh-CN"/>
              </w:rPr>
            </w:pPr>
          </w:p>
        </w:tc>
        <w:tc>
          <w:tcPr>
            <w:tcW w:w="1303" w:type="dxa"/>
            <w:noWrap w:val="0"/>
            <w:vAlign w:val="top"/>
          </w:tcPr>
          <w:p w14:paraId="1D8D143F">
            <w:pPr>
              <w:pStyle w:val="290"/>
              <w:ind w:left="108"/>
              <w:rPr>
                <w:rFonts w:hint="default" w:eastAsia="宋体"/>
                <w:color w:val="auto"/>
                <w:sz w:val="21"/>
                <w:highlight w:val="none"/>
                <w:lang w:val="en-US" w:eastAsia="zh-CN"/>
              </w:rPr>
            </w:pPr>
          </w:p>
        </w:tc>
      </w:tr>
      <w:tr w14:paraId="3E52B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33F77F4">
            <w:pPr>
              <w:pStyle w:val="290"/>
              <w:spacing w:before="1"/>
              <w:ind w:left="105"/>
              <w:rPr>
                <w:color w:val="auto"/>
                <w:sz w:val="21"/>
                <w:highlight w:val="none"/>
              </w:rPr>
            </w:pPr>
          </w:p>
        </w:tc>
        <w:tc>
          <w:tcPr>
            <w:tcW w:w="1405" w:type="dxa"/>
            <w:noWrap w:val="0"/>
            <w:vAlign w:val="center"/>
          </w:tcPr>
          <w:p w14:paraId="4C3E0709">
            <w:pPr>
              <w:pStyle w:val="290"/>
              <w:spacing w:before="1"/>
              <w:ind w:left="105"/>
              <w:jc w:val="both"/>
              <w:rPr>
                <w:rFonts w:hint="default" w:eastAsia="宋体"/>
                <w:color w:val="auto"/>
                <w:sz w:val="21"/>
                <w:highlight w:val="none"/>
                <w:lang w:val="en-US" w:eastAsia="zh-CN"/>
              </w:rPr>
            </w:pPr>
          </w:p>
        </w:tc>
        <w:tc>
          <w:tcPr>
            <w:tcW w:w="1091" w:type="dxa"/>
            <w:noWrap w:val="0"/>
            <w:vAlign w:val="center"/>
          </w:tcPr>
          <w:p w14:paraId="415006ED">
            <w:pPr>
              <w:pStyle w:val="290"/>
              <w:spacing w:before="1"/>
              <w:ind w:left="108" w:right="0"/>
              <w:jc w:val="both"/>
              <w:rPr>
                <w:rFonts w:hint="eastAsia" w:ascii="Times New Roman" w:hAnsi="Times New Roman" w:eastAsia="宋体" w:cs="Times New Roman"/>
                <w:color w:val="auto"/>
                <w:sz w:val="21"/>
                <w:szCs w:val="24"/>
                <w:highlight w:val="none"/>
                <w:lang w:val="en-US" w:eastAsia="zh-CN" w:bidi="ar-SA"/>
              </w:rPr>
            </w:pPr>
          </w:p>
        </w:tc>
        <w:tc>
          <w:tcPr>
            <w:tcW w:w="1445" w:type="dxa"/>
            <w:noWrap w:val="0"/>
            <w:vAlign w:val="center"/>
          </w:tcPr>
          <w:p w14:paraId="67245D12">
            <w:pPr>
              <w:pStyle w:val="290"/>
              <w:spacing w:before="1"/>
              <w:ind w:left="105"/>
              <w:jc w:val="both"/>
              <w:rPr>
                <w:rFonts w:hint="default"/>
                <w:color w:val="auto"/>
                <w:sz w:val="21"/>
                <w:highlight w:val="none"/>
                <w:lang w:val="en-US" w:eastAsia="zh-CN"/>
              </w:rPr>
            </w:pPr>
          </w:p>
        </w:tc>
        <w:tc>
          <w:tcPr>
            <w:tcW w:w="1309" w:type="dxa"/>
            <w:noWrap w:val="0"/>
            <w:vAlign w:val="top"/>
          </w:tcPr>
          <w:p w14:paraId="46BCC56A">
            <w:pPr>
              <w:pStyle w:val="290"/>
              <w:spacing w:before="1"/>
              <w:ind w:left="105"/>
              <w:rPr>
                <w:color w:val="auto"/>
                <w:sz w:val="21"/>
                <w:highlight w:val="none"/>
              </w:rPr>
            </w:pPr>
          </w:p>
        </w:tc>
        <w:tc>
          <w:tcPr>
            <w:tcW w:w="1268" w:type="dxa"/>
            <w:noWrap w:val="0"/>
            <w:vAlign w:val="top"/>
          </w:tcPr>
          <w:p w14:paraId="15AE93A9">
            <w:pPr>
              <w:pStyle w:val="290"/>
              <w:spacing w:before="1"/>
              <w:ind w:left="107"/>
              <w:rPr>
                <w:rFonts w:hint="default" w:eastAsia="宋体"/>
                <w:color w:val="auto"/>
                <w:sz w:val="21"/>
                <w:highlight w:val="none"/>
                <w:lang w:val="en-US" w:eastAsia="zh-CN"/>
              </w:rPr>
            </w:pPr>
          </w:p>
        </w:tc>
        <w:tc>
          <w:tcPr>
            <w:tcW w:w="1303" w:type="dxa"/>
            <w:noWrap w:val="0"/>
            <w:vAlign w:val="top"/>
          </w:tcPr>
          <w:p w14:paraId="666E00DE">
            <w:pPr>
              <w:pStyle w:val="290"/>
              <w:spacing w:before="1"/>
              <w:ind w:left="108"/>
              <w:rPr>
                <w:rFonts w:hint="default" w:eastAsia="宋体"/>
                <w:color w:val="auto"/>
                <w:sz w:val="21"/>
                <w:highlight w:val="none"/>
                <w:lang w:val="en-US" w:eastAsia="zh-CN"/>
              </w:rPr>
            </w:pPr>
          </w:p>
        </w:tc>
      </w:tr>
      <w:tr w14:paraId="28113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BD8867C">
            <w:pPr>
              <w:pStyle w:val="290"/>
              <w:spacing w:before="1"/>
              <w:ind w:left="105"/>
              <w:rPr>
                <w:color w:val="auto"/>
                <w:sz w:val="21"/>
                <w:highlight w:val="none"/>
              </w:rPr>
            </w:pPr>
          </w:p>
        </w:tc>
        <w:tc>
          <w:tcPr>
            <w:tcW w:w="1405" w:type="dxa"/>
            <w:noWrap w:val="0"/>
            <w:vAlign w:val="top"/>
          </w:tcPr>
          <w:p w14:paraId="0FF2ACC2">
            <w:pPr>
              <w:pStyle w:val="290"/>
              <w:spacing w:before="1"/>
              <w:ind w:left="105"/>
              <w:rPr>
                <w:color w:val="auto"/>
                <w:sz w:val="21"/>
                <w:highlight w:val="none"/>
              </w:rPr>
            </w:pPr>
          </w:p>
        </w:tc>
        <w:tc>
          <w:tcPr>
            <w:tcW w:w="1091" w:type="dxa"/>
            <w:noWrap w:val="0"/>
            <w:vAlign w:val="top"/>
          </w:tcPr>
          <w:p w14:paraId="3F405196">
            <w:pPr>
              <w:pStyle w:val="290"/>
              <w:spacing w:before="1"/>
              <w:ind w:left="105"/>
              <w:rPr>
                <w:color w:val="auto"/>
                <w:sz w:val="21"/>
                <w:highlight w:val="none"/>
              </w:rPr>
            </w:pPr>
          </w:p>
        </w:tc>
        <w:tc>
          <w:tcPr>
            <w:tcW w:w="1445" w:type="dxa"/>
            <w:noWrap w:val="0"/>
            <w:vAlign w:val="top"/>
          </w:tcPr>
          <w:p w14:paraId="64FD90B3">
            <w:pPr>
              <w:pStyle w:val="290"/>
              <w:spacing w:before="1"/>
              <w:ind w:left="105"/>
              <w:rPr>
                <w:color w:val="auto"/>
                <w:sz w:val="21"/>
                <w:highlight w:val="none"/>
              </w:rPr>
            </w:pPr>
          </w:p>
        </w:tc>
        <w:tc>
          <w:tcPr>
            <w:tcW w:w="1309" w:type="dxa"/>
            <w:noWrap w:val="0"/>
            <w:vAlign w:val="top"/>
          </w:tcPr>
          <w:p w14:paraId="5E192547">
            <w:pPr>
              <w:pStyle w:val="290"/>
              <w:spacing w:before="1"/>
              <w:ind w:left="105"/>
              <w:rPr>
                <w:color w:val="auto"/>
                <w:sz w:val="21"/>
                <w:highlight w:val="none"/>
              </w:rPr>
            </w:pPr>
          </w:p>
        </w:tc>
        <w:tc>
          <w:tcPr>
            <w:tcW w:w="1268" w:type="dxa"/>
            <w:noWrap w:val="0"/>
            <w:vAlign w:val="top"/>
          </w:tcPr>
          <w:p w14:paraId="0B823C1C">
            <w:pPr>
              <w:pStyle w:val="290"/>
              <w:spacing w:before="1"/>
              <w:ind w:left="107"/>
              <w:rPr>
                <w:color w:val="auto"/>
                <w:sz w:val="21"/>
                <w:highlight w:val="none"/>
              </w:rPr>
            </w:pPr>
          </w:p>
        </w:tc>
        <w:tc>
          <w:tcPr>
            <w:tcW w:w="1303" w:type="dxa"/>
            <w:noWrap w:val="0"/>
            <w:vAlign w:val="top"/>
          </w:tcPr>
          <w:p w14:paraId="1D5C2ADB">
            <w:pPr>
              <w:pStyle w:val="290"/>
              <w:spacing w:before="1"/>
              <w:ind w:left="108"/>
              <w:rPr>
                <w:color w:val="auto"/>
                <w:sz w:val="21"/>
                <w:highlight w:val="none"/>
              </w:rPr>
            </w:pPr>
          </w:p>
        </w:tc>
      </w:tr>
      <w:tr w14:paraId="124BE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7531C264">
            <w:pPr>
              <w:pStyle w:val="290"/>
              <w:rPr>
                <w:rFonts w:ascii="黑体"/>
                <w:color w:val="auto"/>
                <w:sz w:val="20"/>
                <w:highlight w:val="none"/>
              </w:rPr>
            </w:pPr>
          </w:p>
          <w:p w14:paraId="5BE5E38E">
            <w:pPr>
              <w:pStyle w:val="290"/>
              <w:spacing w:before="6"/>
              <w:rPr>
                <w:rFonts w:ascii="黑体"/>
                <w:color w:val="auto"/>
                <w:sz w:val="17"/>
                <w:highlight w:val="none"/>
              </w:rPr>
            </w:pPr>
          </w:p>
          <w:p w14:paraId="7551580A">
            <w:pPr>
              <w:pStyle w:val="290"/>
              <w:spacing w:before="1"/>
              <w:ind w:left="105"/>
              <w:rPr>
                <w:color w:val="auto"/>
                <w:sz w:val="21"/>
                <w:highlight w:val="none"/>
              </w:rPr>
            </w:pPr>
            <w:r>
              <w:rPr>
                <w:color w:val="auto"/>
                <w:sz w:val="21"/>
                <w:highlight w:val="none"/>
              </w:rPr>
              <w:t xml:space="preserve"> </w:t>
            </w:r>
          </w:p>
        </w:tc>
        <w:tc>
          <w:tcPr>
            <w:tcW w:w="1405" w:type="dxa"/>
            <w:noWrap w:val="0"/>
            <w:vAlign w:val="top"/>
          </w:tcPr>
          <w:p w14:paraId="574D3430">
            <w:pPr>
              <w:pStyle w:val="290"/>
              <w:rPr>
                <w:rFonts w:ascii="黑体"/>
                <w:color w:val="auto"/>
                <w:sz w:val="20"/>
                <w:highlight w:val="none"/>
              </w:rPr>
            </w:pPr>
          </w:p>
          <w:p w14:paraId="6C4BF7DF">
            <w:pPr>
              <w:pStyle w:val="290"/>
              <w:spacing w:before="6"/>
              <w:rPr>
                <w:rFonts w:ascii="黑体"/>
                <w:color w:val="auto"/>
                <w:sz w:val="17"/>
                <w:highlight w:val="none"/>
              </w:rPr>
            </w:pPr>
          </w:p>
          <w:p w14:paraId="538B4B7A">
            <w:pPr>
              <w:pStyle w:val="290"/>
              <w:spacing w:before="1"/>
              <w:ind w:left="105"/>
              <w:rPr>
                <w:color w:val="auto"/>
                <w:sz w:val="21"/>
                <w:highlight w:val="none"/>
              </w:rPr>
            </w:pPr>
            <w:r>
              <w:rPr>
                <w:color w:val="auto"/>
                <w:sz w:val="21"/>
                <w:highlight w:val="none"/>
              </w:rPr>
              <w:t xml:space="preserve"> </w:t>
            </w:r>
          </w:p>
        </w:tc>
        <w:tc>
          <w:tcPr>
            <w:tcW w:w="1091" w:type="dxa"/>
            <w:noWrap w:val="0"/>
            <w:vAlign w:val="top"/>
          </w:tcPr>
          <w:p w14:paraId="10673CA7">
            <w:pPr>
              <w:pStyle w:val="290"/>
              <w:spacing w:before="1"/>
              <w:ind w:left="105"/>
              <w:rPr>
                <w:color w:val="auto"/>
                <w:sz w:val="21"/>
                <w:highlight w:val="none"/>
              </w:rPr>
            </w:pPr>
          </w:p>
        </w:tc>
        <w:tc>
          <w:tcPr>
            <w:tcW w:w="1445" w:type="dxa"/>
            <w:noWrap w:val="0"/>
            <w:vAlign w:val="top"/>
          </w:tcPr>
          <w:p w14:paraId="42358E1A">
            <w:pPr>
              <w:pStyle w:val="290"/>
              <w:spacing w:before="1"/>
              <w:ind w:left="105"/>
              <w:rPr>
                <w:color w:val="auto"/>
                <w:sz w:val="21"/>
                <w:highlight w:val="none"/>
              </w:rPr>
            </w:pPr>
          </w:p>
        </w:tc>
        <w:tc>
          <w:tcPr>
            <w:tcW w:w="1309" w:type="dxa"/>
            <w:noWrap w:val="0"/>
            <w:vAlign w:val="top"/>
          </w:tcPr>
          <w:p w14:paraId="17936C31">
            <w:pPr>
              <w:pStyle w:val="290"/>
              <w:rPr>
                <w:rFonts w:ascii="黑体"/>
                <w:color w:val="auto"/>
                <w:sz w:val="20"/>
                <w:highlight w:val="none"/>
              </w:rPr>
            </w:pPr>
          </w:p>
          <w:p w14:paraId="29B15FC0">
            <w:pPr>
              <w:pStyle w:val="290"/>
              <w:spacing w:before="6"/>
              <w:rPr>
                <w:rFonts w:ascii="黑体"/>
                <w:color w:val="auto"/>
                <w:sz w:val="17"/>
                <w:highlight w:val="none"/>
              </w:rPr>
            </w:pPr>
          </w:p>
          <w:p w14:paraId="67F2853D">
            <w:pPr>
              <w:pStyle w:val="290"/>
              <w:spacing w:before="1"/>
              <w:ind w:left="105"/>
              <w:rPr>
                <w:color w:val="auto"/>
                <w:sz w:val="21"/>
                <w:highlight w:val="none"/>
              </w:rPr>
            </w:pPr>
            <w:r>
              <w:rPr>
                <w:color w:val="auto"/>
                <w:sz w:val="21"/>
                <w:highlight w:val="none"/>
              </w:rPr>
              <w:t xml:space="preserve"> </w:t>
            </w:r>
          </w:p>
        </w:tc>
        <w:tc>
          <w:tcPr>
            <w:tcW w:w="1268" w:type="dxa"/>
            <w:noWrap w:val="0"/>
            <w:vAlign w:val="top"/>
          </w:tcPr>
          <w:p w14:paraId="6FA6DBD4">
            <w:pPr>
              <w:pStyle w:val="290"/>
              <w:rPr>
                <w:rFonts w:ascii="黑体"/>
                <w:color w:val="auto"/>
                <w:sz w:val="20"/>
                <w:highlight w:val="none"/>
              </w:rPr>
            </w:pPr>
          </w:p>
          <w:p w14:paraId="5D040E5A">
            <w:pPr>
              <w:pStyle w:val="290"/>
              <w:spacing w:before="6"/>
              <w:rPr>
                <w:rFonts w:ascii="黑体"/>
                <w:color w:val="auto"/>
                <w:sz w:val="17"/>
                <w:highlight w:val="none"/>
              </w:rPr>
            </w:pPr>
          </w:p>
          <w:p w14:paraId="67EB336B">
            <w:pPr>
              <w:pStyle w:val="290"/>
              <w:spacing w:before="1"/>
              <w:ind w:left="107"/>
              <w:rPr>
                <w:color w:val="auto"/>
                <w:sz w:val="21"/>
                <w:highlight w:val="none"/>
              </w:rPr>
            </w:pPr>
            <w:r>
              <w:rPr>
                <w:color w:val="auto"/>
                <w:sz w:val="21"/>
                <w:highlight w:val="none"/>
              </w:rPr>
              <w:t xml:space="preserve"> </w:t>
            </w:r>
          </w:p>
        </w:tc>
        <w:tc>
          <w:tcPr>
            <w:tcW w:w="1303" w:type="dxa"/>
            <w:noWrap w:val="0"/>
            <w:vAlign w:val="top"/>
          </w:tcPr>
          <w:p w14:paraId="00AFD2A0">
            <w:pPr>
              <w:pStyle w:val="290"/>
              <w:rPr>
                <w:rFonts w:ascii="黑体"/>
                <w:color w:val="auto"/>
                <w:sz w:val="20"/>
                <w:highlight w:val="none"/>
              </w:rPr>
            </w:pPr>
          </w:p>
          <w:p w14:paraId="19FAEA9E">
            <w:pPr>
              <w:pStyle w:val="290"/>
              <w:spacing w:before="6"/>
              <w:rPr>
                <w:rFonts w:ascii="黑体"/>
                <w:color w:val="auto"/>
                <w:sz w:val="17"/>
                <w:highlight w:val="none"/>
              </w:rPr>
            </w:pPr>
          </w:p>
          <w:p w14:paraId="4F37934E">
            <w:pPr>
              <w:pStyle w:val="290"/>
              <w:spacing w:before="1"/>
              <w:ind w:left="108"/>
              <w:rPr>
                <w:color w:val="auto"/>
                <w:sz w:val="21"/>
                <w:highlight w:val="none"/>
              </w:rPr>
            </w:pPr>
            <w:r>
              <w:rPr>
                <w:color w:val="auto"/>
                <w:sz w:val="21"/>
                <w:highlight w:val="none"/>
              </w:rPr>
              <w:t xml:space="preserve"> </w:t>
            </w:r>
          </w:p>
        </w:tc>
      </w:tr>
    </w:tbl>
    <w:p w14:paraId="5DB6183B">
      <w:pPr>
        <w:ind w:firstLine="200"/>
        <w:rPr>
          <w:rFonts w:hint="eastAsia" w:ascii="宋体" w:hAnsi="宋体" w:eastAsia="宋体" w:cs="Times New Roman"/>
          <w:color w:val="auto"/>
          <w:sz w:val="20"/>
          <w:szCs w:val="20"/>
          <w:highlight w:val="none"/>
        </w:rPr>
      </w:pPr>
      <w:r>
        <w:rPr>
          <w:rFonts w:hint="eastAsia" w:ascii="宋体" w:hAnsi="宋体" w:eastAsia="宋体" w:cs="Times New Roman"/>
          <w:color w:val="auto"/>
          <w:sz w:val="20"/>
          <w:szCs w:val="20"/>
          <w:highlight w:val="none"/>
        </w:rPr>
        <w:t>注：</w:t>
      </w:r>
      <w:r>
        <w:rPr>
          <w:rFonts w:hint="eastAsia" w:ascii="宋体" w:hAnsi="宋体" w:eastAsia="宋体" w:cs="Times New Roman"/>
          <w:color w:val="auto"/>
          <w:sz w:val="20"/>
          <w:szCs w:val="20"/>
          <w:highlight w:val="none"/>
          <w:lang w:val="en-US" w:eastAsia="zh-CN"/>
        </w:rPr>
        <w:t>1.</w:t>
      </w:r>
      <w:r>
        <w:rPr>
          <w:rFonts w:hint="eastAsia" w:ascii="宋体" w:hAnsi="宋体" w:eastAsia="宋体" w:cs="Times New Roman"/>
          <w:color w:val="auto"/>
          <w:sz w:val="20"/>
          <w:szCs w:val="20"/>
          <w:highlight w:val="none"/>
        </w:rPr>
        <w:t>此表由招标人填写除“投标单价”栏的内容</w:t>
      </w:r>
      <w:r>
        <w:rPr>
          <w:rFonts w:hint="eastAsia" w:ascii="宋体" w:hAnsi="宋体" w:eastAsia="宋体" w:cs="Times New Roman"/>
          <w:color w:val="auto"/>
          <w:sz w:val="20"/>
          <w:szCs w:val="20"/>
          <w:highlight w:val="none"/>
          <w:lang w:eastAsia="zh-CN"/>
        </w:rPr>
        <w:t>，</w:t>
      </w:r>
      <w:r>
        <w:rPr>
          <w:rFonts w:hint="eastAsia" w:ascii="宋体" w:hAnsi="宋体" w:eastAsia="宋体" w:cs="Times New Roman"/>
          <w:color w:val="auto"/>
          <w:sz w:val="20"/>
          <w:szCs w:val="20"/>
          <w:highlight w:val="none"/>
        </w:rPr>
        <w:t>投标人在投标时自主确定投标单价。</w:t>
      </w:r>
    </w:p>
    <w:p w14:paraId="45E1D64F">
      <w:pPr>
        <w:ind w:firstLine="600"/>
        <w:rPr>
          <w:rFonts w:hint="eastAsia" w:ascii="宋体" w:hAnsi="宋体" w:eastAsia="宋体" w:cs="Times New Roman"/>
          <w:color w:val="auto"/>
          <w:sz w:val="20"/>
          <w:szCs w:val="20"/>
          <w:highlight w:val="none"/>
          <w:lang w:val="en-US" w:eastAsia="zh-CN"/>
        </w:rPr>
      </w:pPr>
      <w:r>
        <w:rPr>
          <w:rFonts w:hint="eastAsia" w:ascii="宋体" w:hAnsi="宋体" w:eastAsia="宋体" w:cs="Times New Roman"/>
          <w:color w:val="auto"/>
          <w:sz w:val="20"/>
          <w:szCs w:val="20"/>
          <w:highlight w:val="none"/>
          <w:lang w:val="en-US" w:eastAsia="zh-CN"/>
        </w:rPr>
        <w:t>2.应用于一般计税法为除税价，应用于简易计税法为含税价。</w:t>
      </w:r>
    </w:p>
    <w:p w14:paraId="5A8195BE">
      <w:pPr>
        <w:pStyle w:val="30"/>
        <w:shd w:val="clear" w:color="auto"/>
        <w:rPr>
          <w:rFonts w:hint="eastAsia"/>
          <w:color w:val="auto"/>
          <w:highlight w:val="none"/>
          <w:lang w:val="en-US" w:eastAsia="zh-CN"/>
        </w:rPr>
        <w:sectPr>
          <w:footerReference r:id="rId7" w:type="default"/>
          <w:pgSz w:w="11905" w:h="16838"/>
          <w:pgMar w:top="1134" w:right="1134" w:bottom="1134" w:left="1134" w:header="850" w:footer="992" w:gutter="0"/>
          <w:cols w:space="720" w:num="1"/>
        </w:sectPr>
      </w:pPr>
    </w:p>
    <w:p w14:paraId="5CEE4FD4">
      <w:pPr>
        <w:pStyle w:val="30"/>
        <w:shd w:val="clear" w:color="auto"/>
        <w:rPr>
          <w:rFonts w:hint="eastAsia"/>
          <w:color w:val="auto"/>
          <w:highlight w:val="none"/>
          <w:lang w:val="en-US" w:eastAsia="zh-CN"/>
        </w:rPr>
      </w:pPr>
    </w:p>
    <w:p w14:paraId="4FC4E3A8">
      <w:pPr>
        <w:pStyle w:val="45"/>
        <w:shd w:val="clear" w:color="auto"/>
        <w:rPr>
          <w:rFonts w:hint="eastAsia" w:eastAsia="宋体" w:cs="Times New Roman"/>
          <w:color w:val="auto"/>
          <w:sz w:val="44"/>
          <w:szCs w:val="44"/>
          <w:highlight w:val="none"/>
        </w:rPr>
      </w:pPr>
      <w:bookmarkStart w:id="1324" w:name="_Toc3164"/>
      <w:r>
        <w:rPr>
          <w:rFonts w:hint="eastAsia" w:eastAsia="宋体" w:cs="Times New Roman"/>
          <w:color w:val="auto"/>
          <w:sz w:val="44"/>
          <w:szCs w:val="44"/>
          <w:highlight w:val="none"/>
        </w:rPr>
        <w:t>第</w:t>
      </w:r>
      <w:r>
        <w:rPr>
          <w:rFonts w:hint="eastAsia" w:eastAsia="宋体" w:cs="Times New Roman"/>
          <w:color w:val="auto"/>
          <w:sz w:val="44"/>
          <w:szCs w:val="44"/>
          <w:highlight w:val="none"/>
          <w:lang w:val="en-US" w:eastAsia="zh-CN"/>
        </w:rPr>
        <w:t>六</w:t>
      </w:r>
      <w:r>
        <w:rPr>
          <w:rFonts w:hint="eastAsia" w:eastAsia="宋体" w:cs="Times New Roman"/>
          <w:color w:val="auto"/>
          <w:sz w:val="44"/>
          <w:szCs w:val="44"/>
          <w:highlight w:val="none"/>
        </w:rPr>
        <w:t>章  技术标准和要求</w:t>
      </w:r>
      <w:bookmarkEnd w:id="44"/>
      <w:bookmarkEnd w:id="1324"/>
    </w:p>
    <w:p w14:paraId="093E268B">
      <w:pPr>
        <w:pStyle w:val="263"/>
        <w:shd w:val="clear" w:color="auto"/>
        <w:spacing w:line="390" w:lineRule="exact"/>
        <w:ind w:left="-36" w:firstLine="420"/>
        <w:rPr>
          <w:rFonts w:hint="eastAsia" w:hAnsi="宋体"/>
          <w:color w:val="auto"/>
          <w:szCs w:val="24"/>
          <w:highlight w:val="none"/>
        </w:rPr>
      </w:pPr>
    </w:p>
    <w:p w14:paraId="72FCF62F">
      <w:pPr>
        <w:pStyle w:val="263"/>
        <w:shd w:val="clear" w:color="auto"/>
        <w:spacing w:line="390" w:lineRule="exact"/>
        <w:ind w:left="-36" w:firstLine="420"/>
        <w:rPr>
          <w:rFonts w:hint="eastAsia" w:hAnsi="宋体"/>
          <w:color w:val="auto"/>
          <w:szCs w:val="24"/>
          <w:highlight w:val="none"/>
        </w:rPr>
      </w:pPr>
      <w:r>
        <w:rPr>
          <w:rFonts w:hint="eastAsia" w:hAnsi="宋体"/>
          <w:color w:val="auto"/>
          <w:szCs w:val="24"/>
          <w:highlight w:val="none"/>
        </w:rPr>
        <w:t>根据采购单位的要求和国家现行的有关的工程建设标准、技术规范及强制性标准条文以及施工图纸载明的其他有关规范标准。</w:t>
      </w:r>
    </w:p>
    <w:p w14:paraId="3255E62E">
      <w:pPr>
        <w:pStyle w:val="263"/>
        <w:shd w:val="clear" w:color="auto"/>
        <w:spacing w:line="390" w:lineRule="exact"/>
        <w:ind w:left="-36" w:firstLine="420"/>
        <w:rPr>
          <w:rFonts w:hint="eastAsia" w:hAnsi="宋体"/>
          <w:color w:val="auto"/>
          <w:szCs w:val="24"/>
          <w:highlight w:val="none"/>
        </w:rPr>
      </w:pPr>
    </w:p>
    <w:p w14:paraId="3E46D77F">
      <w:pPr>
        <w:pStyle w:val="6"/>
        <w:shd w:val="clear" w:color="auto"/>
        <w:rPr>
          <w:rFonts w:hint="eastAsia" w:ascii="宋体" w:hAnsi="Courier New" w:cs="Courier New"/>
          <w:b w:val="0"/>
          <w:color w:val="auto"/>
          <w:sz w:val="21"/>
          <w:szCs w:val="21"/>
          <w:highlight w:val="none"/>
        </w:rPr>
      </w:pPr>
    </w:p>
    <w:p w14:paraId="230E6D4D">
      <w:pPr>
        <w:shd w:val="clear" w:color="auto"/>
        <w:ind w:firstLine="420"/>
        <w:rPr>
          <w:color w:val="auto"/>
          <w:highlight w:val="none"/>
        </w:rPr>
      </w:pPr>
    </w:p>
    <w:p w14:paraId="1A6A2446">
      <w:pPr>
        <w:pStyle w:val="263"/>
        <w:shd w:val="clear" w:color="auto"/>
        <w:spacing w:line="390" w:lineRule="exact"/>
        <w:ind w:left="-36" w:firstLine="420"/>
        <w:rPr>
          <w:rFonts w:hint="eastAsia"/>
          <w:color w:val="auto"/>
          <w:szCs w:val="24"/>
          <w:highlight w:val="none"/>
        </w:rPr>
      </w:pPr>
    </w:p>
    <w:p w14:paraId="339BF2BE">
      <w:pPr>
        <w:pStyle w:val="25"/>
        <w:shd w:val="clear" w:color="auto"/>
        <w:rPr>
          <w:rFonts w:hint="eastAsia"/>
          <w:color w:val="auto"/>
          <w:highlight w:val="none"/>
        </w:rPr>
      </w:pPr>
    </w:p>
    <w:p w14:paraId="67400B0F">
      <w:pPr>
        <w:shd w:val="clear" w:color="auto"/>
        <w:spacing w:line="360" w:lineRule="auto"/>
        <w:jc w:val="center"/>
        <w:rPr>
          <w:rFonts w:hint="eastAsia" w:ascii="Times New Roman" w:hAnsi="宋体"/>
          <w:color w:val="auto"/>
          <w:highlight w:val="none"/>
        </w:rPr>
      </w:pPr>
    </w:p>
    <w:p w14:paraId="704E2B42">
      <w:pPr>
        <w:pStyle w:val="45"/>
        <w:shd w:val="clear" w:color="auto"/>
        <w:rPr>
          <w:rFonts w:hint="eastAsia" w:ascii="宋体" w:hAnsi="宋体"/>
          <w:color w:val="auto"/>
          <w:sz w:val="44"/>
          <w:szCs w:val="24"/>
          <w:highlight w:val="none"/>
        </w:rPr>
      </w:pPr>
      <w:r>
        <w:rPr>
          <w:color w:val="auto"/>
          <w:szCs w:val="24"/>
          <w:highlight w:val="none"/>
        </w:rPr>
        <w:br w:type="page" w:clear="all"/>
      </w:r>
      <w:bookmarkStart w:id="1325" w:name="_Toc15389064"/>
      <w:bookmarkStart w:id="1326" w:name="_Toc17917"/>
      <w:r>
        <w:rPr>
          <w:rFonts w:hint="eastAsia" w:ascii="宋体" w:hAnsi="宋体"/>
          <w:color w:val="auto"/>
          <w:sz w:val="44"/>
          <w:szCs w:val="24"/>
          <w:highlight w:val="none"/>
        </w:rPr>
        <w:t>第</w:t>
      </w:r>
      <w:r>
        <w:rPr>
          <w:rFonts w:hint="eastAsia" w:ascii="宋体" w:hAnsi="宋体"/>
          <w:color w:val="auto"/>
          <w:sz w:val="44"/>
          <w:szCs w:val="24"/>
          <w:highlight w:val="none"/>
          <w:lang w:val="en-US" w:eastAsia="zh-CN"/>
        </w:rPr>
        <w:t>七</w:t>
      </w:r>
      <w:r>
        <w:rPr>
          <w:rFonts w:hint="eastAsia" w:ascii="宋体" w:hAnsi="宋体"/>
          <w:color w:val="auto"/>
          <w:sz w:val="44"/>
          <w:szCs w:val="24"/>
          <w:highlight w:val="none"/>
        </w:rPr>
        <w:t>章  图纸</w:t>
      </w:r>
      <w:bookmarkEnd w:id="1325"/>
      <w:bookmarkEnd w:id="1326"/>
    </w:p>
    <w:p w14:paraId="1124D061">
      <w:pPr>
        <w:pStyle w:val="263"/>
        <w:shd w:val="clear" w:color="auto"/>
        <w:spacing w:line="390" w:lineRule="exact"/>
        <w:ind w:left="-36" w:firstLine="420"/>
        <w:rPr>
          <w:rFonts w:hint="eastAsia" w:hAnsi="宋体"/>
          <w:color w:val="auto"/>
          <w:szCs w:val="24"/>
          <w:highlight w:val="none"/>
        </w:rPr>
      </w:pPr>
    </w:p>
    <w:p w14:paraId="38027C5D">
      <w:pPr>
        <w:pStyle w:val="25"/>
        <w:shd w:val="clear" w:color="auto"/>
        <w:spacing w:line="500" w:lineRule="exact"/>
        <w:jc w:val="center"/>
        <w:rPr>
          <w:rFonts w:hint="eastAsia" w:ascii="楷体" w:hAnsi="楷体" w:eastAsia="楷体" w:cs="宋体"/>
          <w:color w:val="auto"/>
          <w:sz w:val="28"/>
          <w:szCs w:val="28"/>
          <w:highlight w:val="none"/>
        </w:rPr>
      </w:pPr>
      <w:r>
        <w:rPr>
          <w:rFonts w:hint="eastAsia" w:ascii="楷体" w:hAnsi="楷体" w:eastAsia="楷体" w:cs="宋体"/>
          <w:color w:val="auto"/>
          <w:sz w:val="28"/>
          <w:szCs w:val="28"/>
          <w:highlight w:val="none"/>
        </w:rPr>
        <w:t>（如有，另册）</w:t>
      </w:r>
    </w:p>
    <w:p w14:paraId="1AA0AFFB">
      <w:pPr>
        <w:pStyle w:val="25"/>
        <w:shd w:val="clear" w:color="auto"/>
        <w:jc w:val="center"/>
        <w:rPr>
          <w:rFonts w:hint="eastAsia" w:hAnsi="宋体" w:cs="宋体"/>
          <w:color w:val="auto"/>
          <w:sz w:val="44"/>
          <w:highlight w:val="none"/>
        </w:rPr>
      </w:pPr>
    </w:p>
    <w:p w14:paraId="4EEDBFFC">
      <w:pPr>
        <w:shd w:val="clear" w:color="auto"/>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1.图纸目录</w:t>
      </w:r>
    </w:p>
    <w:p w14:paraId="70C3772A">
      <w:pPr>
        <w:shd w:val="clear" w:color="auto"/>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2.图纸</w:t>
      </w:r>
    </w:p>
    <w:p w14:paraId="699E53BD">
      <w:pPr>
        <w:shd w:val="clear" w:color="auto"/>
        <w:rPr>
          <w:color w:val="auto"/>
          <w:highlight w:val="none"/>
        </w:rPr>
      </w:pPr>
    </w:p>
    <w:p w14:paraId="0716F429">
      <w:pPr>
        <w:shd w:val="clear" w:color="auto"/>
        <w:rPr>
          <w:color w:val="auto"/>
          <w:highlight w:val="none"/>
        </w:rPr>
      </w:pPr>
    </w:p>
    <w:p w14:paraId="05C9B33F">
      <w:pPr>
        <w:shd w:val="clear" w:color="auto"/>
        <w:spacing w:line="360" w:lineRule="auto"/>
        <w:jc w:val="center"/>
        <w:rPr>
          <w:rFonts w:hint="eastAsia" w:ascii="Times New Roman" w:hAnsi="宋体"/>
          <w:color w:val="auto"/>
          <w:highlight w:val="none"/>
        </w:rPr>
      </w:pPr>
    </w:p>
    <w:p w14:paraId="27A5E3C0">
      <w:pPr>
        <w:shd w:val="clear" w:color="auto"/>
        <w:spacing w:line="360" w:lineRule="auto"/>
        <w:jc w:val="center"/>
        <w:rPr>
          <w:rFonts w:hint="eastAsia" w:ascii="Times New Roman" w:hAnsi="宋体"/>
          <w:color w:val="auto"/>
          <w:highlight w:val="none"/>
        </w:rPr>
      </w:pPr>
    </w:p>
    <w:p w14:paraId="55DF76A8">
      <w:pPr>
        <w:shd w:val="clear" w:color="auto"/>
        <w:spacing w:line="360" w:lineRule="auto"/>
        <w:jc w:val="center"/>
        <w:rPr>
          <w:rFonts w:hint="eastAsia" w:ascii="Times New Roman" w:hAnsi="宋体"/>
          <w:color w:val="auto"/>
          <w:highlight w:val="none"/>
        </w:rPr>
      </w:pPr>
    </w:p>
    <w:p w14:paraId="62C00A2C">
      <w:pPr>
        <w:shd w:val="clear" w:color="auto"/>
        <w:spacing w:line="360" w:lineRule="auto"/>
        <w:jc w:val="center"/>
        <w:rPr>
          <w:rFonts w:hint="eastAsia" w:ascii="Times New Roman" w:hAnsi="宋体"/>
          <w:color w:val="auto"/>
          <w:highlight w:val="none"/>
        </w:rPr>
      </w:pPr>
    </w:p>
    <w:p w14:paraId="40B80CE1">
      <w:pPr>
        <w:shd w:val="clear" w:color="auto"/>
        <w:spacing w:line="360" w:lineRule="auto"/>
        <w:jc w:val="center"/>
        <w:rPr>
          <w:rFonts w:hint="eastAsia" w:ascii="Times New Roman" w:hAnsi="宋体"/>
          <w:color w:val="auto"/>
          <w:highlight w:val="none"/>
        </w:rPr>
      </w:pPr>
    </w:p>
    <w:p w14:paraId="72F41AB4">
      <w:pPr>
        <w:shd w:val="clear" w:color="auto"/>
        <w:spacing w:line="360" w:lineRule="auto"/>
        <w:jc w:val="center"/>
        <w:rPr>
          <w:rFonts w:hint="eastAsia" w:ascii="Times New Roman" w:hAnsi="宋体"/>
          <w:color w:val="auto"/>
          <w:highlight w:val="none"/>
        </w:rPr>
      </w:pPr>
    </w:p>
    <w:p w14:paraId="4201A0EE">
      <w:pPr>
        <w:shd w:val="clear" w:color="auto"/>
        <w:spacing w:line="360" w:lineRule="auto"/>
        <w:jc w:val="center"/>
        <w:rPr>
          <w:rFonts w:hint="eastAsia" w:ascii="Times New Roman" w:hAnsi="宋体"/>
          <w:color w:val="auto"/>
          <w:highlight w:val="none"/>
        </w:rPr>
      </w:pPr>
    </w:p>
    <w:p w14:paraId="49F04E8B">
      <w:pPr>
        <w:shd w:val="clear" w:color="auto"/>
        <w:spacing w:line="360" w:lineRule="auto"/>
        <w:jc w:val="center"/>
        <w:rPr>
          <w:rFonts w:hint="eastAsia" w:ascii="Times New Roman" w:hAnsi="宋体"/>
          <w:color w:val="auto"/>
          <w:highlight w:val="none"/>
        </w:rPr>
      </w:pPr>
    </w:p>
    <w:p w14:paraId="714C8BBD">
      <w:pPr>
        <w:shd w:val="clear" w:color="auto"/>
        <w:spacing w:line="360" w:lineRule="auto"/>
        <w:jc w:val="center"/>
        <w:rPr>
          <w:rFonts w:hint="eastAsia" w:ascii="Times New Roman" w:hAnsi="宋体"/>
          <w:color w:val="auto"/>
          <w:highlight w:val="none"/>
        </w:rPr>
      </w:pPr>
    </w:p>
    <w:p w14:paraId="7E37E9A2">
      <w:pPr>
        <w:pStyle w:val="45"/>
        <w:shd w:val="clear" w:color="auto"/>
        <w:spacing w:line="480" w:lineRule="auto"/>
        <w:rPr>
          <w:rFonts w:hint="eastAsia" w:ascii="宋体" w:hAnsi="宋体"/>
          <w:color w:val="auto"/>
          <w:sz w:val="44"/>
          <w:szCs w:val="24"/>
          <w:highlight w:val="none"/>
        </w:rPr>
      </w:pPr>
      <w:bookmarkStart w:id="1327" w:name="_Toc15389065"/>
      <w:bookmarkStart w:id="1328" w:name="_Toc492464693"/>
      <w:r>
        <w:rPr>
          <w:rFonts w:hint="eastAsia" w:ascii="宋体" w:hAnsi="宋体"/>
          <w:color w:val="auto"/>
          <w:sz w:val="44"/>
          <w:szCs w:val="24"/>
          <w:highlight w:val="none"/>
        </w:rPr>
        <w:br w:type="page" w:clear="all"/>
      </w:r>
      <w:bookmarkStart w:id="1329" w:name="_Toc28044"/>
      <w:r>
        <w:rPr>
          <w:rFonts w:hint="eastAsia" w:ascii="宋体" w:hAnsi="宋体"/>
          <w:color w:val="auto"/>
          <w:sz w:val="44"/>
          <w:szCs w:val="24"/>
          <w:highlight w:val="none"/>
        </w:rPr>
        <w:t>第</w:t>
      </w:r>
      <w:r>
        <w:rPr>
          <w:rFonts w:hint="eastAsia" w:ascii="宋体" w:hAnsi="宋体"/>
          <w:color w:val="auto"/>
          <w:sz w:val="44"/>
          <w:szCs w:val="24"/>
          <w:highlight w:val="none"/>
          <w:lang w:val="en-US" w:eastAsia="zh-CN"/>
        </w:rPr>
        <w:t>八</w:t>
      </w:r>
      <w:r>
        <w:rPr>
          <w:rFonts w:hint="eastAsia" w:ascii="宋体" w:hAnsi="宋体"/>
          <w:color w:val="auto"/>
          <w:sz w:val="44"/>
          <w:szCs w:val="24"/>
          <w:highlight w:val="none"/>
        </w:rPr>
        <w:t>章  工程量清单</w:t>
      </w:r>
      <w:bookmarkEnd w:id="1327"/>
      <w:bookmarkEnd w:id="1328"/>
      <w:bookmarkEnd w:id="1329"/>
    </w:p>
    <w:p w14:paraId="1F8F1DAE">
      <w:pPr>
        <w:pStyle w:val="263"/>
        <w:shd w:val="clear" w:color="auto"/>
        <w:spacing w:line="390" w:lineRule="exact"/>
        <w:ind w:left="-36" w:firstLine="36"/>
        <w:rPr>
          <w:rFonts w:hint="eastAsia" w:hAnsi="宋体"/>
          <w:color w:val="auto"/>
          <w:szCs w:val="24"/>
          <w:highlight w:val="none"/>
        </w:rPr>
      </w:pPr>
    </w:p>
    <w:p w14:paraId="1FADBABF">
      <w:pPr>
        <w:pStyle w:val="25"/>
        <w:keepNext w:val="0"/>
        <w:keepLines w:val="0"/>
        <w:pageBreakBefore w:val="0"/>
        <w:widowControl w:val="0"/>
        <w:shd w:val="clear" w:color="auto"/>
        <w:bidi w:val="0"/>
        <w:spacing w:line="500" w:lineRule="exact"/>
        <w:jc w:val="center"/>
        <w:rPr>
          <w:rFonts w:hint="eastAsia" w:hAnsi="宋体" w:cs="宋体"/>
          <w:color w:val="auto"/>
          <w:sz w:val="28"/>
          <w:szCs w:val="28"/>
          <w:highlight w:val="none"/>
        </w:rPr>
      </w:pPr>
      <w:r>
        <w:rPr>
          <w:rFonts w:hint="eastAsia" w:hAnsi="宋体" w:cs="宋体"/>
          <w:color w:val="auto"/>
          <w:sz w:val="28"/>
          <w:szCs w:val="28"/>
          <w:highlight w:val="none"/>
        </w:rPr>
        <w:t>（</w:t>
      </w:r>
      <w:r>
        <w:rPr>
          <w:rFonts w:hint="eastAsia" w:hAnsi="宋体" w:cs="宋体"/>
          <w:color w:val="auto"/>
          <w:sz w:val="28"/>
          <w:szCs w:val="28"/>
          <w:highlight w:val="none"/>
          <w:lang w:val="en-US" w:eastAsia="zh-CN"/>
        </w:rPr>
        <w:t>工程量清单</w:t>
      </w:r>
      <w:r>
        <w:rPr>
          <w:rFonts w:hint="eastAsia" w:hAnsi="宋体" w:cs="宋体"/>
          <w:color w:val="auto"/>
          <w:sz w:val="28"/>
          <w:szCs w:val="28"/>
          <w:highlight w:val="none"/>
        </w:rPr>
        <w:t>另册</w:t>
      </w:r>
      <w:r>
        <w:rPr>
          <w:rFonts w:hint="eastAsia" w:hAnsi="宋体" w:cs="宋体"/>
          <w:color w:val="auto"/>
          <w:sz w:val="28"/>
          <w:szCs w:val="28"/>
          <w:highlight w:val="none"/>
          <w:lang w:val="en-US" w:eastAsia="zh-CN"/>
        </w:rPr>
        <w:t>提供</w:t>
      </w:r>
      <w:r>
        <w:rPr>
          <w:rFonts w:hint="eastAsia" w:hAnsi="宋体" w:cs="宋体"/>
          <w:color w:val="auto"/>
          <w:sz w:val="28"/>
          <w:szCs w:val="28"/>
          <w:highlight w:val="none"/>
          <w:lang w:eastAsia="zh-CN"/>
        </w:rPr>
        <w:t>，</w:t>
      </w:r>
      <w:r>
        <w:rPr>
          <w:rFonts w:hint="eastAsia" w:hAnsi="宋体" w:cs="宋体"/>
          <w:color w:val="auto"/>
          <w:sz w:val="28"/>
          <w:szCs w:val="28"/>
          <w:highlight w:val="none"/>
          <w:lang w:val="en-US" w:eastAsia="zh-CN"/>
        </w:rPr>
        <w:t>请登录广西政府采购云平台https://www.gcy.zfcg.gxzf.gov.cn下载</w:t>
      </w:r>
      <w:r>
        <w:rPr>
          <w:rFonts w:hint="eastAsia" w:hAnsi="宋体" w:cs="宋体"/>
          <w:color w:val="auto"/>
          <w:sz w:val="28"/>
          <w:szCs w:val="28"/>
          <w:highlight w:val="none"/>
        </w:rPr>
        <w:t>）</w:t>
      </w:r>
    </w:p>
    <w:p w14:paraId="018D2CFB">
      <w:pPr>
        <w:pStyle w:val="25"/>
        <w:shd w:val="clear" w:color="auto"/>
        <w:jc w:val="center"/>
        <w:rPr>
          <w:rFonts w:hint="eastAsia" w:hAnsi="宋体" w:cs="宋体"/>
          <w:color w:val="auto"/>
          <w:sz w:val="44"/>
          <w:highlight w:val="none"/>
        </w:rPr>
      </w:pPr>
    </w:p>
    <w:p w14:paraId="27A9684A">
      <w:pPr>
        <w:shd w:val="clear" w:color="auto"/>
        <w:jc w:val="center"/>
        <w:rPr>
          <w:rFonts w:hint="eastAsia" w:ascii="宋体" w:hAnsi="宋体"/>
          <w:color w:val="auto"/>
          <w:highlight w:val="none"/>
        </w:rPr>
      </w:pPr>
      <w:r>
        <w:rPr>
          <w:rFonts w:hint="eastAsia" w:ascii="宋体" w:hAnsi="宋体"/>
          <w:color w:val="auto"/>
          <w:highlight w:val="none"/>
        </w:rPr>
        <w:t>工程清单编制依据详见工程量清单编制说明</w:t>
      </w:r>
    </w:p>
    <w:p w14:paraId="2633E921">
      <w:pPr>
        <w:shd w:val="clear" w:color="auto"/>
        <w:spacing w:line="370" w:lineRule="exact"/>
        <w:ind w:firstLine="315"/>
        <w:outlineLvl w:val="1"/>
        <w:rPr>
          <w:rFonts w:ascii="宋体" w:hAnsi="宋体"/>
          <w:color w:val="auto"/>
          <w:szCs w:val="20"/>
          <w:highlight w:val="none"/>
        </w:rPr>
      </w:pPr>
      <w:r>
        <w:rPr>
          <w:rFonts w:ascii="宋体" w:hAnsi="宋体"/>
          <w:color w:val="auto"/>
          <w:szCs w:val="20"/>
          <w:highlight w:val="none"/>
        </w:rPr>
        <w:t xml:space="preserve"> </w:t>
      </w:r>
    </w:p>
    <w:p w14:paraId="58BA6E04">
      <w:pPr>
        <w:shd w:val="clear" w:color="auto"/>
        <w:spacing w:line="370" w:lineRule="exact"/>
        <w:ind w:firstLine="315"/>
        <w:outlineLvl w:val="1"/>
        <w:rPr>
          <w:rFonts w:ascii="宋体" w:hAnsi="宋体"/>
          <w:color w:val="auto"/>
          <w:szCs w:val="20"/>
          <w:highlight w:val="none"/>
        </w:rPr>
      </w:pPr>
      <w:r>
        <w:rPr>
          <w:rFonts w:ascii="宋体" w:hAnsi="宋体"/>
          <w:color w:val="auto"/>
          <w:szCs w:val="20"/>
          <w:highlight w:val="none"/>
        </w:rPr>
        <w:br w:type="page" w:clear="all"/>
      </w:r>
    </w:p>
    <w:p w14:paraId="2ACDBC27">
      <w:pPr>
        <w:shd w:val="clear" w:color="auto"/>
        <w:spacing w:line="400" w:lineRule="exact"/>
        <w:jc w:val="center"/>
        <w:rPr>
          <w:rFonts w:hint="eastAsia" w:ascii="宋体" w:hAnsi="宋体"/>
          <w:color w:val="auto"/>
          <w:sz w:val="32"/>
          <w:szCs w:val="32"/>
          <w:highlight w:val="none"/>
        </w:rPr>
      </w:pPr>
    </w:p>
    <w:p w14:paraId="1F58B3B8">
      <w:pPr>
        <w:shd w:val="clear" w:color="auto"/>
        <w:spacing w:line="400" w:lineRule="exact"/>
        <w:jc w:val="center"/>
        <w:rPr>
          <w:rFonts w:hint="eastAsia" w:ascii="宋体" w:hAnsi="宋体"/>
          <w:color w:val="auto"/>
          <w:sz w:val="32"/>
          <w:szCs w:val="32"/>
          <w:highlight w:val="none"/>
        </w:rPr>
      </w:pPr>
    </w:p>
    <w:p w14:paraId="3B04E10B">
      <w:pPr>
        <w:shd w:val="clear" w:color="auto"/>
        <w:spacing w:line="400" w:lineRule="exact"/>
        <w:jc w:val="center"/>
        <w:rPr>
          <w:rFonts w:hint="eastAsia" w:ascii="宋体" w:hAnsi="宋体"/>
          <w:color w:val="auto"/>
          <w:sz w:val="32"/>
          <w:szCs w:val="32"/>
          <w:highlight w:val="none"/>
        </w:rPr>
      </w:pPr>
    </w:p>
    <w:p w14:paraId="5EAC442D">
      <w:pPr>
        <w:shd w:val="clear" w:color="auto"/>
        <w:spacing w:line="400" w:lineRule="exact"/>
        <w:jc w:val="center"/>
        <w:rPr>
          <w:rFonts w:hint="eastAsia" w:ascii="宋体" w:hAnsi="宋体"/>
          <w:color w:val="auto"/>
          <w:sz w:val="32"/>
          <w:szCs w:val="32"/>
          <w:highlight w:val="none"/>
        </w:rPr>
      </w:pPr>
    </w:p>
    <w:p w14:paraId="373FBDC5">
      <w:pPr>
        <w:shd w:val="clear" w:color="auto"/>
        <w:spacing w:line="400" w:lineRule="exact"/>
        <w:jc w:val="center"/>
        <w:rPr>
          <w:rFonts w:hint="eastAsia" w:ascii="宋体" w:hAnsi="宋体"/>
          <w:color w:val="auto"/>
          <w:sz w:val="32"/>
          <w:szCs w:val="32"/>
          <w:highlight w:val="none"/>
        </w:rPr>
      </w:pPr>
    </w:p>
    <w:p w14:paraId="7FE6633C">
      <w:pPr>
        <w:shd w:val="clear" w:color="auto"/>
        <w:spacing w:line="400" w:lineRule="exact"/>
        <w:jc w:val="center"/>
        <w:rPr>
          <w:rFonts w:hint="eastAsia" w:ascii="宋体" w:hAnsi="宋体"/>
          <w:color w:val="auto"/>
          <w:sz w:val="32"/>
          <w:szCs w:val="32"/>
          <w:highlight w:val="none"/>
        </w:rPr>
      </w:pPr>
    </w:p>
    <w:p w14:paraId="2DBF2A91">
      <w:pPr>
        <w:shd w:val="clear" w:color="auto"/>
        <w:spacing w:line="400" w:lineRule="exact"/>
        <w:jc w:val="center"/>
        <w:rPr>
          <w:rFonts w:hint="eastAsia" w:ascii="宋体" w:hAnsi="宋体"/>
          <w:color w:val="auto"/>
          <w:sz w:val="32"/>
          <w:szCs w:val="32"/>
          <w:highlight w:val="none"/>
        </w:rPr>
      </w:pPr>
    </w:p>
    <w:p w14:paraId="2F82C990">
      <w:pPr>
        <w:shd w:val="clear" w:color="auto"/>
        <w:spacing w:line="400" w:lineRule="exact"/>
        <w:jc w:val="center"/>
        <w:rPr>
          <w:rFonts w:hint="eastAsia" w:ascii="宋体" w:hAnsi="宋体"/>
          <w:color w:val="auto"/>
          <w:sz w:val="32"/>
          <w:szCs w:val="32"/>
          <w:highlight w:val="none"/>
        </w:rPr>
      </w:pPr>
    </w:p>
    <w:p w14:paraId="730136DA">
      <w:pPr>
        <w:shd w:val="clear" w:color="auto"/>
        <w:spacing w:line="400" w:lineRule="exact"/>
        <w:jc w:val="center"/>
        <w:rPr>
          <w:rFonts w:hint="eastAsia" w:ascii="宋体" w:hAnsi="宋体"/>
          <w:color w:val="auto"/>
          <w:sz w:val="32"/>
          <w:szCs w:val="32"/>
          <w:highlight w:val="none"/>
        </w:rPr>
      </w:pPr>
    </w:p>
    <w:p w14:paraId="2A5F5347">
      <w:pPr>
        <w:shd w:val="clear" w:color="auto"/>
        <w:spacing w:line="400" w:lineRule="exact"/>
        <w:jc w:val="center"/>
        <w:rPr>
          <w:rFonts w:hint="eastAsia" w:ascii="宋体" w:hAnsi="宋体"/>
          <w:color w:val="auto"/>
          <w:sz w:val="32"/>
          <w:szCs w:val="32"/>
          <w:highlight w:val="none"/>
        </w:rPr>
      </w:pPr>
    </w:p>
    <w:p w14:paraId="546C6828">
      <w:pPr>
        <w:shd w:val="clear" w:color="auto"/>
        <w:spacing w:line="400" w:lineRule="exact"/>
        <w:jc w:val="center"/>
        <w:rPr>
          <w:rFonts w:hint="eastAsia" w:ascii="宋体" w:hAnsi="宋体"/>
          <w:color w:val="auto"/>
          <w:sz w:val="32"/>
          <w:szCs w:val="32"/>
          <w:highlight w:val="none"/>
        </w:rPr>
      </w:pPr>
    </w:p>
    <w:p w14:paraId="7A9BB278">
      <w:pPr>
        <w:shd w:val="clear" w:color="auto"/>
        <w:spacing w:line="400" w:lineRule="exact"/>
        <w:jc w:val="center"/>
        <w:rPr>
          <w:rFonts w:hint="eastAsia" w:ascii="宋体" w:hAnsi="宋体"/>
          <w:color w:val="auto"/>
          <w:sz w:val="32"/>
          <w:szCs w:val="32"/>
          <w:highlight w:val="none"/>
        </w:rPr>
      </w:pPr>
    </w:p>
    <w:p w14:paraId="20E2783A">
      <w:pPr>
        <w:shd w:val="clear" w:color="auto"/>
        <w:spacing w:line="400" w:lineRule="exact"/>
        <w:jc w:val="center"/>
        <w:rPr>
          <w:rFonts w:hint="eastAsia" w:ascii="宋体" w:hAnsi="宋体"/>
          <w:color w:val="auto"/>
          <w:sz w:val="32"/>
          <w:szCs w:val="32"/>
          <w:highlight w:val="none"/>
        </w:rPr>
      </w:pPr>
    </w:p>
    <w:p w14:paraId="20107FEA">
      <w:pPr>
        <w:shd w:val="clear" w:color="auto"/>
        <w:spacing w:line="400" w:lineRule="exact"/>
        <w:jc w:val="center"/>
        <w:rPr>
          <w:rFonts w:hint="eastAsia" w:ascii="宋体" w:hAnsi="宋体"/>
          <w:color w:val="auto"/>
          <w:sz w:val="32"/>
          <w:szCs w:val="32"/>
          <w:highlight w:val="none"/>
        </w:rPr>
      </w:pPr>
    </w:p>
    <w:p w14:paraId="64CE9217">
      <w:pPr>
        <w:shd w:val="clear" w:color="auto"/>
        <w:spacing w:line="400" w:lineRule="exact"/>
        <w:jc w:val="center"/>
        <w:rPr>
          <w:rFonts w:hint="eastAsia" w:ascii="宋体" w:hAnsi="宋体"/>
          <w:color w:val="auto"/>
          <w:sz w:val="32"/>
          <w:szCs w:val="32"/>
          <w:highlight w:val="none"/>
        </w:rPr>
      </w:pPr>
    </w:p>
    <w:p w14:paraId="5A07615B">
      <w:pPr>
        <w:pStyle w:val="45"/>
        <w:shd w:val="clear" w:color="auto"/>
        <w:rPr>
          <w:rFonts w:hint="eastAsia"/>
          <w:color w:val="auto"/>
          <w:sz w:val="44"/>
          <w:szCs w:val="44"/>
          <w:highlight w:val="none"/>
        </w:rPr>
      </w:pPr>
      <w:bookmarkStart w:id="1330" w:name="_Toc476258673"/>
      <w:bookmarkStart w:id="1331" w:name="_Toc7416"/>
      <w:r>
        <w:rPr>
          <w:rFonts w:hint="eastAsia"/>
          <w:color w:val="auto"/>
          <w:sz w:val="44"/>
          <w:szCs w:val="44"/>
          <w:highlight w:val="none"/>
        </w:rPr>
        <w:t>第</w:t>
      </w:r>
      <w:r>
        <w:rPr>
          <w:rFonts w:hint="eastAsia"/>
          <w:color w:val="auto"/>
          <w:sz w:val="44"/>
          <w:szCs w:val="44"/>
          <w:highlight w:val="none"/>
          <w:lang w:val="en-US" w:eastAsia="zh-CN"/>
        </w:rPr>
        <w:t>九</w:t>
      </w:r>
      <w:r>
        <w:rPr>
          <w:rFonts w:hint="eastAsia"/>
          <w:color w:val="auto"/>
          <w:sz w:val="44"/>
          <w:szCs w:val="44"/>
          <w:highlight w:val="none"/>
        </w:rPr>
        <w:t>章  评标标准</w:t>
      </w:r>
      <w:bookmarkEnd w:id="1330"/>
      <w:bookmarkEnd w:id="1331"/>
    </w:p>
    <w:p w14:paraId="6A9C488A">
      <w:pPr>
        <w:pStyle w:val="25"/>
        <w:shd w:val="clear" w:color="auto"/>
        <w:spacing w:line="440" w:lineRule="exact"/>
        <w:rPr>
          <w:rFonts w:hint="eastAsia" w:ascii="黑体" w:hAnsi="宋体" w:eastAsia="黑体"/>
          <w:b/>
          <w:color w:val="auto"/>
          <w:sz w:val="32"/>
          <w:szCs w:val="32"/>
          <w:highlight w:val="none"/>
        </w:rPr>
      </w:pPr>
    </w:p>
    <w:p w14:paraId="7451FDEA">
      <w:pPr>
        <w:pStyle w:val="25"/>
        <w:shd w:val="clear" w:color="auto"/>
        <w:spacing w:line="440" w:lineRule="exact"/>
        <w:rPr>
          <w:rFonts w:hint="eastAsia" w:ascii="黑体" w:hAnsi="宋体" w:eastAsia="黑体"/>
          <w:b/>
          <w:color w:val="auto"/>
          <w:sz w:val="32"/>
          <w:szCs w:val="32"/>
          <w:highlight w:val="none"/>
        </w:rPr>
      </w:pPr>
    </w:p>
    <w:p w14:paraId="0B5F46B5">
      <w:pPr>
        <w:pStyle w:val="25"/>
        <w:shd w:val="clear" w:color="auto"/>
        <w:spacing w:line="440" w:lineRule="exact"/>
        <w:rPr>
          <w:rFonts w:hint="eastAsia" w:ascii="黑体" w:hAnsi="宋体" w:eastAsia="黑体"/>
          <w:b/>
          <w:color w:val="auto"/>
          <w:sz w:val="32"/>
          <w:szCs w:val="32"/>
          <w:highlight w:val="none"/>
        </w:rPr>
      </w:pPr>
    </w:p>
    <w:p w14:paraId="33024857">
      <w:pPr>
        <w:pStyle w:val="25"/>
        <w:shd w:val="clear" w:color="auto"/>
        <w:spacing w:line="440" w:lineRule="exact"/>
        <w:rPr>
          <w:rFonts w:hint="eastAsia" w:ascii="黑体" w:hAnsi="宋体" w:eastAsia="黑体"/>
          <w:b/>
          <w:color w:val="auto"/>
          <w:sz w:val="32"/>
          <w:szCs w:val="32"/>
          <w:highlight w:val="none"/>
        </w:rPr>
      </w:pPr>
    </w:p>
    <w:p w14:paraId="175BC2F4">
      <w:pPr>
        <w:pStyle w:val="25"/>
        <w:shd w:val="clear" w:color="auto"/>
        <w:spacing w:line="440" w:lineRule="exact"/>
        <w:rPr>
          <w:rFonts w:hint="eastAsia" w:ascii="黑体" w:hAnsi="宋体" w:eastAsia="黑体"/>
          <w:b/>
          <w:color w:val="auto"/>
          <w:sz w:val="32"/>
          <w:szCs w:val="32"/>
          <w:highlight w:val="none"/>
        </w:rPr>
      </w:pPr>
    </w:p>
    <w:p w14:paraId="25BE84C9">
      <w:pPr>
        <w:pStyle w:val="25"/>
        <w:shd w:val="clear" w:color="auto"/>
        <w:spacing w:line="440" w:lineRule="exact"/>
        <w:rPr>
          <w:rFonts w:hint="eastAsia" w:ascii="黑体" w:hAnsi="宋体" w:eastAsia="黑体"/>
          <w:b/>
          <w:color w:val="auto"/>
          <w:sz w:val="32"/>
          <w:szCs w:val="32"/>
          <w:highlight w:val="none"/>
        </w:rPr>
      </w:pPr>
    </w:p>
    <w:p w14:paraId="1C6DA423">
      <w:pPr>
        <w:pStyle w:val="25"/>
        <w:shd w:val="clear" w:color="auto"/>
        <w:spacing w:line="440" w:lineRule="exact"/>
        <w:rPr>
          <w:rFonts w:hint="eastAsia" w:ascii="黑体" w:hAnsi="宋体" w:eastAsia="黑体"/>
          <w:b/>
          <w:color w:val="auto"/>
          <w:sz w:val="32"/>
          <w:szCs w:val="32"/>
          <w:highlight w:val="none"/>
        </w:rPr>
      </w:pPr>
    </w:p>
    <w:p w14:paraId="205DFC89">
      <w:pPr>
        <w:pStyle w:val="25"/>
        <w:shd w:val="clear" w:color="auto"/>
        <w:spacing w:line="440" w:lineRule="exact"/>
        <w:rPr>
          <w:rFonts w:hint="eastAsia" w:ascii="黑体" w:hAnsi="宋体" w:eastAsia="黑体"/>
          <w:b/>
          <w:color w:val="auto"/>
          <w:sz w:val="32"/>
          <w:szCs w:val="32"/>
          <w:highlight w:val="none"/>
        </w:rPr>
      </w:pPr>
    </w:p>
    <w:p w14:paraId="305F940D">
      <w:pPr>
        <w:pStyle w:val="25"/>
        <w:shd w:val="clear" w:color="auto"/>
        <w:spacing w:line="440" w:lineRule="exact"/>
        <w:rPr>
          <w:rFonts w:hint="eastAsia" w:ascii="黑体" w:hAnsi="宋体" w:eastAsia="黑体"/>
          <w:b/>
          <w:color w:val="auto"/>
          <w:sz w:val="32"/>
          <w:szCs w:val="32"/>
          <w:highlight w:val="none"/>
        </w:rPr>
      </w:pPr>
    </w:p>
    <w:p w14:paraId="04A5F294">
      <w:pPr>
        <w:pStyle w:val="25"/>
        <w:shd w:val="clear" w:color="auto"/>
        <w:spacing w:line="440" w:lineRule="exact"/>
        <w:rPr>
          <w:rFonts w:hint="eastAsia" w:ascii="黑体" w:hAnsi="宋体" w:eastAsia="黑体"/>
          <w:b/>
          <w:color w:val="auto"/>
          <w:sz w:val="32"/>
          <w:szCs w:val="32"/>
          <w:highlight w:val="none"/>
        </w:rPr>
      </w:pPr>
    </w:p>
    <w:p w14:paraId="2DD2EFBA">
      <w:pPr>
        <w:pStyle w:val="25"/>
        <w:shd w:val="clear" w:color="auto"/>
        <w:spacing w:line="440" w:lineRule="exact"/>
        <w:rPr>
          <w:rFonts w:hint="eastAsia" w:hAnsi="宋体"/>
          <w:b/>
          <w:color w:val="auto"/>
          <w:highlight w:val="none"/>
        </w:rPr>
      </w:pPr>
    </w:p>
    <w:p w14:paraId="11F4573D">
      <w:pPr>
        <w:pStyle w:val="25"/>
        <w:shd w:val="clear" w:color="auto"/>
        <w:jc w:val="center"/>
        <w:rPr>
          <w:rFonts w:hint="eastAsia" w:ascii="仿宋_GB2312" w:hAnsi="宋体" w:eastAsia="仿宋_GB2312"/>
          <w:b/>
          <w:color w:val="auto"/>
          <w:sz w:val="32"/>
          <w:szCs w:val="32"/>
          <w:highlight w:val="none"/>
        </w:rPr>
      </w:pPr>
      <w:r>
        <w:rPr>
          <w:rFonts w:ascii="仿宋_GB2312" w:hAnsi="宋体" w:eastAsia="仿宋_GB2312"/>
          <w:b/>
          <w:color w:val="auto"/>
          <w:sz w:val="32"/>
          <w:szCs w:val="32"/>
          <w:highlight w:val="none"/>
        </w:rPr>
        <w:br w:type="page" w:clear="all"/>
      </w:r>
      <w:r>
        <w:rPr>
          <w:rFonts w:hint="eastAsia" w:ascii="仿宋_GB2312" w:hAnsi="宋体" w:eastAsia="仿宋_GB2312"/>
          <w:b/>
          <w:color w:val="auto"/>
          <w:sz w:val="32"/>
          <w:szCs w:val="32"/>
          <w:highlight w:val="none"/>
        </w:rPr>
        <w:t>评标标准</w:t>
      </w:r>
    </w:p>
    <w:p w14:paraId="37C8331B">
      <w:pPr>
        <w:pStyle w:val="41"/>
        <w:keepNext w:val="0"/>
        <w:keepLines w:val="0"/>
        <w:pageBreakBefore w:val="0"/>
        <w:widowControl w:val="0"/>
        <w:shd w:val="clear" w:color="auto"/>
        <w:bidi w:val="0"/>
        <w:spacing w:line="400" w:lineRule="exact"/>
        <w:ind w:left="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一、评标原则</w:t>
      </w:r>
    </w:p>
    <w:p w14:paraId="35B0655A">
      <w:pPr>
        <w:pStyle w:val="41"/>
        <w:keepNext w:val="0"/>
        <w:keepLines w:val="0"/>
        <w:pageBreakBefore w:val="0"/>
        <w:widowControl w:val="0"/>
        <w:shd w:val="clear" w:color="auto"/>
        <w:bidi w:val="0"/>
        <w:spacing w:line="400" w:lineRule="exact"/>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磋商小组成员组成：本竞争性磋商采购项目的磋商小组由采购人代表和评审专家共三人以上的单数组成（达到公开招标数额标准以上的项目，竞争性磋商小组成员由五人以上单数组成）。其中，评审专家不得少于成员总数的三分之二。</w:t>
      </w:r>
    </w:p>
    <w:p w14:paraId="61B04015">
      <w:pPr>
        <w:pStyle w:val="41"/>
        <w:keepNext w:val="0"/>
        <w:keepLines w:val="0"/>
        <w:pageBreakBefore w:val="0"/>
        <w:widowControl w:val="0"/>
        <w:shd w:val="clear" w:color="auto"/>
        <w:bidi w:val="0"/>
        <w:spacing w:line="400" w:lineRule="exact"/>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（二）评标依据：评委将以竞争性磋商文件和竞争性磋商响应文件为评标依据，对供应商的响应文件内容按百分制打分。</w:t>
      </w:r>
    </w:p>
    <w:p w14:paraId="7A958D17">
      <w:pPr>
        <w:pStyle w:val="41"/>
        <w:keepNext w:val="0"/>
        <w:keepLines w:val="0"/>
        <w:pageBreakBefore w:val="0"/>
        <w:widowControl w:val="0"/>
        <w:shd w:val="clear" w:color="auto"/>
        <w:bidi w:val="0"/>
        <w:spacing w:line="400" w:lineRule="exact"/>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（三）评标方式：以封闭方式进行。</w:t>
      </w:r>
    </w:p>
    <w:p w14:paraId="06DA18C8">
      <w:pPr>
        <w:pStyle w:val="41"/>
        <w:keepNext w:val="0"/>
        <w:keepLines w:val="0"/>
        <w:pageBreakBefore w:val="0"/>
        <w:widowControl w:val="0"/>
        <w:shd w:val="clear" w:color="auto"/>
        <w:bidi w:val="0"/>
        <w:spacing w:line="400" w:lineRule="exact"/>
        <w:ind w:left="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二、评标方法</w:t>
      </w:r>
    </w:p>
    <w:p w14:paraId="7A134A0A">
      <w:pPr>
        <w:pStyle w:val="41"/>
        <w:keepNext w:val="0"/>
        <w:keepLines w:val="0"/>
        <w:pageBreakBefore w:val="0"/>
        <w:widowControl w:val="0"/>
        <w:shd w:val="clear" w:color="auto"/>
        <w:bidi w:val="0"/>
        <w:spacing w:line="400" w:lineRule="exact"/>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（一）对进入详评的，采用百分制综合评分法。</w:t>
      </w:r>
    </w:p>
    <w:p w14:paraId="61254B13">
      <w:pPr>
        <w:pStyle w:val="41"/>
        <w:keepNext w:val="0"/>
        <w:keepLines w:val="0"/>
        <w:pageBreakBefore w:val="0"/>
        <w:widowControl w:val="0"/>
        <w:shd w:val="clear" w:color="auto"/>
        <w:bidi w:val="0"/>
        <w:spacing w:line="400" w:lineRule="exact"/>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（二）计分办法（按四舍五入取至百分位）：</w:t>
      </w:r>
    </w:p>
    <w:p w14:paraId="246C0841">
      <w:pPr>
        <w:keepNext w:val="0"/>
        <w:keepLines w:val="0"/>
        <w:pageBreakBefore w:val="0"/>
        <w:widowControl w:val="0"/>
        <w:shd w:val="clear" w:color="auto"/>
        <w:bidi w:val="0"/>
        <w:spacing w:line="40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1、价格分……………………………………………………………………………………………………</w:t>
      </w:r>
      <w:r>
        <w:rPr>
          <w:rFonts w:hint="eastAsia" w:ascii="宋体" w:hAnsi="宋体" w:cs="宋体"/>
          <w:b/>
          <w:color w:val="auto"/>
          <w:szCs w:val="21"/>
          <w:highlight w:val="none"/>
          <w:lang w:val="en-US" w:eastAsia="zh-CN"/>
        </w:rPr>
        <w:t>30</w:t>
      </w:r>
      <w:r>
        <w:rPr>
          <w:rFonts w:hint="eastAsia" w:ascii="宋体" w:hAnsi="宋体" w:eastAsia="宋体" w:cs="宋体"/>
          <w:b/>
          <w:color w:val="auto"/>
          <w:szCs w:val="21"/>
          <w:highlight w:val="none"/>
        </w:rPr>
        <w:t>分</w:t>
      </w:r>
    </w:p>
    <w:p w14:paraId="5FD5B0CC">
      <w:pPr>
        <w:keepNext w:val="0"/>
        <w:keepLines w:val="0"/>
        <w:pageBreakBefore w:val="0"/>
        <w:widowControl w:val="0"/>
        <w:bidi w:val="0"/>
        <w:spacing w:line="400" w:lineRule="exact"/>
        <w:ind w:firstLine="420"/>
        <w:jc w:val="both"/>
        <w:rPr>
          <w:rFonts w:hint="eastAsia" w:ascii="宋体" w:hAnsi="宋体" w:eastAsia="宋体" w:cs="Courier New"/>
          <w:bCs/>
          <w:color w:val="auto"/>
          <w:sz w:val="21"/>
          <w:szCs w:val="21"/>
          <w:lang w:val="en-US" w:eastAsia="zh-CN" w:bidi="ar-SA"/>
        </w:rPr>
      </w:pPr>
      <w:r>
        <w:rPr>
          <w:rFonts w:hint="eastAsia" w:ascii="宋体" w:hAnsi="宋体" w:eastAsia="宋体" w:cs="Courier New"/>
          <w:bCs/>
          <w:color w:val="auto"/>
          <w:sz w:val="21"/>
          <w:szCs w:val="21"/>
          <w:lang w:val="en-US" w:eastAsia="zh-CN" w:bidi="ar-SA"/>
        </w:rPr>
        <w:t>（1）</w:t>
      </w:r>
      <w:r>
        <w:rPr>
          <w:rFonts w:hint="eastAsia" w:ascii="宋体" w:hAnsi="Courier New" w:eastAsia="宋体" w:cs="Courier New"/>
          <w:color w:val="auto"/>
          <w:sz w:val="21"/>
          <w:szCs w:val="21"/>
          <w:lang w:val="en-US" w:eastAsia="zh-CN" w:bidi="ar-SA"/>
        </w:rPr>
        <w:t>本项目为专门面向中小企业采购的项目，不再执行价格评审优惠的扶持政策。</w:t>
      </w:r>
      <w:r>
        <w:rPr>
          <w:rFonts w:hint="eastAsia" w:ascii="宋体" w:hAnsi="宋体" w:eastAsia="宋体" w:cs="Courier New"/>
          <w:bCs/>
          <w:color w:val="auto"/>
          <w:sz w:val="21"/>
          <w:szCs w:val="21"/>
          <w:lang w:val="en-US" w:eastAsia="zh-CN" w:bidi="ar-SA"/>
        </w:rPr>
        <w:t>评标报价=最后报价。</w:t>
      </w:r>
    </w:p>
    <w:p w14:paraId="4A035301">
      <w:pPr>
        <w:keepNext w:val="0"/>
        <w:keepLines w:val="0"/>
        <w:pageBreakBefore w:val="0"/>
        <w:widowControl w:val="0"/>
        <w:bidi w:val="0"/>
        <w:spacing w:line="400" w:lineRule="exact"/>
        <w:ind w:firstLine="420"/>
        <w:jc w:val="both"/>
        <w:rPr>
          <w:rFonts w:hint="eastAsia" w:ascii="宋体" w:hAnsi="宋体" w:eastAsia="宋体" w:cs="Courier New"/>
          <w:bCs/>
          <w:color w:val="auto"/>
          <w:sz w:val="21"/>
          <w:szCs w:val="21"/>
          <w:lang w:val="en-US" w:eastAsia="zh-CN" w:bidi="ar-SA"/>
        </w:rPr>
      </w:pPr>
      <w:r>
        <w:rPr>
          <w:rFonts w:hint="eastAsia" w:ascii="宋体" w:hAnsi="宋体" w:eastAsia="宋体" w:cs="Courier New"/>
          <w:bCs/>
          <w:color w:val="auto"/>
          <w:sz w:val="21"/>
          <w:szCs w:val="21"/>
          <w:lang w:val="en-US" w:eastAsia="zh-CN" w:bidi="ar-SA"/>
        </w:rPr>
        <w:t>按照《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14:paraId="2150E33C">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Courier New"/>
          <w:bCs/>
          <w:color w:val="auto"/>
          <w:sz w:val="21"/>
          <w:szCs w:val="21"/>
          <w:lang w:val="en-US" w:eastAsia="zh-CN" w:bidi="ar-SA"/>
        </w:rPr>
        <w:t>符合《关于促进残疾人就业政府采购政策的通知》（财库〔2017〕141号）规定条件，认定为残疾人福利性单位的，在政府采购活动中，残疾人福利性单位视同小型、微型企业。残疾人福利性单位参加政府采购活动时，应当提供该通知规定的《残疾人福利性单位声明函》，并对声明的真实性负责。成交供应商为残疾人福利性单位的，随成交结果公告其《残疾人福利性单位声明函》，接受社会监督。</w:t>
      </w:r>
    </w:p>
    <w:p w14:paraId="5D0D63CF">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（2）以进入评审的最低的评标价为30分。</w:t>
      </w:r>
    </w:p>
    <w:p w14:paraId="2B958E3E">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（3）某供应商价格分 = 供应商最低评标报价（金额）/某供应商评标报价（金额）×30分</w:t>
      </w:r>
    </w:p>
    <w:p w14:paraId="5F570470">
      <w:pPr>
        <w:keepNext w:val="0"/>
        <w:keepLines w:val="0"/>
        <w:pageBreakBefore w:val="0"/>
        <w:widowControl w:val="0"/>
        <w:shd w:val="clear" w:color="auto"/>
        <w:bidi w:val="0"/>
        <w:spacing w:line="400" w:lineRule="exact"/>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2.技术分………………………………………………………………………………………………………</w:t>
      </w:r>
      <w:r>
        <w:rPr>
          <w:rFonts w:hint="eastAsia" w:ascii="宋体" w:hAnsi="宋体" w:cs="宋体"/>
          <w:b/>
          <w:bCs/>
          <w:color w:val="auto"/>
          <w:szCs w:val="21"/>
          <w:highlight w:val="none"/>
          <w:lang w:val="en-US" w:eastAsia="zh-CN"/>
        </w:rPr>
        <w:t>50</w:t>
      </w:r>
      <w:r>
        <w:rPr>
          <w:rFonts w:hint="eastAsia" w:ascii="宋体" w:hAnsi="宋体" w:eastAsia="宋体" w:cs="宋体"/>
          <w:b/>
          <w:bCs/>
          <w:color w:val="auto"/>
          <w:szCs w:val="21"/>
          <w:highlight w:val="none"/>
        </w:rPr>
        <w:t>分</w:t>
      </w:r>
    </w:p>
    <w:p w14:paraId="243FEDB3">
      <w:pPr>
        <w:keepNext w:val="0"/>
        <w:keepLines w:val="0"/>
        <w:pageBreakBefore w:val="0"/>
        <w:widowControl w:val="0"/>
        <w:shd w:val="clear" w:color="auto"/>
        <w:bidi w:val="0"/>
        <w:spacing w:line="400" w:lineRule="exact"/>
        <w:ind w:left="0" w:firstLine="422"/>
        <w:jc w:val="both"/>
        <w:rPr>
          <w:rFonts w:hint="eastAsia" w:ascii="宋体" w:hAnsi="宋体" w:eastAsia="宋体" w:cs="宋体"/>
          <w:b/>
          <w:bCs w:val="0"/>
          <w:color w:val="auto"/>
          <w:sz w:val="21"/>
          <w:szCs w:val="21"/>
          <w:highlight w:val="none"/>
          <w:lang w:val="en-US" w:eastAsia="zh-CN" w:bidi="ar-SA"/>
        </w:rPr>
      </w:pPr>
      <w:r>
        <w:rPr>
          <w:rFonts w:hint="eastAsia" w:ascii="宋体" w:hAnsi="宋体" w:eastAsia="宋体" w:cs="宋体"/>
          <w:b/>
          <w:bCs w:val="0"/>
          <w:color w:val="auto"/>
          <w:sz w:val="21"/>
          <w:szCs w:val="21"/>
          <w:highlight w:val="none"/>
          <w:lang w:val="en-US" w:eastAsia="zh-CN" w:bidi="ar-SA"/>
        </w:rPr>
        <w:t>（1）主要施工方法（满分10分）</w:t>
      </w:r>
    </w:p>
    <w:p w14:paraId="763733FB">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针对供应商提供的主要施工方案按以下标准计分：</w:t>
      </w:r>
    </w:p>
    <w:p w14:paraId="63AE401E">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评审要点：①工程施工；②主要物资计划；③项目的重点难点；④供应商针对本项目特点提出的其他施工方法</w:t>
      </w:r>
    </w:p>
    <w:p w14:paraId="03C6F8A9">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一档（2分）：提供的主要施工方法较差，不能满足指导施工的要求。</w:t>
      </w:r>
    </w:p>
    <w:p w14:paraId="3CFA13A9">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二档（4分）：方案中含有以上①至④项要点中至少1项。提供的主要施工方法符合项目实际，但未能针对各主要分部施工配有全面的施工技术方案。</w:t>
      </w:r>
    </w:p>
    <w:p w14:paraId="5E2B6A60">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三档（6分）：方案中含有以上①至④项要点中至少2项。对各主要分部施工工程分别进行了具体的施工技术方案的阐述，提供的各主要分部施工方法符合项目实际，能指导具体施工并确保施工质量和施工安全。</w:t>
      </w:r>
    </w:p>
    <w:p w14:paraId="1EC199AD">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四档（8分）：方案中含有以上①至④项要点中至少3项。对各主要分部施工工程分别进行了具体的施工技术方案的阐述，提供的各主要分部施工方法符合项目实际，能指导具体施工并确保施工质量和施工安全。有主要建筑材料稳定供应的保证措施，满足施工需要。</w:t>
      </w:r>
    </w:p>
    <w:p w14:paraId="337B5F71">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五档（10分）：方案中含有以上所有①至④项要点。对各主要分部施工工程分别进行了具体的施工技术方案的阐述，提供的各主要分部施工方法符合项目实际，能指导具体施工并确保施工质量和施工安全。有主要建筑材料的资源稳定供应的保证措施，完全满足施工需要。针对本工程的特点，阐述本工程的重点和难点，解决重点和难点问题的方法和措施科学合理。</w:t>
      </w:r>
    </w:p>
    <w:p w14:paraId="4EA57A52">
      <w:pPr>
        <w:keepNext w:val="0"/>
        <w:keepLines w:val="0"/>
        <w:pageBreakBefore w:val="0"/>
        <w:widowControl w:val="0"/>
        <w:shd w:val="clear" w:color="auto"/>
        <w:bidi w:val="0"/>
        <w:spacing w:line="400" w:lineRule="exact"/>
        <w:ind w:left="0" w:firstLine="422"/>
        <w:jc w:val="both"/>
        <w:rPr>
          <w:rFonts w:hint="eastAsia" w:ascii="宋体" w:hAnsi="宋体" w:eastAsia="宋体" w:cs="宋体"/>
          <w:b/>
          <w:bCs w:val="0"/>
          <w:color w:val="auto"/>
          <w:sz w:val="21"/>
          <w:szCs w:val="21"/>
          <w:highlight w:val="none"/>
          <w:lang w:val="en-US" w:eastAsia="zh-CN" w:bidi="ar-SA"/>
        </w:rPr>
      </w:pPr>
      <w:r>
        <w:rPr>
          <w:rFonts w:hint="eastAsia" w:ascii="宋体" w:hAnsi="宋体" w:eastAsia="宋体" w:cs="宋体"/>
          <w:b/>
          <w:bCs w:val="0"/>
          <w:color w:val="auto"/>
          <w:sz w:val="21"/>
          <w:szCs w:val="21"/>
          <w:highlight w:val="none"/>
          <w:lang w:val="en-US" w:eastAsia="zh-CN" w:bidi="ar-SA"/>
        </w:rPr>
        <w:t>（2）质量保证措施（满分10分）</w:t>
      </w:r>
    </w:p>
    <w:p w14:paraId="6F86251A">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针对供应商提供的确保工程质量的技术组织措施按以下标准计分：</w:t>
      </w:r>
    </w:p>
    <w:p w14:paraId="29DD8FFE">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评审要点：①质量技术管理班子和制度；②关键材料质量控制内容；③材料组织计划；④供应商针对本项目特点提出的其他确保工程质量的技术组织措施</w:t>
      </w:r>
    </w:p>
    <w:p w14:paraId="6989AA27">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一档（2分）：提供的质量保证措施较差，不能满足施工的需要。</w:t>
      </w:r>
    </w:p>
    <w:p w14:paraId="5186E14C">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二档（4分）：方案中含有以上①至④项要点中至少1项。有专门的质量技术管理班子和制度但质量技术管理班子和制度不健全，主要工序无质量技术保证措施和手段，自控体系不完整，不能有效保证承诺的技术质量。</w:t>
      </w:r>
    </w:p>
    <w:p w14:paraId="23FF49D0">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三档（6分）：方案中含有以上①至④项要点中至少2项。有专门的质量技术管理班子和制度，有人员配备，制度健全。有主要工序的质量技术保证措施和手段及自控体系，能保证技术质量，达到承诺的质量标准。</w:t>
      </w:r>
    </w:p>
    <w:p w14:paraId="5D673D5F">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四档（8分）：方案中含有以上①至④项要点中至少3项。有专门的质量技术管理班子和制度，且人员配备基本合理，制度较健全。主要工序有较好的质量技术保证措施和手段，基本能有效保证技术质量，提供的自控体系较完整。有主要建筑材料质量保证措施确保施工质量。</w:t>
      </w:r>
    </w:p>
    <w:p w14:paraId="173BC9C3">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五档（10分）：方案中含有以上所有①至④项要点。有专门的质量技术管理班子和制度，且人员配备合理，制度健全。主要工序有质量技术保证措施和手段，自控体系完整，能有效保证技术质量，完全能达到承诺的质量标准。有主要建筑材料质量保证措施确保施工质量，对材料的环保要求把控措施。有投入的施工材料组织计划且计划周密，并根据本项目的特点提出其他有针对性的确保工程质量的技术组织措施，满足施工需要。</w:t>
      </w:r>
    </w:p>
    <w:p w14:paraId="3D4A3493">
      <w:pPr>
        <w:keepNext w:val="0"/>
        <w:keepLines w:val="0"/>
        <w:pageBreakBefore w:val="0"/>
        <w:widowControl w:val="0"/>
        <w:shd w:val="clear" w:color="auto"/>
        <w:bidi w:val="0"/>
        <w:spacing w:line="400" w:lineRule="exact"/>
        <w:ind w:left="0" w:firstLine="422"/>
        <w:jc w:val="both"/>
        <w:rPr>
          <w:rFonts w:hint="eastAsia" w:ascii="宋体" w:hAnsi="宋体" w:eastAsia="宋体" w:cs="宋体"/>
          <w:b/>
          <w:bCs w:val="0"/>
          <w:color w:val="auto"/>
          <w:sz w:val="21"/>
          <w:szCs w:val="21"/>
          <w:highlight w:val="none"/>
          <w:lang w:val="en-US" w:eastAsia="zh-CN" w:bidi="ar-SA"/>
        </w:rPr>
      </w:pPr>
      <w:r>
        <w:rPr>
          <w:rFonts w:hint="eastAsia" w:ascii="宋体" w:hAnsi="宋体" w:eastAsia="宋体" w:cs="宋体"/>
          <w:b/>
          <w:bCs w:val="0"/>
          <w:color w:val="auto"/>
          <w:sz w:val="21"/>
          <w:szCs w:val="21"/>
          <w:highlight w:val="none"/>
          <w:lang w:val="en-US" w:eastAsia="zh-CN" w:bidi="ar-SA"/>
        </w:rPr>
        <w:t>（3）安全生产措施（满分10分）</w:t>
      </w:r>
    </w:p>
    <w:p w14:paraId="26E3BF2C">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针对供应商提供的确保安全生产的技术组织措施按以下标准计分：</w:t>
      </w:r>
    </w:p>
    <w:p w14:paraId="30D7CFDF">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评审要点：①安全管理制度和人员；②安全技术措施；③防火、救援等应急措施；④确保文明施工的技术组织措施；⑤环保等相关措施；⑥供应商针对本项目其他特点提出其他确保安全生产的技术组织措施</w:t>
      </w:r>
    </w:p>
    <w:p w14:paraId="79633A6E">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一档（2分）：提供安全生产措施较差，不能满足施工的需要。</w:t>
      </w:r>
    </w:p>
    <w:p w14:paraId="1EBAF07D">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二档（4分）：方案中含有以上①至⑥项要点中至少2项。保证安全生产的技术措施有专门的安全管理人员和制度，各道工序安全技术措施阐述不完整，确保工程质量的技术组织措施满足有关安全技术标准要求但措施考虑欠周全。</w:t>
      </w:r>
    </w:p>
    <w:p w14:paraId="05293ADF">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三档（6分）：方案中含有以上①至⑥项要点中至少3项。保证安全生产的技术措施有专门的安全管理人员和制度，且人员配备和制度合理，阐述了各道工序安全技术措施但缺乏针对性，确保工程质量的技术组织措施符合实际且满足有关安全技术标准要求且措施可行。</w:t>
      </w:r>
    </w:p>
    <w:p w14:paraId="246C5F5D">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四档（8分）：方案中含有以上①至⑥项要点中至少4项。保证安全生产的技术措施有专门的安全管理人员和制度，且人员配备和制度健全，阐述了可行的有针对性的各道工序安全技术措施，确保工程质量的技术组织措施符合实际且满足有关安全技术标准要求，措施可行且考虑周全。提供可行的关于现场防火、应急救援、社会治安安全的措施。提出可行的确保文明施工的技术组织措施、环境保护措施，且措施内容达到《建筑施工安全生产检查标准》（JGJ59-2011）合格标准并符合《广西壮族自治区建筑工程文明施工导则》要求。</w:t>
      </w:r>
    </w:p>
    <w:p w14:paraId="70337272">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五档（10分）：方案中含有以上①至⑥项要点中至少5项。保证安全生产的技术措施有专门的安全管理人员和制度，且人员配备合理，制度健全，各道工序安全技术措施有针对性，确保工程质量的技术组织措施符合实际且满足有关安全技术标准要求。现场防火、应急救援、社会治安安全措施得力，能针对本工程项目场地和施工特点提出全面得力的确保文明施工的技术组织措施、环境保护措施，且措施内容达到《建筑施工安全生产检查标准》（JGJ59-2011）合格标准并符合《广西壮族自治区建筑工程文明施工导则》要求，各项措施科学、具体、有效，有具体实现现场文明施工目标的承诺。</w:t>
      </w:r>
    </w:p>
    <w:p w14:paraId="3ECB812D">
      <w:pPr>
        <w:keepNext w:val="0"/>
        <w:keepLines w:val="0"/>
        <w:pageBreakBefore w:val="0"/>
        <w:widowControl w:val="0"/>
        <w:numPr>
          <w:ilvl w:val="0"/>
          <w:numId w:val="0"/>
        </w:numPr>
        <w:shd w:val="clear" w:color="auto"/>
        <w:bidi w:val="0"/>
        <w:spacing w:line="400" w:lineRule="exact"/>
        <w:ind w:left="0" w:firstLine="422"/>
        <w:jc w:val="both"/>
        <w:rPr>
          <w:rFonts w:hint="eastAsia" w:ascii="宋体" w:hAnsi="宋体" w:eastAsia="宋体" w:cs="宋体"/>
          <w:b/>
          <w:bCs w:val="0"/>
          <w:color w:val="auto"/>
          <w:sz w:val="21"/>
          <w:szCs w:val="21"/>
          <w:highlight w:val="none"/>
          <w:lang w:val="en-US" w:eastAsia="zh-CN" w:bidi="ar-SA"/>
        </w:rPr>
      </w:pPr>
      <w:r>
        <w:rPr>
          <w:rFonts w:hint="eastAsia" w:ascii="宋体" w:hAnsi="宋体" w:eastAsia="宋体" w:cs="宋体"/>
          <w:b/>
          <w:bCs w:val="0"/>
          <w:color w:val="auto"/>
          <w:sz w:val="21"/>
          <w:szCs w:val="21"/>
          <w:lang w:val="en-US" w:eastAsia="zh-CN" w:bidi="ar-SA"/>
        </w:rPr>
        <w:t>（4）</w:t>
      </w:r>
      <w:r>
        <w:rPr>
          <w:rFonts w:hint="eastAsia" w:ascii="宋体" w:hAnsi="宋体" w:eastAsia="宋体" w:cs="宋体"/>
          <w:b/>
          <w:bCs w:val="0"/>
          <w:color w:val="auto"/>
          <w:sz w:val="21"/>
          <w:szCs w:val="21"/>
          <w:highlight w:val="none"/>
          <w:lang w:val="en-US" w:eastAsia="zh-CN" w:bidi="ar-SA"/>
        </w:rPr>
        <w:t>工期保证措施（满分10分）</w:t>
      </w:r>
    </w:p>
    <w:p w14:paraId="6FDB9AC2">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针对供应商提供的确保工期的技术组织措施按以下标准计分：</w:t>
      </w:r>
    </w:p>
    <w:p w14:paraId="3F946B91">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评审要点：①工期保障措施；②施工进度计划；③施工进度图（表）；④劳动力计划；⑤供应商针对本项目特点提出其他确保工期的其他技术组织措施</w:t>
      </w:r>
    </w:p>
    <w:p w14:paraId="2FA0B507">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一档（2分）：提供保证工期方案较差，不能满足施工的需要。</w:t>
      </w:r>
    </w:p>
    <w:p w14:paraId="116CDBE8">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二档（4分）：方案中含有以上①至⑤项要点中至少1项。保证工期的施工组织措施方案中有施工工艺、施工方法、劳动力安排等方面有具体实施措施但未提供控制工期的施工进度计划。</w:t>
      </w:r>
    </w:p>
    <w:p w14:paraId="745226A0">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三档（6分）：方案中含有以上①至⑤项要点中至少2项。保证工期的施工组织措施方案中在施工工艺、施工方法、材料选用、劳动力安排、技术等方面有具体措施，且有控制工期的施工进度计划，但考虑欠周全。</w:t>
      </w:r>
    </w:p>
    <w:p w14:paraId="043B91DF">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四档（8分）：方案中含有以上①至⑤项要点中至少3项。保证工期的施工组织措施方案中在施工工艺、施工方法、材料选用、劳动力安排、技术等方面有保证工期的具体措施且措施可行。有控制工期的施工进度计划，有施工总进度表或施工网络图，对供应商承诺的工期有一定的保障。</w:t>
      </w:r>
    </w:p>
    <w:p w14:paraId="0C49156C">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五档（10分）：方案中含有以上①至⑤项要点中至少4项。保证工期的施工组织措施方案中在施工工艺、施工方法、材料选用、劳动力安排、技术等方面有保证工期的具体措施且措施得当。有控制工期的施工进度计划。有施工总进度表或施工网络图，各项计划图表编制完善，安排科学合理，符合本项目施工实际要求。有具体周密的劳动力安排计划，能保障供应商承诺的工期。</w:t>
      </w:r>
    </w:p>
    <w:p w14:paraId="510D7796">
      <w:pPr>
        <w:keepNext w:val="0"/>
        <w:keepLines w:val="0"/>
        <w:pageBreakBefore w:val="0"/>
        <w:widowControl w:val="0"/>
        <w:numPr>
          <w:ilvl w:val="0"/>
          <w:numId w:val="0"/>
        </w:numPr>
        <w:shd w:val="clear" w:color="auto"/>
        <w:bidi w:val="0"/>
        <w:spacing w:line="400" w:lineRule="exact"/>
        <w:ind w:left="0" w:firstLine="422"/>
        <w:jc w:val="both"/>
        <w:rPr>
          <w:rFonts w:hint="eastAsia" w:ascii="宋体" w:hAnsi="宋体" w:eastAsia="宋体" w:cs="宋体"/>
          <w:b/>
          <w:bCs w:val="0"/>
          <w:color w:val="auto"/>
          <w:sz w:val="21"/>
          <w:szCs w:val="21"/>
          <w:highlight w:val="none"/>
          <w:lang w:val="en-US" w:eastAsia="zh-CN" w:bidi="ar-SA"/>
        </w:rPr>
      </w:pPr>
      <w:r>
        <w:rPr>
          <w:rFonts w:hint="eastAsia" w:ascii="宋体" w:hAnsi="宋体" w:eastAsia="宋体" w:cs="宋体"/>
          <w:b/>
          <w:bCs w:val="0"/>
          <w:color w:val="auto"/>
          <w:sz w:val="21"/>
          <w:szCs w:val="21"/>
          <w:highlight w:val="none"/>
          <w:lang w:val="en-US" w:eastAsia="zh-CN" w:bidi="ar-SA"/>
        </w:rPr>
        <w:t>（5）项目管理机构（满分10分）</w:t>
      </w:r>
    </w:p>
    <w:p w14:paraId="79D58521">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 xml:space="preserve">本工程主要技术管理人员应具有相应施工现场专业人员职业培训合格证书，配备最低要求为：项目经理1人、技术负责人1人、施工员1人、质检员1人、安全员1人。在达到最低人员数量和资格要求的情况下，对投入本工程管理人员配备情况按以下标准评审加分： </w:t>
      </w:r>
    </w:p>
    <w:p w14:paraId="651FF117">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一档（2分）：投入本工程主要管理人员基本满足施工需要，组织结构简单、不够全面，管理人员配备较差。</w:t>
      </w:r>
    </w:p>
    <w:p w14:paraId="748C1A16">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 xml:space="preserve">二档（4分）：投入本工程主要管理人员基本满足施工需要，人员搭配基本合理，管理人员配备齐全。 </w:t>
      </w:r>
    </w:p>
    <w:p w14:paraId="32890481">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三档（6分）：拟投入本工程主要管理人员基本满足施工需要，人员搭配较合理，组织结构较完整，管理人员配备齐全且有经验。</w:t>
      </w:r>
    </w:p>
    <w:p w14:paraId="74E910EB">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四档（8分）：拟投入本工程主要管理人员满足施工需要，人员搭配较合理，组织结构较完整，管理人员配备齐全且有经验及综合素质优秀。同时，拟投入人员（除项目经理及技术负责人）中</w:t>
      </w:r>
      <w:r>
        <w:rPr>
          <w:rFonts w:hint="eastAsia" w:ascii="宋体" w:hAnsi="宋体" w:cs="宋体"/>
          <w:bCs/>
          <w:color w:val="auto"/>
          <w:sz w:val="21"/>
          <w:szCs w:val="21"/>
          <w:highlight w:val="none"/>
          <w:lang w:val="en-US" w:eastAsia="zh-CN" w:bidi="ar-SA"/>
        </w:rPr>
        <w:t>1</w:t>
      </w:r>
      <w:r>
        <w:rPr>
          <w:rFonts w:hint="eastAsia" w:ascii="宋体" w:hAnsi="宋体" w:eastAsia="宋体" w:cs="宋体"/>
          <w:bCs/>
          <w:color w:val="auto"/>
          <w:sz w:val="21"/>
          <w:szCs w:val="21"/>
          <w:highlight w:val="none"/>
          <w:lang w:val="en-US" w:eastAsia="zh-CN" w:bidi="ar-SA"/>
        </w:rPr>
        <w:t xml:space="preserve">人（含）以上具有工程类相关专业中级（含）以上职称。 </w:t>
      </w:r>
    </w:p>
    <w:p w14:paraId="14943B47">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五档（10分）：拟投入本工程主要管理人员完全满足施工需要，人员搭配合理，组织结构完整，管理人员配备齐全且有经验及综合素质优秀。同时，拟投入人员（除项目经理及技术负责人）中</w:t>
      </w:r>
      <w:r>
        <w:rPr>
          <w:rFonts w:hint="eastAsia" w:ascii="宋体" w:hAnsi="宋体" w:cs="宋体"/>
          <w:bCs/>
          <w:color w:val="auto"/>
          <w:sz w:val="21"/>
          <w:szCs w:val="21"/>
          <w:highlight w:val="none"/>
          <w:lang w:val="en-US" w:eastAsia="zh-CN" w:bidi="ar-SA"/>
        </w:rPr>
        <w:t>2</w:t>
      </w:r>
      <w:r>
        <w:rPr>
          <w:rFonts w:hint="eastAsia" w:ascii="宋体" w:hAnsi="宋体" w:eastAsia="宋体" w:cs="宋体"/>
          <w:bCs/>
          <w:color w:val="auto"/>
          <w:sz w:val="21"/>
          <w:szCs w:val="21"/>
          <w:highlight w:val="none"/>
          <w:lang w:val="en-US" w:eastAsia="zh-CN" w:bidi="ar-SA"/>
        </w:rPr>
        <w:t xml:space="preserve">人（含）以上具有工程类相关专业中级（含）以上职称。 </w:t>
      </w:r>
    </w:p>
    <w:p w14:paraId="34810713">
      <w:pPr>
        <w:keepNext w:val="0"/>
        <w:keepLines w:val="0"/>
        <w:pageBreakBefore w:val="0"/>
        <w:widowControl w:val="0"/>
        <w:shd w:val="clear" w:color="auto"/>
        <w:bidi w:val="0"/>
        <w:spacing w:line="400" w:lineRule="exact"/>
        <w:ind w:left="0" w:firstLine="420"/>
        <w:jc w:val="both"/>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注：未提供供应商为以上人员缴纳竞标截止日期近半年内任意一个月的社会保险的证明材料的不予计分。</w:t>
      </w:r>
    </w:p>
    <w:p w14:paraId="142362A3">
      <w:pPr>
        <w:keepNext w:val="0"/>
        <w:keepLines w:val="0"/>
        <w:pageBreakBefore w:val="0"/>
        <w:widowControl w:val="0"/>
        <w:shd w:val="clear" w:color="auto"/>
        <w:bidi w:val="0"/>
        <w:spacing w:line="400" w:lineRule="exact"/>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3.商务分………………………………………………………………………………………………………</w:t>
      </w:r>
      <w:r>
        <w:rPr>
          <w:rFonts w:hint="eastAsia" w:ascii="宋体" w:hAnsi="宋体" w:cs="宋体"/>
          <w:b/>
          <w:bCs/>
          <w:color w:val="auto"/>
          <w:szCs w:val="21"/>
          <w:highlight w:val="none"/>
          <w:lang w:val="en-US" w:eastAsia="zh-CN"/>
        </w:rPr>
        <w:t>20</w:t>
      </w:r>
      <w:r>
        <w:rPr>
          <w:rFonts w:hint="eastAsia" w:ascii="宋体" w:hAnsi="宋体" w:eastAsia="宋体" w:cs="宋体"/>
          <w:b/>
          <w:bCs/>
          <w:color w:val="auto"/>
          <w:szCs w:val="21"/>
          <w:highlight w:val="none"/>
        </w:rPr>
        <w:t>分</w:t>
      </w:r>
    </w:p>
    <w:p w14:paraId="153A4BCC">
      <w:pPr>
        <w:pStyle w:val="25"/>
        <w:keepNext w:val="0"/>
        <w:keepLines w:val="0"/>
        <w:pageBreakBefore w:val="0"/>
        <w:widowControl w:val="0"/>
        <w:shd w:val="clear" w:color="auto"/>
        <w:bidi w:val="0"/>
        <w:spacing w:line="400" w:lineRule="exact"/>
        <w:ind w:firstLine="420"/>
        <w:rPr>
          <w:rFonts w:hint="eastAsia" w:ascii="宋体" w:hAnsi="宋体" w:eastAsia="宋体" w:cs="宋体"/>
          <w:bCs/>
          <w:color w:val="auto"/>
          <w:highlight w:val="none"/>
        </w:rPr>
      </w:pPr>
      <w:r>
        <w:rPr>
          <w:rFonts w:hint="eastAsia" w:hAnsi="宋体" w:cs="宋体"/>
          <w:bCs/>
          <w:color w:val="auto"/>
          <w:highlight w:val="none"/>
          <w:lang w:eastAsia="zh-CN"/>
        </w:rPr>
        <w:t>（</w:t>
      </w:r>
      <w:r>
        <w:rPr>
          <w:rFonts w:hint="eastAsia" w:hAnsi="宋体" w:cs="宋体"/>
          <w:bCs/>
          <w:color w:val="auto"/>
          <w:highlight w:val="none"/>
          <w:lang w:val="en-US" w:eastAsia="zh-CN"/>
        </w:rPr>
        <w:t>1</w:t>
      </w:r>
      <w:r>
        <w:rPr>
          <w:rFonts w:hint="eastAsia" w:hAnsi="宋体" w:cs="宋体"/>
          <w:bCs/>
          <w:color w:val="auto"/>
          <w:highlight w:val="none"/>
          <w:lang w:eastAsia="zh-CN"/>
        </w:rPr>
        <w:t>）</w:t>
      </w:r>
      <w:r>
        <w:rPr>
          <w:rFonts w:hint="eastAsia" w:ascii="宋体" w:hAnsi="宋体" w:eastAsia="宋体" w:cs="宋体"/>
          <w:bCs/>
          <w:color w:val="auto"/>
          <w:highlight w:val="none"/>
        </w:rPr>
        <w:t>202</w:t>
      </w:r>
      <w:r>
        <w:rPr>
          <w:rFonts w:hint="eastAsia" w:hAnsi="宋体" w:cs="宋体"/>
          <w:bCs/>
          <w:color w:val="auto"/>
          <w:highlight w:val="none"/>
          <w:lang w:val="en-US" w:eastAsia="zh-CN"/>
        </w:rPr>
        <w:t>1</w:t>
      </w:r>
      <w:r>
        <w:rPr>
          <w:rFonts w:hint="eastAsia" w:ascii="宋体" w:hAnsi="宋体" w:eastAsia="宋体" w:cs="宋体"/>
          <w:bCs/>
          <w:color w:val="auto"/>
          <w:highlight w:val="none"/>
        </w:rPr>
        <w:t>年1月1日以来</w:t>
      </w:r>
      <w:r>
        <w:rPr>
          <w:rFonts w:hint="eastAsia" w:hAnsi="宋体" w:cs="宋体"/>
          <w:bCs/>
          <w:color w:val="auto"/>
          <w:highlight w:val="none"/>
          <w:lang w:eastAsia="zh-CN"/>
        </w:rPr>
        <w:t>（</w:t>
      </w:r>
      <w:r>
        <w:rPr>
          <w:rFonts w:hint="eastAsia" w:hAnsi="宋体" w:cs="宋体"/>
          <w:bCs/>
          <w:color w:val="auto"/>
          <w:highlight w:val="none"/>
          <w:lang w:val="en-US" w:eastAsia="zh-CN"/>
        </w:rPr>
        <w:t>以完工证明材料的时间为准</w:t>
      </w:r>
      <w:r>
        <w:rPr>
          <w:rFonts w:hint="eastAsia" w:hAnsi="宋体" w:cs="宋体"/>
          <w:bCs/>
          <w:color w:val="auto"/>
          <w:highlight w:val="none"/>
          <w:lang w:eastAsia="zh-CN"/>
        </w:rPr>
        <w:t>）</w:t>
      </w:r>
      <w:r>
        <w:rPr>
          <w:rFonts w:hint="eastAsia" w:ascii="宋体" w:hAnsi="宋体" w:eastAsia="宋体" w:cs="宋体"/>
          <w:bCs/>
          <w:color w:val="auto"/>
          <w:highlight w:val="none"/>
        </w:rPr>
        <w:t>承建过与本次采购内容类似的</w:t>
      </w:r>
      <w:r>
        <w:rPr>
          <w:rFonts w:hint="eastAsia" w:hAnsi="宋体" w:cs="宋体"/>
          <w:bCs/>
          <w:color w:val="auto"/>
          <w:highlight w:val="none"/>
          <w:lang w:val="en-US" w:eastAsia="zh-CN"/>
        </w:rPr>
        <w:t>改造装修</w:t>
      </w:r>
      <w:r>
        <w:rPr>
          <w:rFonts w:hint="eastAsia" w:ascii="宋体" w:hAnsi="宋体" w:eastAsia="宋体" w:cs="宋体"/>
          <w:bCs/>
          <w:color w:val="auto"/>
          <w:highlight w:val="none"/>
        </w:rPr>
        <w:t>项目，每有一个得</w:t>
      </w:r>
      <w:r>
        <w:rPr>
          <w:rFonts w:hint="eastAsia" w:hAnsi="宋体" w:cs="宋体"/>
          <w:bCs/>
          <w:color w:val="auto"/>
          <w:highlight w:val="none"/>
          <w:lang w:val="en-US" w:eastAsia="zh-CN"/>
        </w:rPr>
        <w:t>3</w:t>
      </w:r>
      <w:r>
        <w:rPr>
          <w:rFonts w:hint="eastAsia" w:ascii="宋体" w:hAnsi="宋体" w:eastAsia="宋体" w:cs="宋体"/>
          <w:bCs/>
          <w:color w:val="auto"/>
          <w:highlight w:val="none"/>
        </w:rPr>
        <w:t>分，满分</w:t>
      </w:r>
      <w:r>
        <w:rPr>
          <w:rFonts w:hint="eastAsia" w:hAnsi="宋体" w:cs="宋体"/>
          <w:bCs/>
          <w:color w:val="auto"/>
          <w:highlight w:val="none"/>
          <w:lang w:val="en-US" w:eastAsia="zh-CN"/>
        </w:rPr>
        <w:t>12</w:t>
      </w:r>
      <w:r>
        <w:rPr>
          <w:rFonts w:hint="eastAsia" w:ascii="宋体" w:hAnsi="宋体" w:eastAsia="宋体" w:cs="宋体"/>
          <w:bCs/>
          <w:color w:val="auto"/>
          <w:highlight w:val="none"/>
        </w:rPr>
        <w:t>分。</w:t>
      </w:r>
    </w:p>
    <w:p w14:paraId="3A7422C8">
      <w:pPr>
        <w:pStyle w:val="25"/>
        <w:keepNext w:val="0"/>
        <w:keepLines w:val="0"/>
        <w:pageBreakBefore w:val="0"/>
        <w:widowControl w:val="0"/>
        <w:shd w:val="clear" w:color="auto"/>
        <w:bidi w:val="0"/>
        <w:spacing w:line="400" w:lineRule="exact"/>
        <w:ind w:firstLine="420"/>
        <w:rPr>
          <w:rFonts w:hint="eastAsia" w:ascii="宋体" w:hAnsi="宋体" w:eastAsia="宋体" w:cs="宋体"/>
          <w:bCs/>
          <w:color w:val="auto"/>
          <w:highlight w:val="none"/>
          <w:lang w:eastAsia="zh-CN"/>
        </w:rPr>
      </w:pPr>
      <w:r>
        <w:rPr>
          <w:rFonts w:hint="eastAsia" w:ascii="宋体" w:hAnsi="宋体" w:eastAsia="宋体" w:cs="宋体"/>
          <w:bCs/>
          <w:color w:val="auto"/>
          <w:highlight w:val="none"/>
        </w:rPr>
        <w:t>证明材料为①</w:t>
      </w:r>
      <w:r>
        <w:rPr>
          <w:rFonts w:hint="eastAsia" w:hAnsi="宋体" w:cs="宋体"/>
          <w:bCs/>
          <w:color w:val="auto"/>
          <w:highlight w:val="none"/>
          <w:lang w:val="en-US" w:eastAsia="zh-CN"/>
        </w:rPr>
        <w:t>或</w:t>
      </w:r>
      <w:r>
        <w:rPr>
          <w:rFonts w:hint="eastAsia" w:ascii="宋体" w:hAnsi="宋体" w:eastAsia="宋体" w:cs="宋体"/>
          <w:bCs/>
          <w:color w:val="auto"/>
          <w:highlight w:val="none"/>
        </w:rPr>
        <w:t>②</w:t>
      </w:r>
      <w:r>
        <w:rPr>
          <w:rFonts w:hint="eastAsia" w:hAnsi="宋体" w:cs="宋体"/>
          <w:bCs/>
          <w:color w:val="auto"/>
          <w:highlight w:val="none"/>
          <w:lang w:val="en-US" w:eastAsia="zh-CN"/>
        </w:rPr>
        <w:t>或</w:t>
      </w:r>
      <w:r>
        <w:rPr>
          <w:rFonts w:hint="eastAsia" w:ascii="宋体" w:hAnsi="宋体" w:eastAsia="宋体" w:cs="宋体"/>
          <w:bCs/>
          <w:color w:val="auto"/>
          <w:highlight w:val="none"/>
          <w:lang w:val="en-US" w:eastAsia="zh-CN"/>
        </w:rPr>
        <w:t>③</w:t>
      </w:r>
      <w:r>
        <w:rPr>
          <w:rFonts w:hint="eastAsia" w:ascii="宋体" w:hAnsi="宋体" w:eastAsia="宋体" w:cs="宋体"/>
          <w:bCs/>
          <w:color w:val="auto"/>
          <w:highlight w:val="none"/>
        </w:rPr>
        <w:t>：①中标（成交）通知书</w:t>
      </w: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rPr>
        <w:t>②合同协议书复印件</w:t>
      </w:r>
      <w:r>
        <w:rPr>
          <w:rFonts w:hint="eastAsia" w:ascii="宋体" w:hAnsi="宋体" w:eastAsia="宋体" w:cs="宋体"/>
          <w:bCs/>
          <w:color w:val="auto"/>
          <w:highlight w:val="none"/>
          <w:lang w:eastAsia="zh-CN"/>
        </w:rPr>
        <w:t>；③</w:t>
      </w:r>
      <w:r>
        <w:rPr>
          <w:rFonts w:hint="eastAsia" w:ascii="宋体" w:hAnsi="宋体" w:eastAsia="宋体" w:cs="宋体"/>
          <w:bCs/>
          <w:color w:val="auto"/>
          <w:highlight w:val="none"/>
          <w:lang w:val="en-US" w:eastAsia="zh-CN"/>
        </w:rPr>
        <w:t>完工证明材料</w:t>
      </w:r>
      <w:r>
        <w:rPr>
          <w:rFonts w:hint="eastAsia" w:ascii="宋体" w:hAnsi="宋体" w:eastAsia="宋体" w:cs="宋体"/>
          <w:bCs/>
          <w:color w:val="auto"/>
          <w:highlight w:val="none"/>
        </w:rPr>
        <w:t>。同一项目，不同标段</w:t>
      </w:r>
      <w:r>
        <w:rPr>
          <w:rFonts w:hint="eastAsia" w:ascii="宋体" w:hAnsi="宋体" w:eastAsia="宋体" w:cs="宋体"/>
          <w:bCs/>
          <w:color w:val="auto"/>
          <w:highlight w:val="none"/>
          <w:lang w:val="en-US" w:eastAsia="zh-CN"/>
        </w:rPr>
        <w:t>按一个业绩</w:t>
      </w:r>
      <w:r>
        <w:rPr>
          <w:rFonts w:hint="eastAsia" w:ascii="宋体" w:hAnsi="宋体" w:eastAsia="宋体" w:cs="宋体"/>
          <w:bCs/>
          <w:color w:val="auto"/>
          <w:highlight w:val="none"/>
        </w:rPr>
        <w:t>计分。</w:t>
      </w:r>
    </w:p>
    <w:p w14:paraId="6B09E838">
      <w:pPr>
        <w:pStyle w:val="25"/>
        <w:keepNext w:val="0"/>
        <w:keepLines w:val="0"/>
        <w:pageBreakBefore w:val="0"/>
        <w:widowControl w:val="0"/>
        <w:numPr>
          <w:ilvl w:val="0"/>
          <w:numId w:val="0"/>
        </w:numPr>
        <w:shd w:val="clear" w:color="auto"/>
        <w:bidi w:val="0"/>
        <w:spacing w:line="400" w:lineRule="exact"/>
        <w:ind w:left="0" w:firstLine="420"/>
        <w:rPr>
          <w:rFonts w:hint="eastAsia" w:hAnsi="宋体" w:cs="宋体"/>
          <w:bCs/>
          <w:color w:val="auto"/>
          <w:highlight w:val="none"/>
          <w:lang w:eastAsia="zh-CN"/>
        </w:rPr>
      </w:pPr>
      <w:r>
        <w:rPr>
          <w:rFonts w:hint="eastAsia" w:ascii="宋体" w:hAnsi="宋体" w:eastAsia="宋体" w:cs="宋体"/>
          <w:bCs/>
          <w:color w:val="auto"/>
          <w:sz w:val="21"/>
          <w:szCs w:val="21"/>
          <w:lang w:val="en-US" w:eastAsia="zh-CN" w:bidi="ar-SA"/>
        </w:rPr>
        <w:t>（2）</w:t>
      </w:r>
      <w:r>
        <w:rPr>
          <w:rFonts w:hint="eastAsia" w:hAnsi="宋体" w:cs="宋体"/>
          <w:bCs/>
          <w:color w:val="auto"/>
          <w:highlight w:val="none"/>
          <w:lang w:val="en-US" w:eastAsia="zh-CN"/>
        </w:rPr>
        <w:t>拟投入项目经理（建造师）具有建筑工程相关专业中级职称及以上得4分</w:t>
      </w:r>
      <w:r>
        <w:rPr>
          <w:rFonts w:hint="eastAsia" w:ascii="宋体" w:hAnsi="宋体" w:eastAsia="宋体" w:cs="宋体"/>
          <w:bCs/>
          <w:color w:val="auto"/>
          <w:highlight w:val="none"/>
        </w:rPr>
        <w:t>。</w:t>
      </w:r>
      <w:r>
        <w:rPr>
          <w:rFonts w:hint="eastAsia" w:hAnsi="宋体" w:cs="宋体"/>
          <w:bCs/>
          <w:color w:val="auto"/>
          <w:highlight w:val="none"/>
          <w:lang w:eastAsia="zh-CN"/>
        </w:rPr>
        <w:t>（</w:t>
      </w:r>
      <w:r>
        <w:rPr>
          <w:rFonts w:hint="eastAsia" w:hAnsi="宋体" w:cs="宋体"/>
          <w:bCs/>
          <w:color w:val="auto"/>
          <w:highlight w:val="none"/>
          <w:lang w:val="en-US" w:eastAsia="zh-CN"/>
        </w:rPr>
        <w:t>未提供相关证书复印件，供应商为以上人员缴纳竞标截止日期近半年内任意一个月的社会保险的证明材料的不予计分</w:t>
      </w:r>
      <w:r>
        <w:rPr>
          <w:rFonts w:hint="eastAsia" w:hAnsi="宋体" w:cs="宋体"/>
          <w:bCs/>
          <w:color w:val="auto"/>
          <w:highlight w:val="none"/>
          <w:lang w:eastAsia="zh-CN"/>
        </w:rPr>
        <w:t>）</w:t>
      </w:r>
    </w:p>
    <w:p w14:paraId="5A9F4FA3">
      <w:pPr>
        <w:pStyle w:val="25"/>
        <w:keepNext w:val="0"/>
        <w:keepLines w:val="0"/>
        <w:pageBreakBefore w:val="0"/>
        <w:widowControl w:val="0"/>
        <w:numPr>
          <w:ilvl w:val="0"/>
          <w:numId w:val="0"/>
        </w:numPr>
        <w:shd w:val="clear" w:color="auto"/>
        <w:bidi w:val="0"/>
        <w:spacing w:line="400" w:lineRule="exact"/>
        <w:ind w:left="0" w:firstLine="420"/>
        <w:rPr>
          <w:rFonts w:hint="eastAsia" w:hAnsi="宋体" w:cs="宋体"/>
          <w:bCs/>
          <w:color w:val="auto"/>
          <w:highlight w:val="none"/>
          <w:lang w:eastAsia="zh-CN"/>
        </w:rPr>
      </w:pPr>
      <w:r>
        <w:rPr>
          <w:rFonts w:hint="eastAsia" w:hAnsi="宋体" w:cs="宋体"/>
          <w:bCs/>
          <w:color w:val="auto"/>
          <w:highlight w:val="none"/>
          <w:lang w:eastAsia="zh-CN"/>
        </w:rPr>
        <w:t>（</w:t>
      </w:r>
      <w:r>
        <w:rPr>
          <w:rFonts w:hint="eastAsia" w:hAnsi="宋体" w:cs="宋体"/>
          <w:bCs/>
          <w:color w:val="auto"/>
          <w:highlight w:val="none"/>
          <w:lang w:val="en-US" w:eastAsia="zh-CN"/>
        </w:rPr>
        <w:t>3</w:t>
      </w:r>
      <w:r>
        <w:rPr>
          <w:rFonts w:hint="eastAsia" w:hAnsi="宋体" w:cs="宋体"/>
          <w:bCs/>
          <w:color w:val="auto"/>
          <w:highlight w:val="none"/>
          <w:lang w:eastAsia="zh-CN"/>
        </w:rPr>
        <w:t>）</w:t>
      </w:r>
      <w:r>
        <w:rPr>
          <w:rFonts w:hint="eastAsia" w:hAnsi="宋体" w:cs="宋体"/>
          <w:bCs/>
          <w:color w:val="auto"/>
          <w:highlight w:val="none"/>
          <w:lang w:val="en-US" w:eastAsia="zh-CN"/>
        </w:rPr>
        <w:t>拟投入</w:t>
      </w:r>
      <w:r>
        <w:rPr>
          <w:rFonts w:hint="eastAsia" w:hAnsi="宋体" w:cs="宋体"/>
          <w:bCs/>
          <w:color w:val="auto"/>
          <w:highlight w:val="none"/>
          <w:lang w:eastAsia="zh-CN"/>
        </w:rPr>
        <w:t>项目</w:t>
      </w:r>
      <w:r>
        <w:rPr>
          <w:rFonts w:hint="eastAsia" w:hAnsi="宋体" w:cs="宋体"/>
          <w:bCs/>
          <w:color w:val="auto"/>
          <w:highlight w:val="none"/>
          <w:lang w:val="en-US" w:eastAsia="zh-CN"/>
        </w:rPr>
        <w:t>技术</w:t>
      </w:r>
      <w:r>
        <w:rPr>
          <w:rFonts w:hint="eastAsia" w:hAnsi="宋体" w:cs="宋体"/>
          <w:bCs/>
          <w:color w:val="auto"/>
          <w:highlight w:val="none"/>
          <w:lang w:eastAsia="zh-CN"/>
        </w:rPr>
        <w:t>负责人</w:t>
      </w:r>
      <w:r>
        <w:rPr>
          <w:rFonts w:hint="eastAsia" w:hAnsi="宋体" w:cs="宋体"/>
          <w:bCs/>
          <w:color w:val="auto"/>
          <w:highlight w:val="none"/>
          <w:lang w:val="en-US" w:eastAsia="zh-CN"/>
        </w:rPr>
        <w:t>具有</w:t>
      </w:r>
      <w:r>
        <w:rPr>
          <w:rFonts w:hint="eastAsia" w:hAnsi="宋体" w:cs="宋体"/>
          <w:bCs/>
          <w:color w:val="auto"/>
          <w:highlight w:val="none"/>
          <w:lang w:eastAsia="zh-CN"/>
        </w:rPr>
        <w:t>建筑工程</w:t>
      </w:r>
      <w:r>
        <w:rPr>
          <w:rFonts w:hint="eastAsia" w:hAnsi="宋体" w:cs="宋体"/>
          <w:bCs/>
          <w:color w:val="auto"/>
          <w:highlight w:val="none"/>
          <w:lang w:val="en-US" w:eastAsia="zh-CN"/>
        </w:rPr>
        <w:t>相关专业高级</w:t>
      </w:r>
      <w:r>
        <w:rPr>
          <w:rFonts w:hint="eastAsia" w:hAnsi="宋体" w:cs="宋体"/>
          <w:bCs/>
          <w:color w:val="auto"/>
          <w:highlight w:val="none"/>
          <w:lang w:eastAsia="zh-CN"/>
        </w:rPr>
        <w:t>职称得</w:t>
      </w:r>
      <w:r>
        <w:rPr>
          <w:rFonts w:hint="eastAsia" w:hAnsi="宋体" w:cs="宋体"/>
          <w:bCs/>
          <w:color w:val="auto"/>
          <w:highlight w:val="none"/>
          <w:lang w:val="en-US" w:eastAsia="zh-CN"/>
        </w:rPr>
        <w:t>4</w:t>
      </w:r>
      <w:r>
        <w:rPr>
          <w:rFonts w:hint="eastAsia" w:hAnsi="宋体" w:cs="宋体"/>
          <w:bCs/>
          <w:color w:val="auto"/>
          <w:highlight w:val="none"/>
          <w:lang w:eastAsia="zh-CN"/>
        </w:rPr>
        <w:t>分。（未提供相关证书复印件，供应商为以上人员缴纳竞标截止日期近半年内任意一个月的社会保险的证明材料的不予计分）</w:t>
      </w:r>
    </w:p>
    <w:p w14:paraId="1D2E44A3">
      <w:pPr>
        <w:pStyle w:val="25"/>
        <w:keepNext w:val="0"/>
        <w:keepLines w:val="0"/>
        <w:pageBreakBefore w:val="0"/>
        <w:widowControl w:val="0"/>
        <w:bidi w:val="0"/>
        <w:spacing w:line="400" w:lineRule="exact"/>
        <w:ind w:firstLine="42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（三）总得分=1 + 2 + 3。</w:t>
      </w:r>
    </w:p>
    <w:p w14:paraId="0887277D">
      <w:pPr>
        <w:keepNext w:val="0"/>
        <w:keepLines w:val="0"/>
        <w:pageBreakBefore w:val="0"/>
        <w:widowControl w:val="0"/>
        <w:shd w:val="clear" w:color="auto"/>
        <w:bidi w:val="0"/>
        <w:spacing w:line="400" w:lineRule="exact"/>
        <w:ind w:left="0"/>
        <w:jc w:val="both"/>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lang w:val="en-US" w:eastAsia="zh-CN" w:bidi="ar-SA"/>
        </w:rPr>
        <w:t>三、成交候选供应商推荐原则</w:t>
      </w:r>
    </w:p>
    <w:p w14:paraId="4EB75B6D">
      <w:pPr>
        <w:pStyle w:val="25"/>
        <w:keepNext w:val="0"/>
        <w:keepLines w:val="0"/>
        <w:pageBreakBefore w:val="0"/>
        <w:widowControl w:val="0"/>
        <w:shd w:val="clear" w:color="auto"/>
        <w:bidi w:val="0"/>
        <w:spacing w:line="40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（一）磋商小组将根据得分由高到低排列次序（得分相同时，以磋商报价</w:t>
      </w:r>
      <w:r>
        <w:rPr>
          <w:rFonts w:hint="eastAsia" w:ascii="宋体" w:hAnsi="宋体" w:eastAsia="宋体" w:cs="宋体"/>
          <w:b/>
          <w:color w:val="auto"/>
          <w:highlight w:val="none"/>
        </w:rPr>
        <w:t>由低到高</w:t>
      </w:r>
      <w:r>
        <w:rPr>
          <w:rFonts w:hint="eastAsia" w:ascii="宋体" w:hAnsi="宋体" w:eastAsia="宋体" w:cs="宋体"/>
          <w:color w:val="auto"/>
          <w:highlight w:val="none"/>
        </w:rPr>
        <w:t>顺序排列；得分相同且磋商报价</w:t>
      </w:r>
      <w:r>
        <w:rPr>
          <w:rFonts w:hint="eastAsia" w:ascii="宋体" w:hAnsi="宋体" w:eastAsia="宋体" w:cs="宋体"/>
          <w:bCs/>
          <w:color w:val="auto"/>
          <w:highlight w:val="none"/>
        </w:rPr>
        <w:t>相同</w:t>
      </w:r>
      <w:r>
        <w:rPr>
          <w:rFonts w:hint="eastAsia" w:ascii="宋体" w:hAnsi="宋体" w:eastAsia="宋体" w:cs="宋体"/>
          <w:color w:val="auto"/>
          <w:highlight w:val="none"/>
        </w:rPr>
        <w:t>的，按</w:t>
      </w:r>
      <w:r>
        <w:rPr>
          <w:rFonts w:hint="eastAsia" w:hAnsi="宋体" w:eastAsia="宋体" w:cs="宋体"/>
          <w:color w:val="auto"/>
          <w:highlight w:val="none"/>
          <w:lang w:val="en-US" w:eastAsia="zh-CN"/>
        </w:rPr>
        <w:t>施工组织方案</w:t>
      </w:r>
      <w:r>
        <w:rPr>
          <w:rFonts w:hint="eastAsia" w:ascii="宋体" w:hAnsi="宋体" w:eastAsia="宋体" w:cs="宋体"/>
          <w:color w:val="auto"/>
          <w:highlight w:val="none"/>
        </w:rPr>
        <w:t>优劣顺序排列）并推荐成交候选供应商。采购单位应当确定磋商小组推荐排名第一的成交候选人为成交人。排名第一的成交候选人放弃成交、因不可抗力提出不能履行合同，采购单位可以确定排名第二的成交候选人为成交人。排名第二的成交候选人因前款规定的同样原因不能签订合同的，采购单位可以确定排名第三的成交候选人为成交人。采购人也可以决定重新采购。对采购过程、成交结果提出的质疑成立后取消成交资格，合格供应商符合法定数量时，可以从合格的成交候选人中另行确定成交供应商的，应当依法另行确定成交供应商；否则应当重新开展采购活动。</w:t>
      </w:r>
    </w:p>
    <w:p w14:paraId="7CBC8CD1">
      <w:pPr>
        <w:pStyle w:val="25"/>
        <w:keepNext w:val="0"/>
        <w:keepLines w:val="0"/>
        <w:pageBreakBefore w:val="0"/>
        <w:widowControl w:val="0"/>
        <w:shd w:val="clear" w:color="auto"/>
        <w:bidi w:val="0"/>
        <w:spacing w:line="400" w:lineRule="exact"/>
        <w:ind w:firstLine="420"/>
        <w:rPr>
          <w:rFonts w:hint="eastAsia"/>
        </w:rPr>
      </w:pPr>
      <w:r>
        <w:rPr>
          <w:rFonts w:hint="eastAsia" w:ascii="宋体" w:hAnsi="宋体" w:eastAsia="宋体" w:cs="宋体"/>
          <w:color w:val="auto"/>
          <w:szCs w:val="21"/>
          <w:highlight w:val="none"/>
        </w:rPr>
        <w:t>（二）</w:t>
      </w:r>
      <w:r>
        <w:rPr>
          <w:rFonts w:hint="eastAsia" w:ascii="宋体" w:hAnsi="宋体" w:eastAsia="宋体" w:cs="宋体"/>
          <w:b/>
          <w:bCs/>
          <w:color w:val="auto"/>
          <w:szCs w:val="21"/>
          <w:highlight w:val="none"/>
        </w:rPr>
        <w:t>供应商的报价存在异常低价的情形，应启动异常低价投标（响应）审查程序。详见</w:t>
      </w:r>
      <w:r>
        <w:rPr>
          <w:rFonts w:hint="eastAsia" w:hAnsi="宋体" w:cs="宋体"/>
          <w:b/>
          <w:bCs/>
          <w:color w:val="auto"/>
          <w:szCs w:val="21"/>
          <w:highlight w:val="none"/>
          <w:lang w:eastAsia="zh-CN"/>
        </w:rPr>
        <w:t>《</w:t>
      </w:r>
      <w:r>
        <w:rPr>
          <w:rFonts w:hint="eastAsia" w:ascii="宋体" w:hAnsi="宋体" w:eastAsia="宋体" w:cs="宋体"/>
          <w:b/>
          <w:bCs/>
          <w:color w:val="auto"/>
          <w:szCs w:val="21"/>
          <w:highlight w:val="none"/>
        </w:rPr>
        <w:t>磋商供应商须知</w:t>
      </w:r>
      <w:r>
        <w:rPr>
          <w:rFonts w:hint="eastAsia" w:hAnsi="宋体" w:cs="宋体"/>
          <w:b/>
          <w:bCs/>
          <w:color w:val="auto"/>
          <w:szCs w:val="21"/>
          <w:highlight w:val="none"/>
          <w:lang w:eastAsia="zh-CN"/>
        </w:rPr>
        <w:t>》</w:t>
      </w:r>
      <w:r>
        <w:rPr>
          <w:rFonts w:hint="eastAsia" w:hAnsi="宋体" w:cs="宋体"/>
          <w:b/>
          <w:bCs/>
          <w:color w:val="auto"/>
          <w:szCs w:val="21"/>
          <w:highlight w:val="none"/>
          <w:lang w:val="en-US" w:eastAsia="zh-CN"/>
        </w:rPr>
        <w:t>7.2</w:t>
      </w:r>
      <w:r>
        <w:rPr>
          <w:rFonts w:hint="eastAsia" w:ascii="宋体" w:hAnsi="宋体" w:eastAsia="宋体" w:cs="宋体"/>
          <w:b/>
          <w:bCs/>
          <w:color w:val="auto"/>
          <w:szCs w:val="21"/>
          <w:highlight w:val="none"/>
        </w:rPr>
        <w:t>。</w:t>
      </w:r>
    </w:p>
    <w:p w14:paraId="256D3835">
      <w:pPr>
        <w:pStyle w:val="25"/>
        <w:shd w:val="clear" w:color="auto"/>
        <w:jc w:val="center"/>
        <w:rPr>
          <w:rFonts w:hint="eastAsia"/>
          <w:color w:val="auto"/>
          <w:highlight w:val="none"/>
        </w:rPr>
      </w:pPr>
    </w:p>
    <w:sectPr>
      <w:pgSz w:w="11905" w:h="16838"/>
      <w:pgMar w:top="1134" w:right="1134" w:bottom="1134" w:left="1134" w:header="850"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36C1F05-45DB-4922-805E-AB0DF6D907DE}"/>
  </w:font>
  <w:font w:name="黑体">
    <w:panose1 w:val="02010609060101010101"/>
    <w:charset w:val="86"/>
    <w:family w:val="auto"/>
    <w:pitch w:val="default"/>
    <w:sig w:usb0="800002BF" w:usb1="38CF7CFA" w:usb2="00000016" w:usb3="00000000" w:csb0="00040001" w:csb1="00000000"/>
    <w:embedRegular r:id="rId2" w:fontKey="{2B8F4506-BD35-492C-87B7-0D73E2E9850F}"/>
  </w:font>
  <w:font w:name="Courier New">
    <w:panose1 w:val="02070309020205020404"/>
    <w:charset w:val="01"/>
    <w:family w:val="modern"/>
    <w:pitch w:val="default"/>
    <w:sig w:usb0="E0002EFF" w:usb1="C0007843" w:usb2="00000009" w:usb3="00000000" w:csb0="400001FF" w:csb1="FFFF0000"/>
    <w:embedRegular r:id="rId3" w:fontKey="{5450386F-6DBE-4117-BB5D-9D9EF2D6E3E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35B7C04F-F911-47C5-962F-9DF3BBBF3BC7}"/>
  </w:font>
  <w:font w:name="Cambria">
    <w:panose1 w:val="02040503050406030204"/>
    <w:charset w:val="00"/>
    <w:family w:val="auto"/>
    <w:pitch w:val="default"/>
    <w:sig w:usb0="E00006FF" w:usb1="420024FF" w:usb2="02000000" w:usb3="00000000" w:csb0="2000019F" w:csb1="00000000"/>
  </w:font>
  <w:font w:name="仿宋_GB2312">
    <w:altName w:val="仿宋"/>
    <w:panose1 w:val="02010609030101010101"/>
    <w:charset w:val="00"/>
    <w:family w:val="auto"/>
    <w:pitch w:val="default"/>
    <w:sig w:usb0="00000000" w:usb1="00000000" w:usb2="00000000" w:usb3="00000000" w:csb0="00000000" w:csb1="00000000"/>
    <w:embedRegular r:id="rId5" w:fontKey="{AD6BFB02-28FF-4562-93B2-08CB901832E7}"/>
  </w:font>
  <w:font w:name="仿宋">
    <w:panose1 w:val="02010609060101010101"/>
    <w:charset w:val="86"/>
    <w:family w:val="auto"/>
    <w:pitch w:val="default"/>
    <w:sig w:usb0="800002BF" w:usb1="38CF7CFA" w:usb2="00000016" w:usb3="00000000" w:csb0="00040001" w:csb1="00000000"/>
    <w:embedRegular r:id="rId6" w:fontKey="{38E2D148-F3E5-4E14-B6A8-3712E410A27A}"/>
  </w:font>
  <w:font w:name="Tahoma">
    <w:panose1 w:val="020B0604030504040204"/>
    <w:charset w:val="00"/>
    <w:family w:val="auto"/>
    <w:pitch w:val="default"/>
    <w:sig w:usb0="E1002EFF" w:usb1="C000605B" w:usb2="00000029" w:usb3="00000000" w:csb0="200101FF" w:csb1="20280000"/>
  </w:font>
  <w:font w:name="华文新魏">
    <w:panose1 w:val="02010800040101010101"/>
    <w:charset w:val="86"/>
    <w:family w:val="auto"/>
    <w:pitch w:val="default"/>
    <w:sig w:usb0="00000001" w:usb1="080F0000" w:usb2="00000000" w:usb3="00000000" w:csb0="00040000" w:csb1="00000000"/>
    <w:embedRegular r:id="rId7" w:fontKey="{BD6A6E67-BD0E-40E0-9007-B3D3CE547962}"/>
  </w:font>
  <w:font w:name="楷体">
    <w:panose1 w:val="02010609060101010101"/>
    <w:charset w:val="86"/>
    <w:family w:val="auto"/>
    <w:pitch w:val="default"/>
    <w:sig w:usb0="800002BF" w:usb1="38CF7CFA" w:usb2="00000016" w:usb3="00000000" w:csb0="00040001" w:csb1="00000000"/>
    <w:embedRegular r:id="rId8" w:fontKey="{52EF6E09-3FCE-4628-8DC8-14256C9647C1}"/>
  </w:font>
  <w:font w:name="微软雅黑">
    <w:panose1 w:val="020B0503020204020204"/>
    <w:charset w:val="86"/>
    <w:family w:val="auto"/>
    <w:pitch w:val="default"/>
    <w:sig w:usb0="80000287" w:usb1="2ACF3C50" w:usb2="00000016" w:usb3="00000000" w:csb0="0004001F" w:csb1="00000000"/>
    <w:embedRegular r:id="rId9" w:fontKey="{D2A59E45-EF93-4AEF-9D05-0B58897CB484}"/>
  </w:font>
  <w:font w:name="隶书">
    <w:panose1 w:val="02010509060101010101"/>
    <w:charset w:val="86"/>
    <w:family w:val="auto"/>
    <w:pitch w:val="default"/>
    <w:sig w:usb0="00000001" w:usb1="080E0000" w:usb2="00000000" w:usb3="00000000" w:csb0="00040000" w:csb1="00000000"/>
    <w:embedRegular r:id="rId10" w:fontKey="{673B9421-D38A-4F33-9A2D-F06A41068DFE}"/>
  </w:font>
  <w:font w:name="方正隶书简体">
    <w:panose1 w:val="02000000000000000000"/>
    <w:charset w:val="86"/>
    <w:family w:val="auto"/>
    <w:pitch w:val="default"/>
    <w:sig w:usb0="A00002BF" w:usb1="184F6CFA" w:usb2="00000012" w:usb3="00000000" w:csb0="00040001" w:csb1="00000000"/>
    <w:embedRegular r:id="rId11" w:fontKey="{39138EEE-C86D-412B-B745-5D3FD14CB75A}"/>
  </w:font>
  <w:font w:name="Wingdings 2">
    <w:panose1 w:val="05020102010507070707"/>
    <w:charset w:val="00"/>
    <w:family w:val="auto"/>
    <w:pitch w:val="default"/>
    <w:sig w:usb0="00000000" w:usb1="00000000" w:usb2="00000000" w:usb3="00000000" w:csb0="80000000" w:csb1="00000000"/>
    <w:embedRegular r:id="rId12" w:fontKey="{CC4FF65F-4602-4D11-AA76-368E44E60420}"/>
  </w:font>
  <w:font w:name="KSOFE4500885">
    <w:panose1 w:val="02010609060101010101"/>
    <w:charset w:val="86"/>
    <w:family w:val="auto"/>
    <w:pitch w:val="default"/>
    <w:sig w:usb0="00000001" w:usb1="00000000" w:usb2="00000000" w:usb3="00000000" w:csb0="00040001" w:csb1="00000000"/>
  </w:font>
  <w:font w:name="WPSEMBED2">
    <w:panose1 w:val="02000000000000000000"/>
    <w:charset w:val="86"/>
    <w:family w:val="auto"/>
    <w:pitch w:val="default"/>
    <w:sig w:usb0="A00002BF" w:usb1="184F6CFA" w:usb2="00000012"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945B7">
    <w:pPr>
      <w:pStyle w:val="3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15875">
                        <a:noFill/>
                      </a:ln>
                      <a:effectLst/>
                    </wps:spPr>
                    <wps:txbx>
                      <w:txbxContent>
                        <w:p w14:paraId="0D06AE0C">
                          <w:pPr>
                            <w:pStyle w:val="30"/>
                          </w:pPr>
                          <w:r>
                            <w:fldChar w:fldCharType="begin"/>
                          </w:r>
                          <w:r>
                            <w:instrText xml:space="preserve"> PAGE  \* MERGEFORMAT </w:instrText>
                          </w:r>
                          <w:r>
                            <w:fldChar w:fldCharType="separate"/>
                          </w:r>
                          <w:r>
                            <w:t>35</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DPLpPgAQAAvwMAAA4AAABkcnMvZTJvRG9jLnhtbK1TTY7TMBTe&#10;I3EHy3uaTNFAFDUdgaoiJP6kgQM4jt1Ysv0s223SC8ANWLFhz7l6Dp6dpKBhMws21vvz9973+Xlz&#10;NxpNTsIHBbahN6uSEmE5dMoeGvrl8/5ZRUmIzHZMgxUNPYtA77ZPn2wGV4s19KA74QmC2FAPrqF9&#10;jK4uisB7YVhYgRMWkxK8YRFdfyg6zwZEN7pYl+WLYgDfOQ9chIDR3ZSkM6J/DCBIqbjYAT8aYeOE&#10;6oVmESmFXrlAt3laKQWPH6UMIhLdUGQa84lN0G7TWWw3rD545nrF5xHYY0Z4wMkwZbHpFWrHIiNH&#10;r/6BMop7CCDjioMpJiJZEWRxUz7Q5r5nTmQuKHVwV9HD/4PlH06fPFEdbgIllhl88Mv3b5cfvy4/&#10;v5LnSZ7BhRqr7h3WxfE1jKl0jocUbIf30OE9doyQNRilN0kLZEewGqU+X6UWYyQ8QVTrqioxxTG3&#10;OIhasHq57nyIbwQYkoyGenzLDM9O70KcSpeS1M3CXmmNcVZrSwZEva1e3uYb1xSia5sqRF6NGScx&#10;TEwmrnFsx5leC90ZCQ64Hg21+Bso0W8tqp82aTH8YrSLcXReHfq8aqlXcK9Qmb3KM6deEyxyTQ6+&#10;a2Y972BanL/9XPXn321/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GhpgkvTAAAABQEAAA8AAAAA&#10;AAAAAQAgAAAAIgAAAGRycy9kb3ducmV2LnhtbFBLAQIUABQAAAAIAIdO4kBQzy6T4AEAAL8DAAAO&#10;AAAAAAAAAAEAIAAAACIBAABkcnMvZTJvRG9jLnhtbFBLBQYAAAAABgAGAFkBAAB0BQAAAAA=&#10;">
              <v:fill on="f" focussize="0,0"/>
              <v:stroke on="f" weight="1.25pt"/>
              <v:imagedata o:title=""/>
              <o:lock v:ext="edit" aspectratio="f"/>
              <v:textbox inset="0mm,0mm,0mm,0mm" style="mso-fit-shape-to-text:t;">
                <w:txbxContent>
                  <w:p w14:paraId="0D06AE0C">
                    <w:pPr>
                      <w:pStyle w:val="30"/>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17668">
    <w:pPr>
      <w:pStyle w:val="3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15875">
                        <a:noFill/>
                      </a:ln>
                      <a:effectLst/>
                    </wps:spPr>
                    <wps:txbx>
                      <w:txbxContent>
                        <w:p w14:paraId="104E3596">
                          <w:pPr>
                            <w:pStyle w:val="30"/>
                          </w:pPr>
                          <w:r>
                            <w:fldChar w:fldCharType="begin"/>
                          </w:r>
                          <w:r>
                            <w:instrText xml:space="preserve"> PAGE  \* MERGEFORMAT </w:instrText>
                          </w:r>
                          <w:r>
                            <w:fldChar w:fldCharType="separate"/>
                          </w:r>
                          <w:r>
                            <w:t>71</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KwKL3hAQAAvwMAAA4AAABkcnMvZTJvRG9jLnhtbK1TTa7TMBDe&#10;I3EHy3uavIoHUdT0CVQVIfEnPTiA49iNJdtj2W6TXgBuwIoNe87VczB2koIem7dgY814xt/M9814&#10;czcaTU7CBwW2oTerkhJhOXTKHhr65fP+WUVJiMx2TIMVDT2LQO+2T59sBleLNfSgO+EJgthQD66h&#10;fYyuLorAe2FYWIETFoMSvGERXX8oOs8GRDe6WJfli2IA3zkPXISAt7spSGdE/xhAkFJxsQN+NMLG&#10;CdULzSJSCr1ygW5zt1IKHj9KGUQkuqHINOYTi6DdprPYblh98Mz1is8tsMe08ICTYcpi0SvUjkVG&#10;jl79A2UU9xBAxhUHU0xEsiLI4qZ8oM19z5zIXFDq4K6ih/8Hyz+cPnmiuoauKbHM4MAv379dfvy6&#10;/PxKnid5BhdqzLp3mBfH1zDi0iz3IV22w3vo8B07RsgajNKbpAWyI5iNUp+vUosxEp4gqnVVlRji&#10;GFscrFawennufIhvBBiSjIZ6nGWGZ6d3IU6pS0qqZmGvtM7z1JYMiHpbvbzNL64hRNc2JYu8GjNO&#10;YpiYTFzj2I4z7Ra6MxIccD0aavE3UKLfWlQ/bdJi+MVoF+PovDr0edVSreBeoTJ7lXtOtSZY5Joc&#10;nGtmPe9gWpy//Zz1599t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oaYJL0wAAAAUBAAAPAAAA&#10;AAAAAAEAIAAAACIAAABkcnMvZG93bnJldi54bWxQSwECFAAUAAAACACHTuJA4rAoveEBAAC/AwAA&#10;DgAAAAAAAAABACAAAAAiAQAAZHJzL2Uyb0RvYy54bWxQSwUGAAAAAAYABgBZAQAAdQUAAAAA&#10;">
              <v:fill on="f" focussize="0,0"/>
              <v:stroke on="f" weight="1.25pt"/>
              <v:imagedata o:title=""/>
              <o:lock v:ext="edit" aspectratio="f"/>
              <v:textbox inset="0mm,0mm,0mm,0mm" style="mso-fit-shape-to-text:t;">
                <w:txbxContent>
                  <w:p w14:paraId="104E3596">
                    <w:pPr>
                      <w:pStyle w:val="30"/>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5EF6B">
    <w:pPr>
      <w:jc w:val="center"/>
      <w:rPr>
        <w:rFonts w:ascii="Times New Roman" w:hAnsi="Times New Roman"/>
        <w:sz w:val="18"/>
        <w:szCs w:val="18"/>
      </w:rPr>
    </w:pPr>
    <w:r>
      <w:rPr>
        <w:rFonts w:ascii="Times New Roman" w:hAnsi="Times New Roman"/>
        <w:sz w:val="18"/>
        <w:szCs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72DB52BA">
                          <w:pPr>
                            <w:jc w:val="left"/>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PAGE  \* MERGEFORMAT </w:instrText>
                          </w:r>
                          <w:r>
                            <w:rPr>
                              <w:rFonts w:ascii="Times New Roman" w:hAnsi="Times New Roman"/>
                              <w:sz w:val="18"/>
                              <w:szCs w:val="18"/>
                            </w:rPr>
                            <w:fldChar w:fldCharType="separate"/>
                          </w:r>
                          <w:r>
                            <w:rPr>
                              <w:rFonts w:ascii="Times New Roman" w:hAnsi="Times New Roman"/>
                              <w:sz w:val="18"/>
                              <w:szCs w:val="18"/>
                            </w:rPr>
                            <w:t>37</w:t>
                          </w:r>
                          <w:r>
                            <w:rPr>
                              <w:rFonts w:ascii="Times New Roman" w:hAnsi="Times New Roman"/>
                              <w:sz w:val="18"/>
                              <w:szCs w:val="18"/>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PCvktsBAAC4AwAADgAAAGRycy9lMm9Eb2MueG1srVPNjtMwEL4j8Q6W&#10;7zRpEaiKmq5AVRESf9IuD+A4dmPJ9li226QvAG/AiQt3nqvPwdhJCuxe9rAXazwz/ma+b8abm8Fo&#10;chI+KLA1XS5KSoTl0Cp7qOnXu/2LNSUhMtsyDVbU9CwCvdk+f7bpXSVW0IFuhScIYkPVu5p2Mbqq&#10;KALvhGFhAU5YDErwhkW8+kPRetYjutHFqixfFz341nngIgT07sYgnRD9YwBBSsXFDvjRCBtHVC80&#10;i0gpdMoFus3dSil4/CxlEJHomiLTmE8sgnaTzmK7YdXBM9cpPrXAHtPCPU6GKYtFr1A7Fhk5evUA&#10;yijuIYCMCw6mGIlkRZDFsrynzW3HnMhcUOrgrqKHp4Pln05fPFFtTV9SYpnBgV9+fL/8/H359Y0s&#10;y9WrpFDvQoWJtw5T4/AWBtyb2R+Ss+k/QotP2TFClmGQ3iQ5kCDBbFT7fFVbDJHwBLFerdclhjjG&#10;5gtWK1g1P3c+xHcCDElGTT2OM8Oz04cQx9Q5JVWzsFda55Fq+58DMUePyDsxvU68Uv8jwzg0w0S2&#10;gfaMtHrci5pa/AaU6PcWZU8rNBt+NprZODqvDh02usxdBvcG9dir3GmqNcIiw3TBgWau0/Kljfn3&#10;nrP+frjt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C88K+S2wEAALgDAAAOAAAAAAAAAAEA&#10;IAAAAB4BAABkcnMvZTJvRG9jLnhtbFBLBQYAAAAABgAGAFkBAABrBQAAAAA=&#10;">
              <v:fill on="f" focussize="0,0"/>
              <v:stroke on="f"/>
              <v:imagedata o:title=""/>
              <o:lock v:ext="edit" aspectratio="f"/>
              <v:textbox inset="0mm,0mm,0mm,0mm" style="mso-fit-shape-to-text:t;">
                <w:txbxContent>
                  <w:p w14:paraId="72DB52BA">
                    <w:pPr>
                      <w:jc w:val="left"/>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PAGE  \* MERGEFORMAT </w:instrText>
                    </w:r>
                    <w:r>
                      <w:rPr>
                        <w:rFonts w:ascii="Times New Roman" w:hAnsi="Times New Roman"/>
                        <w:sz w:val="18"/>
                        <w:szCs w:val="18"/>
                      </w:rPr>
                      <w:fldChar w:fldCharType="separate"/>
                    </w:r>
                    <w:r>
                      <w:rPr>
                        <w:rFonts w:ascii="Times New Roman" w:hAnsi="Times New Roman"/>
                        <w:sz w:val="18"/>
                        <w:szCs w:val="18"/>
                      </w:rPr>
                      <w:t>37</w:t>
                    </w:r>
                    <w:r>
                      <w:rPr>
                        <w:rFonts w:ascii="Times New Roman" w:hAnsi="Times New Roman"/>
                        <w:sz w:val="18"/>
                        <w:szCs w:val="18"/>
                      </w:rPr>
                      <w:fldChar w:fldCharType="end"/>
                    </w:r>
                  </w:p>
                </w:txbxContent>
              </v:textbox>
            </v:shape>
          </w:pict>
        </mc:Fallback>
      </mc:AlternateContent>
    </w:r>
  </w:p>
  <w:p w14:paraId="7CCA56DC">
    <w:pPr>
      <w:jc w:val="left"/>
      <w:rPr>
        <w:rFonts w:ascii="Times New Roman" w:hAnsi="Times New Roman"/>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352F9">
    <w:pPr>
      <w:widowControl w:val="0"/>
      <w:jc w:val="left"/>
      <w:rPr>
        <w:rFonts w:ascii="Calibri" w:hAnsi="Calibri" w:eastAsia="宋体" w:cs="Times New Roman"/>
        <w:sz w:val="18"/>
        <w:szCs w:val="18"/>
        <w:lang w:val="en-US" w:eastAsia="zh-CN" w:bidi="ar-SA"/>
      </w:rPr>
    </w:pPr>
    <w:r>
      <w:rPr>
        <w:rFonts w:ascii="Calibri" w:hAnsi="Calibri" w:eastAsia="宋体" w:cs="Times New Roman"/>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2B1CF819">
                          <w:pPr>
                            <w:widowControl w:val="0"/>
                            <w:jc w:val="left"/>
                            <w:rPr>
                              <w:rFonts w:ascii="Calibri" w:hAnsi="Calibri" w:eastAsia="宋体" w:cs="Times New Roman"/>
                              <w:sz w:val="18"/>
                              <w:szCs w:val="18"/>
                              <w:lang w:val="en-US" w:eastAsia="zh-CN" w:bidi="ar-SA"/>
                            </w:rPr>
                          </w:pPr>
                          <w:r>
                            <w:rPr>
                              <w:rFonts w:ascii="Calibri" w:hAnsi="Calibri" w:eastAsia="宋体" w:cs="Times New Roman"/>
                              <w:sz w:val="18"/>
                              <w:szCs w:val="18"/>
                              <w:lang w:val="en-US" w:eastAsia="zh-CN" w:bidi="ar-SA"/>
                            </w:rPr>
                            <w:fldChar w:fldCharType="begin"/>
                          </w:r>
                          <w:r>
                            <w:rPr>
                              <w:rFonts w:ascii="Calibri" w:hAnsi="Calibri" w:eastAsia="宋体" w:cs="Times New Roman"/>
                              <w:sz w:val="18"/>
                              <w:szCs w:val="18"/>
                              <w:lang w:val="en-US" w:eastAsia="zh-CN" w:bidi="ar-SA"/>
                            </w:rPr>
                            <w:instrText xml:space="preserve"> PAGE  \* MERGEFORMAT </w:instrText>
                          </w:r>
                          <w:r>
                            <w:rPr>
                              <w:rFonts w:ascii="Calibri" w:hAnsi="Calibri" w:eastAsia="宋体" w:cs="Times New Roman"/>
                              <w:sz w:val="18"/>
                              <w:szCs w:val="18"/>
                              <w:lang w:val="en-US" w:eastAsia="zh-CN" w:bidi="ar-SA"/>
                            </w:rPr>
                            <w:fldChar w:fldCharType="separate"/>
                          </w:r>
                          <w:r>
                            <w:rPr>
                              <w:rFonts w:ascii="Calibri" w:hAnsi="Calibri" w:eastAsia="宋体" w:cs="Times New Roman"/>
                              <w:sz w:val="18"/>
                              <w:szCs w:val="18"/>
                              <w:lang w:val="en-US" w:eastAsia="zh-CN" w:bidi="ar-SA"/>
                            </w:rPr>
                            <w:t>73</w:t>
                          </w:r>
                          <w:r>
                            <w:rPr>
                              <w:rFonts w:ascii="Calibri" w:hAnsi="Calibri" w:eastAsia="宋体" w:cs="Times New Roman"/>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7Cnk9sBAAC4AwAADgAAAGRycy9lMm9Eb2MueG1srVNLjtswDN0X6B0E&#10;7Rs7QTEIjDiDKYIUBfoDpnMAWZZiAZIoSErsXKC9QVfddN9z5RylZDttp5tZzEagSOqR75Ha3A5G&#10;k5PwQYGt6XJRUiIsh1bZQ00fvuxfrSkJkdmWabCipmcR6O325YtN7yqxgg50KzxBEBuq3tW0i9FV&#10;RRF4JwwLC3DCYlCCNyzi1R+K1rMe0Y0uVmV5U/TgW+eBixDQuxuDdEL0TwEEKRUXO+BHI2wcUb3Q&#10;LCKl0CkX6DZ3K6Xg8ZOUQUSia4pMYz6xCNpNOovthlUHz1yn+NQCe0oLjzgZpiwWvULtWGTk6NV/&#10;UEZxDwFkXHAwxUgkK4IsluUjbe475kTmglIHdxU9PB8s/3j67Ilqa/qaEssMDvzy/dvlx6/Lz69k&#10;Wa5ukkK9CxUm3jtMjcMbGHBvZn9Izqb/AC0+ZccIWYZBepPkQIIEs1Ht81VtMUTCE8R6tV6XGOIY&#10;my9YrWDV/Nz5EN8KMCQZNfU4zgzPTu9DHFPnlFTNwl5pnUeq7T8OxBw9Iu/E9DrxSv2PDOPQDBPZ&#10;Btoz0upxL2pq8RtQot9ZlD2t0Gz42Whm4+i8OnR5x1L14O5Qj73KnaZaIywyTBccaOY6LV/amL/v&#10;OevPh9v+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CXsKeT2wEAALgDAAAOAAAAAAAAAAEA&#10;IAAAAB4BAABkcnMvZTJvRG9jLnhtbFBLBQYAAAAABgAGAFkBAABrBQAAAAA=&#10;">
              <v:fill on="f" focussize="0,0"/>
              <v:stroke on="f"/>
              <v:imagedata o:title=""/>
              <o:lock v:ext="edit" aspectratio="f"/>
              <v:textbox inset="0mm,0mm,0mm,0mm" style="mso-fit-shape-to-text:t;">
                <w:txbxContent>
                  <w:p w14:paraId="2B1CF819">
                    <w:pPr>
                      <w:widowControl w:val="0"/>
                      <w:jc w:val="left"/>
                      <w:rPr>
                        <w:rFonts w:ascii="Calibri" w:hAnsi="Calibri" w:eastAsia="宋体" w:cs="Times New Roman"/>
                        <w:sz w:val="18"/>
                        <w:szCs w:val="18"/>
                        <w:lang w:val="en-US" w:eastAsia="zh-CN" w:bidi="ar-SA"/>
                      </w:rPr>
                    </w:pPr>
                    <w:r>
                      <w:rPr>
                        <w:rFonts w:ascii="Calibri" w:hAnsi="Calibri" w:eastAsia="宋体" w:cs="Times New Roman"/>
                        <w:sz w:val="18"/>
                        <w:szCs w:val="18"/>
                        <w:lang w:val="en-US" w:eastAsia="zh-CN" w:bidi="ar-SA"/>
                      </w:rPr>
                      <w:fldChar w:fldCharType="begin"/>
                    </w:r>
                    <w:r>
                      <w:rPr>
                        <w:rFonts w:ascii="Calibri" w:hAnsi="Calibri" w:eastAsia="宋体" w:cs="Times New Roman"/>
                        <w:sz w:val="18"/>
                        <w:szCs w:val="18"/>
                        <w:lang w:val="en-US" w:eastAsia="zh-CN" w:bidi="ar-SA"/>
                      </w:rPr>
                      <w:instrText xml:space="preserve"> PAGE  \* MERGEFORMAT </w:instrText>
                    </w:r>
                    <w:r>
                      <w:rPr>
                        <w:rFonts w:ascii="Calibri" w:hAnsi="Calibri" w:eastAsia="宋体" w:cs="Times New Roman"/>
                        <w:sz w:val="18"/>
                        <w:szCs w:val="18"/>
                        <w:lang w:val="en-US" w:eastAsia="zh-CN" w:bidi="ar-SA"/>
                      </w:rPr>
                      <w:fldChar w:fldCharType="separate"/>
                    </w:r>
                    <w:r>
                      <w:rPr>
                        <w:rFonts w:ascii="Calibri" w:hAnsi="Calibri" w:eastAsia="宋体" w:cs="Times New Roman"/>
                        <w:sz w:val="18"/>
                        <w:szCs w:val="18"/>
                        <w:lang w:val="en-US" w:eastAsia="zh-CN" w:bidi="ar-SA"/>
                      </w:rPr>
                      <w:t>73</w:t>
                    </w:r>
                    <w:r>
                      <w:rPr>
                        <w:rFonts w:ascii="Calibri" w:hAnsi="Calibri" w:eastAsia="宋体" w:cs="Times New Roman"/>
                        <w:sz w:val="18"/>
                        <w:szCs w:val="18"/>
                        <w:lang w:val="en-US" w:eastAsia="zh-CN" w:bidi="ar-S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47887">
    <w:pPr>
      <w:pStyle w:val="31"/>
      <w:jc w:val="right"/>
      <w:rPr>
        <w:rFonts w:hint="eastAsia"/>
      </w:rPr>
    </w:pPr>
    <w:r>
      <w:rPr>
        <w:rFonts w:hint="eastAsia" w:ascii="宋体" w:hAnsi="宋体" w:cs="宋体"/>
        <w:lang w:eastAsia="zh-CN"/>
      </w:rPr>
      <w:t>101青年创新港施工项目</w:t>
    </w:r>
    <w:r>
      <w:rPr>
        <w:rFonts w:hint="eastAsia" w:ascii="宋体" w:hAnsi="宋体" w:cs="宋体"/>
      </w:rPr>
      <w:t>（</w:t>
    </w:r>
    <w:r>
      <w:rPr>
        <w:rFonts w:hint="eastAsia" w:ascii="宋体" w:hAnsi="宋体" w:cs="宋体"/>
        <w:lang w:eastAsia="zh-CN"/>
      </w:rPr>
      <w:t>GXZC2026-C2-003142-GLZB</w:t>
    </w:r>
    <w:r>
      <w:rPr>
        <w:rFonts w:hint="eastAsia" w:ascii="宋体" w:hAnsi="宋体" w:cs="宋体"/>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8524"/>
    <w:multiLevelType w:val="multilevel"/>
    <w:tmpl w:val="979E8524"/>
    <w:lvl w:ilvl="0" w:tentative="0">
      <w:start w:val="2"/>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EBFB9C56"/>
    <w:multiLevelType w:val="multilevel"/>
    <w:tmpl w:val="EBFB9C56"/>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FFFFFF7E"/>
    <w:multiLevelType w:val="multilevel"/>
    <w:tmpl w:val="FFFFFF7E"/>
    <w:lvl w:ilvl="0" w:tentative="0">
      <w:start w:val="1"/>
      <w:numFmt w:val="decimal"/>
      <w:pStyle w:val="21"/>
      <w:lvlText w:val="%1."/>
      <w:lvlJc w:val="left"/>
      <w:pPr>
        <w:tabs>
          <w:tab w:val="left" w:pos="1200"/>
        </w:tabs>
        <w:ind w:left="1200" w:hanging="360"/>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00000001"/>
    <w:multiLevelType w:val="multilevel"/>
    <w:tmpl w:val="00000001"/>
    <w:lvl w:ilvl="0" w:tentative="0">
      <w:start w:val="2"/>
      <w:numFmt w:val="decimal"/>
      <w:suff w:val="space"/>
      <w:lvlText w:val="%1."/>
      <w:lvlJc w:val="left"/>
      <w:pPr>
        <w:ind w:left="720" w:firstLine="0"/>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4">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7"/>
      <w:suff w:val="nothing"/>
      <w:lvlText w:val=""/>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abstractNum w:abstractNumId="5">
    <w:nsid w:val="5498E193"/>
    <w:multiLevelType w:val="multilevel"/>
    <w:tmpl w:val="5498E193"/>
    <w:lvl w:ilvl="0" w:tentative="0">
      <w:start w:val="11"/>
      <w:numFmt w:val="decimal"/>
      <w:suff w:val="space"/>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6">
    <w:nsid w:val="6DBB7BEA"/>
    <w:multiLevelType w:val="multilevel"/>
    <w:tmpl w:val="6DBB7BEA"/>
    <w:lvl w:ilvl="0" w:tentative="0">
      <w:start w:val="1"/>
      <w:numFmt w:val="decimal"/>
      <w:suff w:val="nothing"/>
      <w:lvlText w:val="%1"/>
      <w:lvlJc w:val="center"/>
      <w:pPr>
        <w:ind w:left="0" w:firstLine="0"/>
      </w:pPr>
      <w:rPr>
        <w:rFonts w:hint="eastAsia"/>
        <w:b w:val="0"/>
        <w:i w:val="0"/>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4"/>
  </w:num>
  <w:num w:numId="2">
    <w:abstractNumId w:val="2"/>
  </w:num>
  <w:num w:numId="3">
    <w:abstractNumId w:val="6"/>
  </w:num>
  <w:num w:numId="4">
    <w:abstractNumId w:val="5"/>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D720F1"/>
    <w:rsid w:val="1462633D"/>
    <w:rsid w:val="1F7D65D3"/>
    <w:rsid w:val="27886401"/>
    <w:rsid w:val="2A640574"/>
    <w:rsid w:val="4B450E64"/>
    <w:rsid w:val="59C356A7"/>
    <w:rsid w:val="5C86120B"/>
    <w:rsid w:val="68CA01F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nhideWhenUsed="0" w:uiPriority="0" w:semiHidden="0" w:name="toc 9"/>
    <w:lsdException w:qFormat="1" w:unhideWhenUsed="0" w:uiPriority="0" w:semiHidden="0" w:name="Normal Indent"/>
    <w:lsdException w:qFormat="1" w:uiPriority="99"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Calibri" w:hAnsi="Calibri" w:eastAsia="宋体" w:cs="Times New Roman"/>
      <w:sz w:val="21"/>
      <w:szCs w:val="24"/>
      <w:lang w:val="en-US" w:eastAsia="zh-CN" w:bidi="ar-SA"/>
    </w:rPr>
  </w:style>
  <w:style w:type="paragraph" w:styleId="3">
    <w:name w:val="heading 1"/>
    <w:basedOn w:val="1"/>
    <w:next w:val="1"/>
    <w:link w:val="211"/>
    <w:qFormat/>
    <w:uiPriority w:val="0"/>
    <w:pPr>
      <w:keepNext/>
      <w:keepLines/>
      <w:spacing w:before="340" w:after="330" w:line="578" w:lineRule="auto"/>
      <w:outlineLvl w:val="0"/>
    </w:pPr>
    <w:rPr>
      <w:b/>
      <w:bCs/>
      <w:sz w:val="44"/>
      <w:szCs w:val="44"/>
    </w:rPr>
  </w:style>
  <w:style w:type="paragraph" w:styleId="4">
    <w:name w:val="heading 2"/>
    <w:basedOn w:val="1"/>
    <w:next w:val="1"/>
    <w:qFormat/>
    <w:uiPriority w:val="0"/>
    <w:pPr>
      <w:keepNext/>
      <w:keepLines/>
      <w:spacing w:before="240" w:after="240" w:line="240" w:lineRule="auto"/>
      <w:outlineLvl w:val="1"/>
    </w:pPr>
    <w:rPr>
      <w:rFonts w:ascii="Cambria" w:hAnsi="Cambria" w:eastAsia="黑体" w:cs="Times New Roman"/>
      <w:b/>
      <w:bCs/>
      <w:szCs w:val="32"/>
    </w:rPr>
  </w:style>
  <w:style w:type="paragraph" w:styleId="5">
    <w:name w:val="heading 3"/>
    <w:basedOn w:val="1"/>
    <w:next w:val="1"/>
    <w:link w:val="212"/>
    <w:qFormat/>
    <w:uiPriority w:val="0"/>
    <w:pPr>
      <w:spacing w:before="100" w:beforeAutospacing="1" w:after="100" w:afterAutospacing="1"/>
      <w:jc w:val="left"/>
      <w:outlineLvl w:val="2"/>
    </w:pPr>
    <w:rPr>
      <w:rFonts w:ascii="宋体" w:hAnsi="宋体"/>
      <w:b/>
      <w:sz w:val="27"/>
      <w:szCs w:val="27"/>
    </w:rPr>
  </w:style>
  <w:style w:type="paragraph" w:styleId="6">
    <w:name w:val="heading 4"/>
    <w:basedOn w:val="1"/>
    <w:next w:val="1"/>
    <w:qFormat/>
    <w:uiPriority w:val="0"/>
    <w:pPr>
      <w:keepNext/>
      <w:keepLines/>
      <w:spacing w:before="120" w:after="120"/>
      <w:outlineLvl w:val="3"/>
    </w:pPr>
    <w:rPr>
      <w:rFonts w:ascii="Arial" w:hAnsi="Arial"/>
      <w:b/>
      <w:bCs/>
      <w:sz w:val="28"/>
      <w:szCs w:val="28"/>
    </w:rPr>
  </w:style>
  <w:style w:type="paragraph" w:styleId="7">
    <w:name w:val="heading 5"/>
    <w:basedOn w:val="1"/>
    <w:next w:val="2"/>
    <w:qFormat/>
    <w:uiPriority w:val="0"/>
    <w:pPr>
      <w:keepNext/>
      <w:keepLines/>
      <w:numPr>
        <w:ilvl w:val="4"/>
        <w:numId w:val="1"/>
      </w:numPr>
      <w:spacing w:before="280" w:after="290" w:line="376" w:lineRule="auto"/>
      <w:outlineLvl w:val="4"/>
    </w:pPr>
    <w:rPr>
      <w:b/>
      <w:sz w:val="28"/>
    </w:rPr>
  </w:style>
  <w:style w:type="paragraph" w:styleId="8">
    <w:name w:val="heading 6"/>
    <w:basedOn w:val="1"/>
    <w:next w:val="2"/>
    <w:qFormat/>
    <w:uiPriority w:val="0"/>
    <w:pPr>
      <w:keepNext/>
      <w:keepLines/>
      <w:numPr>
        <w:ilvl w:val="5"/>
        <w:numId w:val="1"/>
      </w:numPr>
      <w:spacing w:before="240" w:after="64" w:line="320" w:lineRule="auto"/>
      <w:outlineLvl w:val="5"/>
    </w:pPr>
    <w:rPr>
      <w:rFonts w:ascii="Arial" w:hAnsi="Arial" w:eastAsia="黑体"/>
      <w:b/>
      <w:sz w:val="24"/>
    </w:rPr>
  </w:style>
  <w:style w:type="paragraph" w:styleId="9">
    <w:name w:val="heading 7"/>
    <w:basedOn w:val="1"/>
    <w:next w:val="2"/>
    <w:qFormat/>
    <w:uiPriority w:val="0"/>
    <w:pPr>
      <w:keepNext/>
      <w:keepLines/>
      <w:numPr>
        <w:ilvl w:val="6"/>
        <w:numId w:val="1"/>
      </w:numPr>
      <w:spacing w:before="240" w:after="64" w:line="320" w:lineRule="auto"/>
      <w:outlineLvl w:val="6"/>
    </w:pPr>
    <w:rPr>
      <w:b/>
      <w:sz w:val="24"/>
    </w:rPr>
  </w:style>
  <w:style w:type="paragraph" w:styleId="10">
    <w:name w:val="heading 8"/>
    <w:basedOn w:val="1"/>
    <w:next w:val="2"/>
    <w:qFormat/>
    <w:uiPriority w:val="0"/>
    <w:pPr>
      <w:keepNext/>
      <w:keepLines/>
      <w:numPr>
        <w:ilvl w:val="7"/>
        <w:numId w:val="1"/>
      </w:numPr>
      <w:spacing w:before="240" w:after="64" w:line="320" w:lineRule="auto"/>
      <w:outlineLvl w:val="7"/>
    </w:pPr>
    <w:rPr>
      <w:rFonts w:ascii="Arial" w:hAnsi="Arial" w:eastAsia="黑体"/>
      <w:sz w:val="24"/>
    </w:rPr>
  </w:style>
  <w:style w:type="paragraph" w:styleId="11">
    <w:name w:val="heading 9"/>
    <w:basedOn w:val="1"/>
    <w:next w:val="2"/>
    <w:qFormat/>
    <w:uiPriority w:val="0"/>
    <w:pPr>
      <w:keepNext/>
      <w:keepLines/>
      <w:numPr>
        <w:ilvl w:val="8"/>
        <w:numId w:val="1"/>
      </w:numPr>
      <w:spacing w:before="240" w:after="64" w:line="320" w:lineRule="auto"/>
      <w:outlineLvl w:val="8"/>
    </w:pPr>
    <w:rPr>
      <w:rFonts w:ascii="Arial" w:hAnsi="Arial" w:eastAsia="黑体"/>
    </w:rPr>
  </w:style>
  <w:style w:type="character" w:default="1" w:styleId="50">
    <w:name w:val="Default Paragraph Font"/>
    <w:semiHidden/>
    <w:qFormat/>
    <w:uiPriority w:val="0"/>
  </w:style>
  <w:style w:type="table" w:default="1" w:styleId="48">
    <w:name w:val="Normal Table"/>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2">
    <w:name w:val="Normal Indent"/>
    <w:basedOn w:val="1"/>
    <w:next w:val="1"/>
    <w:qFormat/>
    <w:uiPriority w:val="0"/>
    <w:pPr>
      <w:ind w:firstLine="420"/>
    </w:pPr>
    <w:rPr>
      <w:szCs w:val="20"/>
    </w:rPr>
  </w:style>
  <w:style w:type="paragraph" w:styleId="12">
    <w:name w:val="toc 7"/>
    <w:basedOn w:val="1"/>
    <w:next w:val="1"/>
    <w:unhideWhenUsed/>
    <w:qFormat/>
    <w:uiPriority w:val="39"/>
    <w:pPr>
      <w:spacing w:after="100"/>
      <w:ind w:left="1320"/>
    </w:pPr>
  </w:style>
  <w:style w:type="paragraph" w:styleId="13">
    <w:name w:val="List Number"/>
    <w:basedOn w:val="1"/>
    <w:qFormat/>
    <w:uiPriority w:val="0"/>
    <w:pPr>
      <w:widowControl/>
      <w:tabs>
        <w:tab w:val="left" w:pos="454"/>
        <w:tab w:val="left" w:pos="720"/>
        <w:tab w:val="left" w:pos="840"/>
      </w:tabs>
      <w:spacing w:after="156"/>
      <w:ind w:left="454" w:hanging="284"/>
      <w:jc w:val="left"/>
    </w:pPr>
    <w:rPr>
      <w:sz w:val="24"/>
      <w:szCs w:val="20"/>
    </w:rPr>
  </w:style>
  <w:style w:type="paragraph" w:styleId="14">
    <w:name w:val="caption"/>
    <w:basedOn w:val="1"/>
    <w:next w:val="1"/>
    <w:qFormat/>
    <w:uiPriority w:val="0"/>
    <w:pPr>
      <w:spacing w:before="152" w:after="160"/>
    </w:pPr>
    <w:rPr>
      <w:rFonts w:ascii="Arial" w:hAnsi="Arial" w:eastAsia="黑体" w:cs="Arial"/>
      <w:sz w:val="20"/>
      <w:szCs w:val="20"/>
    </w:rPr>
  </w:style>
  <w:style w:type="paragraph" w:styleId="15">
    <w:name w:val="Document Map"/>
    <w:basedOn w:val="1"/>
    <w:semiHidden/>
    <w:qFormat/>
    <w:uiPriority w:val="0"/>
    <w:pPr>
      <w:shd w:val="clear" w:color="auto" w:fill="000080"/>
    </w:pPr>
  </w:style>
  <w:style w:type="paragraph" w:styleId="16">
    <w:name w:val="annotation text"/>
    <w:basedOn w:val="1"/>
    <w:link w:val="213"/>
    <w:qFormat/>
    <w:uiPriority w:val="99"/>
    <w:pPr>
      <w:jc w:val="left"/>
    </w:pPr>
  </w:style>
  <w:style w:type="paragraph" w:styleId="17">
    <w:name w:val="Body Text 3"/>
    <w:basedOn w:val="1"/>
    <w:qFormat/>
    <w:uiPriority w:val="0"/>
    <w:pPr>
      <w:spacing w:line="500" w:lineRule="exact"/>
    </w:pPr>
    <w:rPr>
      <w:b/>
      <w:bCs/>
      <w:sz w:val="24"/>
    </w:rPr>
  </w:style>
  <w:style w:type="paragraph" w:styleId="18">
    <w:name w:val="Body Text"/>
    <w:basedOn w:val="1"/>
    <w:qFormat/>
    <w:uiPriority w:val="0"/>
    <w:pPr>
      <w:spacing w:line="380" w:lineRule="exact"/>
    </w:pPr>
    <w:rPr>
      <w:sz w:val="24"/>
    </w:rPr>
  </w:style>
  <w:style w:type="paragraph" w:styleId="19">
    <w:name w:val="Body Text Indent"/>
    <w:basedOn w:val="1"/>
    <w:next w:val="20"/>
    <w:link w:val="214"/>
    <w:qFormat/>
    <w:uiPriority w:val="0"/>
    <w:pPr>
      <w:ind w:firstLine="830"/>
    </w:pPr>
    <w:rPr>
      <w:rFonts w:ascii="仿宋_GB2312" w:eastAsia="仿宋_GB2312"/>
      <w:sz w:val="32"/>
      <w:szCs w:val="20"/>
    </w:rPr>
  </w:style>
  <w:style w:type="paragraph" w:styleId="20">
    <w:name w:val="Body Text Indent 2"/>
    <w:basedOn w:val="1"/>
    <w:next w:val="1"/>
    <w:qFormat/>
    <w:uiPriority w:val="0"/>
    <w:pPr>
      <w:ind w:firstLine="630"/>
    </w:pPr>
    <w:rPr>
      <w:sz w:val="32"/>
      <w:szCs w:val="20"/>
    </w:rPr>
  </w:style>
  <w:style w:type="paragraph" w:styleId="21">
    <w:name w:val="List Number 3"/>
    <w:basedOn w:val="1"/>
    <w:qFormat/>
    <w:uiPriority w:val="0"/>
    <w:pPr>
      <w:numPr>
        <w:ilvl w:val="0"/>
        <w:numId w:val="2"/>
      </w:numPr>
    </w:pPr>
  </w:style>
  <w:style w:type="paragraph" w:styleId="22">
    <w:name w:val="List 2"/>
    <w:basedOn w:val="1"/>
    <w:qFormat/>
    <w:uiPriority w:val="0"/>
    <w:pPr>
      <w:ind w:left="100" w:hanging="200"/>
    </w:pPr>
    <w:rPr>
      <w:sz w:val="28"/>
    </w:rPr>
  </w:style>
  <w:style w:type="paragraph" w:styleId="23">
    <w:name w:val="toc 5"/>
    <w:basedOn w:val="1"/>
    <w:next w:val="1"/>
    <w:unhideWhenUsed/>
    <w:qFormat/>
    <w:uiPriority w:val="39"/>
    <w:pPr>
      <w:spacing w:after="100"/>
      <w:ind w:left="880"/>
    </w:pPr>
  </w:style>
  <w:style w:type="paragraph" w:styleId="24">
    <w:name w:val="toc 3"/>
    <w:basedOn w:val="1"/>
    <w:next w:val="1"/>
    <w:unhideWhenUsed/>
    <w:qFormat/>
    <w:uiPriority w:val="39"/>
    <w:pPr>
      <w:spacing w:after="100"/>
      <w:ind w:left="440"/>
    </w:pPr>
  </w:style>
  <w:style w:type="paragraph" w:styleId="25">
    <w:name w:val="Plain Text"/>
    <w:basedOn w:val="1"/>
    <w:link w:val="215"/>
    <w:qFormat/>
    <w:uiPriority w:val="0"/>
    <w:rPr>
      <w:rFonts w:ascii="宋体" w:hAnsi="Courier New" w:cs="Courier New"/>
      <w:szCs w:val="21"/>
    </w:rPr>
  </w:style>
  <w:style w:type="paragraph" w:styleId="26">
    <w:name w:val="toc 8"/>
    <w:basedOn w:val="1"/>
    <w:next w:val="1"/>
    <w:unhideWhenUsed/>
    <w:qFormat/>
    <w:uiPriority w:val="39"/>
    <w:pPr>
      <w:spacing w:after="100"/>
      <w:ind w:left="1540"/>
    </w:pPr>
  </w:style>
  <w:style w:type="paragraph" w:styleId="27">
    <w:name w:val="Date"/>
    <w:basedOn w:val="1"/>
    <w:next w:val="1"/>
    <w:qFormat/>
    <w:uiPriority w:val="0"/>
    <w:pPr>
      <w:ind w:left="100"/>
    </w:pPr>
    <w:rPr>
      <w:rFonts w:ascii="宋体" w:hAnsi="Courier New" w:cs="Courier New"/>
      <w:szCs w:val="21"/>
    </w:rPr>
  </w:style>
  <w:style w:type="paragraph" w:styleId="28">
    <w:name w:val="endnote text"/>
    <w:basedOn w:val="1"/>
    <w:link w:val="208"/>
    <w:semiHidden/>
    <w:unhideWhenUsed/>
    <w:qFormat/>
    <w:uiPriority w:val="99"/>
    <w:pPr>
      <w:spacing w:after="0" w:line="240" w:lineRule="auto"/>
    </w:pPr>
    <w:rPr>
      <w:sz w:val="20"/>
      <w:szCs w:val="20"/>
    </w:rPr>
  </w:style>
  <w:style w:type="paragraph" w:styleId="29">
    <w:name w:val="Balloon Text"/>
    <w:basedOn w:val="1"/>
    <w:semiHidden/>
    <w:qFormat/>
    <w:uiPriority w:val="0"/>
    <w:rPr>
      <w:sz w:val="18"/>
      <w:szCs w:val="18"/>
    </w:rPr>
  </w:style>
  <w:style w:type="paragraph" w:styleId="30">
    <w:name w:val="footer"/>
    <w:basedOn w:val="1"/>
    <w:next w:val="1"/>
    <w:qFormat/>
    <w:uiPriority w:val="0"/>
    <w:pPr>
      <w:tabs>
        <w:tab w:val="center" w:pos="4153"/>
        <w:tab w:val="right" w:pos="8306"/>
      </w:tabs>
      <w:jc w:val="left"/>
    </w:pPr>
    <w:rPr>
      <w:sz w:val="18"/>
      <w:szCs w:val="18"/>
    </w:rPr>
  </w:style>
  <w:style w:type="paragraph" w:styleId="31">
    <w:name w:val="header"/>
    <w:basedOn w:val="1"/>
    <w:link w:val="216"/>
    <w:qFormat/>
    <w:uiPriority w:val="0"/>
    <w:pPr>
      <w:pBdr>
        <w:bottom w:val="single" w:color="000000" w:sz="6" w:space="1"/>
      </w:pBdr>
      <w:tabs>
        <w:tab w:val="center" w:pos="4153"/>
        <w:tab w:val="right" w:pos="8306"/>
      </w:tabs>
      <w:jc w:val="center"/>
    </w:pPr>
    <w:rPr>
      <w:sz w:val="18"/>
      <w:szCs w:val="18"/>
    </w:rPr>
  </w:style>
  <w:style w:type="paragraph" w:styleId="32">
    <w:name w:val="toc 1"/>
    <w:basedOn w:val="1"/>
    <w:next w:val="1"/>
    <w:qFormat/>
    <w:uiPriority w:val="39"/>
  </w:style>
  <w:style w:type="paragraph" w:styleId="33">
    <w:name w:val="toc 4"/>
    <w:basedOn w:val="1"/>
    <w:next w:val="1"/>
    <w:unhideWhenUsed/>
    <w:qFormat/>
    <w:uiPriority w:val="39"/>
    <w:pPr>
      <w:spacing w:after="100"/>
      <w:ind w:left="660"/>
    </w:pPr>
  </w:style>
  <w:style w:type="paragraph" w:styleId="34">
    <w:name w:val="Subtitle"/>
    <w:basedOn w:val="1"/>
    <w:next w:val="1"/>
    <w:link w:val="194"/>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35">
    <w:name w:val="List"/>
    <w:basedOn w:val="1"/>
    <w:qFormat/>
    <w:uiPriority w:val="0"/>
    <w:pPr>
      <w:ind w:left="200" w:hanging="200"/>
    </w:pPr>
    <w:rPr>
      <w:sz w:val="28"/>
    </w:rPr>
  </w:style>
  <w:style w:type="paragraph" w:styleId="36">
    <w:name w:val="footnote text"/>
    <w:basedOn w:val="1"/>
    <w:link w:val="207"/>
    <w:semiHidden/>
    <w:unhideWhenUsed/>
    <w:qFormat/>
    <w:uiPriority w:val="99"/>
    <w:pPr>
      <w:spacing w:after="0" w:line="240" w:lineRule="auto"/>
    </w:pPr>
    <w:rPr>
      <w:sz w:val="20"/>
      <w:szCs w:val="20"/>
    </w:rPr>
  </w:style>
  <w:style w:type="paragraph" w:styleId="37">
    <w:name w:val="toc 6"/>
    <w:basedOn w:val="1"/>
    <w:next w:val="1"/>
    <w:unhideWhenUsed/>
    <w:qFormat/>
    <w:uiPriority w:val="39"/>
    <w:pPr>
      <w:spacing w:after="100"/>
      <w:ind w:left="1100"/>
    </w:pPr>
  </w:style>
  <w:style w:type="paragraph" w:styleId="38">
    <w:name w:val="Body Text Indent 3"/>
    <w:basedOn w:val="1"/>
    <w:qFormat/>
    <w:uiPriority w:val="0"/>
    <w:pPr>
      <w:spacing w:after="120"/>
      <w:ind w:left="420"/>
    </w:pPr>
    <w:rPr>
      <w:sz w:val="16"/>
      <w:szCs w:val="16"/>
    </w:rPr>
  </w:style>
  <w:style w:type="paragraph" w:styleId="39">
    <w:name w:val="table of figures"/>
    <w:basedOn w:val="1"/>
    <w:next w:val="1"/>
    <w:unhideWhenUsed/>
    <w:qFormat/>
    <w:uiPriority w:val="99"/>
    <w:pPr>
      <w:spacing w:after="0" w:afterAutospacing="0"/>
    </w:pPr>
  </w:style>
  <w:style w:type="paragraph" w:styleId="40">
    <w:name w:val="toc 2"/>
    <w:basedOn w:val="1"/>
    <w:next w:val="1"/>
    <w:unhideWhenUsed/>
    <w:qFormat/>
    <w:uiPriority w:val="39"/>
    <w:pPr>
      <w:spacing w:after="100"/>
      <w:ind w:left="220"/>
    </w:pPr>
  </w:style>
  <w:style w:type="paragraph" w:styleId="41">
    <w:name w:val="toc 9"/>
    <w:basedOn w:val="1"/>
    <w:next w:val="1"/>
    <w:qFormat/>
    <w:uiPriority w:val="0"/>
    <w:pPr>
      <w:tabs>
        <w:tab w:val="right" w:leader="dot" w:pos="9185"/>
      </w:tabs>
      <w:spacing w:line="312" w:lineRule="atLeast"/>
      <w:ind w:left="3360"/>
    </w:pPr>
    <w:rPr>
      <w:szCs w:val="20"/>
    </w:rPr>
  </w:style>
  <w:style w:type="paragraph" w:styleId="42">
    <w:name w:val="Body Text 2"/>
    <w:basedOn w:val="1"/>
    <w:qFormat/>
    <w:uiPriority w:val="0"/>
    <w:pPr>
      <w:spacing w:after="120" w:line="480" w:lineRule="auto"/>
    </w:pPr>
  </w:style>
  <w:style w:type="paragraph" w:styleId="43">
    <w:name w:val="Normal (Web)"/>
    <w:basedOn w:val="1"/>
    <w:qFormat/>
    <w:uiPriority w:val="0"/>
    <w:pPr>
      <w:widowControl/>
      <w:spacing w:before="100" w:beforeAutospacing="1" w:after="100" w:afterAutospacing="1"/>
      <w:jc w:val="left"/>
    </w:pPr>
    <w:rPr>
      <w:rFonts w:ascii="宋体" w:hAnsi="宋体"/>
      <w:sz w:val="24"/>
    </w:rPr>
  </w:style>
  <w:style w:type="paragraph" w:styleId="44">
    <w:name w:val="index 1"/>
    <w:basedOn w:val="1"/>
    <w:next w:val="1"/>
    <w:semiHidden/>
    <w:qFormat/>
    <w:uiPriority w:val="0"/>
    <w:pPr>
      <w:spacing w:line="400" w:lineRule="exact"/>
      <w:ind w:firstLine="420"/>
    </w:pPr>
    <w:rPr>
      <w:rFonts w:ascii="宋体" w:hAnsi="Courier New"/>
      <w:b/>
      <w:szCs w:val="20"/>
    </w:rPr>
  </w:style>
  <w:style w:type="paragraph" w:styleId="45">
    <w:name w:val="Title"/>
    <w:basedOn w:val="1"/>
    <w:next w:val="1"/>
    <w:link w:val="217"/>
    <w:qFormat/>
    <w:uiPriority w:val="0"/>
    <w:pPr>
      <w:spacing w:before="240" w:after="60"/>
      <w:jc w:val="center"/>
      <w:outlineLvl w:val="0"/>
    </w:pPr>
    <w:rPr>
      <w:rFonts w:ascii="Cambria" w:hAnsi="Cambria"/>
      <w:b/>
      <w:bCs/>
      <w:sz w:val="32"/>
      <w:szCs w:val="32"/>
    </w:rPr>
  </w:style>
  <w:style w:type="paragraph" w:styleId="46">
    <w:name w:val="annotation subject"/>
    <w:basedOn w:val="16"/>
    <w:next w:val="16"/>
    <w:link w:val="218"/>
    <w:qFormat/>
    <w:uiPriority w:val="0"/>
    <w:rPr>
      <w:b/>
      <w:bCs/>
    </w:rPr>
  </w:style>
  <w:style w:type="paragraph" w:styleId="47">
    <w:name w:val="Body Text First Indent"/>
    <w:qFormat/>
    <w:uiPriority w:val="0"/>
    <w:pPr>
      <w:widowControl w:val="0"/>
      <w:spacing w:before="0" w:after="120" w:line="360" w:lineRule="atLeast"/>
      <w:ind w:left="0" w:right="0" w:firstLine="420"/>
      <w:jc w:val="both"/>
    </w:pPr>
    <w:rPr>
      <w:rFonts w:hint="default" w:ascii="Times New Roman" w:hAnsi="Times New Roman" w:eastAsia="宋体" w:cs="Times New Roman"/>
      <w:sz w:val="21"/>
      <w:szCs w:val="24"/>
      <w:lang w:val="en-US" w:eastAsia="zh-CN" w:bidi="ar-SA"/>
    </w:rPr>
  </w:style>
  <w:style w:type="table" w:styleId="49">
    <w:name w:val="Table Grid"/>
    <w:basedOn w:val="48"/>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51">
    <w:name w:val="Strong"/>
    <w:basedOn w:val="50"/>
    <w:qFormat/>
    <w:uiPriority w:val="0"/>
    <w:rPr>
      <w:b/>
    </w:rPr>
  </w:style>
  <w:style w:type="character" w:styleId="52">
    <w:name w:val="endnote reference"/>
    <w:basedOn w:val="50"/>
    <w:semiHidden/>
    <w:unhideWhenUsed/>
    <w:qFormat/>
    <w:uiPriority w:val="99"/>
    <w:rPr>
      <w:vertAlign w:val="superscript"/>
    </w:rPr>
  </w:style>
  <w:style w:type="character" w:styleId="53">
    <w:name w:val="page number"/>
    <w:qFormat/>
    <w:uiPriority w:val="0"/>
    <w:rPr>
      <w:rFonts w:ascii="Times New Roman" w:hAnsi="Times New Roman" w:eastAsia="宋体" w:cs="Times New Roman"/>
    </w:rPr>
  </w:style>
  <w:style w:type="character" w:styleId="54">
    <w:name w:val="FollowedHyperlink"/>
    <w:qFormat/>
    <w:uiPriority w:val="0"/>
    <w:rPr>
      <w:color w:val="0000CC"/>
      <w:sz w:val="18"/>
      <w:szCs w:val="18"/>
      <w:u w:val="single"/>
    </w:rPr>
  </w:style>
  <w:style w:type="character" w:styleId="55">
    <w:name w:val="Emphasis"/>
    <w:qFormat/>
    <w:uiPriority w:val="0"/>
    <w:rPr>
      <w:i/>
    </w:rPr>
  </w:style>
  <w:style w:type="character" w:styleId="56">
    <w:name w:val="Hyperlink"/>
    <w:qFormat/>
    <w:uiPriority w:val="99"/>
    <w:rPr>
      <w:color w:val="0000CC"/>
      <w:sz w:val="18"/>
      <w:szCs w:val="18"/>
      <w:u w:val="single"/>
    </w:rPr>
  </w:style>
  <w:style w:type="character" w:styleId="57">
    <w:name w:val="annotation reference"/>
    <w:qFormat/>
    <w:uiPriority w:val="0"/>
    <w:rPr>
      <w:sz w:val="21"/>
      <w:szCs w:val="21"/>
    </w:rPr>
  </w:style>
  <w:style w:type="character" w:styleId="58">
    <w:name w:val="footnote reference"/>
    <w:basedOn w:val="50"/>
    <w:semiHidden/>
    <w:unhideWhenUsed/>
    <w:qFormat/>
    <w:uiPriority w:val="99"/>
    <w:rPr>
      <w:vertAlign w:val="superscript"/>
    </w:rPr>
  </w:style>
  <w:style w:type="table" w:customStyle="1" w:styleId="59">
    <w:name w:val="Table Grid Light"/>
    <w:basedOn w:val="48"/>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60">
    <w:name w:val="Plain Table 1"/>
    <w:basedOn w:val="48"/>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1">
    <w:name w:val="Plain Table 2"/>
    <w:basedOn w:val="48"/>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62">
    <w:name w:val="Plain Table 3"/>
    <w:basedOn w:val="48"/>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3">
    <w:name w:val="Plain Table 4"/>
    <w:basedOn w:val="48"/>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4">
    <w:name w:val="Plain Table 5"/>
    <w:basedOn w:val="48"/>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5">
    <w:name w:val="Grid Table 1 Light"/>
    <w:basedOn w:val="48"/>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6">
    <w:name w:val="Grid Table 1 Light - Accent 1"/>
    <w:basedOn w:val="48"/>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67">
    <w:name w:val="Grid Table 1 Light - Accent 2"/>
    <w:basedOn w:val="4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68">
    <w:name w:val="Grid Table 1 Light - Accent 3"/>
    <w:basedOn w:val="4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69">
    <w:name w:val="Grid Table 1 Light - Accent 4"/>
    <w:basedOn w:val="4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70">
    <w:name w:val="Grid Table 1 Light - Accent 5"/>
    <w:basedOn w:val="48"/>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71">
    <w:name w:val="Grid Table 1 Light - Accent 6"/>
    <w:basedOn w:val="4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72">
    <w:name w:val="Grid Table 2"/>
    <w:basedOn w:val="48"/>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3">
    <w:name w:val="Grid Table 2 - Accent 1"/>
    <w:basedOn w:val="4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4">
    <w:name w:val="Grid Table 2 - Accent 2"/>
    <w:basedOn w:val="48"/>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5">
    <w:name w:val="Grid Table 2 - Accent 3"/>
    <w:basedOn w:val="48"/>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6">
    <w:name w:val="Grid Table 2 - Accent 4"/>
    <w:basedOn w:val="48"/>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7">
    <w:name w:val="Grid Table 2 - Accent 5"/>
    <w:basedOn w:val="48"/>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8">
    <w:name w:val="Grid Table 2 - Accent 6"/>
    <w:basedOn w:val="4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9">
    <w:name w:val="Grid Table 3"/>
    <w:basedOn w:val="4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0">
    <w:name w:val="Grid Table 3 - Accent 1"/>
    <w:basedOn w:val="4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81">
    <w:name w:val="Grid Table 3 - Accent 2"/>
    <w:basedOn w:val="48"/>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2">
    <w:name w:val="Grid Table 3 - Accent 3"/>
    <w:basedOn w:val="48"/>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3">
    <w:name w:val="Grid Table 3 - Accent 4"/>
    <w:basedOn w:val="4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4">
    <w:name w:val="Grid Table 3 - Accent 5"/>
    <w:basedOn w:val="48"/>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5">
    <w:name w:val="Grid Table 3 - Accent 6"/>
    <w:basedOn w:val="48"/>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6">
    <w:name w:val="Grid Table 4"/>
    <w:basedOn w:val="48"/>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7">
    <w:name w:val="Grid Table 4 - Accent 1"/>
    <w:basedOn w:val="48"/>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88">
    <w:name w:val="Grid Table 4 - Accent 2"/>
    <w:basedOn w:val="48"/>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9">
    <w:name w:val="Grid Table 4 - Accent 3"/>
    <w:basedOn w:val="48"/>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90">
    <w:name w:val="Grid Table 4 - Accent 4"/>
    <w:basedOn w:val="48"/>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91">
    <w:name w:val="Grid Table 4 - Accent 5"/>
    <w:basedOn w:val="48"/>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92">
    <w:name w:val="Grid Table 4 - Accent 6"/>
    <w:basedOn w:val="48"/>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93">
    <w:name w:val="Grid Table 5 Dark"/>
    <w:basedOn w:val="4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94">
    <w:name w:val="Grid Table 5 Dark- Accent 1"/>
    <w:basedOn w:val="4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95">
    <w:name w:val="Grid Table 5 Dark - Accent 2"/>
    <w:basedOn w:val="4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96">
    <w:name w:val="Grid Table 5 Dark - Accent 3"/>
    <w:basedOn w:val="4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97">
    <w:name w:val="Grid Table 5 Dark- Accent 4"/>
    <w:basedOn w:val="4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98">
    <w:name w:val="Grid Table 5 Dark - Accent 5"/>
    <w:basedOn w:val="4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99">
    <w:name w:val="Grid Table 5 Dark - Accent 6"/>
    <w:basedOn w:val="4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100">
    <w:name w:val="Grid Table 6 Colorful"/>
    <w:basedOn w:val="48"/>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1">
    <w:name w:val="Grid Table 6 Colorful - Accent 1"/>
    <w:basedOn w:val="48"/>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2">
    <w:name w:val="Grid Table 6 Colorful - Accent 2"/>
    <w:basedOn w:val="4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3">
    <w:name w:val="Grid Table 6 Colorful - Accent 3"/>
    <w:basedOn w:val="48"/>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4">
    <w:name w:val="Grid Table 6 Colorful - Accent 4"/>
    <w:basedOn w:val="48"/>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5">
    <w:name w:val="Grid Table 6 Colorful - Accent 5"/>
    <w:basedOn w:val="48"/>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6">
    <w:name w:val="Grid Table 6 Colorful - Accent 6"/>
    <w:basedOn w:val="48"/>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7">
    <w:name w:val="Grid Table 7 Colorful"/>
    <w:basedOn w:val="48"/>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8">
    <w:name w:val="Grid Table 7 Colorful - Accent 1"/>
    <w:basedOn w:val="48"/>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9">
    <w:name w:val="Grid Table 7 Colorful - Accent 2"/>
    <w:basedOn w:val="48"/>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10">
    <w:name w:val="Grid Table 7 Colorful - Accent 3"/>
    <w:basedOn w:val="48"/>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11">
    <w:name w:val="Grid Table 7 Colorful - Accent 4"/>
    <w:basedOn w:val="48"/>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12">
    <w:name w:val="Grid Table 7 Colorful - Accent 5"/>
    <w:basedOn w:val="48"/>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13">
    <w:name w:val="Grid Table 7 Colorful - Accent 6"/>
    <w:basedOn w:val="48"/>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14">
    <w:name w:val="List Table 1 Light"/>
    <w:basedOn w:val="48"/>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5">
    <w:name w:val="List Table 1 Light - Accent 1"/>
    <w:basedOn w:val="48"/>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6">
    <w:name w:val="List Table 1 Light - Accent 2"/>
    <w:basedOn w:val="48"/>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7">
    <w:name w:val="List Table 1 Light - Accent 3"/>
    <w:basedOn w:val="48"/>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8">
    <w:name w:val="List Table 1 Light - Accent 4"/>
    <w:basedOn w:val="48"/>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9">
    <w:name w:val="List Table 1 Light - Accent 5"/>
    <w:basedOn w:val="48"/>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0">
    <w:name w:val="List Table 1 Light - Accent 6"/>
    <w:basedOn w:val="48"/>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1">
    <w:name w:val="List Table 2"/>
    <w:basedOn w:val="48"/>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2">
    <w:name w:val="List Table 2 - Accent 1"/>
    <w:basedOn w:val="48"/>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3">
    <w:name w:val="List Table 2 - Accent 2"/>
    <w:basedOn w:val="48"/>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4">
    <w:name w:val="List Table 2 - Accent 3"/>
    <w:basedOn w:val="48"/>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5">
    <w:name w:val="List Table 2 - Accent 4"/>
    <w:basedOn w:val="48"/>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6">
    <w:name w:val="List Table 2 - Accent 5"/>
    <w:basedOn w:val="48"/>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7">
    <w:name w:val="List Table 2 - Accent 6"/>
    <w:basedOn w:val="48"/>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8">
    <w:name w:val="List Table 3"/>
    <w:basedOn w:val="4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9">
    <w:name w:val="List Table 3 - Accent 1"/>
    <w:basedOn w:val="48"/>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30">
    <w:name w:val="List Table 3 - Accent 2"/>
    <w:basedOn w:val="4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31">
    <w:name w:val="List Table 3 - Accent 3"/>
    <w:basedOn w:val="48"/>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32">
    <w:name w:val="List Table 3 - Accent 4"/>
    <w:basedOn w:val="48"/>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33">
    <w:name w:val="List Table 3 - Accent 5"/>
    <w:basedOn w:val="48"/>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34">
    <w:name w:val="List Table 3 - Accent 6"/>
    <w:basedOn w:val="48"/>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35">
    <w:name w:val="List Table 4"/>
    <w:basedOn w:val="4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36">
    <w:name w:val="List Table 4 - Accent 1"/>
    <w:basedOn w:val="48"/>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37">
    <w:name w:val="List Table 4 - Accent 2"/>
    <w:basedOn w:val="48"/>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38">
    <w:name w:val="List Table 4 - Accent 3"/>
    <w:basedOn w:val="48"/>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39">
    <w:name w:val="List Table 4 - Accent 4"/>
    <w:basedOn w:val="48"/>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40">
    <w:name w:val="List Table 4 - Accent 5"/>
    <w:basedOn w:val="48"/>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41">
    <w:name w:val="List Table 4 - Accent 6"/>
    <w:basedOn w:val="48"/>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42">
    <w:name w:val="List Table 5 Dark"/>
    <w:basedOn w:val="48"/>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43">
    <w:name w:val="List Table 5 Dark - Accent 1"/>
    <w:basedOn w:val="48"/>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44">
    <w:name w:val="List Table 5 Dark - Accent 2"/>
    <w:basedOn w:val="48"/>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45">
    <w:name w:val="List Table 5 Dark - Accent 3"/>
    <w:basedOn w:val="48"/>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46">
    <w:name w:val="List Table 5 Dark - Accent 4"/>
    <w:basedOn w:val="48"/>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47">
    <w:name w:val="List Table 5 Dark - Accent 5"/>
    <w:basedOn w:val="48"/>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48">
    <w:name w:val="List Table 5 Dark - Accent 6"/>
    <w:basedOn w:val="48"/>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49">
    <w:name w:val="List Table 6 Colorful"/>
    <w:basedOn w:val="48"/>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50">
    <w:name w:val="List Table 6 Colorful - Accent 1"/>
    <w:basedOn w:val="48"/>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1">
    <w:name w:val="List Table 6 Colorful - Accent 2"/>
    <w:basedOn w:val="48"/>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2">
    <w:name w:val="List Table 6 Colorful - Accent 3"/>
    <w:basedOn w:val="48"/>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3">
    <w:name w:val="List Table 6 Colorful - Accent 4"/>
    <w:basedOn w:val="48"/>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4">
    <w:name w:val="List Table 6 Colorful - Accent 5"/>
    <w:basedOn w:val="48"/>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5">
    <w:name w:val="List Table 6 Colorful - Accent 6"/>
    <w:basedOn w:val="48"/>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6">
    <w:name w:val="List Table 7 Colorful"/>
    <w:basedOn w:val="48"/>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57">
    <w:name w:val="List Table 7 Colorful - Accent 1"/>
    <w:basedOn w:val="48"/>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8">
    <w:name w:val="List Table 7 Colorful - Accent 2"/>
    <w:basedOn w:val="48"/>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9">
    <w:name w:val="List Table 7 Colorful - Accent 3"/>
    <w:basedOn w:val="48"/>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60">
    <w:name w:val="List Table 7 Colorful - Accent 4"/>
    <w:basedOn w:val="48"/>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61">
    <w:name w:val="List Table 7 Colorful - Accent 5"/>
    <w:basedOn w:val="48"/>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62">
    <w:name w:val="List Table 7 Colorful - Accent 6"/>
    <w:basedOn w:val="48"/>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63">
    <w:name w:val="Lined - Accent"/>
    <w:basedOn w:val="48"/>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4">
    <w:name w:val="Lined - Accent 1"/>
    <w:basedOn w:val="48"/>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5">
    <w:name w:val="Lined - Accent 2"/>
    <w:basedOn w:val="48"/>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6">
    <w:name w:val="Lined - Accent 3"/>
    <w:basedOn w:val="48"/>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7">
    <w:name w:val="Lined - Accent 4"/>
    <w:basedOn w:val="48"/>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8">
    <w:name w:val="Lined - Accent 5"/>
    <w:basedOn w:val="48"/>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9">
    <w:name w:val="Lined - Accent 6"/>
    <w:basedOn w:val="48"/>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70">
    <w:name w:val="Bordered &amp; Lined - Accent"/>
    <w:basedOn w:val="48"/>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71">
    <w:name w:val="Bordered &amp; Lined - Accent 1"/>
    <w:basedOn w:val="48"/>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72">
    <w:name w:val="Bordered &amp; Lined - Accent 2"/>
    <w:basedOn w:val="48"/>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73">
    <w:name w:val="Bordered &amp; Lined - Accent 3"/>
    <w:basedOn w:val="48"/>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74">
    <w:name w:val="Bordered &amp; Lined - Accent 4"/>
    <w:basedOn w:val="48"/>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75">
    <w:name w:val="Bordered &amp; Lined - Accent 5"/>
    <w:basedOn w:val="48"/>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76">
    <w:name w:val="Bordered &amp; Lined - Accent 6"/>
    <w:basedOn w:val="48"/>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77">
    <w:name w:val="Bordered"/>
    <w:basedOn w:val="48"/>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8">
    <w:name w:val="Bordered - Accent 1"/>
    <w:basedOn w:val="48"/>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79">
    <w:name w:val="Bordered - Accent 2"/>
    <w:basedOn w:val="4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80">
    <w:name w:val="Bordered - Accent 3"/>
    <w:basedOn w:val="4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81">
    <w:name w:val="Bordered - Accent 4"/>
    <w:basedOn w:val="4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82">
    <w:name w:val="Bordered - Accent 5"/>
    <w:basedOn w:val="4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83">
    <w:name w:val="Bordered - Accent 6"/>
    <w:basedOn w:val="4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84">
    <w:name w:val="Heading 1 Char"/>
    <w:basedOn w:val="50"/>
    <w:qFormat/>
    <w:uiPriority w:val="9"/>
    <w:rPr>
      <w:rFonts w:ascii="Arial" w:hAnsi="Arial" w:eastAsia="Arial" w:cs="Arial"/>
      <w:color w:val="376092" w:themeColor="accent1" w:themeShade="BF"/>
      <w:sz w:val="40"/>
      <w:szCs w:val="40"/>
    </w:rPr>
  </w:style>
  <w:style w:type="character" w:customStyle="1" w:styleId="185">
    <w:name w:val="Heading 2 Char"/>
    <w:basedOn w:val="50"/>
    <w:qFormat/>
    <w:uiPriority w:val="9"/>
    <w:rPr>
      <w:rFonts w:ascii="Arial" w:hAnsi="Arial" w:eastAsia="Arial" w:cs="Arial"/>
      <w:color w:val="376092" w:themeColor="accent1" w:themeShade="BF"/>
      <w:sz w:val="32"/>
      <w:szCs w:val="32"/>
    </w:rPr>
  </w:style>
  <w:style w:type="character" w:customStyle="1" w:styleId="186">
    <w:name w:val="Heading 3 Char"/>
    <w:basedOn w:val="50"/>
    <w:qFormat/>
    <w:uiPriority w:val="9"/>
    <w:rPr>
      <w:rFonts w:ascii="Arial" w:hAnsi="Arial" w:eastAsia="Arial" w:cs="Arial"/>
      <w:color w:val="376092" w:themeColor="accent1" w:themeShade="BF"/>
      <w:sz w:val="28"/>
      <w:szCs w:val="28"/>
    </w:rPr>
  </w:style>
  <w:style w:type="character" w:customStyle="1" w:styleId="187">
    <w:name w:val="Heading 4 Char"/>
    <w:basedOn w:val="50"/>
    <w:qFormat/>
    <w:uiPriority w:val="9"/>
    <w:rPr>
      <w:rFonts w:ascii="Arial" w:hAnsi="Arial" w:eastAsia="Arial" w:cs="Arial"/>
      <w:i/>
      <w:iCs/>
      <w:color w:val="376092" w:themeColor="accent1" w:themeShade="BF"/>
    </w:rPr>
  </w:style>
  <w:style w:type="character" w:customStyle="1" w:styleId="188">
    <w:name w:val="Heading 5 Char"/>
    <w:basedOn w:val="50"/>
    <w:qFormat/>
    <w:uiPriority w:val="9"/>
    <w:rPr>
      <w:rFonts w:ascii="Arial" w:hAnsi="Arial" w:eastAsia="Arial" w:cs="Arial"/>
      <w:color w:val="376092" w:themeColor="accent1" w:themeShade="BF"/>
    </w:rPr>
  </w:style>
  <w:style w:type="character" w:customStyle="1" w:styleId="189">
    <w:name w:val="Heading 6 Char"/>
    <w:basedOn w:val="50"/>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90">
    <w:name w:val="Heading 7 Char"/>
    <w:basedOn w:val="50"/>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91">
    <w:name w:val="Heading 8 Char"/>
    <w:basedOn w:val="5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92">
    <w:name w:val="Heading 9 Char"/>
    <w:basedOn w:val="5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93">
    <w:name w:val="Title Char"/>
    <w:basedOn w:val="50"/>
    <w:qFormat/>
    <w:uiPriority w:val="10"/>
    <w:rPr>
      <w:rFonts w:ascii="Arial" w:hAnsi="Arial" w:eastAsia="Arial" w:cs="Arial"/>
      <w:spacing w:val="-10"/>
      <w:sz w:val="56"/>
      <w:szCs w:val="56"/>
    </w:rPr>
  </w:style>
  <w:style w:type="character" w:customStyle="1" w:styleId="194">
    <w:name w:val="Subtitle Char"/>
    <w:basedOn w:val="50"/>
    <w:link w:val="34"/>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95">
    <w:name w:val="Quote"/>
    <w:basedOn w:val="1"/>
    <w:next w:val="1"/>
    <w:link w:val="19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96">
    <w:name w:val="Quote Char"/>
    <w:basedOn w:val="50"/>
    <w:link w:val="195"/>
    <w:qFormat/>
    <w:uiPriority w:val="29"/>
    <w:rPr>
      <w:i/>
      <w:iCs/>
      <w:color w:val="404040" w:themeColor="text1" w:themeTint="BF"/>
      <w14:textFill>
        <w14:solidFill>
          <w14:schemeClr w14:val="tx1">
            <w14:lumMod w14:val="75000"/>
            <w14:lumOff w14:val="25000"/>
          </w14:schemeClr>
        </w14:solidFill>
      </w14:textFill>
    </w:rPr>
  </w:style>
  <w:style w:type="character" w:customStyle="1" w:styleId="197">
    <w:name w:val="Intense Emphasis"/>
    <w:basedOn w:val="50"/>
    <w:qFormat/>
    <w:uiPriority w:val="21"/>
    <w:rPr>
      <w:i/>
      <w:iCs/>
      <w:color w:val="376092" w:themeColor="accent1" w:themeShade="BF"/>
    </w:rPr>
  </w:style>
  <w:style w:type="paragraph" w:styleId="198">
    <w:name w:val="Intense Quote"/>
    <w:basedOn w:val="1"/>
    <w:next w:val="1"/>
    <w:link w:val="199"/>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99">
    <w:name w:val="Intense Quote Char"/>
    <w:basedOn w:val="50"/>
    <w:link w:val="198"/>
    <w:qFormat/>
    <w:uiPriority w:val="30"/>
    <w:rPr>
      <w:i/>
      <w:iCs/>
      <w:color w:val="376092" w:themeColor="accent1" w:themeShade="BF"/>
    </w:rPr>
  </w:style>
  <w:style w:type="character" w:customStyle="1" w:styleId="200">
    <w:name w:val="Intense Reference"/>
    <w:basedOn w:val="50"/>
    <w:qFormat/>
    <w:uiPriority w:val="32"/>
    <w:rPr>
      <w:b/>
      <w:bCs/>
      <w:smallCaps/>
      <w:color w:val="376092" w:themeColor="accent1" w:themeShade="BF"/>
      <w:spacing w:val="5"/>
    </w:rPr>
  </w:style>
  <w:style w:type="paragraph" w:styleId="201">
    <w:name w:val="No Spacing"/>
    <w:basedOn w:val="1"/>
    <w:qFormat/>
    <w:uiPriority w:val="1"/>
    <w:pPr>
      <w:spacing w:after="0" w:line="240" w:lineRule="auto"/>
    </w:pPr>
  </w:style>
  <w:style w:type="character" w:customStyle="1" w:styleId="202">
    <w:name w:val="Subtle Emphasis"/>
    <w:basedOn w:val="50"/>
    <w:qFormat/>
    <w:uiPriority w:val="19"/>
    <w:rPr>
      <w:i/>
      <w:iCs/>
      <w:color w:val="404040" w:themeColor="text1" w:themeTint="BF"/>
      <w14:textFill>
        <w14:solidFill>
          <w14:schemeClr w14:val="tx1">
            <w14:lumMod w14:val="75000"/>
            <w14:lumOff w14:val="25000"/>
          </w14:schemeClr>
        </w14:solidFill>
      </w14:textFill>
    </w:rPr>
  </w:style>
  <w:style w:type="character" w:customStyle="1" w:styleId="203">
    <w:name w:val="Subtle Reference"/>
    <w:basedOn w:val="50"/>
    <w:qFormat/>
    <w:uiPriority w:val="31"/>
    <w:rPr>
      <w:smallCaps/>
      <w:color w:val="595959" w:themeColor="text1" w:themeTint="A6"/>
      <w14:textFill>
        <w14:solidFill>
          <w14:schemeClr w14:val="tx1">
            <w14:lumMod w14:val="65000"/>
            <w14:lumOff w14:val="35000"/>
          </w14:schemeClr>
        </w14:solidFill>
      </w14:textFill>
    </w:rPr>
  </w:style>
  <w:style w:type="character" w:customStyle="1" w:styleId="204">
    <w:name w:val="Book Title"/>
    <w:basedOn w:val="50"/>
    <w:qFormat/>
    <w:uiPriority w:val="33"/>
    <w:rPr>
      <w:b/>
      <w:bCs/>
      <w:i/>
      <w:iCs/>
      <w:spacing w:val="5"/>
    </w:rPr>
  </w:style>
  <w:style w:type="character" w:customStyle="1" w:styleId="205">
    <w:name w:val="Header Char"/>
    <w:basedOn w:val="50"/>
    <w:qFormat/>
    <w:uiPriority w:val="99"/>
  </w:style>
  <w:style w:type="character" w:customStyle="1" w:styleId="206">
    <w:name w:val="Footer Char"/>
    <w:basedOn w:val="50"/>
    <w:qFormat/>
    <w:uiPriority w:val="99"/>
  </w:style>
  <w:style w:type="character" w:customStyle="1" w:styleId="207">
    <w:name w:val="Footnote Text Char"/>
    <w:basedOn w:val="50"/>
    <w:link w:val="36"/>
    <w:semiHidden/>
    <w:qFormat/>
    <w:uiPriority w:val="99"/>
    <w:rPr>
      <w:sz w:val="20"/>
      <w:szCs w:val="20"/>
    </w:rPr>
  </w:style>
  <w:style w:type="character" w:customStyle="1" w:styleId="208">
    <w:name w:val="Endnote Text Char"/>
    <w:basedOn w:val="50"/>
    <w:link w:val="28"/>
    <w:semiHidden/>
    <w:qFormat/>
    <w:uiPriority w:val="99"/>
    <w:rPr>
      <w:sz w:val="20"/>
      <w:szCs w:val="20"/>
    </w:rPr>
  </w:style>
  <w:style w:type="character" w:styleId="209">
    <w:name w:val="Placeholder Text"/>
    <w:basedOn w:val="50"/>
    <w:semiHidden/>
    <w:qFormat/>
    <w:uiPriority w:val="99"/>
    <w:rPr>
      <w:color w:val="666666"/>
    </w:rPr>
  </w:style>
  <w:style w:type="paragraph" w:customStyle="1" w:styleId="210">
    <w:name w:val="TOC Heading"/>
    <w:unhideWhenUsed/>
    <w:qFormat/>
    <w:uiPriority w:val="39"/>
    <w:rPr>
      <w:rFonts w:hint="default" w:ascii="Times New Roman" w:hAnsi="Times New Roman" w:eastAsia="宋体" w:cs="Times New Roman"/>
    </w:rPr>
  </w:style>
  <w:style w:type="character" w:customStyle="1" w:styleId="211">
    <w:name w:val="标题 1 字符"/>
    <w:link w:val="3"/>
    <w:qFormat/>
    <w:uiPriority w:val="0"/>
    <w:rPr>
      <w:rFonts w:eastAsia="宋体"/>
      <w:b/>
      <w:bCs/>
      <w:sz w:val="44"/>
      <w:szCs w:val="44"/>
      <w:lang w:val="en-US" w:eastAsia="zh-CN" w:bidi="ar-SA"/>
    </w:rPr>
  </w:style>
  <w:style w:type="character" w:customStyle="1" w:styleId="212">
    <w:name w:val="标题 3 字符"/>
    <w:link w:val="5"/>
    <w:qFormat/>
    <w:uiPriority w:val="0"/>
    <w:rPr>
      <w:rFonts w:ascii="宋体" w:hAnsi="宋体"/>
      <w:b/>
      <w:sz w:val="27"/>
      <w:szCs w:val="27"/>
    </w:rPr>
  </w:style>
  <w:style w:type="character" w:customStyle="1" w:styleId="213">
    <w:name w:val="批注文字 字符1"/>
    <w:link w:val="16"/>
    <w:qFormat/>
    <w:uiPriority w:val="0"/>
    <w:rPr>
      <w:sz w:val="21"/>
      <w:szCs w:val="24"/>
    </w:rPr>
  </w:style>
  <w:style w:type="character" w:customStyle="1" w:styleId="214">
    <w:name w:val="正文文本缩进 字符"/>
    <w:link w:val="19"/>
    <w:qFormat/>
    <w:uiPriority w:val="0"/>
    <w:rPr>
      <w:rFonts w:ascii="仿宋_GB2312" w:eastAsia="仿宋_GB2312"/>
      <w:sz w:val="32"/>
    </w:rPr>
  </w:style>
  <w:style w:type="character" w:customStyle="1" w:styleId="215">
    <w:name w:val="纯文本 字符1"/>
    <w:link w:val="25"/>
    <w:qFormat/>
    <w:uiPriority w:val="0"/>
    <w:rPr>
      <w:rFonts w:ascii="宋体" w:hAnsi="Courier New" w:eastAsia="宋体" w:cs="Courier New"/>
      <w:sz w:val="21"/>
      <w:szCs w:val="21"/>
      <w:lang w:val="en-US" w:eastAsia="zh-CN" w:bidi="ar-SA"/>
    </w:rPr>
  </w:style>
  <w:style w:type="character" w:customStyle="1" w:styleId="216">
    <w:name w:val="页眉 字符"/>
    <w:link w:val="31"/>
    <w:qFormat/>
    <w:uiPriority w:val="0"/>
    <w:rPr>
      <w:sz w:val="18"/>
      <w:szCs w:val="18"/>
    </w:rPr>
  </w:style>
  <w:style w:type="character" w:customStyle="1" w:styleId="217">
    <w:name w:val="标题 字符"/>
    <w:link w:val="45"/>
    <w:qFormat/>
    <w:uiPriority w:val="0"/>
    <w:rPr>
      <w:rFonts w:ascii="Cambria" w:hAnsi="Cambria" w:cs="Times New Roman"/>
      <w:b/>
      <w:bCs/>
      <w:sz w:val="32"/>
      <w:szCs w:val="32"/>
    </w:rPr>
  </w:style>
  <w:style w:type="character" w:customStyle="1" w:styleId="218">
    <w:name w:val="批注主题 字符"/>
    <w:link w:val="46"/>
    <w:qFormat/>
    <w:uiPriority w:val="0"/>
    <w:rPr>
      <w:b/>
      <w:bCs/>
      <w:sz w:val="21"/>
      <w:szCs w:val="24"/>
    </w:rPr>
  </w:style>
  <w:style w:type="paragraph" w:customStyle="1" w:styleId="219">
    <w:name w:val="章标题"/>
    <w:next w:val="1"/>
    <w:qFormat/>
    <w:uiPriority w:val="99"/>
    <w:pPr>
      <w:spacing w:line="336" w:lineRule="auto"/>
      <w:jc w:val="both"/>
      <w:outlineLvl w:val="1"/>
    </w:pPr>
    <w:rPr>
      <w:rFonts w:hint="default" w:ascii="黑体" w:hAnsi="Times New Roman" w:eastAsia="黑体" w:cs="Times New Roman"/>
      <w:sz w:val="21"/>
      <w:szCs w:val="21"/>
      <w:lang w:val="en-US" w:eastAsia="zh-CN" w:bidi="ar-SA"/>
    </w:rPr>
  </w:style>
  <w:style w:type="character" w:customStyle="1" w:styleId="220">
    <w:name w:val="ts_tip_2"/>
    <w:qFormat/>
    <w:uiPriority w:val="0"/>
    <w:rPr>
      <w:color w:val="E43023"/>
    </w:rPr>
  </w:style>
  <w:style w:type="character" w:customStyle="1" w:styleId="221">
    <w:name w:val="linebg"/>
    <w:qFormat/>
    <w:uiPriority w:val="0"/>
  </w:style>
  <w:style w:type="character" w:customStyle="1" w:styleId="222">
    <w:name w:val="普通文字 Char Char2"/>
    <w:qFormat/>
    <w:uiPriority w:val="0"/>
    <w:rPr>
      <w:rFonts w:ascii="宋体" w:hAnsi="Courier New" w:eastAsia="宋体"/>
      <w:sz w:val="21"/>
      <w:lang w:val="en-US" w:eastAsia="zh-CN" w:bidi="ar-SA"/>
    </w:rPr>
  </w:style>
  <w:style w:type="character" w:customStyle="1" w:styleId="223">
    <w:name w:val="bus_type_tip"/>
    <w:qFormat/>
    <w:uiPriority w:val="0"/>
    <w:rPr>
      <w:color w:val="FFFFFF"/>
      <w:sz w:val="18"/>
      <w:szCs w:val="18"/>
    </w:rPr>
  </w:style>
  <w:style w:type="character" w:customStyle="1" w:styleId="224">
    <w:name w:val="linebg_on1"/>
    <w:qFormat/>
    <w:uiPriority w:val="0"/>
  </w:style>
  <w:style w:type="character" w:customStyle="1" w:styleId="225">
    <w:name w:val="ts_tip_1"/>
    <w:qFormat/>
    <w:uiPriority w:val="0"/>
    <w:rPr>
      <w:color w:val="468B02"/>
    </w:rPr>
  </w:style>
  <w:style w:type="character" w:customStyle="1" w:styleId="226">
    <w:name w:val="linebg1"/>
    <w:qFormat/>
    <w:uiPriority w:val="0"/>
  </w:style>
  <w:style w:type="character" w:customStyle="1" w:styleId="227">
    <w:name w:val="redfilefwwh"/>
    <w:qFormat/>
    <w:uiPriority w:val="0"/>
    <w:rPr>
      <w:color w:val="BA2636"/>
      <w:sz w:val="18"/>
      <w:szCs w:val="18"/>
    </w:rPr>
  </w:style>
  <w:style w:type="character" w:customStyle="1" w:styleId="228">
    <w:name w:val="map_taglist"/>
    <w:qFormat/>
    <w:uiPriority w:val="0"/>
    <w:rPr>
      <w:color w:val="666666"/>
    </w:rPr>
  </w:style>
  <w:style w:type="character" w:customStyle="1" w:styleId="229">
    <w:name w:val="bus_type_3"/>
    <w:qFormat/>
    <w:uiPriority w:val="0"/>
    <w:rPr>
      <w:shd w:val="clear" w:color="auto" w:fill="43CC8D"/>
    </w:rPr>
  </w:style>
  <w:style w:type="character" w:customStyle="1" w:styleId="230">
    <w:name w:val="active3"/>
    <w:qFormat/>
    <w:uiPriority w:val="0"/>
    <w:rPr>
      <w:shd w:val="clear" w:color="auto" w:fill="FFFFFF"/>
    </w:rPr>
  </w:style>
  <w:style w:type="character" w:customStyle="1" w:styleId="231">
    <w:name w:val="gjfg"/>
    <w:qFormat/>
    <w:uiPriority w:val="0"/>
  </w:style>
  <w:style w:type="character" w:customStyle="1" w:styleId="232">
    <w:name w:val="displayarti"/>
    <w:qFormat/>
    <w:uiPriority w:val="0"/>
    <w:rPr>
      <w:color w:val="FFFFFF"/>
      <w:shd w:val="clear" w:color="auto" w:fill="A00000"/>
    </w:rPr>
  </w:style>
  <w:style w:type="character" w:customStyle="1" w:styleId="233">
    <w:name w:val="linebg_on"/>
    <w:qFormat/>
    <w:uiPriority w:val="0"/>
  </w:style>
  <w:style w:type="character" w:customStyle="1" w:styleId="234">
    <w:name w:val="redfilenumber"/>
    <w:qFormat/>
    <w:uiPriority w:val="0"/>
    <w:rPr>
      <w:color w:val="BA2636"/>
      <w:sz w:val="18"/>
      <w:szCs w:val="18"/>
    </w:rPr>
  </w:style>
  <w:style w:type="character" w:customStyle="1" w:styleId="235">
    <w:name w:val="cfdate"/>
    <w:qFormat/>
    <w:uiPriority w:val="0"/>
    <w:rPr>
      <w:color w:val="333333"/>
      <w:sz w:val="18"/>
      <w:szCs w:val="18"/>
    </w:rPr>
  </w:style>
  <w:style w:type="character" w:customStyle="1" w:styleId="236">
    <w:name w:val="bus_type_2"/>
    <w:qFormat/>
    <w:uiPriority w:val="0"/>
    <w:rPr>
      <w:shd w:val="clear" w:color="auto" w:fill="FF4141"/>
    </w:rPr>
  </w:style>
  <w:style w:type="character" w:customStyle="1" w:styleId="237">
    <w:name w:val="bus_type_0"/>
    <w:qFormat/>
    <w:uiPriority w:val="0"/>
    <w:rPr>
      <w:shd w:val="clear" w:color="auto" w:fill="FF8853"/>
    </w:rPr>
  </w:style>
  <w:style w:type="character" w:customStyle="1" w:styleId="238">
    <w:name w:val="qxdate"/>
    <w:qFormat/>
    <w:uiPriority w:val="0"/>
    <w:rPr>
      <w:color w:val="333333"/>
      <w:sz w:val="18"/>
      <w:szCs w:val="18"/>
    </w:rPr>
  </w:style>
  <w:style w:type="character" w:customStyle="1" w:styleId="239">
    <w:name w:val="time_dis"/>
    <w:qFormat/>
    <w:uiPriority w:val="0"/>
  </w:style>
  <w:style w:type="character" w:customStyle="1" w:styleId="240">
    <w:name w:val="hover42"/>
    <w:qFormat/>
    <w:uiPriority w:val="0"/>
  </w:style>
  <w:style w:type="character" w:customStyle="1" w:styleId="241">
    <w:name w:val="input_span11"/>
    <w:qFormat/>
    <w:uiPriority w:val="0"/>
  </w:style>
  <w:style w:type="character" w:customStyle="1" w:styleId="242">
    <w:name w:val="bus_type_4"/>
    <w:qFormat/>
    <w:uiPriority w:val="0"/>
    <w:rPr>
      <w:shd w:val="clear" w:color="auto" w:fill="333F89"/>
    </w:rPr>
  </w:style>
  <w:style w:type="character" w:customStyle="1" w:styleId="243">
    <w:name w:val="纯文本 字符"/>
    <w:qFormat/>
    <w:uiPriority w:val="0"/>
    <w:rPr>
      <w:rFonts w:ascii="宋体" w:hAnsi="Courier New" w:eastAsia="宋体" w:cs="Courier New"/>
      <w:sz w:val="21"/>
      <w:szCs w:val="21"/>
      <w:lang w:val="en-US" w:eastAsia="zh-CN" w:bidi="ar-SA"/>
    </w:rPr>
  </w:style>
  <w:style w:type="character" w:customStyle="1" w:styleId="244">
    <w:name w:val="active4"/>
    <w:qFormat/>
    <w:uiPriority w:val="0"/>
    <w:rPr>
      <w:shd w:val="clear" w:color="auto" w:fill="FFFFFF"/>
    </w:rPr>
  </w:style>
  <w:style w:type="character" w:customStyle="1" w:styleId="245">
    <w:name w:val="样式1 Char"/>
    <w:link w:val="246"/>
    <w:qFormat/>
    <w:uiPriority w:val="0"/>
    <w:rPr>
      <w:rFonts w:eastAsia="宋体"/>
      <w:sz w:val="21"/>
      <w:szCs w:val="24"/>
      <w:lang w:val="en-US" w:eastAsia="zh-CN" w:bidi="ar-SA"/>
    </w:rPr>
  </w:style>
  <w:style w:type="paragraph" w:customStyle="1" w:styleId="246">
    <w:name w:val="样式1"/>
    <w:basedOn w:val="1"/>
    <w:link w:val="245"/>
    <w:qFormat/>
    <w:uiPriority w:val="0"/>
  </w:style>
  <w:style w:type="character" w:customStyle="1" w:styleId="247">
    <w:name w:val="generalinfo-address-text1"/>
    <w:qFormat/>
    <w:uiPriority w:val="0"/>
    <w:rPr>
      <w:sz w:val="18"/>
      <w:szCs w:val="18"/>
    </w:rPr>
  </w:style>
  <w:style w:type="character" w:customStyle="1" w:styleId="248">
    <w:name w:val="1ji Char"/>
    <w:link w:val="249"/>
    <w:qFormat/>
    <w:uiPriority w:val="0"/>
    <w:rPr>
      <w:rFonts w:ascii="宋体" w:hAnsi="宋体" w:eastAsia="宋体"/>
      <w:b/>
      <w:bCs/>
      <w:sz w:val="36"/>
      <w:szCs w:val="44"/>
      <w:lang w:val="en-US" w:eastAsia="zh-CN" w:bidi="ar-SA"/>
    </w:rPr>
  </w:style>
  <w:style w:type="paragraph" w:customStyle="1" w:styleId="249">
    <w:name w:val="1ji"/>
    <w:basedOn w:val="3"/>
    <w:link w:val="248"/>
    <w:qFormat/>
    <w:uiPriority w:val="0"/>
    <w:pPr>
      <w:keepLines w:val="0"/>
      <w:widowControl/>
      <w:spacing w:before="0" w:after="0" w:line="240" w:lineRule="auto"/>
      <w:jc w:val="center"/>
    </w:pPr>
    <w:rPr>
      <w:rFonts w:ascii="宋体" w:hAnsi="宋体"/>
      <w:sz w:val="36"/>
    </w:rPr>
  </w:style>
  <w:style w:type="character" w:customStyle="1" w:styleId="250">
    <w:name w:val="自定义标题一 Char"/>
    <w:link w:val="251"/>
    <w:qFormat/>
    <w:uiPriority w:val="0"/>
    <w:rPr>
      <w:rFonts w:ascii="黑体" w:hAnsi="黑体" w:eastAsia="黑体"/>
      <w:b/>
      <w:bCs/>
      <w:sz w:val="44"/>
      <w:szCs w:val="44"/>
    </w:rPr>
  </w:style>
  <w:style w:type="paragraph" w:customStyle="1" w:styleId="251">
    <w:name w:val="自定义标题一"/>
    <w:basedOn w:val="3"/>
    <w:link w:val="250"/>
    <w:qFormat/>
    <w:uiPriority w:val="0"/>
    <w:pPr>
      <w:pageBreakBefore/>
      <w:tabs>
        <w:tab w:val="left" w:pos="144"/>
      </w:tabs>
      <w:spacing w:before="0" w:after="0" w:line="360" w:lineRule="auto"/>
      <w:ind w:left="144" w:hanging="144"/>
      <w:jc w:val="center"/>
    </w:pPr>
    <w:rPr>
      <w:rFonts w:ascii="黑体" w:hAnsi="黑体" w:eastAsia="黑体"/>
    </w:rPr>
  </w:style>
  <w:style w:type="character" w:customStyle="1" w:styleId="252">
    <w:name w:val="font21"/>
    <w:qFormat/>
    <w:uiPriority w:val="0"/>
    <w:rPr>
      <w:rFonts w:hint="default" w:ascii="Times New Roman" w:hAnsi="Times New Roman" w:cs="Times New Roman"/>
      <w:color w:val="000000"/>
      <w:sz w:val="21"/>
      <w:szCs w:val="21"/>
      <w:u w:val="none"/>
    </w:rPr>
  </w:style>
  <w:style w:type="character" w:customStyle="1" w:styleId="253">
    <w:name w:val="普通文字 Char Char3"/>
    <w:qFormat/>
    <w:uiPriority w:val="0"/>
    <w:rPr>
      <w:rFonts w:ascii="宋体" w:hAnsi="Courier New" w:eastAsia="宋体" w:cs="Courier New"/>
      <w:sz w:val="21"/>
      <w:szCs w:val="21"/>
      <w:lang w:val="en-US" w:eastAsia="zh-CN" w:bidi="ar-SA"/>
    </w:rPr>
  </w:style>
  <w:style w:type="character" w:customStyle="1" w:styleId="254">
    <w:name w:val="curpage"/>
    <w:qFormat/>
    <w:uiPriority w:val="0"/>
    <w:rPr>
      <w:b/>
    </w:rPr>
  </w:style>
  <w:style w:type="character" w:customStyle="1" w:styleId="255">
    <w:name w:val="纯文本 Char1"/>
    <w:qFormat/>
    <w:uiPriority w:val="0"/>
    <w:rPr>
      <w:rFonts w:ascii="宋体" w:hAnsi="Courier New" w:eastAsia="宋体" w:cs="Courier New"/>
      <w:sz w:val="21"/>
      <w:szCs w:val="21"/>
      <w:lang w:val="en-US" w:eastAsia="zh-CN" w:bidi="ar-SA"/>
    </w:rPr>
  </w:style>
  <w:style w:type="character" w:customStyle="1" w:styleId="256">
    <w:name w:val="apple-style-span"/>
    <w:qFormat/>
    <w:uiPriority w:val="99"/>
  </w:style>
  <w:style w:type="paragraph" w:customStyle="1" w:styleId="257">
    <w:name w:val="Char"/>
    <w:basedOn w:val="15"/>
    <w:qFormat/>
    <w:uiPriority w:val="0"/>
    <w:pPr>
      <w:widowControl/>
      <w:ind w:firstLine="454"/>
      <w:jc w:val="left"/>
    </w:pPr>
    <w:rPr>
      <w:rFonts w:ascii="Tahoma" w:hAnsi="Tahoma" w:cs="宋体"/>
      <w:sz w:val="24"/>
      <w:szCs w:val="20"/>
    </w:rPr>
  </w:style>
  <w:style w:type="paragraph" w:customStyle="1" w:styleId="258">
    <w:name w:val="正文段"/>
    <w:basedOn w:val="1"/>
    <w:qFormat/>
    <w:uiPriority w:val="0"/>
    <w:pPr>
      <w:widowControl/>
      <w:spacing w:after="156"/>
      <w:ind w:firstLine="200"/>
    </w:pPr>
    <w:rPr>
      <w:sz w:val="24"/>
      <w:szCs w:val="20"/>
    </w:rPr>
  </w:style>
  <w:style w:type="paragraph" w:customStyle="1" w:styleId="259">
    <w:name w:val="_Style 90"/>
    <w:basedOn w:val="3"/>
    <w:next w:val="1"/>
    <w:qFormat/>
    <w:uiPriority w:val="39"/>
    <w:pPr>
      <w:widowControl/>
      <w:spacing w:before="480" w:after="0" w:line="276" w:lineRule="auto"/>
      <w:jc w:val="left"/>
      <w:outlineLvl w:val="9"/>
    </w:pPr>
    <w:rPr>
      <w:rFonts w:ascii="Cambria" w:hAnsi="Cambria" w:eastAsia="宋体" w:cs="Times New Roman"/>
      <w:color w:val="365F91"/>
      <w:sz w:val="28"/>
      <w:szCs w:val="28"/>
    </w:rPr>
  </w:style>
  <w:style w:type="paragraph" w:customStyle="1" w:styleId="260">
    <w:name w:val="_Style 35"/>
    <w:basedOn w:val="15"/>
    <w:qFormat/>
    <w:uiPriority w:val="0"/>
    <w:pPr>
      <w:widowControl/>
      <w:ind w:firstLine="454"/>
      <w:jc w:val="left"/>
    </w:pPr>
  </w:style>
  <w:style w:type="paragraph" w:customStyle="1" w:styleId="261">
    <w:name w:val="表内文字"/>
    <w:basedOn w:val="1"/>
    <w:qFormat/>
    <w:uiPriority w:val="0"/>
    <w:pPr>
      <w:spacing w:before="50" w:after="50"/>
      <w:jc w:val="center"/>
    </w:pPr>
    <w:rPr>
      <w:rFonts w:ascii="仿宋_GB2312" w:hAnsi="宋体" w:eastAsia="仿宋_GB2312"/>
      <w:b/>
      <w:color w:val="000000"/>
      <w:sz w:val="32"/>
      <w:szCs w:val="32"/>
    </w:rPr>
  </w:style>
  <w:style w:type="paragraph" w:customStyle="1" w:styleId="262">
    <w:name w:val="列出段落1"/>
    <w:basedOn w:val="1"/>
    <w:qFormat/>
    <w:uiPriority w:val="0"/>
    <w:pPr>
      <w:spacing w:line="312" w:lineRule="auto"/>
      <w:ind w:firstLine="420"/>
    </w:pPr>
  </w:style>
  <w:style w:type="paragraph" w:customStyle="1" w:styleId="263">
    <w:name w:val="1"/>
    <w:basedOn w:val="1"/>
    <w:next w:val="25"/>
    <w:qFormat/>
    <w:uiPriority w:val="0"/>
    <w:rPr>
      <w:rFonts w:ascii="宋体" w:hAnsi="Courier New"/>
      <w:szCs w:val="20"/>
    </w:rPr>
  </w:style>
  <w:style w:type="paragraph" w:customStyle="1" w:styleId="264">
    <w:name w:val=" Char"/>
    <w:basedOn w:val="15"/>
    <w:qFormat/>
    <w:uiPriority w:val="0"/>
    <w:pPr>
      <w:widowControl/>
      <w:ind w:firstLine="454"/>
      <w:jc w:val="left"/>
    </w:pPr>
    <w:rPr>
      <w:rFonts w:ascii="Tahoma" w:hAnsi="Tahoma" w:cs="宋体"/>
      <w:sz w:val="24"/>
      <w:szCs w:val="20"/>
    </w:rPr>
  </w:style>
  <w:style w:type="paragraph" w:customStyle="1" w:styleId="265">
    <w:name w:val="xl31"/>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szCs w:val="21"/>
    </w:rPr>
  </w:style>
  <w:style w:type="paragraph" w:customStyle="1" w:styleId="266">
    <w:name w:val="_Style 10"/>
    <w:basedOn w:val="1"/>
    <w:qFormat/>
    <w:uiPriority w:val="0"/>
    <w:pPr>
      <w:ind w:firstLine="420"/>
    </w:pPr>
    <w:rPr>
      <w:rFonts w:ascii="Calibri" w:hAnsi="Calibri"/>
      <w:szCs w:val="20"/>
    </w:rPr>
  </w:style>
  <w:style w:type="paragraph" w:customStyle="1" w:styleId="267">
    <w:name w:val="List Paragraph1"/>
    <w:basedOn w:val="1"/>
    <w:qFormat/>
    <w:uiPriority w:val="34"/>
    <w:pPr>
      <w:widowControl/>
      <w:ind w:firstLine="420"/>
      <w:jc w:val="left"/>
    </w:pPr>
    <w:rPr>
      <w:rFonts w:ascii="宋体" w:hAnsi="宋体" w:cs="宋体"/>
    </w:rPr>
  </w:style>
  <w:style w:type="paragraph" w:customStyle="1" w:styleId="268">
    <w:name w:val="默认段落字体 Para Char Char Char Char Char Char Char Char Char1 Char Char Char Char"/>
    <w:basedOn w:val="1"/>
    <w:qFormat/>
    <w:uiPriority w:val="0"/>
    <w:rPr>
      <w:rFonts w:ascii="Tahoma" w:hAnsi="Tahoma"/>
      <w:sz w:val="24"/>
      <w:szCs w:val="20"/>
    </w:rPr>
  </w:style>
  <w:style w:type="paragraph" w:styleId="269">
    <w:name w:val="List Paragraph"/>
    <w:basedOn w:val="1"/>
    <w:qFormat/>
    <w:uiPriority w:val="34"/>
    <w:pPr>
      <w:ind w:firstLine="420"/>
    </w:pPr>
  </w:style>
  <w:style w:type="paragraph" w:customStyle="1" w:styleId="270">
    <w:name w:val="_Style 101"/>
    <w:unhideWhenUsed/>
    <w:qFormat/>
    <w:uiPriority w:val="99"/>
    <w:rPr>
      <w:rFonts w:hint="default" w:ascii="Calibri" w:hAnsi="Calibri" w:eastAsia="宋体" w:cs="Times New Roman"/>
      <w:sz w:val="21"/>
      <w:szCs w:val="24"/>
      <w:lang w:val="en-US" w:eastAsia="zh-CN" w:bidi="ar-SA"/>
    </w:rPr>
  </w:style>
  <w:style w:type="character" w:customStyle="1" w:styleId="271">
    <w:name w:val="批注文字 字符"/>
    <w:qFormat/>
    <w:uiPriority w:val="99"/>
    <w:rPr>
      <w:sz w:val="21"/>
      <w:szCs w:val="24"/>
    </w:rPr>
  </w:style>
  <w:style w:type="paragraph" w:customStyle="1" w:styleId="272">
    <w:name w:val="p15"/>
    <w:basedOn w:val="1"/>
    <w:qFormat/>
    <w:uiPriority w:val="0"/>
    <w:pPr>
      <w:widowControl/>
    </w:pPr>
    <w:rPr>
      <w:rFonts w:ascii="宋体" w:hAnsi="宋体" w:cs="宋体"/>
      <w:szCs w:val="21"/>
    </w:rPr>
  </w:style>
  <w:style w:type="character" w:customStyle="1" w:styleId="273">
    <w:name w:val="纯文本 Char2"/>
    <w:qFormat/>
    <w:uiPriority w:val="0"/>
    <w:rPr>
      <w:rFonts w:ascii="宋体" w:hAnsi="宋体" w:eastAsia="宋体" w:cs="Courier New"/>
      <w:color w:val="000000"/>
      <w:sz w:val="21"/>
      <w:szCs w:val="21"/>
      <w:lang w:val="en-US" w:eastAsia="zh-CN" w:bidi="ar-SA"/>
    </w:rPr>
  </w:style>
  <w:style w:type="paragraph" w:customStyle="1" w:styleId="274">
    <w:name w:val="p17"/>
    <w:qFormat/>
    <w:uiPriority w:val="0"/>
    <w:pPr>
      <w:jc w:val="both"/>
    </w:pPr>
    <w:rPr>
      <w:rFonts w:hint="default" w:ascii="宋体" w:hAnsi="宋体" w:eastAsia="宋体" w:cs="宋体"/>
      <w:sz w:val="21"/>
      <w:szCs w:val="21"/>
      <w:lang w:val="en-US" w:eastAsia="zh-CN" w:bidi="ar-SA"/>
    </w:rPr>
  </w:style>
  <w:style w:type="paragraph" w:customStyle="1" w:styleId="275">
    <w:name w:val="正文_1"/>
    <w:qFormat/>
    <w:uiPriority w:val="0"/>
    <w:pPr>
      <w:widowControl w:val="0"/>
      <w:jc w:val="both"/>
    </w:pPr>
    <w:rPr>
      <w:rFonts w:hint="default" w:ascii="Times New Roman" w:hAnsi="Times New Roman" w:eastAsia="宋体" w:cs="Times New Roman"/>
      <w:sz w:val="21"/>
      <w:szCs w:val="21"/>
      <w:lang w:val="en-US" w:eastAsia="zh-CN" w:bidi="ar-SA"/>
    </w:rPr>
  </w:style>
  <w:style w:type="paragraph" w:customStyle="1" w:styleId="276">
    <w:name w:val="样式5"/>
    <w:qFormat/>
    <w:uiPriority w:val="0"/>
    <w:pPr>
      <w:widowControl w:val="0"/>
      <w:spacing w:line="440" w:lineRule="exact"/>
      <w:ind w:left="2" w:firstLine="480"/>
      <w:jc w:val="both"/>
    </w:pPr>
    <w:rPr>
      <w:rFonts w:hint="default" w:ascii="仿宋_GB2312" w:hAnsi="仿宋" w:eastAsia="仿宋_GB2312" w:cs="Times New Roman"/>
      <w:sz w:val="24"/>
      <w:szCs w:val="24"/>
      <w:lang w:val="en-US" w:eastAsia="zh-CN" w:bidi="ar-SA"/>
    </w:rPr>
  </w:style>
  <w:style w:type="paragraph" w:customStyle="1" w:styleId="277">
    <w:name w:val="正文_4"/>
    <w:unhideWhenUsed/>
    <w:qFormat/>
    <w:uiPriority w:val="0"/>
    <w:pPr>
      <w:widowControl w:val="0"/>
      <w:jc w:val="both"/>
    </w:pPr>
    <w:rPr>
      <w:rFonts w:hint="default" w:ascii="Calibri" w:hAnsi="Calibri" w:eastAsia="宋体" w:cs="Times New Roman"/>
      <w:sz w:val="21"/>
      <w:szCs w:val="24"/>
      <w:lang w:val="en-US" w:eastAsia="zh-CN" w:bidi="ar-SA"/>
    </w:rPr>
  </w:style>
  <w:style w:type="paragraph" w:customStyle="1" w:styleId="278">
    <w:name w:val="正文_3"/>
    <w:basedOn w:val="277"/>
    <w:unhideWhenUsed/>
    <w:qFormat/>
    <w:uiPriority w:val="0"/>
    <w:pPr>
      <w:widowControl w:val="0"/>
      <w:jc w:val="both"/>
    </w:pPr>
    <w:rPr>
      <w:rFonts w:ascii="Calibri" w:hAnsi="Calibri" w:eastAsia="宋体" w:cs="Times New Roman"/>
      <w:sz w:val="21"/>
      <w:szCs w:val="24"/>
      <w:lang w:val="en-US" w:eastAsia="zh-CN" w:bidi="ar-SA"/>
    </w:rPr>
  </w:style>
  <w:style w:type="paragraph" w:customStyle="1" w:styleId="279">
    <w:name w:val="标题 4_1"/>
    <w:basedOn w:val="278"/>
    <w:next w:val="278"/>
    <w:unhideWhenUsed/>
    <w:qFormat/>
    <w:uiPriority w:val="0"/>
    <w:pPr>
      <w:keepNext/>
      <w:keepLines/>
      <w:spacing w:before="280" w:after="290" w:line="372" w:lineRule="auto"/>
      <w:outlineLvl w:val="3"/>
    </w:pPr>
    <w:rPr>
      <w:rFonts w:hint="default" w:ascii="Cambria" w:hAnsi="Cambria"/>
      <w:b/>
      <w:sz w:val="28"/>
      <w:szCs w:val="24"/>
    </w:rPr>
  </w:style>
  <w:style w:type="paragraph" w:customStyle="1" w:styleId="280">
    <w:name w:val="正文_3_0"/>
    <w:unhideWhenUsed/>
    <w:qFormat/>
    <w:uiPriority w:val="0"/>
    <w:pPr>
      <w:widowControl w:val="0"/>
      <w:jc w:val="both"/>
    </w:pPr>
    <w:rPr>
      <w:rFonts w:hint="default" w:ascii="Calibri" w:hAnsi="Calibri" w:eastAsia="宋体" w:cs="Times New Roman"/>
      <w:sz w:val="21"/>
      <w:szCs w:val="24"/>
      <w:lang w:val="en-US" w:eastAsia="zh-CN" w:bidi="ar-SA"/>
    </w:rPr>
  </w:style>
  <w:style w:type="paragraph" w:customStyle="1" w:styleId="281">
    <w:name w:val="正文文本_0"/>
    <w:basedOn w:val="278"/>
    <w:unhideWhenUsed/>
    <w:qFormat/>
    <w:uiPriority w:val="0"/>
    <w:pPr>
      <w:spacing w:after="60" w:line="360" w:lineRule="atLeast"/>
      <w:ind w:left="72" w:right="30"/>
      <w:jc w:val="center"/>
    </w:pPr>
    <w:rPr>
      <w:rFonts w:hint="default" w:ascii="Times New Roman" w:hAnsi="Times New Roman"/>
      <w:sz w:val="21"/>
      <w:szCs w:val="24"/>
    </w:rPr>
  </w:style>
  <w:style w:type="paragraph" w:customStyle="1" w:styleId="282">
    <w:name w:val="Normal_0"/>
    <w:qFormat/>
    <w:uiPriority w:val="0"/>
    <w:rPr>
      <w:rFonts w:hint="default" w:ascii="Times New Roman" w:hAnsi="Times New Roman" w:eastAsia="Times New Roman" w:cs="Times New Roman"/>
      <w:sz w:val="24"/>
      <w:szCs w:val="24"/>
      <w:lang w:val="en-US" w:eastAsia="zh-CN" w:bidi="ar-SA"/>
    </w:rPr>
  </w:style>
  <w:style w:type="paragraph" w:customStyle="1" w:styleId="283">
    <w:name w:val="表格文字115"/>
    <w:qFormat/>
    <w:uiPriority w:val="0"/>
    <w:pPr>
      <w:widowControl w:val="0"/>
      <w:spacing w:before="25" w:after="25"/>
    </w:pPr>
    <w:rPr>
      <w:rFonts w:hint="default" w:ascii="Times New Roman" w:hAnsi="Times New Roman" w:eastAsia="宋体" w:cs="Times New Roman"/>
      <w:bCs/>
      <w:spacing w:val="10"/>
      <w:sz w:val="24"/>
      <w:szCs w:val="24"/>
      <w:lang w:val="en-US" w:eastAsia="zh-CN" w:bidi="ar-SA"/>
    </w:rPr>
  </w:style>
  <w:style w:type="paragraph" w:customStyle="1" w:styleId="284">
    <w:name w:val="正文_2"/>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85">
    <w:name w:val="普通(网站)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sz w:val="24"/>
      <w:szCs w:val="24"/>
      <w:lang w:val="en-US" w:eastAsia="zh-CN" w:bidi="ar"/>
    </w:rPr>
  </w:style>
  <w:style w:type="paragraph" w:customStyle="1" w:styleId="286">
    <w:name w:val="标题样式"/>
    <w:next w:val="1"/>
    <w:qFormat/>
    <w:uiPriority w:val="0"/>
    <w:pPr>
      <w:widowControl w:val="0"/>
      <w:spacing w:before="240" w:after="60"/>
      <w:jc w:val="center"/>
    </w:pPr>
    <w:rPr>
      <w:rFonts w:hint="default" w:ascii="Cambria" w:hAnsi="Cambria" w:eastAsia="宋体" w:cs="Cambria"/>
      <w:b/>
      <w:bCs/>
      <w:sz w:val="32"/>
      <w:szCs w:val="32"/>
      <w:lang w:val="en-US" w:eastAsia="zh-CN" w:bidi="ar-SA"/>
    </w:rPr>
  </w:style>
  <w:style w:type="table" w:customStyle="1" w:styleId="287">
    <w:name w:val="Table Normal"/>
    <w:semiHidden/>
    <w:unhideWhenUsed/>
    <w:qFormat/>
    <w:uiPriority w:val="0"/>
    <w:tblPr>
      <w:tblCellMar>
        <w:top w:w="0" w:type="dxa"/>
        <w:left w:w="0" w:type="dxa"/>
        <w:bottom w:w="0" w:type="dxa"/>
        <w:right w:w="0"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288">
    <w:name w:val="Body text|1"/>
    <w:qFormat/>
    <w:uiPriority w:val="0"/>
    <w:pPr>
      <w:widowControl w:val="0"/>
      <w:spacing w:line="360" w:lineRule="auto"/>
      <w:ind w:firstLine="400"/>
      <w:jc w:val="both"/>
    </w:pPr>
    <w:rPr>
      <w:rFonts w:hint="default" w:ascii="宋体" w:hAnsi="宋体" w:eastAsia="宋体" w:cs="宋体"/>
      <w:color w:val="auto"/>
      <w:sz w:val="21"/>
      <w:szCs w:val="20"/>
      <w:lang w:val="zh-CN" w:eastAsia="zh-CN" w:bidi="zh-CN"/>
    </w:rPr>
  </w:style>
  <w:style w:type="paragraph" w:customStyle="1" w:styleId="289">
    <w:name w:val="Table Text"/>
    <w:qFormat/>
    <w:uiPriority w:val="0"/>
    <w:pPr>
      <w:widowControl w:val="0"/>
      <w:jc w:val="both"/>
    </w:pPr>
    <w:rPr>
      <w:rFonts w:hint="default" w:ascii="Arial" w:hAnsi="Arial" w:eastAsia="Arial" w:cs="Arial"/>
      <w:sz w:val="21"/>
      <w:szCs w:val="21"/>
      <w:lang w:val="en-US" w:eastAsia="en-US" w:bidi="ar-SA"/>
    </w:rPr>
  </w:style>
  <w:style w:type="paragraph" w:customStyle="1" w:styleId="290">
    <w:name w:val="Table Paragraph"/>
    <w:qFormat/>
    <w:uiPriority w:val="0"/>
    <w:pPr>
      <w:widowControl w:val="0"/>
      <w:jc w:val="both"/>
    </w:pPr>
    <w:rPr>
      <w:rFonts w:hint="default" w:ascii="Times New Roman" w:hAnsi="Times New Roman" w:eastAsia="宋体" w:cs="Times New Roman"/>
      <w:sz w:val="21"/>
      <w:szCs w:val="21"/>
      <w:lang w:val="en-US" w:eastAsia="zh-CN" w:bidi="ar-SA"/>
    </w:rPr>
  </w:style>
  <w:style w:type="paragraph" w:customStyle="1" w:styleId="291">
    <w:name w:val="NormalIndent"/>
    <w:basedOn w:val="1"/>
    <w:qFormat/>
    <w:uiPriority w:val="0"/>
    <w:pPr>
      <w:ind w:firstLine="420"/>
    </w:pPr>
    <w:rPr>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wmf"/><Relationship Id="rId10" Type="http://schemas.openxmlformats.org/officeDocument/2006/relationships/oleObject" Target="embeddings/oleObject1.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33f42760-3a9d-46da-9c74-55b305b6f8e9</errorID>
      <errorWord>,</errorWord>
      <group>L1_Format</group>
      <groupName>格式问题</groupName>
      <ability>L2_HalfPunc_CN</ability>
      <abilityName>全半角问题</abilityName>
      <candidateList>
        <item>，</item>
      </candidateList>
      <explain>文本全半角错误。</explain>
      <paraID>1EE4EEC9</paraID>
      <start>65</start>
      <end>66</end>
      <status>unmodified</status>
      <modifiedWord/>
      <trackRevisions>false</trackRevisions>
    </reviewItem>
    <reviewItem>
      <errorID>03fa2779-0e27-4b82-a212-837ca8d30fc0</errorID>
      <errorWord>日至2026年</errorWord>
      <group>L1_Word</group>
      <groupName>字词问题</groupName>
      <ability>L2_Typo</ability>
      <abilityName>字词错误</abilityName>
      <candidateList>
        <item>日起至2026年</item>
      </candidateList>
      <explain/>
      <paraID>6A5F496A</paraID>
      <start>13</start>
      <end>20</end>
      <status>unmodified</status>
      <modifiedWord/>
      <trackRevisions>false</trackRevisions>
    </reviewItem>
    <reviewItem>
      <errorID>bbf10ccb-d03e-4257-9623-41bc2822981c</errorID>
      <errorWord>交纳</errorWord>
      <group>L1_Word</group>
      <groupName>字词问题</groupName>
      <ability>L2_Typo</ability>
      <abilityName>字词错误</abilityName>
      <candidateList>
        <item>缴纳</item>
      </candidateList>
      <explain/>
      <paraID>6882EFB8</paraID>
      <start>28</start>
      <end>30</end>
      <status>unmodified</status>
      <modifiedWord/>
      <trackRevisions>false</trackRevisions>
    </reviewItem>
    <reviewItem>
      <errorID>ce750e6d-a4e9-40ad-a7b7-3e20c3b4386b</errorID>
      <errorWord>和本</errorWord>
      <group>L1_Word</group>
      <groupName>字词问题</groupName>
      <ability>L2_Typo</ability>
      <abilityName>字词错误</abilityName>
      <candidateList>
        <item>和</item>
      </candidateList>
      <explain/>
      <paraID>30AB6C82</paraID>
      <start>227</start>
      <end>229</end>
      <status>unmodified</status>
      <modifiedWord/>
      <trackRevisions>false</trackRevisions>
    </reviewItem>
    <reviewItem>
      <errorID>acd3370d-c223-41f6-821b-a2ce8c604722</errorID>
      <errorWord>会</errorWord>
      <group>L1_Word</group>
      <groupName>字词问题</groupName>
      <ability>L2_Typo</ability>
      <abilityName>字词错误</abilityName>
      <candidateList>
        <item>会议</item>
      </candidateList>
      <explain/>
      <paraID>64E5558E</paraID>
      <start>4</start>
      <end>5</end>
      <status>unmodified</status>
      <modifiedWord/>
      <trackRevisions>false</trackRevisions>
    </reviewItem>
    <reviewItem>
      <errorID>0153521d-950e-44df-a4bf-89076e4e2396</errorID>
      <errorWord>，</errorWord>
      <group>L1_Word</group>
      <groupName>字词问题</groupName>
      <ability>L2_Typo</ability>
      <abilityName>字词错误</abilityName>
      <candidateList>
        <item>，由</item>
      </candidateList>
      <explain/>
      <paraID>19545E06</paraID>
      <start>93</start>
      <end>94</end>
      <status>unmodified</status>
      <modifiedWord/>
      <trackRevisions>false</trackRevisions>
    </reviewItem>
    <reviewItem>
      <errorID>25df4af1-0bb3-4d82-a1eb-2376502479c6</errorID>
      <errorWord>:</errorWord>
      <group>L1_Format</group>
      <groupName>格式问题</groupName>
      <ability>L2_HalfPunc_CN</ability>
      <abilityName>全半角问题</abilityName>
      <candidateList>
        <item>：</item>
      </candidateList>
      <explain>文本全半角错误。</explain>
      <paraID>250A9C97</paraID>
      <start>94</start>
      <end>95</end>
      <status>unmodified</status>
      <modifiedWord/>
      <trackRevisions>false</trackRevisions>
    </reviewItem>
    <reviewItem>
      <errorID>be5b1b2d-70ba-405e-8430-bf496a513620</errorID>
      <errorWord>[2011]300号</errorWord>
      <group>L1_Knowledge</group>
      <groupName>知识性问题</groupName>
      <ability>L2_Knowledge</ability>
      <abilityName>其他知识</abilityName>
      <candidateList>
        <item>〔2011〕300号</item>
      </candidateList>
      <explain>发文字号格式错误。</explain>
      <paraID> F9A3986</paraID>
      <start>35</start>
      <end>45</end>
      <status>unmodified</status>
      <modifiedWord/>
      <trackRevisions>false</trackRevisions>
    </reviewItem>
    <reviewItem>
      <errorID>5fe532a6-9e74-476b-a8c5-41cc52daba80</errorID>
      <errorWord>须</errorWord>
      <group>L1_Word</group>
      <groupName>字词问题</groupName>
      <ability>L2_Typo</ability>
      <abilityName>字词错误</abilityName>
      <candidateList>
        <item>需</item>
      </candidateList>
      <explain>存在发音相同字词的误用。</explain>
      <paraID> F9A3986</paraID>
      <start>82</start>
      <end>83</end>
      <status>unmodified</status>
      <modifiedWord/>
      <trackRevisions>false</trackRevisions>
    </reviewItem>
    <reviewItem>
      <errorID>31785c92-ec22-4f13-8823-d2f50389265c</errorID>
      <errorWord>范围须</errorWord>
      <group>L1_Word</group>
      <groupName>字词问题</groupName>
      <ability>L2_Typo</ability>
      <abilityName>字词错误</abilityName>
      <candidateList>
        <item>范围</item>
      </candidateList>
      <explain/>
      <paraID>71FD1086</paraID>
      <start>60</start>
      <end>63</end>
      <status>unmodified</status>
      <modifiedWord/>
      <trackRevisions>false</trackRevisions>
    </reviewItem>
    <reviewItem>
      <errorID>b7da8bd0-8910-49e7-a5bd-3d16307612da</errorID>
      <errorWord>影响其它</errorWord>
      <group>L1_Word</group>
      <groupName>字词问题</groupName>
      <ability>L2_Alias</ability>
      <abilityName>也作/曾用词</abilityName>
      <candidateList>
        <item>影响其他</item>
      </candidateList>
      <explain>词汇[影响其它]为不规范表述或旧称，其规范书面表述为[影响其他]。</explain>
      <paraID>71FD1086</paraID>
      <start>65</start>
      <end>69</end>
      <status>unmodified</status>
      <modifiedWord/>
      <trackRevisions>false</trackRevisions>
    </reviewItem>
    <reviewItem>
      <errorID>a5f0765f-7210-41d3-8ec1-e02ef0480ff5</errorID>
      <errorWord>法》《建设工程</errorWord>
      <group>L1_Word</group>
      <groupName>字词问题</groupName>
      <ability>L2_Typo</ability>
      <abilityName>字词错误</abilityName>
      <candidateList>
        <item>法》和《建设工程</item>
      </candidateList>
      <explain/>
      <paraID>2ACE1426</paraID>
      <start>55</start>
      <end>62</end>
      <status>unmodified</status>
      <modifiedWord/>
      <trackRevisions>false</trackRevisions>
    </reviewItem>
    <reviewItem>
      <errorID>919999a9-9373-4670-8a62-1fde4a7db905</errorID>
      <errorWord>（</errorWord>
      <group>L1_Punc</group>
      <groupName>标点问题</groupName>
      <ability>L2_Punc_CN</ability>
      <abilityName>标点符号问题</abilityName>
      <candidateList/>
      <explain>同一形式括号套用。</explain>
      <paraID>7DBDA4F6</paraID>
      <start>91</start>
      <end>92</end>
      <status>unmodified</status>
      <modifiedWord/>
      <trackRevisions>false</trackRevisions>
    </reviewItem>
    <reviewItem>
      <errorID>0f4e50fa-2bfd-4601-873c-2c245477d85a</errorID>
      <errorWord>）</errorWord>
      <group>L1_Punc</group>
      <groupName>标点问题</groupName>
      <ability>L2_Punc_CN</ability>
      <abilityName>标点符号问题</abilityName>
      <candidateList/>
      <explain>同一形式括号套用。</explain>
      <paraID>7DBDA4F6</paraID>
      <start>104</start>
      <end>105</end>
      <status>unmodified</status>
      <modifiedWord/>
      <trackRevisions>false</trackRevisions>
    </reviewItem>
    <reviewItem>
      <errorID>556d7e4d-d32c-459b-a888-264bcb6b88a0</errorID>
      <errorWord>其它</errorWord>
      <group>L1_Word</group>
      <groupName>字词问题</groupName>
      <ability>L2_Alias</ability>
      <abilityName>也作/曾用词</abilityName>
      <candidateList>
        <item>其他</item>
      </candidateList>
      <explain>词汇[其它]为不规范表述或旧称，其规范书面表述为[其他]。</explain>
      <paraID>3E4FC919</paraID>
      <start>50</start>
      <end>52</end>
      <status>unmodified</status>
      <modifiedWord/>
      <trackRevisions>false</trackRevisions>
    </reviewItem>
    <reviewItem>
      <errorID>86323e84-adc7-4d99-b408-5e2a0cfebabb</errorID>
      <errorWord>其它</errorWord>
      <group>L1_Word</group>
      <groupName>字词问题</groupName>
      <ability>L2_Alias</ability>
      <abilityName>也作/曾用词</abilityName>
      <candidateList>
        <item>其他</item>
      </candidateList>
      <explain>词汇[其它]为不规范表述或旧称，其规范书面表述为[其他]。</explain>
      <paraID>3E4FC919</paraID>
      <start>141</start>
      <end>143</end>
      <status>unmodified</status>
      <modifiedWord/>
      <trackRevisions>false</trackRevisions>
    </reviewItem>
    <reviewItem>
      <errorID>7575e175-5d5e-4d97-98f8-d87a2b0fa19d</errorID>
      <errorWord>其它</errorWord>
      <group>L1_Word</group>
      <groupName>字词问题</groupName>
      <ability>L2_Alias</ability>
      <abilityName>也作/曾用词</abilityName>
      <candidateList>
        <item>其他</item>
      </candidateList>
      <explain>词汇[其它]为不规范表述或旧称，其规范书面表述为[其他]。</explain>
      <paraID>2F60774D</paraID>
      <start>134</start>
      <end>136</end>
      <status>unmodified</status>
      <modifiedWord/>
      <trackRevisions>false</trackRevisions>
    </reviewItem>
    <reviewItem>
      <errorID>deaa1299-95d8-411a-a604-3cb61a700b7f</errorID>
      <errorWord>期限的</errorWord>
      <group>L1_Word</group>
      <groupName>字词问题</groupName>
      <ability>L2_Typo</ability>
      <abilityName>字词错误</abilityName>
      <candidateList>
        <item>期限</item>
      </candidateList>
      <explain/>
      <paraID>377769B6</paraID>
      <start>16</start>
      <end>19</end>
      <status>unmodified</status>
      <modifiedWord/>
      <trackRevisions>false</trackRevisions>
    </reviewItem>
    <reviewItem>
      <errorID>e85f26a9-2da1-44d3-9c3d-a2aae611cfe7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6B97C0BC</paraID>
      <start>0</start>
      <end>3</end>
      <status>unmodified</status>
      <modifiedWord/>
      <trackRevisions>false</trackRevisions>
    </reviewItem>
    <reviewItem>
      <errorID>84ed28bb-2ca8-45c8-a20a-747cf16f602a</errorID>
      <errorWord>；</errorWord>
      <group>L1_Format</group>
      <groupName>格式问题</groupName>
      <ability>L2_HalfPunc_CN</ability>
      <abilityName>全半角问题</abilityName>
      <candidateList>
        <item>;</item>
      </candidateList>
      <explain>文本全半角错误。</explain>
      <paraID>1178E392</paraID>
      <start>8</start>
      <end>9</end>
      <status>unmodified</status>
      <modifiedWord/>
      <trackRevisions>false</trackRevisions>
    </reviewItem>
    <reviewItem>
      <errorID>a82b84d4-0cb7-4d98-a688-02917012ffec</errorID>
      <errorWord>。</errorWord>
      <group>L1_Format</group>
      <groupName>格式问题</groupName>
      <ability>L2_HalfPunc_CN</ability>
      <abilityName>全半角问题</abilityName>
      <candidateList>
        <item>.</item>
      </candidateList>
      <explain>文本全半角错误。</explain>
      <paraID>6FC63D12</paraID>
      <start>8</start>
      <end>9</end>
      <status>unmodified</status>
      <modifiedWord/>
      <trackRevisions>false</trackRevisions>
    </reviewItem>
    <reviewItem>
      <errorID>7cd89ca4-e84c-4713-9383-11b52a25e661</errorID>
      <errorWord>，</errorWord>
      <group>L1_Word</group>
      <groupName>字词问题</groupName>
      <ability>L2_Typo</ability>
      <abilityName>字词错误</abilityName>
      <candidateList>
        <item>，在</item>
      </candidateList>
      <explain/>
      <paraID>62A6896B</paraID>
      <start>120</start>
      <end>121</end>
      <status>unmodified</status>
      <modifiedWord/>
      <trackRevisions>false</trackRevisions>
    </reviewItem>
    <reviewItem>
      <errorID>777922bf-5a24-4709-b246-84e00f29c7d3</errorID>
      <errorWord>人</errorWord>
      <group>L1_Word</group>
      <groupName>字词问题</groupName>
      <ability>L2_Typo</ability>
      <abilityName>字词错误</abilityName>
      <candidateList>
        <item>人在</item>
      </candidateList>
      <explain/>
      <paraID> 2E2EACF</paraID>
      <start>35</start>
      <end>36</end>
      <status>unmodified</status>
      <modifiedWord/>
      <trackRevisions>false</trackRevisions>
    </reviewItem>
    <reviewItem>
      <errorID>1d38ab91-585c-4868-b584-9f0c608b96b8</errorID>
      <errorWord>运入</errorWord>
      <group>L1_Word</group>
      <groupName>字词问题</groupName>
      <ability>L2_Typo</ability>
      <abilityName>字词错误</abilityName>
      <candidateList>
        <item>进入</item>
      </candidateList>
      <explain/>
      <paraID>43D8F4CB</paraID>
      <start>37</start>
      <end>39</end>
      <status>unmodified</status>
      <modifiedWord/>
      <trackRevisions>false</trackRevisions>
    </reviewItem>
    <reviewItem>
      <errorID>d5f74958-9746-4eb0-9925-295d3c572604</errorID>
      <errorWord>应</errorWord>
      <group>L1_Word</group>
      <groupName>字词问题</groupName>
      <ability>L2_Typo</ability>
      <abilityName>字词错误</abilityName>
      <candidateList>
        <item>应在</item>
      </candidateList>
      <explain/>
      <paraID>4CCA842D</paraID>
      <start>31</start>
      <end>32</end>
      <status>unmodified</status>
      <modifiedWord/>
      <trackRevisions>false</trackRevisions>
    </reviewItem>
    <reviewItem>
      <errorID>d5156475-c58a-41d8-8dd8-b1579e2669e1</errorID>
      <errorWord>（</errorWord>
      <group>L1_Punc</group>
      <groupName>标点问题</groupName>
      <ability>L2_Punc_CN</ability>
      <abilityName>标点符号问题</abilityName>
      <candidateList/>
      <explain>同一形式括号套用。</explain>
      <paraID>63BDA29F</paraID>
      <start>74</start>
      <end>75</end>
      <status>unmodified</status>
      <modifiedWord/>
      <trackRevisions>false</trackRevisions>
    </reviewItem>
    <reviewItem>
      <errorID>71303add-b3a2-489d-8c32-62315f730d3e</errorID>
      <errorWord>）</errorWord>
      <group>L1_Punc</group>
      <groupName>标点问题</groupName>
      <ability>L2_Punc_CN</ability>
      <abilityName>标点符号问题</abilityName>
      <candidateList/>
      <explain>同一形式括号套用。</explain>
      <paraID>63BDA29F</paraID>
      <start>81</start>
      <end>82</end>
      <status>unmodified</status>
      <modifiedWord/>
      <trackRevisions>false</trackRevisions>
    </reviewItem>
    <reviewItem>
      <errorID>e83748fb-c737-4df1-aa6b-84483bef6abe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4853FBCD</paraID>
      <start>0</start>
      <end>3</end>
      <status>unmodified</status>
      <modifiedWord/>
      <trackRevisions>false</trackRevisions>
    </reviewItem>
    <reviewItem>
      <errorID>de226b86-b6e1-4fec-a0e3-b8c85ab995e6</errorID>
      <errorWord>（</errorWord>
      <group>L1_Format</group>
      <groupName>格式问题</groupName>
      <ability>L2_HalfPunc_CN</ability>
      <abilityName>全半角问题</abilityName>
      <candidateList>
        <item>(</item>
      </candidateList>
      <explain>文本全半角错误。</explain>
      <paraID>1A2FE589</paraID>
      <start>0</start>
      <end>1</end>
      <status>unmodified</status>
      <modifiedWord/>
      <trackRevisions>false</trackRevisions>
    </reviewItem>
    <reviewItem>
      <errorID>efad6796-2715-49d4-8d34-7ae245e59cfb</errorID>
      <errorWord>）</errorWord>
      <group>L1_Format</group>
      <groupName>格式问题</groupName>
      <ability>L2_HalfPunc_CN</ability>
      <abilityName>全半角问题</abilityName>
      <candidateList>
        <item>)</item>
      </candidateList>
      <explain>文本全半角错误。</explain>
      <paraID>1A2FE589</paraID>
      <start>2</start>
      <end>3</end>
      <status>unmodified</status>
      <modifiedWord/>
      <trackRevisions>false</trackRevisions>
    </reviewItem>
    <reviewItem>
      <errorID>3a451ef0-af30-4a91-a289-cdbc0ca99cde</errorID>
      <errorWord>（</errorWord>
      <group>L1_Format</group>
      <groupName>格式问题</groupName>
      <ability>L2_HalfPunc_CN</ability>
      <abilityName>全半角问题</abilityName>
      <candidateList>
        <item>(</item>
      </candidateList>
      <explain>文本全半角错误。</explain>
      <paraID>3F919582</paraID>
      <start>0</start>
      <end>1</end>
      <status>unmodified</status>
      <modifiedWord/>
      <trackRevisions>false</trackRevisions>
    </reviewItem>
    <reviewItem>
      <errorID>fe479a2c-3c9b-47fc-8979-08cf679ef17a</errorID>
      <errorWord>）</errorWord>
      <group>L1_Format</group>
      <groupName>格式问题</groupName>
      <ability>L2_HalfPunc_CN</ability>
      <abilityName>全半角问题</abilityName>
      <candidateList>
        <item>)</item>
      </candidateList>
      <explain>文本全半角错误。</explain>
      <paraID>3F919582</paraID>
      <start>2</start>
      <end>3</end>
      <status>unmodified</status>
      <modifiedWord/>
      <trackRevisions>false</trackRevisions>
    </reviewItem>
    <reviewItem>
      <errorID>e3947a85-edda-44aa-8193-b89db433a172</errorID>
      <errorWord>（</errorWord>
      <group>L1_Format</group>
      <groupName>格式问题</groupName>
      <ability>L2_HalfPunc_CN</ability>
      <abilityName>全半角问题</abilityName>
      <candidateList>
        <item>(</item>
      </candidateList>
      <explain>文本全半角错误。</explain>
      <paraID>655EBB65</paraID>
      <start>0</start>
      <end>1</end>
      <status>unmodified</status>
      <modifiedWord/>
      <trackRevisions>false</trackRevisions>
    </reviewItem>
    <reviewItem>
      <errorID>3091135b-269e-4464-bd28-6e3da83152f6</errorID>
      <errorWord>）</errorWord>
      <group>L1_Format</group>
      <groupName>格式问题</groupName>
      <ability>L2_HalfPunc_CN</ability>
      <abilityName>全半角问题</abilityName>
      <candidateList>
        <item>)</item>
      </candidateList>
      <explain>文本全半角错误。</explain>
      <paraID>655EBB65</paraID>
      <start>2</start>
      <end>3</end>
      <status>unmodified</status>
      <modifiedWord/>
      <trackRevisions>false</trackRevisions>
    </reviewItem>
    <reviewItem>
      <errorID>ce320f2a-e18c-4225-b358-d29555fe851e</errorID>
      <errorWord>（</errorWord>
      <group>L1_Format</group>
      <groupName>格式问题</groupName>
      <ability>L2_HalfPunc_CN</ability>
      <abilityName>全半角问题</abilityName>
      <candidateList>
        <item>(</item>
      </candidateList>
      <explain>文本全半角错误。</explain>
      <paraID>7D8E2952</paraID>
      <start>0</start>
      <end>1</end>
      <status>unmodified</status>
      <modifiedWord/>
      <trackRevisions>false</trackRevisions>
    </reviewItem>
    <reviewItem>
      <errorID>2909b529-695d-4b38-a7ec-baf3239b3420</errorID>
      <errorWord>）</errorWord>
      <group>L1_Format</group>
      <groupName>格式问题</groupName>
      <ability>L2_HalfPunc_CN</ability>
      <abilityName>全半角问题</abilityName>
      <candidateList>
        <item>)</item>
      </candidateList>
      <explain>文本全半角错误。</explain>
      <paraID>7D8E2952</paraID>
      <start>2</start>
      <end>3</end>
      <status>unmodified</status>
      <modifiedWord/>
      <trackRevisions>false</trackRevisions>
    </reviewItem>
    <reviewItem>
      <errorID>7b9be9b1-6e23-49f2-ae40-a2c3e0be33b8</errorID>
      <errorWord>或</errorWord>
      <group>L1_Word</group>
      <groupName>字词问题</groupName>
      <ability>L2_Typo</ability>
      <abilityName>字词错误</abilityName>
      <candidateList>
        <item>或以</item>
      </candidateList>
      <explain/>
      <paraID>63C75684</paraID>
      <start>159</start>
      <end>160</end>
      <status>unmodified</status>
      <modifiedWord/>
      <trackRevisions>false</trackRevisions>
    </reviewItem>
    <reviewItem>
      <errorID>07f73bad-ef2c-4228-981b-8644772095b5</errorID>
      <errorWord>款</errorWord>
      <group>L1_Word</group>
      <groupName>字词问题</groupName>
      <ability>L2_Typo</ability>
      <abilityName>字词错误</abilityName>
      <candidateList>
        <item>款和</item>
      </candidateList>
      <explain/>
      <paraID>249EDDAE</paraID>
      <start>36</start>
      <end>37</end>
      <status>unmodified</status>
      <modifiedWord/>
      <trackRevisions>false</trackRevisions>
    </reviewItem>
    <reviewItem>
      <errorID>870c0b28-03cd-49cc-bf76-b409deb7fd2f</errorID>
      <errorWord>人</errorWord>
      <group>L1_Word</group>
      <groupName>字词问题</groupName>
      <ability>L2_Typo</ability>
      <abilityName>字词错误</abilityName>
      <candidateList>
        <item>人在</item>
      </candidateList>
      <explain/>
      <paraID>3A68DEB8</paraID>
      <start>21</start>
      <end>22</end>
      <status>unmodified</status>
      <modifiedWord/>
      <trackRevisions>false</trackRevisions>
    </reviewItem>
    <reviewItem>
      <errorID>55695a6c-d644-4666-89a2-10a85d85fa8d</errorID>
      <errorWord>报送的</errorWord>
      <group>L1_Word</group>
      <groupName>字词问题</groupName>
      <ability>L2_Typo</ability>
      <abilityName>字词错误</abilityName>
      <candidateList>
        <item>报送</item>
      </candidateList>
      <explain/>
      <paraID>429EB62F</paraID>
      <start>21</start>
      <end>24</end>
      <status>unmodified</status>
      <modifiedWord/>
      <trackRevisions>false</trackRevisions>
    </reviewItem>
    <reviewItem>
      <errorID>fad909b9-c6b7-41a5-9b54-6928e2e3d7c4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118002D5</paraID>
      <start>10</start>
      <end>11</end>
      <status>unmodified</status>
      <modifiedWord/>
      <trackRevisions>false</trackRevisions>
    </reviewItem>
    <reviewItem>
      <errorID>d5beddb0-29cf-4cdb-9cfb-fdf52edba884</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207B53ED</paraID>
      <start>22</start>
      <end>25</end>
      <status>unmodified</status>
      <modifiedWord/>
      <trackRevisions>false</trackRevisions>
    </reviewItem>
    <reviewItem>
      <errorID>2883a636-40b2-4a0f-98b7-d08471049164</errorID>
      <errorWord>等的</errorWord>
      <group>L1_Word</group>
      <groupName>字词问题</groupName>
      <ability>L2_Typo</ability>
      <abilityName>字词错误</abilityName>
      <candidateList>
        <item>等</item>
      </candidateList>
      <explain/>
      <paraID>265E9AE2</paraID>
      <start>36</start>
      <end>38</end>
      <status>unmodified</status>
      <modifiedWord/>
      <trackRevisions>false</trackRevisions>
    </reviewItem>
    <reviewItem>
      <errorID>f1ef4d03-3897-4e4d-bcab-a9aba60c5c57</errorID>
      <errorWord>等的</errorWord>
      <group>L1_Word</group>
      <groupName>字词问题</groupName>
      <ability>L2_Typo</ability>
      <abilityName>字词错误</abilityName>
      <candidateList>
        <item>等</item>
      </candidateList>
      <explain/>
      <paraID>2D41E769</paraID>
      <start>16</start>
      <end>18</end>
      <status>unmodified</status>
      <modifiedWord/>
      <trackRevisions>false</trackRevisions>
    </reviewItem>
    <reviewItem>
      <errorID>7769945f-5f10-40de-8be7-4e61b18b64df</errorID>
      <errorWord>。</errorWord>
      <group>L1_Punc</group>
      <groupName>标点问题</groupName>
      <ability>L2_Punc_CN</ability>
      <abilityName>标点符号问题</abilityName>
      <candidateList/>
      <explain/>
      <paraID>6CAA44F9</paraID>
      <start>156</start>
      <end>157</end>
      <status>unmodified</status>
      <modifiedWord/>
      <trackRevisions>false</trackRevisions>
    </reviewItem>
    <reviewItem>
      <errorID>4a6ef67a-885c-4e63-a19a-d003470e6dba</errorID>
      <errorWord>，</errorWord>
      <group>L1_Word</group>
      <groupName>字词问题</groupName>
      <ability>L2_Typo</ability>
      <abilityName>字词错误</abilityName>
      <candidateList>
        <item>，由</item>
      </candidateList>
      <explain/>
      <paraID>240D3350</paraID>
      <start>92</start>
      <end>93</end>
      <status>unmodified</status>
      <modifiedWord/>
      <trackRevisions>false</trackRevisions>
    </reviewItem>
    <reviewItem>
      <errorID>1a1c709d-918c-43b8-beed-1614e65c099a</errorID>
      <errorWord>。</errorWord>
      <group>L1_Punc</group>
      <groupName>标点问题</groupName>
      <ability>L2_Punc_CN</ability>
      <abilityName>标点符号问题</abilityName>
      <candidateList/>
      <explain/>
      <paraID>2DD58752</paraID>
      <start>157</start>
      <end>158</end>
      <status>unmodified</status>
      <modifiedWord/>
      <trackRevisions>false</trackRevisions>
    </reviewItem>
    <reviewItem>
      <errorID>53d62acf-3f0e-4435-a17b-e73248024b78</errorID>
      <errorWord>。</errorWord>
      <group>L1_Punc</group>
      <groupName>标点问题</groupName>
      <ability>L2_Punc_CN</ability>
      <abilityName>标点符号问题</abilityName>
      <candidateList/>
      <explain/>
      <paraID>11CF613D</paraID>
      <start>158</start>
      <end>159</end>
      <status>unmodified</status>
      <modifiedWord/>
      <trackRevisions>false</trackRevisions>
    </reviewItem>
    <reviewItem>
      <errorID>985b625d-eda8-4667-be04-0d8910633741</errorID>
      <errorWord>。</errorWord>
      <group>L1_Punc</group>
      <groupName>标点问题</groupName>
      <ability>L2_Punc_CN</ability>
      <abilityName>标点符号问题</abilityName>
      <candidateList/>
      <explain/>
      <paraID>4C0ED90D</paraID>
      <start>158</start>
      <end>159</end>
      <status>unmodified</status>
      <modifiedWord/>
      <trackRevisions>false</trackRevisions>
    </reviewItem>
    <reviewItem>
      <errorID>ccd998ff-b62f-4039-8c47-fa328f67fa49</errorID>
      <errorWord>，</errorWord>
      <group>L1_Word</group>
      <groupName>字词问题</groupName>
      <ability>L2_Typo</ability>
      <abilityName>字词错误</abilityName>
      <candidateList>
        <item>，由</item>
      </candidateList>
      <explain/>
      <paraID>7DF9E2A9</paraID>
      <start>92</start>
      <end>93</end>
      <status>unmodified</status>
      <modifiedWord/>
      <trackRevisions>false</trackRevisions>
    </reviewItem>
    <reviewItem>
      <errorID>221b2215-a0f3-41eb-aac8-2543e2689d8f</errorID>
      <errorWord>。</errorWord>
      <group>L1_Punc</group>
      <groupName>标点问题</groupName>
      <ability>L2_Punc_CN</ability>
      <abilityName>标点符号问题</abilityName>
      <candidateList/>
      <explain/>
      <paraID>66C23140</paraID>
      <start>79</start>
      <end>80</end>
      <status>unmodified</status>
      <modifiedWord/>
      <trackRevisions>false</trackRevisions>
    </reviewItem>
    <reviewItem>
      <errorID>8ed43f8b-c2d0-4138-bbfa-8524a3465d6a</errorID>
      <errorWord>承担的</errorWord>
      <group>L1_Word</group>
      <groupName>字词问题</groupName>
      <ability>L2_Typo</ability>
      <abilityName>字词错误</abilityName>
      <candidateList>
        <item>承担</item>
      </candidateList>
      <explain/>
      <paraID>16279C81</paraID>
      <start>33</start>
      <end>36</end>
      <status>unmodified</status>
      <modifiedWord/>
      <trackRevisions>false</trackRevisions>
    </reviewItem>
    <reviewItem>
      <errorID>9086bf04-e8b9-4e36-8bda-d74f3ebab72d</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667D99CD</paraID>
      <start>23</start>
      <end>28</end>
      <status>unmodified</status>
      <modifiedWord/>
      <trackRevisions>false</trackRevisions>
    </reviewItem>
    <reviewItem>
      <errorID>be49fbeb-cafd-4847-abfb-f87a9db8b595</errorID>
      <errorWord>承担的</errorWord>
      <group>L1_Word</group>
      <groupName>字词问题</groupName>
      <ability>L2_Typo</ability>
      <abilityName>字词错误</abilityName>
      <candidateList>
        <item>承担</item>
      </candidateList>
      <explain/>
      <paraID>507FF27A</paraID>
      <start>42</start>
      <end>45</end>
      <status>unmodified</status>
      <modifiedWord/>
      <trackRevisions>false</trackRevisions>
    </reviewItem>
    <reviewItem>
      <errorID>20a05c13-07c7-42bc-a50d-75e3586c75ea</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547006DC</paraID>
      <start>23</start>
      <end>28</end>
      <status>unmodified</status>
      <modifiedWord/>
      <trackRevisions>false</trackRevisions>
    </reviewItem>
    <reviewItem>
      <errorID>d33e336a-35f0-4287-8440-65aab16678db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4F99B922</paraID>
      <start>114</start>
      <end>115</end>
      <status>unmodified</status>
      <modifiedWord/>
      <trackRevisions>false</trackRevisions>
    </reviewItem>
    <reviewItem>
      <errorID>9fd1e278-a317-4d33-9dcd-31e1480c7d18</errorID>
      <errorWord>承担的</errorWord>
      <group>L1_Word</group>
      <groupName>字词问题</groupName>
      <ability>L2_Typo</ability>
      <abilityName>字词错误</abilityName>
      <candidateList>
        <item>承担</item>
      </candidateList>
      <explain/>
      <paraID>1B93F845</paraID>
      <start>36</start>
      <end>39</end>
      <status>unmodified</status>
      <modifiedWord/>
      <trackRevisions>false</trackRevisions>
    </reviewItem>
    <reviewItem>
      <errorID>b22097b9-d303-4f4c-9031-20a591955ff7</errorID>
      <errorWord>承担的</errorWord>
      <group>L1_Word</group>
      <groupName>字词问题</groupName>
      <ability>L2_Typo</ability>
      <abilityName>字词错误</abilityName>
      <candidateList>
        <item>承担</item>
      </candidateList>
      <explain/>
      <paraID>2F45FF59</paraID>
      <start>34</start>
      <end>37</end>
      <status>unmodified</status>
      <modifiedWord/>
      <trackRevisions>false</trackRevisions>
    </reviewItem>
    <reviewItem>
      <errorID>743cc1ef-6cfd-4881-9ddc-6d5ff50f5739</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359A917C</paraID>
      <start>23</start>
      <end>28</end>
      <status>unmodified</status>
      <modifiedWord/>
      <trackRevisions>false</trackRevisions>
    </reviewItem>
    <reviewItem>
      <errorID>b0b1cc34-1cb0-484b-81a8-809a4b4fc152</errorID>
      <errorWord>的</errorWord>
      <group>L1_Word</group>
      <groupName>字词问题</groupName>
      <ability>L2_DDD</ability>
      <abilityName>的地得用法</abilityName>
      <candidateList>
        <item>地</item>
      </candidateList>
      <explain/>
      <paraID>173BC9C3</paraID>
      <start>168</start>
      <end>169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e38eef-f6e3-4b67-ae18-a83c28cbbe53}">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134</Pages>
  <Words>78</Words>
  <Characters>122</Characters>
  <TotalTime>110</TotalTime>
  <ScaleCrop>false</ScaleCrop>
  <LinksUpToDate>false</LinksUpToDate>
  <CharactersWithSpaces>130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2017-11-03T00:55:00Z</dcterms:created>
  <dc:creator>聂泉源</dc:creator>
  <cp:lastModifiedBy>招标代理机构</cp:lastModifiedBy>
  <dcterms:modified xsi:type="dcterms:W3CDTF">2026-09-19T05:50:24Z</dcterms:modified>
  <dc:title>3</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CD088F9D3DF94E5586BE95EC1FCE9973_13</vt:lpwstr>
  </property>
  <property fmtid="{D5CDD505-2E9C-101B-9397-08002B2CF9AE}" pid="4" name="KSOTemplateDocerSaveRecord">
    <vt:lpwstr>eyJoZGlkIjoiNzY1YjRjOGI0YzRkYjg2YTc5MGQ5Zjc5MTRjZTNmYjIiLCJ1c2VySWQiOiIzNjQ5MTc2OTQifQ==</vt:lpwstr>
  </property>
</Properties>
</file>