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1A14B">
      <w:pPr>
        <w:spacing w:line="720" w:lineRule="auto"/>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采购项目技术规格、参数及要求</w:t>
      </w:r>
    </w:p>
    <w:p w14:paraId="00037997">
      <w:pPr>
        <w:tabs>
          <w:tab w:val="left" w:pos="180"/>
          <w:tab w:val="left" w:pos="1620"/>
        </w:tabs>
        <w:spacing w:line="276" w:lineRule="auto"/>
        <w:ind w:firstLine="420" w:firstLineChars="200"/>
        <w:rPr>
          <w:rFonts w:hint="eastAsia" w:ascii="宋体" w:hAnsi="宋体" w:eastAsia="宋体" w:cs="Times New Roman"/>
          <w:color w:val="auto"/>
          <w:szCs w:val="21"/>
          <w:highlight w:val="none"/>
          <w:u w:val="single"/>
          <w:lang w:eastAsia="zh-CN"/>
        </w:rPr>
      </w:pPr>
      <w:r>
        <w:rPr>
          <w:rFonts w:hint="eastAsia" w:ascii="宋体" w:hAnsi="宋体" w:eastAsia="宋体" w:cs="Times New Roman"/>
          <w:color w:val="auto"/>
          <w:szCs w:val="21"/>
          <w:highlight w:val="none"/>
        </w:rPr>
        <w:t>一、采购项目编号：</w:t>
      </w:r>
      <w:r>
        <w:rPr>
          <w:rFonts w:hint="eastAsia" w:ascii="宋体" w:hAnsi="宋体" w:eastAsia="宋体" w:cs="Times New Roman"/>
          <w:color w:val="auto"/>
          <w:szCs w:val="21"/>
          <w:highlight w:val="none"/>
          <w:u w:val="single"/>
          <w:lang w:eastAsia="zh-CN"/>
        </w:rPr>
        <w:t>GXZC2026-J1-002901-GLZB</w:t>
      </w:r>
    </w:p>
    <w:p w14:paraId="37947FF9">
      <w:pPr>
        <w:tabs>
          <w:tab w:val="left" w:pos="180"/>
          <w:tab w:val="left" w:pos="1620"/>
        </w:tabs>
        <w:spacing w:line="276" w:lineRule="auto"/>
        <w:ind w:firstLine="420" w:firstLineChars="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二、采购项目类别：</w:t>
      </w:r>
      <w:r>
        <w:rPr>
          <w:rFonts w:hint="eastAsia" w:ascii="宋体" w:hAnsi="宋体" w:eastAsia="宋体" w:cs="Times New Roman"/>
          <w:color w:val="auto"/>
          <w:szCs w:val="21"/>
          <w:highlight w:val="none"/>
          <w:u w:val="single"/>
        </w:rPr>
        <w:t xml:space="preserve">  货物类  </w:t>
      </w:r>
    </w:p>
    <w:p w14:paraId="7640234B">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三、采购需求一览表</w:t>
      </w:r>
    </w:p>
    <w:p w14:paraId="484602D5">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说明：</w:t>
      </w:r>
    </w:p>
    <w:p w14:paraId="3FA33D24">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为落实政府采购政策需满足的要求</w:t>
      </w:r>
    </w:p>
    <w:p w14:paraId="6C59BBF8">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（1）本采购文件所称中小企业必须符合《政府采购促进中小企业发展管理办法》（财库〔2020〕46号）的规定。</w:t>
      </w:r>
    </w:p>
    <w:p w14:paraId="0D3006D1">
      <w:pPr>
        <w:tabs>
          <w:tab w:val="left" w:pos="180"/>
          <w:tab w:val="left" w:pos="1620"/>
        </w:tabs>
        <w:spacing w:line="276" w:lineRule="auto"/>
        <w:ind w:firstLine="420" w:firstLineChars="200"/>
        <w:rPr>
          <w:rFonts w:hint="eastAsia" w:ascii="宋体" w:hAnsi="宋体" w:eastAsia="宋体" w:cs="Times New Roman"/>
          <w:b w:val="0"/>
          <w:bCs w:val="0"/>
          <w:color w:val="auto"/>
          <w:szCs w:val="21"/>
          <w:highlight w:val="none"/>
        </w:rPr>
      </w:pPr>
      <w:r>
        <w:rPr>
          <w:rFonts w:hint="eastAsia" w:ascii="宋体" w:hAnsi="宋体" w:eastAsia="宋体" w:cs="Times New Roman"/>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竞标人的竞标货物必须使用政府强制采购的节能产品，竞标人必须在竞标文件（商务及技术文件）中提供所竞标产品的节能产品认证证书复印件（加盖竞标人电子签章），否则按无效竞标处理。如本项目包含的货物属于品目清单内非标注“★”的产品时，应优先采购，具体详见“第四章 评标方法及评标标准”。</w:t>
      </w:r>
      <w:r>
        <w:rPr>
          <w:rFonts w:hint="eastAsia" w:ascii="宋体" w:hAnsi="宋体" w:eastAsia="宋体" w:cs="Times New Roman"/>
          <w:b w:val="0"/>
          <w:bCs w:val="0"/>
          <w:color w:val="auto"/>
          <w:szCs w:val="21"/>
          <w:highlight w:val="none"/>
        </w:rPr>
        <w:t>根据财库〔2019〕9号及财库〔2019〕19号文件规定，若采购货物属于以上品目清单的产品时，竞标人的竞标货物必须使用政府强制采购的节能产品，竞标人必须在竞标文件中提供由国家确定的认证机构出具的处于有效期之内的节能产品认证证书复印件（加盖竞标人公章），否则相应竞标无效。</w:t>
      </w:r>
    </w:p>
    <w:p w14:paraId="66581DE5">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本国产品标准适用于货物，包括政府采购货物项目和服务项目中涉及的货物。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A7D8F87">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根据《关于调整网络安全专用产品安全管理有关事项的公告》（2023第1号）规定，本项目采购需求中的产品如果包括《网络关键设备和网络安全专用产品目录》的网络安全专用产品，供应商在竞标文件中应主动列明供货范围中属于网络安全专用产品的竞标产品，并在竞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竞标处理。如属于《网络关键设备和网络安全专用产品目录》中“二、网络安全专用产品”内“产品类别”中的所描述的产品，但不属于所列“产品描述”情形的，应提供相应的说明及证明材料。</w:t>
      </w:r>
    </w:p>
    <w:p w14:paraId="412BE565">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2.“实质性要求”是指采购文件中已经指明不满足则竞标无效的条款，或者不能负偏离的条款，或者采购需求中带“▲”的条款。未标注“▲”的参数或条款发生负偏离或不响应达项（含）3项以上的，响应无效。</w:t>
      </w:r>
    </w:p>
    <w:p w14:paraId="760AD58C">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采购需求中出现的品牌、型号或者生产厂家仅起参考作用，不属于指定品牌、型号或者生产厂家的情形。竞标人可参照或者选用其他相当的品牌、型号或者生产厂家替代，但选用的竞标产品参数性能必须满足实质性要求。</w:t>
      </w:r>
    </w:p>
    <w:p w14:paraId="2F84D614">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 竞标人应根据自身实际情况如实响应采购文件，对采购文件提出的要求和条件作出明确响应，否则将作无效响应处理。对于重要技术条款或技术参数应当在竞标文件中提供技术支持资料，技术支持资料以采购文件中规定的形式为准，否则将视为无效技术支持资料。</w:t>
      </w:r>
    </w:p>
    <w:p w14:paraId="507729E5">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5.竞标人必须自行为其竞标产品侵犯他人的知识产权或者专利成果的行为承担相应法律责任。</w:t>
      </w:r>
    </w:p>
    <w:p w14:paraId="119EE1E9">
      <w:pPr>
        <w:tabs>
          <w:tab w:val="left" w:pos="180"/>
          <w:tab w:val="left" w:pos="1620"/>
        </w:tabs>
        <w:spacing w:line="276" w:lineRule="auto"/>
        <w:ind w:firstLine="420" w:firstLineChars="200"/>
        <w:rPr>
          <w:rFonts w:hint="eastAsia" w:ascii="宋体" w:hAnsi="宋体" w:eastAsia="宋体" w:cs="Times New Roman"/>
          <w:color w:val="auto"/>
          <w:szCs w:val="21"/>
          <w:highlight w:val="none"/>
        </w:rPr>
      </w:pPr>
    </w:p>
    <w:p w14:paraId="583B30F9">
      <w:pPr>
        <w:tabs>
          <w:tab w:val="left" w:pos="180"/>
          <w:tab w:val="left" w:pos="1620"/>
        </w:tabs>
        <w:spacing w:line="276"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本项目采购预算</w:t>
      </w:r>
      <w:r>
        <w:rPr>
          <w:rFonts w:hint="eastAsia" w:ascii="宋体" w:hAnsi="宋体" w:eastAsia="宋体" w:cs="Times New Roman"/>
          <w:b/>
          <w:bCs/>
          <w:color w:val="auto"/>
          <w:szCs w:val="21"/>
          <w:highlight w:val="none"/>
          <w:lang w:val="en-US" w:eastAsia="zh-CN"/>
        </w:rPr>
        <w:t>109.2</w:t>
      </w:r>
      <w:r>
        <w:rPr>
          <w:rFonts w:hint="eastAsia" w:ascii="宋体" w:hAnsi="宋体" w:eastAsia="宋体" w:cs="Times New Roman"/>
          <w:b/>
          <w:bCs/>
          <w:color w:val="auto"/>
          <w:szCs w:val="21"/>
          <w:highlight w:val="none"/>
        </w:rPr>
        <w:t>万元</w:t>
      </w:r>
    </w:p>
    <w:tbl>
      <w:tblPr>
        <w:tblStyle w:val="7"/>
        <w:tblW w:w="98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994"/>
        <w:gridCol w:w="675"/>
        <w:gridCol w:w="469"/>
        <w:gridCol w:w="6010"/>
        <w:gridCol w:w="1217"/>
      </w:tblGrid>
      <w:tr w14:paraId="0836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dxa"/>
            <w:noWrap w:val="0"/>
            <w:vAlign w:val="center"/>
          </w:tcPr>
          <w:p w14:paraId="4042EBA0">
            <w:pPr>
              <w:tabs>
                <w:tab w:val="left" w:pos="180"/>
                <w:tab w:val="left" w:pos="1620"/>
              </w:tabs>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994" w:type="dxa"/>
            <w:noWrap w:val="0"/>
            <w:vAlign w:val="center"/>
          </w:tcPr>
          <w:p w14:paraId="34C14400">
            <w:pPr>
              <w:tabs>
                <w:tab w:val="left" w:pos="180"/>
                <w:tab w:val="left" w:pos="1620"/>
              </w:tabs>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货物名称</w:t>
            </w:r>
          </w:p>
        </w:tc>
        <w:tc>
          <w:tcPr>
            <w:tcW w:w="675" w:type="dxa"/>
            <w:noWrap w:val="0"/>
            <w:vAlign w:val="center"/>
          </w:tcPr>
          <w:p w14:paraId="29235CAA">
            <w:pPr>
              <w:tabs>
                <w:tab w:val="left" w:pos="180"/>
                <w:tab w:val="left" w:pos="1620"/>
              </w:tabs>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单位</w:t>
            </w:r>
          </w:p>
        </w:tc>
        <w:tc>
          <w:tcPr>
            <w:tcW w:w="469" w:type="dxa"/>
            <w:noWrap w:val="0"/>
            <w:vAlign w:val="center"/>
          </w:tcPr>
          <w:p w14:paraId="28173B60">
            <w:pPr>
              <w:tabs>
                <w:tab w:val="left" w:pos="180"/>
                <w:tab w:val="left" w:pos="1620"/>
              </w:tabs>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数量</w:t>
            </w:r>
          </w:p>
        </w:tc>
        <w:tc>
          <w:tcPr>
            <w:tcW w:w="6010" w:type="dxa"/>
            <w:noWrap w:val="0"/>
            <w:vAlign w:val="center"/>
          </w:tcPr>
          <w:p w14:paraId="0645B767">
            <w:pPr>
              <w:tabs>
                <w:tab w:val="left" w:pos="180"/>
                <w:tab w:val="left" w:pos="1620"/>
              </w:tabs>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技术参数及性能配置要求</w:t>
            </w:r>
          </w:p>
        </w:tc>
        <w:tc>
          <w:tcPr>
            <w:tcW w:w="1217" w:type="dxa"/>
            <w:noWrap w:val="0"/>
            <w:vAlign w:val="center"/>
          </w:tcPr>
          <w:p w14:paraId="4382B321">
            <w:pPr>
              <w:tabs>
                <w:tab w:val="left" w:pos="180"/>
                <w:tab w:val="left" w:pos="1620"/>
              </w:tabs>
              <w:spacing w:line="400" w:lineRule="exact"/>
              <w:jc w:val="center"/>
              <w:rPr>
                <w:rFonts w:hint="eastAsia" w:ascii="宋体" w:hAnsi="宋体" w:cs="宋体"/>
                <w:b/>
                <w:bCs/>
                <w:color w:val="auto"/>
                <w:szCs w:val="21"/>
                <w:highlight w:val="none"/>
              </w:rPr>
            </w:pPr>
            <w:r>
              <w:rPr>
                <w:rFonts w:hint="eastAsia" w:ascii="宋体" w:hAnsi="宋体"/>
                <w:b/>
                <w:bCs/>
                <w:color w:val="auto"/>
                <w:szCs w:val="21"/>
                <w:highlight w:val="none"/>
              </w:rPr>
              <w:t>采购标的对应的中小企业划分标准所属行业</w:t>
            </w:r>
          </w:p>
        </w:tc>
      </w:tr>
      <w:tr w14:paraId="5C98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dxa"/>
            <w:shd w:val="clear" w:color="auto" w:fill="auto"/>
            <w:noWrap w:val="0"/>
            <w:vAlign w:val="center"/>
          </w:tcPr>
          <w:p w14:paraId="48B7D794">
            <w:pPr>
              <w:spacing w:line="400" w:lineRule="exac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1</w:t>
            </w:r>
          </w:p>
        </w:tc>
        <w:tc>
          <w:tcPr>
            <w:tcW w:w="994" w:type="dxa"/>
            <w:shd w:val="clear" w:color="auto" w:fill="auto"/>
            <w:noWrap w:val="0"/>
            <w:vAlign w:val="center"/>
          </w:tcPr>
          <w:p w14:paraId="37F9D87F">
            <w:pPr>
              <w:spacing w:line="40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Times New Roman"/>
                <w:color w:val="auto"/>
                <w:sz w:val="21"/>
                <w:szCs w:val="21"/>
                <w:highlight w:val="none"/>
                <w:lang w:val="en-US" w:eastAsia="zh-CN"/>
              </w:rPr>
              <w:t>PLC实训装置</w:t>
            </w:r>
          </w:p>
        </w:tc>
        <w:tc>
          <w:tcPr>
            <w:tcW w:w="675" w:type="dxa"/>
            <w:shd w:val="clear" w:color="auto" w:fill="auto"/>
            <w:noWrap w:val="0"/>
            <w:vAlign w:val="center"/>
          </w:tcPr>
          <w:p w14:paraId="7B589208">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bidi="ar"/>
              </w:rPr>
              <w:t>套</w:t>
            </w:r>
          </w:p>
        </w:tc>
        <w:tc>
          <w:tcPr>
            <w:tcW w:w="469" w:type="dxa"/>
            <w:shd w:val="clear" w:color="auto" w:fill="auto"/>
            <w:noWrap w:val="0"/>
            <w:vAlign w:val="center"/>
          </w:tcPr>
          <w:p w14:paraId="065DB3E4">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Times New Roman"/>
                <w:color w:val="auto"/>
                <w:sz w:val="21"/>
                <w:szCs w:val="21"/>
                <w:highlight w:val="none"/>
                <w:lang w:val="en-US" w:eastAsia="zh-CN"/>
              </w:rPr>
              <w:t>21</w:t>
            </w:r>
          </w:p>
        </w:tc>
        <w:tc>
          <w:tcPr>
            <w:tcW w:w="6010" w:type="dxa"/>
            <w:noWrap w:val="0"/>
            <w:vAlign w:val="center"/>
          </w:tcPr>
          <w:p w14:paraId="5D16C5A4">
            <w:pPr>
              <w:keepNext w:val="0"/>
              <w:keepLines w:val="0"/>
              <w:pageBreakBefore w:val="0"/>
              <w:widowControl/>
              <w:suppressLineNumbers w:val="0"/>
              <w:kinsoku/>
              <w:wordWrap/>
              <w:overflowPunct/>
              <w:topLinePunct w:val="0"/>
              <w:autoSpaceDE/>
              <w:autoSpaceDN/>
              <w:bidi w:val="0"/>
              <w:adjustRightInd/>
              <w:snapToGrid/>
              <w:spacing w:before="340" w:beforeAutospacing="0" w:after="330" w:afterAutospacing="0" w:line="360" w:lineRule="exact"/>
              <w:ind w:left="0" w:right="0"/>
              <w:jc w:val="left"/>
              <w:textAlignment w:val="auto"/>
              <w:outlineLvl w:val="0"/>
              <w:rPr>
                <w:rFonts w:ascii="Times New Roman" w:hAnsi="Times New Roman" w:eastAsia="宋体" w:cs="Times New Roman"/>
                <w:b/>
                <w:bCs/>
                <w:color w:val="auto"/>
                <w:kern w:val="44"/>
                <w:sz w:val="21"/>
                <w:szCs w:val="21"/>
                <w:highlight w:val="none"/>
                <w:lang w:val="en-US" w:eastAsia="zh-CN" w:bidi="ar-SA"/>
              </w:rPr>
            </w:pPr>
            <w:r>
              <w:rPr>
                <w:rFonts w:ascii="Times New Roman" w:hAnsi="Times New Roman" w:eastAsia="宋体" w:cs="Times New Roman"/>
                <w:b/>
                <w:bCs/>
                <w:color w:val="auto"/>
                <w:kern w:val="44"/>
                <w:sz w:val="21"/>
                <w:szCs w:val="21"/>
                <w:highlight w:val="none"/>
                <w:lang w:val="en-US" w:eastAsia="zh-CN" w:bidi="ar-SA"/>
              </w:rPr>
              <w:t>一、项目总体建设要求</w:t>
            </w:r>
          </w:p>
          <w:p w14:paraId="298114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default" w:eastAsia="宋体"/>
                <w:color w:val="auto"/>
                <w:sz w:val="21"/>
                <w:szCs w:val="21"/>
                <w:highlight w:val="none"/>
              </w:rPr>
            </w:pPr>
            <w:r>
              <w:rPr>
                <w:rFonts w:hint="default" w:ascii="宋体" w:hAnsi="宋体" w:eastAsia="宋体" w:cs="宋体"/>
                <w:color w:val="auto"/>
                <w:kern w:val="0"/>
                <w:sz w:val="21"/>
                <w:szCs w:val="21"/>
                <w:highlight w:val="none"/>
                <w:lang w:val="en-US" w:eastAsia="zh-CN" w:bidi="ar"/>
              </w:rPr>
              <w:t>本项目为PLC</w:t>
            </w:r>
            <w:r>
              <w:rPr>
                <w:rFonts w:hint="eastAsia" w:hAnsi="宋体" w:eastAsia="宋体" w:cs="宋体"/>
                <w:color w:val="auto"/>
                <w:kern w:val="0"/>
                <w:sz w:val="21"/>
                <w:szCs w:val="21"/>
                <w:highlight w:val="none"/>
                <w:lang w:val="en-US" w:eastAsia="zh-CN" w:bidi="ar"/>
              </w:rPr>
              <w:t>综合</w:t>
            </w:r>
            <w:r>
              <w:rPr>
                <w:rFonts w:hint="default" w:ascii="宋体" w:hAnsi="宋体" w:eastAsia="宋体" w:cs="宋体"/>
                <w:color w:val="auto"/>
                <w:kern w:val="0"/>
                <w:sz w:val="21"/>
                <w:szCs w:val="21"/>
                <w:highlight w:val="none"/>
                <w:lang w:val="en-US" w:eastAsia="zh-CN" w:bidi="ar"/>
              </w:rPr>
              <w:t>实训室整体建设项目，为</w:t>
            </w:r>
            <w:r>
              <w:rPr>
                <w:rStyle w:val="9"/>
                <w:rFonts w:hint="default" w:ascii="宋体" w:hAnsi="宋体" w:eastAsia="宋体" w:cs="宋体"/>
                <w:color w:val="auto"/>
                <w:kern w:val="0"/>
                <w:sz w:val="21"/>
                <w:szCs w:val="21"/>
                <w:highlight w:val="none"/>
                <w:lang w:val="en-US" w:eastAsia="zh-CN" w:bidi="ar"/>
              </w:rPr>
              <w:t>交钥匙总承包工程</w:t>
            </w:r>
            <w:r>
              <w:rPr>
                <w:rFonts w:hint="default" w:ascii="宋体" w:hAnsi="宋体" w:eastAsia="宋体" w:cs="宋体"/>
                <w:color w:val="auto"/>
                <w:kern w:val="0"/>
                <w:sz w:val="21"/>
                <w:szCs w:val="21"/>
                <w:highlight w:val="none"/>
                <w:lang w:val="en-US" w:eastAsia="zh-CN" w:bidi="ar"/>
              </w:rPr>
              <w:t>，包含全套实训设备供货、运输、装卸、现场强弱电综合布线、设备安装固定、线路接线、全网组网调试、系统联调、现场技术培训、售后质保等全部工作内容，所有配套服务费用均包含在投标总报价中，采购人不另行支付任何费用。</w:t>
            </w:r>
          </w:p>
          <w:p w14:paraId="0EFDA7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本项目依据《</w:t>
            </w:r>
            <w:r>
              <w:rPr>
                <w:rFonts w:hint="eastAsia" w:ascii="宋体" w:hAnsi="宋体" w:eastAsia="宋体" w:cs="宋体"/>
                <w:color w:val="auto"/>
                <w:kern w:val="0"/>
                <w:sz w:val="21"/>
                <w:szCs w:val="21"/>
                <w:highlight w:val="none"/>
                <w:lang w:val="en-US" w:eastAsia="zh-CN" w:bidi="ar"/>
              </w:rPr>
              <w:t>电工国家职业技能标准（2018年版）</w:t>
            </w:r>
            <w:r>
              <w:rPr>
                <w:rFonts w:hint="default" w:ascii="宋体" w:hAnsi="宋体" w:eastAsia="宋体" w:cs="宋体"/>
                <w:color w:val="auto"/>
                <w:kern w:val="0"/>
                <w:sz w:val="21"/>
                <w:szCs w:val="21"/>
                <w:highlight w:val="none"/>
                <w:lang w:val="en-US" w:eastAsia="zh-CN" w:bidi="ar"/>
              </w:rPr>
              <w:t>》及电工技能等级培训、鉴定考核要求，结合职业院校相关课程教学大纲建设，建成集实训教学、技能考核、竞赛实训、人才培养为一体的标准化PLC电气控制实训室，可满足院校日常教学、技能培训、职业鉴定及实训考核使用需求。</w:t>
            </w:r>
          </w:p>
          <w:p w14:paraId="07714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成交供应商须根据实训室现场实际布局（附件后附）、设备摆放规范及教学使用需求，完成全场强弱电布线、设备安装接线、局域网搭建调试、整套系统联调及教师实操培训，确保所有硬件设备、电气回路、网络系统完好可用，达到常态化教学运行标准。</w:t>
            </w:r>
          </w:p>
          <w:p w14:paraId="5F0F82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default" w:ascii="宋体" w:hAnsi="宋体" w:eastAsia="宋体" w:cs="宋体"/>
                <w:b/>
                <w:bCs/>
                <w:color w:val="auto"/>
                <w:kern w:val="0"/>
                <w:sz w:val="21"/>
                <w:szCs w:val="21"/>
                <w:highlight w:val="none"/>
                <w:lang w:val="en-US" w:eastAsia="zh-CN" w:bidi="ar"/>
              </w:rPr>
              <w:t>二、设备总体要求</w:t>
            </w:r>
          </w:p>
          <w:p w14:paraId="0BA30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要求该设备根据《</w:t>
            </w:r>
            <w:r>
              <w:rPr>
                <w:rFonts w:hint="eastAsia" w:ascii="宋体" w:hAnsi="宋体" w:eastAsia="宋体" w:cs="宋体"/>
                <w:color w:val="auto"/>
                <w:kern w:val="0"/>
                <w:sz w:val="21"/>
                <w:szCs w:val="21"/>
                <w:highlight w:val="none"/>
                <w:lang w:val="en-US" w:eastAsia="zh-CN" w:bidi="ar"/>
              </w:rPr>
              <w:t>电工国家职业技能标准（2018年版）</w:t>
            </w:r>
            <w:r>
              <w:rPr>
                <w:rFonts w:hint="default" w:ascii="宋体" w:hAnsi="宋体" w:eastAsia="宋体" w:cs="宋体"/>
                <w:color w:val="auto"/>
                <w:kern w:val="0"/>
                <w:sz w:val="21"/>
                <w:szCs w:val="21"/>
                <w:highlight w:val="none"/>
                <w:lang w:val="en-US" w:eastAsia="zh-CN" w:bidi="ar"/>
              </w:rPr>
              <w:t>》及“电工技术等级证”和“电工实操证”等培训、鉴定内容，以电工国家职业资格中级工、高级工、技师、高级技师考核内容为基础，结合各职业院校、技工院校相关课程教学大纲要求而研制，它是集培训、实训、考核鉴定和竞赛为一体的多功能设备。适用于各类职业学校、技工院校、企业职工职业培训及技能鉴定等单位的教学培</w:t>
            </w:r>
            <w:r>
              <w:rPr>
                <w:rFonts w:hint="eastAsia" w:ascii="宋体" w:hAnsi="宋体" w:eastAsia="宋体" w:cs="宋体"/>
                <w:color w:val="auto"/>
                <w:kern w:val="0"/>
                <w:sz w:val="21"/>
                <w:szCs w:val="21"/>
                <w:highlight w:val="none"/>
                <w:lang w:val="en-US" w:eastAsia="zh-CN" w:bidi="ar"/>
              </w:rPr>
              <w:t>训、实操考核、技能鉴定使用，也适用于电工类职业技能竞赛。</w:t>
            </w:r>
          </w:p>
          <w:p w14:paraId="6B37FB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bCs/>
                <w:color w:val="auto"/>
                <w:kern w:val="0"/>
                <w:sz w:val="21"/>
                <w:szCs w:val="21"/>
                <w:highlight w:val="none"/>
                <w:lang w:val="en-US" w:eastAsia="zh-CN" w:bidi="ar"/>
              </w:rPr>
              <w:t>三、实训装置组成及技术参数要求</w:t>
            </w:r>
          </w:p>
          <w:p w14:paraId="477743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（一）每套PLC</w:t>
            </w:r>
            <w:r>
              <w:rPr>
                <w:rFonts w:hint="eastAsia" w:ascii="宋体" w:hAnsi="宋体" w:eastAsia="宋体" w:cs="宋体"/>
                <w:color w:val="auto"/>
                <w:sz w:val="21"/>
                <w:szCs w:val="21"/>
                <w:highlight w:val="none"/>
                <w:lang w:eastAsia="zh-CN"/>
              </w:rPr>
              <w:t>实训装置</w:t>
            </w:r>
            <w:r>
              <w:rPr>
                <w:rFonts w:hint="eastAsia" w:ascii="宋体" w:hAnsi="宋体" w:eastAsia="宋体" w:cs="宋体"/>
                <w:color w:val="auto"/>
                <w:sz w:val="21"/>
                <w:szCs w:val="21"/>
                <w:highlight w:val="none"/>
              </w:rPr>
              <w:t>主要组成清单要求</w:t>
            </w:r>
          </w:p>
          <w:p w14:paraId="33F57448">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1套</w:t>
            </w:r>
            <w:r>
              <w:rPr>
                <w:rFonts w:hint="eastAsia" w:ascii="宋体" w:hAnsi="宋体" w:eastAsia="宋体" w:cs="宋体"/>
                <w:color w:val="auto"/>
                <w:sz w:val="21"/>
                <w:szCs w:val="21"/>
                <w:highlight w:val="none"/>
                <w:lang w:val="en-US" w:eastAsia="zh-CN"/>
              </w:rPr>
              <w:t>附属挂箱等设备</w:t>
            </w:r>
          </w:p>
          <w:p w14:paraId="18C49310">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1个</w:t>
            </w:r>
            <w:r>
              <w:rPr>
                <w:rFonts w:hint="eastAsia" w:ascii="宋体" w:hAnsi="宋体" w:eastAsia="宋体" w:cs="宋体"/>
                <w:b w:val="0"/>
                <w:bCs w:val="0"/>
                <w:color w:val="auto"/>
                <w:sz w:val="21"/>
                <w:szCs w:val="21"/>
                <w:highlight w:val="none"/>
                <w:lang w:eastAsia="zh-CN"/>
              </w:rPr>
              <w:t>标准控制平</w:t>
            </w:r>
            <w:r>
              <w:rPr>
                <w:rFonts w:hint="eastAsia" w:ascii="宋体" w:hAnsi="宋体" w:eastAsia="宋体" w:cs="宋体"/>
                <w:b w:val="0"/>
                <w:bCs w:val="0"/>
                <w:color w:val="auto"/>
                <w:sz w:val="21"/>
                <w:szCs w:val="21"/>
                <w:highlight w:val="none"/>
                <w:lang w:val="en-US" w:eastAsia="zh-CN"/>
              </w:rPr>
              <w:t>台</w:t>
            </w:r>
          </w:p>
          <w:p w14:paraId="58E95E4A">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1个电源模块</w:t>
            </w:r>
          </w:p>
          <w:p w14:paraId="7F9B3A5F">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default" w:eastAsia="宋体"/>
                <w:color w:val="auto"/>
                <w:highlight w:val="none"/>
              </w:rPr>
            </w:pPr>
            <w:r>
              <w:rPr>
                <w:rFonts w:hint="eastAsia" w:ascii="宋体" w:hAnsi="宋体" w:eastAsia="宋体" w:cs="宋体"/>
                <w:b w:val="0"/>
                <w:bCs w:val="0"/>
                <w:color w:val="auto"/>
                <w:sz w:val="21"/>
                <w:szCs w:val="21"/>
                <w:highlight w:val="none"/>
                <w:lang w:val="en-US" w:eastAsia="zh-CN"/>
              </w:rPr>
              <w:t>（4）1个直流24V电源模块</w:t>
            </w:r>
          </w:p>
          <w:p w14:paraId="4CB98D2F">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1个空气开关</w:t>
            </w:r>
          </w:p>
          <w:p w14:paraId="26A32548">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1个</w:t>
            </w:r>
            <w:r>
              <w:rPr>
                <w:rFonts w:hint="eastAsia" w:ascii="宋体" w:hAnsi="宋体" w:eastAsia="宋体" w:cs="宋体"/>
                <w:b w:val="0"/>
                <w:bCs w:val="0"/>
                <w:color w:val="auto"/>
                <w:sz w:val="21"/>
                <w:szCs w:val="21"/>
                <w:highlight w:val="none"/>
                <w:lang w:val="en-US" w:eastAsia="zh-CN"/>
              </w:rPr>
              <w:t>可编程逻辑控制器(PLC)</w:t>
            </w:r>
            <w:r>
              <w:rPr>
                <w:rFonts w:hint="eastAsia" w:ascii="宋体" w:hAnsi="宋体" w:eastAsia="宋体" w:cs="宋体"/>
                <w:b w:val="0"/>
                <w:bCs w:val="0"/>
                <w:color w:val="auto"/>
                <w:sz w:val="21"/>
                <w:szCs w:val="21"/>
                <w:highlight w:val="none"/>
              </w:rPr>
              <w:t>模块</w:t>
            </w:r>
          </w:p>
          <w:p w14:paraId="59D43852">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1个数字量扩展模块</w:t>
            </w:r>
          </w:p>
          <w:p w14:paraId="79E2256A">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1个模拟量扩展模块</w:t>
            </w:r>
          </w:p>
          <w:p w14:paraId="58851CE6">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1个</w:t>
            </w:r>
            <w:r>
              <w:rPr>
                <w:rFonts w:hint="eastAsia" w:ascii="宋体" w:hAnsi="宋体" w:eastAsia="宋体" w:cs="宋体"/>
                <w:b w:val="0"/>
                <w:bCs w:val="0"/>
                <w:color w:val="auto"/>
                <w:sz w:val="21"/>
                <w:szCs w:val="21"/>
                <w:highlight w:val="none"/>
                <w:lang w:val="en-US" w:eastAsia="zh-CN"/>
              </w:rPr>
              <w:t>工业级触摸屏模块</w:t>
            </w:r>
          </w:p>
          <w:p w14:paraId="1A1A3B6C">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1个8口以太网交换机</w:t>
            </w:r>
          </w:p>
          <w:p w14:paraId="4AF18DD0">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11</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1个变频器</w:t>
            </w:r>
          </w:p>
          <w:p w14:paraId="646FC887">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12</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1个三相异步电动机</w:t>
            </w:r>
          </w:p>
          <w:p w14:paraId="4C639EBE">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（13）</w:t>
            </w: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套电工实训组件套</w:t>
            </w:r>
          </w:p>
          <w:p w14:paraId="255791B2">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（14）</w:t>
            </w: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套按钮指示信号组件套</w:t>
            </w:r>
          </w:p>
          <w:p w14:paraId="26FBB66F">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sz w:val="21"/>
                <w:szCs w:val="21"/>
                <w:highlight w:val="none"/>
                <w:lang w:val="en-US"/>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b w:val="0"/>
                <w:bCs w:val="0"/>
                <w:color w:val="auto"/>
                <w:sz w:val="21"/>
                <w:szCs w:val="21"/>
                <w:highlight w:val="none"/>
                <w:lang w:val="en-US" w:eastAsia="zh-CN"/>
              </w:rPr>
              <w:t>1个步进电机二维丝杆控制单元</w:t>
            </w:r>
          </w:p>
          <w:p w14:paraId="37B931F3">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（16）1套</w:t>
            </w:r>
            <w:r>
              <w:rPr>
                <w:rFonts w:hint="eastAsia" w:ascii="宋体" w:hAnsi="宋体" w:eastAsia="宋体" w:cs="宋体"/>
                <w:color w:val="auto"/>
                <w:sz w:val="21"/>
                <w:szCs w:val="21"/>
                <w:highlight w:val="none"/>
                <w:lang w:val="en-US" w:eastAsia="zh-CN"/>
              </w:rPr>
              <w:t>直流电机小车运动控制单元</w:t>
            </w:r>
          </w:p>
          <w:p w14:paraId="030A8177">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b w:val="0"/>
                <w:bCs w:val="0"/>
                <w:color w:val="auto"/>
                <w:sz w:val="21"/>
                <w:szCs w:val="21"/>
                <w:highlight w:val="none"/>
                <w:lang w:val="en-US" w:eastAsia="zh-CN"/>
              </w:rPr>
              <w:t xml:space="preserve">1套模拟实验对象 </w:t>
            </w:r>
          </w:p>
          <w:p w14:paraId="0DCDBF34">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（18）1套配套实验</w:t>
            </w:r>
            <w:r>
              <w:rPr>
                <w:rFonts w:hint="eastAsia" w:ascii="宋体" w:hAnsi="宋体" w:eastAsia="宋体" w:cs="宋体"/>
                <w:color w:val="auto"/>
                <w:highlight w:val="none"/>
              </w:rPr>
              <w:t>实训项目</w:t>
            </w:r>
            <w:r>
              <w:rPr>
                <w:rFonts w:hint="eastAsia" w:ascii="宋体" w:hAnsi="宋体" w:eastAsia="宋体" w:cs="宋体"/>
                <w:color w:val="auto"/>
                <w:highlight w:val="none"/>
                <w:lang w:val="en-US" w:eastAsia="zh-CN"/>
              </w:rPr>
              <w:t>教程</w:t>
            </w:r>
          </w:p>
          <w:p w14:paraId="5F115ACF">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jc w:val="both"/>
              <w:textAlignment w:val="auto"/>
              <w:rPr>
                <w:rFonts w:hint="eastAsia" w:ascii="宋体" w:hAnsi="宋体" w:eastAsia="宋体" w:cs="宋体"/>
                <w:b w:val="0"/>
                <w:bCs w:val="0"/>
                <w:color w:val="auto"/>
                <w:sz w:val="21"/>
                <w:szCs w:val="21"/>
                <w:highlight w:val="none"/>
                <w:lang w:val="en-US" w:eastAsia="zh-CN"/>
              </w:rPr>
            </w:pPr>
          </w:p>
          <w:p w14:paraId="09672274">
            <w:pPr>
              <w:keepNext w:val="0"/>
              <w:keepLines w:val="0"/>
              <w:pageBreakBefore w:val="0"/>
              <w:widowControl w:val="0"/>
              <w:numPr>
                <w:ilvl w:val="0"/>
                <w:numId w:val="1"/>
              </w:numPr>
              <w:suppressLineNumbers w:val="0"/>
              <w:kinsoku/>
              <w:wordWrap/>
              <w:overflowPunct/>
              <w:topLinePunct w:val="0"/>
              <w:autoSpaceDE/>
              <w:autoSpaceDN/>
              <w:bidi w:val="0"/>
              <w:spacing w:before="0" w:beforeLines="0" w:beforeAutospacing="0" w:after="0" w:afterLines="0" w:afterAutospacing="0" w:line="360" w:lineRule="exact"/>
              <w:ind w:left="0" w:right="0" w:firstLine="422" w:firstLineChars="20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PLC</w:t>
            </w:r>
            <w:r>
              <w:rPr>
                <w:rFonts w:hint="eastAsia" w:ascii="宋体" w:hAnsi="宋体" w:eastAsia="宋体" w:cs="宋体"/>
                <w:b/>
                <w:bCs/>
                <w:color w:val="auto"/>
                <w:highlight w:val="none"/>
                <w:lang w:eastAsia="zh-CN"/>
              </w:rPr>
              <w:t>实训装置</w:t>
            </w:r>
            <w:r>
              <w:rPr>
                <w:rFonts w:hint="eastAsia" w:ascii="宋体" w:hAnsi="宋体" w:eastAsia="宋体" w:cs="宋体"/>
                <w:b/>
                <w:bCs/>
                <w:color w:val="auto"/>
                <w:highlight w:val="none"/>
              </w:rPr>
              <w:t>技术参数要求</w:t>
            </w:r>
          </w:p>
          <w:p w14:paraId="24C90427">
            <w:pPr>
              <w:keepNext w:val="0"/>
              <w:keepLines w:val="0"/>
              <w:pageBreakBefore w:val="0"/>
              <w:widowControl w:val="0"/>
              <w:numPr>
                <w:ilvl w:val="0"/>
                <w:numId w:val="2"/>
              </w:numPr>
              <w:suppressLineNumbers w:val="0"/>
              <w:kinsoku/>
              <w:wordWrap/>
              <w:overflowPunct/>
              <w:topLinePunct w:val="0"/>
              <w:autoSpaceDE/>
              <w:autoSpaceDN/>
              <w:bidi w:val="0"/>
              <w:spacing w:before="0" w:beforeLines="0" w:beforeAutospacing="0" w:after="0" w:afterLines="0" w:afterAutospacing="0" w:line="360" w:lineRule="exact"/>
              <w:ind w:left="420" w:leftChars="200"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附属挂箱等设备要求：</w:t>
            </w:r>
          </w:p>
          <w:p w14:paraId="5800922B">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各挂箱/模块应支持灵活布局与拆装，端子和I/O点位清晰标识；弱电控制信号与强电动力回路采用相匹配的制式接口，实训连接宜采用φ4mm安全香蕉插座或同等安全接口。配套产品配件包，包含PLC编程线、触摸屏下载线、通讯线、排插、安装导轨、接线端子、走线槽、专用连接线缆、安装耗材及保证整套设备正常使用所需的其他辅材。</w:t>
            </w:r>
          </w:p>
          <w:p w14:paraId="550BCBD1">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（1）编程工作站</w:t>
            </w:r>
            <w:r>
              <w:rPr>
                <w:rFonts w:hint="eastAsia" w:ascii="宋体" w:hAnsi="宋体" w:eastAsia="宋体" w:cs="宋体"/>
                <w:b w:val="0"/>
                <w:bCs w:val="0"/>
                <w:color w:val="auto"/>
                <w:sz w:val="21"/>
                <w:szCs w:val="21"/>
                <w:highlight w:val="none"/>
                <w:lang w:val="en-US" w:eastAsia="zh-CN"/>
              </w:rPr>
              <w:t>：编程工作站：处理器≥10 核 16 线程，最高睿频≥4.7GHz，三级缓存≥20MB，热设计功耗</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65W；独立显卡≥8GB 显存；整机内存≥32GB，固态硬盘容量≥1TB；显示器尺寸≥29 英寸，分辨率≥2560×1440；配套有线键鼠，预装 Windows10/11 正版操作系统。</w:t>
            </w:r>
          </w:p>
          <w:p w14:paraId="52FB84B3">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（2）千兆外置网卡：</w:t>
            </w:r>
          </w:p>
          <w:p w14:paraId="5C822430">
            <w:pPr>
              <w:keepNext w:val="0"/>
              <w:keepLines w:val="0"/>
              <w:pageBreakBefore w:val="0"/>
              <w:widowControl w:val="0"/>
              <w:numPr>
                <w:ilvl w:val="0"/>
                <w:numId w:val="3"/>
              </w:numPr>
              <w:suppressLineNumbers w:val="0"/>
              <w:kinsoku/>
              <w:wordWrap/>
              <w:overflowPunct/>
              <w:topLinePunct w:val="0"/>
              <w:autoSpaceDE/>
              <w:autoSpaceDN/>
              <w:bidi w:val="0"/>
              <w:spacing w:before="0" w:beforeLines="0" w:beforeAutospacing="0" w:after="0" w:afterLines="0" w:afterAutospacing="0" w:line="36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 </w:t>
            </w:r>
            <w:r>
              <w:rPr>
                <w:rFonts w:hint="default" w:ascii="宋体" w:hAnsi="宋体" w:eastAsia="宋体" w:cs="宋体"/>
                <w:b w:val="0"/>
                <w:bCs w:val="0"/>
                <w:color w:val="auto"/>
                <w:sz w:val="21"/>
                <w:szCs w:val="21"/>
                <w:highlight w:val="none"/>
                <w:lang w:val="en-US" w:eastAsia="zh-CN"/>
              </w:rPr>
              <w:t>接口：USB3.0 Type-A，RJ45千兆网口</w:t>
            </w:r>
            <w:r>
              <w:rPr>
                <w:rFonts w:hint="eastAsia" w:ascii="宋体" w:hAnsi="宋体" w:eastAsia="宋体" w:cs="宋体"/>
                <w:b w:val="0"/>
                <w:bCs w:val="0"/>
                <w:color w:val="auto"/>
                <w:sz w:val="21"/>
                <w:szCs w:val="21"/>
                <w:highlight w:val="none"/>
                <w:lang w:val="en-US" w:eastAsia="zh-CN"/>
              </w:rPr>
              <w:t>；</w:t>
            </w:r>
          </w:p>
          <w:p w14:paraId="74C25D0A">
            <w:pPr>
              <w:keepNext w:val="0"/>
              <w:keepLines w:val="0"/>
              <w:pageBreakBefore w:val="0"/>
              <w:widowControl w:val="0"/>
              <w:numPr>
                <w:ilvl w:val="0"/>
                <w:numId w:val="3"/>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420" w:firstLineChars="20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r>
              <w:rPr>
                <w:rFonts w:hint="default" w:ascii="宋体" w:hAnsi="宋体" w:eastAsia="宋体" w:cs="宋体"/>
                <w:b w:val="0"/>
                <w:bCs w:val="0"/>
                <w:color w:val="auto"/>
                <w:sz w:val="21"/>
                <w:szCs w:val="21"/>
                <w:highlight w:val="none"/>
                <w:lang w:val="en-US" w:eastAsia="zh-CN"/>
              </w:rPr>
              <w:t>传输速率：10/100/1000Mbps自适应，支持Auto-MDIX</w:t>
            </w:r>
            <w:r>
              <w:rPr>
                <w:rFonts w:hint="eastAsia" w:ascii="宋体" w:hAnsi="宋体" w:eastAsia="宋体" w:cs="宋体"/>
                <w:b w:val="0"/>
                <w:bCs w:val="0"/>
                <w:color w:val="auto"/>
                <w:sz w:val="21"/>
                <w:szCs w:val="21"/>
                <w:highlight w:val="none"/>
                <w:lang w:val="en-US" w:eastAsia="zh-CN"/>
              </w:rPr>
              <w:t>；</w:t>
            </w:r>
          </w:p>
          <w:p w14:paraId="5481B370">
            <w:pPr>
              <w:keepNext w:val="0"/>
              <w:keepLines w:val="0"/>
              <w:pageBreakBefore w:val="0"/>
              <w:widowControl w:val="0"/>
              <w:numPr>
                <w:ilvl w:val="0"/>
                <w:numId w:val="3"/>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420" w:firstLineChars="200"/>
              <w:jc w:val="both"/>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以太网标准：IEEE802.3、802.3u、802.3ab</w:t>
            </w:r>
            <w:r>
              <w:rPr>
                <w:rFonts w:hint="eastAsia" w:ascii="宋体" w:hAnsi="宋体" w:eastAsia="宋体" w:cs="宋体"/>
                <w:b w:val="0"/>
                <w:bCs w:val="0"/>
                <w:color w:val="auto"/>
                <w:sz w:val="21"/>
                <w:szCs w:val="21"/>
                <w:highlight w:val="none"/>
                <w:lang w:val="en-US" w:eastAsia="zh-CN"/>
              </w:rPr>
              <w:t>；</w:t>
            </w:r>
          </w:p>
          <w:p w14:paraId="5E50231F">
            <w:pPr>
              <w:keepNext w:val="0"/>
              <w:keepLines w:val="0"/>
              <w:pageBreakBefore w:val="0"/>
              <w:widowControl w:val="0"/>
              <w:numPr>
                <w:ilvl w:val="0"/>
                <w:numId w:val="3"/>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420" w:firstLineChars="200"/>
              <w:jc w:val="both"/>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流量控制：支持802.3x全双工流量控制</w:t>
            </w:r>
            <w:r>
              <w:rPr>
                <w:rFonts w:hint="eastAsia" w:ascii="宋体" w:hAnsi="宋体" w:eastAsia="宋体" w:cs="宋体"/>
                <w:b w:val="0"/>
                <w:bCs w:val="0"/>
                <w:color w:val="auto"/>
                <w:sz w:val="21"/>
                <w:szCs w:val="21"/>
                <w:highlight w:val="none"/>
                <w:lang w:val="en-US" w:eastAsia="zh-CN"/>
              </w:rPr>
              <w:t>；</w:t>
            </w:r>
          </w:p>
          <w:p w14:paraId="03F108B9">
            <w:pPr>
              <w:keepNext w:val="0"/>
              <w:keepLines w:val="0"/>
              <w:pageBreakBefore w:val="0"/>
              <w:widowControl w:val="0"/>
              <w:numPr>
                <w:ilvl w:val="0"/>
                <w:numId w:val="3"/>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420" w:firstLineChars="200"/>
              <w:jc w:val="both"/>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系统兼容：Windows10/11、麒麟、统信UOS、Linux</w:t>
            </w:r>
            <w:r>
              <w:rPr>
                <w:rFonts w:hint="eastAsia" w:ascii="宋体" w:hAnsi="宋体" w:eastAsia="宋体" w:cs="宋体"/>
                <w:b w:val="0"/>
                <w:bCs w:val="0"/>
                <w:color w:val="auto"/>
                <w:sz w:val="21"/>
                <w:szCs w:val="21"/>
                <w:highlight w:val="none"/>
                <w:lang w:val="en-US" w:eastAsia="zh-CN"/>
              </w:rPr>
              <w:t>；</w:t>
            </w:r>
          </w:p>
          <w:p w14:paraId="4405BE01">
            <w:pPr>
              <w:keepNext w:val="0"/>
              <w:keepLines w:val="0"/>
              <w:pageBreakBefore w:val="0"/>
              <w:widowControl w:val="0"/>
              <w:numPr>
                <w:ilvl w:val="0"/>
                <w:numId w:val="3"/>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供电：USB总线供电，无需外接电源</w:t>
            </w:r>
            <w:r>
              <w:rPr>
                <w:rFonts w:hint="eastAsia" w:ascii="宋体" w:hAnsi="宋体" w:eastAsia="宋体" w:cs="宋体"/>
                <w:b w:val="0"/>
                <w:bCs w:val="0"/>
                <w:color w:val="auto"/>
                <w:sz w:val="21"/>
                <w:szCs w:val="21"/>
                <w:highlight w:val="none"/>
                <w:lang w:val="en-US" w:eastAsia="zh-CN"/>
              </w:rPr>
              <w:t>；</w:t>
            </w:r>
          </w:p>
          <w:p w14:paraId="6E99AC68">
            <w:pPr>
              <w:keepNext w:val="0"/>
              <w:keepLines w:val="0"/>
              <w:pageBreakBefore w:val="0"/>
              <w:widowControl w:val="0"/>
              <w:numPr>
                <w:ilvl w:val="0"/>
                <w:numId w:val="3"/>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420" w:firstLineChars="200"/>
              <w:jc w:val="both"/>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机身材质：阻燃ABS外壳，镀金RJ45触点</w:t>
            </w:r>
            <w:r>
              <w:rPr>
                <w:rFonts w:hint="eastAsia" w:ascii="宋体" w:hAnsi="宋体" w:eastAsia="宋体" w:cs="宋体"/>
                <w:b w:val="0"/>
                <w:bCs w:val="0"/>
                <w:color w:val="auto"/>
                <w:sz w:val="21"/>
                <w:szCs w:val="21"/>
                <w:highlight w:val="none"/>
                <w:lang w:val="en-US" w:eastAsia="zh-CN"/>
              </w:rPr>
              <w:t>；</w:t>
            </w:r>
          </w:p>
          <w:p w14:paraId="42FCF5B5">
            <w:pPr>
              <w:keepNext w:val="0"/>
              <w:keepLines w:val="0"/>
              <w:pageBreakBefore w:val="0"/>
              <w:widowControl w:val="0"/>
              <w:numPr>
                <w:ilvl w:val="0"/>
                <w:numId w:val="3"/>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420" w:firstLineChars="200"/>
              <w:jc w:val="both"/>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工作温度：0℃～</w:t>
            </w:r>
            <w:r>
              <w:rPr>
                <w:rFonts w:hint="eastAsia" w:ascii="宋体" w:hAnsi="宋体" w:eastAsia="宋体" w:cs="宋体"/>
                <w:b w:val="0"/>
                <w:bCs w:val="0"/>
                <w:color w:val="auto"/>
                <w:sz w:val="21"/>
                <w:szCs w:val="21"/>
                <w:highlight w:val="none"/>
                <w:lang w:val="en-US" w:eastAsia="zh-CN"/>
              </w:rPr>
              <w:t>60</w:t>
            </w:r>
            <w:r>
              <w:rPr>
                <w:rFonts w:hint="default"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w:t>
            </w:r>
          </w:p>
          <w:p w14:paraId="48A07585">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420" w:leftChars="200" w:right="0" w:rightChars="0"/>
              <w:jc w:val="both"/>
              <w:textAlignment w:val="auto"/>
              <w:rPr>
                <w:rFonts w:hint="default" w:ascii="宋体" w:hAnsi="宋体" w:eastAsia="宋体" w:cs="宋体"/>
                <w:b w:val="0"/>
                <w:bCs w:val="0"/>
                <w:color w:val="auto"/>
                <w:sz w:val="21"/>
                <w:szCs w:val="21"/>
                <w:highlight w:val="none"/>
                <w:lang w:val="en-US" w:eastAsia="zh-CN"/>
              </w:rPr>
            </w:pPr>
          </w:p>
          <w:p w14:paraId="5FC7811A">
            <w:pPr>
              <w:keepNext w:val="0"/>
              <w:keepLines w:val="0"/>
              <w:pageBreakBefore w:val="0"/>
              <w:widowControl w:val="0"/>
              <w:numPr>
                <w:ilvl w:val="0"/>
                <w:numId w:val="0"/>
              </w:numPr>
              <w:suppressLineNumbers w:val="0"/>
              <w:kinsoku/>
              <w:wordWrap/>
              <w:overflowPunct/>
              <w:topLinePunct w:val="0"/>
              <w:autoSpaceDE w:val="0"/>
              <w:autoSpaceDN/>
              <w:bidi w:val="0"/>
              <w:spacing w:before="0" w:beforeAutospacing="0" w:after="0" w:afterAutospacing="0" w:line="360" w:lineRule="exact"/>
              <w:ind w:left="420" w:leftChars="200" w:right="0" w:rightChars="0"/>
              <w:jc w:val="both"/>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配套实训置</w:t>
            </w:r>
            <w:r>
              <w:rPr>
                <w:rFonts w:hint="eastAsia" w:ascii="宋体" w:hAnsi="宋体" w:eastAsia="宋体" w:cs="宋体"/>
                <w:b/>
                <w:bCs/>
                <w:color w:val="auto"/>
                <w:sz w:val="21"/>
                <w:szCs w:val="21"/>
                <w:highlight w:val="none"/>
                <w:lang w:val="en-US" w:eastAsia="zh-CN"/>
              </w:rPr>
              <w:t>物台：</w:t>
            </w:r>
          </w:p>
          <w:p w14:paraId="3F8441C6">
            <w:pPr>
              <w:keepNext w:val="0"/>
              <w:keepLines w:val="0"/>
              <w:pageBreakBefore w:val="0"/>
              <w:widowControl w:val="0"/>
              <w:numPr>
                <w:ilvl w:val="0"/>
                <w:numId w:val="0"/>
              </w:numPr>
              <w:suppressLineNumbers w:val="0"/>
              <w:kinsoku/>
              <w:wordWrap/>
              <w:overflowPunct/>
              <w:topLinePunct w:val="0"/>
              <w:autoSpaceDE w:val="0"/>
              <w:autoSpaceDN/>
              <w:bidi w:val="0"/>
              <w:spacing w:before="0" w:beforeAutospacing="0" w:after="0" w:afterAutospacing="0" w:line="360" w:lineRule="exact"/>
              <w:ind w:left="0" w:right="0" w:rightChars="0" w:firstLine="420" w:firstLineChars="200"/>
              <w:jc w:val="both"/>
              <w:textAlignment w:val="center"/>
              <w:rPr>
                <w:rFonts w:hint="eastAsia" w:ascii="宋体" w:hAnsi="Times New Roman" w:eastAsia="宋体" w:cs="Times New Roman"/>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▲规格</w:t>
            </w:r>
            <w:r>
              <w:rPr>
                <w:rFonts w:hint="eastAsia" w:ascii="宋体" w:hAnsi="宋体" w:eastAsia="宋体" w:cs="宋体"/>
                <w:b w:val="0"/>
                <w:bCs w:val="0"/>
                <w:color w:val="auto"/>
                <w:sz w:val="21"/>
                <w:szCs w:val="21"/>
                <w:highlight w:val="none"/>
                <w:lang w:val="en-US" w:eastAsia="zh-CN"/>
              </w:rPr>
              <w:t>1600mm</w:t>
            </w:r>
            <w:r>
              <w:rPr>
                <w:rFonts w:hint="eastAsia" w:ascii="宋体" w:hAnsi="宋体" w:eastAsia="宋体" w:cs="宋体"/>
                <w:b w:val="0"/>
                <w:bCs w:val="0"/>
                <w:color w:val="auto"/>
                <w:sz w:val="21"/>
                <w:szCs w:val="21"/>
                <w:highlight w:val="none"/>
                <w:lang w:val="en-US" w:eastAsia="zh-CN"/>
              </w:rPr>
              <w:t>（长）×750mm（宽）×750mm（高），为一桌2位合计，具备储物柜或抽屉 ，桌子底部为可带刹车脚轮，金属框架，桌面采用钢木架构拼接，多层实木桌面厚度为25mm，并需要加铺防静电胶皮，钢板材质为足厚1.5毫米具备防锈功能的镀锌板材。桌子采用380v供电，配有380v交流漏电保护空开1个（控制进电及全桌的380v供电输出），220v漏电保护空开1个（控制全桌的220v电源输出），桌子两侧还有380v交流插座4个，220v交流插座2个，可实现多个桌子的级联供电，解决传统教室插座位置不准确或数量不够的问题。桌子具备下列功能：</w:t>
            </w:r>
          </w:p>
          <w:p w14:paraId="6659EA77">
            <w:pPr>
              <w:keepNext w:val="0"/>
              <w:keepLines w:val="0"/>
              <w:pageBreakBefore w:val="0"/>
              <w:widowControl w:val="0"/>
              <w:numPr>
                <w:ilvl w:val="0"/>
                <w:numId w:val="4"/>
              </w:numPr>
              <w:suppressLineNumbers w:val="0"/>
              <w:kinsoku/>
              <w:wordWrap/>
              <w:overflowPunct/>
              <w:topLinePunct w:val="0"/>
              <w:autoSpaceDE w:val="0"/>
              <w:autoSpaceDN/>
              <w:bidi w:val="0"/>
              <w:spacing w:before="0" w:beforeAutospacing="0" w:after="0" w:afterAutospacing="0" w:line="360" w:lineRule="exact"/>
              <w:ind w:left="0" w:leftChars="0" w:right="0" w:firstLine="420" w:firstLineChars="200"/>
              <w:jc w:val="both"/>
              <w:textAlignment w:val="center"/>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实训面板部分采用翻盖式的门式保护罩，保护罩开合角度可任意调节；保护罩闭合0角度时与桌面持平，保证学生与教师讲台无视线阻档；并保护桌面实训元器件避免遭受意外损坏。保护罩往上打开时即可正常实训操作。</w:t>
            </w:r>
          </w:p>
          <w:p w14:paraId="1253A2EB">
            <w:pPr>
              <w:keepNext w:val="0"/>
              <w:keepLines w:val="0"/>
              <w:pageBreakBefore w:val="0"/>
              <w:widowControl w:val="0"/>
              <w:numPr>
                <w:ilvl w:val="0"/>
                <w:numId w:val="4"/>
              </w:numPr>
              <w:suppressLineNumbers w:val="0"/>
              <w:kinsoku/>
              <w:wordWrap/>
              <w:overflowPunct/>
              <w:topLinePunct w:val="0"/>
              <w:autoSpaceDE w:val="0"/>
              <w:autoSpaceDN/>
              <w:bidi w:val="0"/>
              <w:spacing w:before="0" w:beforeAutospacing="0" w:after="0" w:afterAutospacing="0" w:line="360" w:lineRule="exact"/>
              <w:ind w:left="0" w:leftChars="0" w:right="0" w:firstLine="420" w:firstLineChars="200"/>
              <w:jc w:val="both"/>
              <w:textAlignment w:val="center"/>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安装有220v供电插座1个（带USB接口）、十孔插座1个和380v供电插座1个，内嵌提供0-36v直流稳压可调电源，电源各参数可屏幕显示，并可选择恒压或恒流源模式，具备过载保护和短路保护功能。</w:t>
            </w:r>
          </w:p>
          <w:p w14:paraId="14564339">
            <w:pPr>
              <w:keepNext w:val="0"/>
              <w:keepLines w:val="0"/>
              <w:pageBreakBefore w:val="0"/>
              <w:widowControl w:val="0"/>
              <w:numPr>
                <w:ilvl w:val="0"/>
                <w:numId w:val="4"/>
              </w:numPr>
              <w:suppressLineNumbers w:val="0"/>
              <w:kinsoku/>
              <w:wordWrap/>
              <w:overflowPunct/>
              <w:topLinePunct w:val="0"/>
              <w:autoSpaceDE w:val="0"/>
              <w:autoSpaceDN/>
              <w:bidi w:val="0"/>
              <w:spacing w:before="0" w:beforeAutospacing="0" w:after="0" w:afterAutospacing="0" w:line="360" w:lineRule="exact"/>
              <w:ind w:left="0" w:leftChars="0" w:right="0" w:firstLine="420" w:firstLineChars="200"/>
              <w:jc w:val="both"/>
              <w:textAlignment w:val="center"/>
              <w:rPr>
                <w:rFonts w:hint="eastAsia" w:ascii="宋体" w:hAnsi="宋体" w:eastAsia="宋体" w:cs="宋体"/>
                <w:color w:val="auto"/>
                <w:sz w:val="21"/>
                <w:szCs w:val="21"/>
                <w:highlight w:val="none"/>
              </w:rPr>
            </w:pPr>
            <w:r>
              <w:rPr>
                <w:rFonts w:hint="eastAsia" w:ascii="宋体" w:hAnsi="Times New Roman" w:eastAsia="宋体" w:cs="Times New Roman"/>
                <w:color w:val="auto"/>
                <w:sz w:val="21"/>
                <w:szCs w:val="21"/>
                <w:highlight w:val="none"/>
                <w:lang w:val="en-US" w:eastAsia="zh-CN"/>
              </w:rPr>
              <w:t>每一位均有具备储物柜或抽屉（可设计有导轨和无导轨型，无导轨型</w:t>
            </w:r>
            <w:r>
              <w:rPr>
                <w:rFonts w:hint="eastAsia" w:ascii="宋体" w:hAnsi="宋体" w:eastAsia="宋体" w:cs="宋体"/>
                <w:color w:val="auto"/>
                <w:sz w:val="21"/>
                <w:szCs w:val="21"/>
                <w:highlight w:val="none"/>
                <w:lang w:val="en-US" w:eastAsia="zh-CN"/>
              </w:rPr>
              <w:t>可靠性高，不易损坏）。</w:t>
            </w:r>
          </w:p>
          <w:p w14:paraId="1FEF9E9A">
            <w:pPr>
              <w:keepNext w:val="0"/>
              <w:keepLines w:val="0"/>
              <w:pageBreakBefore w:val="0"/>
              <w:widowControl w:val="0"/>
              <w:numPr>
                <w:ilvl w:val="0"/>
                <w:numId w:val="4"/>
              </w:numPr>
              <w:suppressLineNumbers w:val="0"/>
              <w:kinsoku/>
              <w:wordWrap/>
              <w:overflowPunct/>
              <w:topLinePunct w:val="0"/>
              <w:autoSpaceDE w:val="0"/>
              <w:autoSpaceDN/>
              <w:bidi w:val="0"/>
              <w:spacing w:before="0" w:beforeAutospacing="0" w:after="0" w:afterAutospacing="0" w:line="360" w:lineRule="exact"/>
              <w:ind w:left="0" w:leftChars="0" w:right="0" w:firstLine="420" w:firstLineChars="20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具有交流降压输出端子。可输出点电工电子实验常需要的6V、10v、14V、36v、17v交流输出电压，桌面铺设防静电台垫，厚度≥5mm。</w:t>
            </w:r>
          </w:p>
          <w:p w14:paraId="7582CB06">
            <w:pPr>
              <w:keepNext w:val="0"/>
              <w:keepLines w:val="0"/>
              <w:pageBreakBefore w:val="0"/>
              <w:suppressLineNumbers w:val="0"/>
              <w:kinsoku/>
              <w:wordWrap/>
              <w:overflowPunct/>
              <w:topLinePunct w:val="0"/>
              <w:autoSpaceDN/>
              <w:bidi w:val="0"/>
              <w:adjustRightInd w:val="0"/>
              <w:snapToGrid w:val="0"/>
              <w:spacing w:before="0" w:beforeAutospacing="0" w:after="0" w:afterAutospacing="0" w:line="360" w:lineRule="exact"/>
              <w:ind w:left="0" w:right="0" w:firstLine="420" w:firstLineChars="200"/>
              <w:rPr>
                <w:rFonts w:hint="eastAsia" w:ascii="宋体" w:hAnsi="宋体" w:eastAsia="宋体" w:cs="宋体"/>
                <w:color w:val="auto"/>
                <w:kern w:val="0"/>
                <w:sz w:val="21"/>
                <w:szCs w:val="21"/>
                <w:highlight w:val="none"/>
                <w:lang w:eastAsia="zh-CN" w:bidi="ar"/>
              </w:rPr>
            </w:pPr>
          </w:p>
          <w:p w14:paraId="5AC0712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firstLine="422" w:firstLineChars="200"/>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4</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sz w:val="21"/>
                <w:szCs w:val="21"/>
                <w:highlight w:val="none"/>
              </w:rPr>
              <w:t>实训工位配套操作坐具</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每套3个</w:t>
            </w:r>
            <w:r>
              <w:rPr>
                <w:rFonts w:hint="eastAsia" w:ascii="宋体" w:hAnsi="宋体" w:eastAsia="宋体" w:cs="宋体"/>
                <w:b/>
                <w:bCs/>
                <w:color w:val="auto"/>
                <w:sz w:val="21"/>
                <w:szCs w:val="21"/>
                <w:highlight w:val="none"/>
                <w:lang w:eastAsia="zh-CN"/>
              </w:rPr>
              <w:t>）：</w:t>
            </w:r>
          </w:p>
          <w:p w14:paraId="20068DA3">
            <w:pPr>
              <w:keepNext w:val="0"/>
              <w:keepLines w:val="0"/>
              <w:pageBreakBefore w:val="0"/>
              <w:widowControl/>
              <w:numPr>
                <w:ilvl w:val="0"/>
                <w:numId w:val="5"/>
              </w:numPr>
              <w:suppressLineNumbers w:val="0"/>
              <w:kinsoku/>
              <w:wordWrap/>
              <w:overflowPunct/>
              <w:topLinePunct w:val="0"/>
              <w:autoSpaceDN/>
              <w:bidi w:val="0"/>
              <w:spacing w:before="0" w:beforeAutospacing="0" w:after="0" w:afterAutospacing="0" w:line="360" w:lineRule="exact"/>
              <w:ind w:left="0" w:leftChars="0" w:right="0" w:firstLine="403" w:firstLineChars="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规格：</w:t>
            </w:r>
            <w:r>
              <w:rPr>
                <w:rFonts w:hint="eastAsia" w:ascii="宋体" w:hAnsi="宋体" w:eastAsia="宋体" w:cs="宋体"/>
                <w:color w:val="auto"/>
                <w:kern w:val="0"/>
                <w:sz w:val="21"/>
                <w:szCs w:val="21"/>
                <w:highlight w:val="none"/>
                <w:lang w:val="en-US" w:eastAsia="zh-CN" w:bidi="ar"/>
              </w:rPr>
              <w:t>≥520mm（宽）×480mm（深）×920mm（高）</w:t>
            </w:r>
          </w:p>
          <w:p w14:paraId="40422579">
            <w:pPr>
              <w:keepNext w:val="0"/>
              <w:keepLines w:val="0"/>
              <w:pageBreakBefore w:val="0"/>
              <w:widowControl w:val="0"/>
              <w:numPr>
                <w:ilvl w:val="0"/>
                <w:numId w:val="5"/>
              </w:numPr>
              <w:suppressLineNumbers w:val="0"/>
              <w:kinsoku/>
              <w:wordWrap/>
              <w:overflowPunct/>
              <w:topLinePunct w:val="0"/>
              <w:autoSpaceDE/>
              <w:autoSpaceDN/>
              <w:bidi w:val="0"/>
              <w:spacing w:before="0" w:beforeAutospacing="0" w:after="0" w:afterAutospacing="0" w:line="360" w:lineRule="exact"/>
              <w:ind w:left="0" w:leftChars="0" w:right="0" w:firstLine="403"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坐</w:t>
            </w:r>
            <w:r>
              <w:rPr>
                <w:rFonts w:hint="eastAsia" w:ascii="宋体" w:hAnsi="宋体" w:eastAsia="宋体" w:cs="宋体"/>
                <w:color w:val="auto"/>
                <w:kern w:val="0"/>
                <w:sz w:val="21"/>
                <w:szCs w:val="21"/>
                <w:highlight w:val="none"/>
                <w:lang w:bidi="ar"/>
              </w:rPr>
              <w:t>面多层实木板厚度≥25mm</w:t>
            </w:r>
          </w:p>
          <w:p w14:paraId="4B9F2383">
            <w:pPr>
              <w:keepNext w:val="0"/>
              <w:keepLines w:val="0"/>
              <w:pageBreakBefore w:val="0"/>
              <w:widowControl w:val="0"/>
              <w:numPr>
                <w:ilvl w:val="0"/>
                <w:numId w:val="5"/>
              </w:numPr>
              <w:suppressLineNumbers w:val="0"/>
              <w:kinsoku/>
              <w:wordWrap/>
              <w:overflowPunct/>
              <w:topLinePunct w:val="0"/>
              <w:autoSpaceDE/>
              <w:autoSpaceDN/>
              <w:bidi w:val="0"/>
              <w:spacing w:before="0" w:beforeAutospacing="0" w:after="0" w:afterAutospacing="0" w:line="360" w:lineRule="exact"/>
              <w:ind w:left="0" w:leftChars="0" w:right="0" w:firstLine="403"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坐</w:t>
            </w:r>
            <w:r>
              <w:rPr>
                <w:rFonts w:hint="eastAsia" w:ascii="宋体" w:hAnsi="宋体" w:eastAsia="宋体" w:cs="宋体"/>
                <w:color w:val="auto"/>
                <w:kern w:val="0"/>
                <w:sz w:val="21"/>
                <w:szCs w:val="21"/>
                <w:highlight w:val="none"/>
                <w:lang w:bidi="ar"/>
              </w:rPr>
              <w:t>面的四个封边为黑色</w:t>
            </w:r>
          </w:p>
          <w:p w14:paraId="05F475D9">
            <w:pPr>
              <w:keepNext w:val="0"/>
              <w:keepLines w:val="0"/>
              <w:pageBreakBefore w:val="0"/>
              <w:widowControl w:val="0"/>
              <w:numPr>
                <w:ilvl w:val="0"/>
                <w:numId w:val="5"/>
              </w:numPr>
              <w:suppressLineNumbers w:val="0"/>
              <w:kinsoku/>
              <w:wordWrap/>
              <w:overflowPunct/>
              <w:topLinePunct w:val="0"/>
              <w:autoSpaceDE/>
              <w:autoSpaceDN/>
              <w:bidi w:val="0"/>
              <w:spacing w:before="0" w:beforeAutospacing="0" w:after="0" w:afterAutospacing="0" w:line="360" w:lineRule="exact"/>
              <w:ind w:left="0" w:leftChars="0" w:right="0" w:firstLine="403" w:firstLineChars="0"/>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 w:val="21"/>
                <w:szCs w:val="21"/>
                <w:highlight w:val="none"/>
                <w:lang w:val="en-US" w:eastAsia="zh-CN" w:bidi="ar"/>
              </w:rPr>
              <w:t>坐</w:t>
            </w:r>
            <w:r>
              <w:rPr>
                <w:rFonts w:hint="eastAsia" w:ascii="宋体" w:hAnsi="宋体" w:eastAsia="宋体" w:cs="宋体"/>
                <w:color w:val="auto"/>
                <w:kern w:val="0"/>
                <w:sz w:val="21"/>
                <w:szCs w:val="21"/>
                <w:highlight w:val="none"/>
                <w:lang w:bidi="ar"/>
              </w:rPr>
              <w:t>面采用6颗不锈钢螺丝固定在脚架上，其中两个长边各2颗，两个短边各1颗</w:t>
            </w:r>
          </w:p>
          <w:p w14:paraId="162027EE">
            <w:pPr>
              <w:keepNext w:val="0"/>
              <w:keepLines w:val="0"/>
              <w:pageBreakBefore w:val="0"/>
              <w:widowControl w:val="0"/>
              <w:numPr>
                <w:ilvl w:val="0"/>
                <w:numId w:val="5"/>
              </w:numPr>
              <w:suppressLineNumbers w:val="0"/>
              <w:kinsoku/>
              <w:wordWrap/>
              <w:overflowPunct/>
              <w:topLinePunct w:val="0"/>
              <w:autoSpaceDE/>
              <w:autoSpaceDN/>
              <w:bidi w:val="0"/>
              <w:spacing w:before="0" w:beforeAutospacing="0" w:after="0" w:afterAutospacing="0" w:line="360" w:lineRule="exact"/>
              <w:ind w:left="0" w:leftChars="0" w:right="0" w:firstLine="403" w:firstLineChars="0"/>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脚架25*25*1.2mm，喷塑金属架，椅座坚固耐用</w:t>
            </w:r>
          </w:p>
          <w:p w14:paraId="6BB45240">
            <w:pPr>
              <w:keepNext w:val="0"/>
              <w:keepLines w:val="0"/>
              <w:pageBreakBefore w:val="0"/>
              <w:numPr>
                <w:ilvl w:val="0"/>
                <w:numId w:val="5"/>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403" w:firstLineChars="0"/>
              <w:textAlignment w:val="auto"/>
              <w:rPr>
                <w:rFonts w:hint="default" w:ascii="宋体" w:hAnsi="宋体" w:eastAsia="宋体" w:cs="宋体"/>
                <w:b w:val="0"/>
                <w:bCs w:val="0"/>
                <w:color w:val="auto"/>
                <w:highlight w:val="none"/>
                <w:lang w:val="en-US" w:eastAsia="zh-CN"/>
              </w:rPr>
            </w:pPr>
            <w:r>
              <w:rPr>
                <w:rFonts w:hint="eastAsia" w:ascii="宋体" w:hAnsi="宋体" w:eastAsia="宋体" w:cs="宋体"/>
                <w:color w:val="auto"/>
                <w:kern w:val="0"/>
                <w:szCs w:val="21"/>
                <w:highlight w:val="none"/>
                <w:lang w:bidi="ar"/>
              </w:rPr>
              <w:t>凳脚都装有耐磨脚垫</w:t>
            </w:r>
          </w:p>
          <w:p w14:paraId="0B7FB39C">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2" w:firstLineChars="200"/>
              <w:jc w:val="both"/>
              <w:textAlignment w:val="auto"/>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（5）产品配件包要求：</w:t>
            </w:r>
          </w:p>
          <w:p w14:paraId="76FE9C57">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包含设备安装、调试、实训所需要的配件、配线、耗材等，包括PLC编程线、触摸屏USB下载线、通讯线、排插座、安装耗材等（确保所有设备组件都能正常使用的配套附件）。</w:t>
            </w:r>
          </w:p>
          <w:p w14:paraId="65D86005">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bCs/>
                <w:color w:val="auto"/>
                <w:highlight w:val="none"/>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bCs/>
                <w:color w:val="auto"/>
                <w:highlight w:val="none"/>
                <w:lang w:val="en-US" w:eastAsia="zh-CN"/>
              </w:rPr>
              <w:t>（6）高速存储 U 盘要求：</w:t>
            </w:r>
          </w:p>
          <w:p w14:paraId="4A5E90AC">
            <w:pPr>
              <w:keepNext w:val="0"/>
              <w:keepLines w:val="0"/>
              <w:pageBreakBefore w:val="0"/>
              <w:widowControl w:val="0"/>
              <w:numPr>
                <w:ilvl w:val="0"/>
                <w:numId w:val="6"/>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接口规格：USB3.2 Gen1 高速接口，向下兼容 USB2.0，连续读取速度≥100MB/s；</w:t>
            </w:r>
          </w:p>
          <w:p w14:paraId="72B1E714">
            <w:pPr>
              <w:keepNext w:val="0"/>
              <w:keepLines w:val="0"/>
              <w:pageBreakBefore w:val="0"/>
              <w:widowControl w:val="0"/>
              <w:numPr>
                <w:ilvl w:val="0"/>
                <w:numId w:val="6"/>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存储容量：</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b w:val="0"/>
                <w:bCs w:val="0"/>
                <w:color w:val="auto"/>
                <w:highlight w:val="none"/>
                <w:lang w:val="en-US" w:eastAsia="zh-CN"/>
              </w:rPr>
              <w:t>64GB，支持格式化为 FAT32，适配 PLC、触摸屏程序离线下载；</w:t>
            </w:r>
          </w:p>
          <w:p w14:paraId="6D9233F4">
            <w:pPr>
              <w:keepNext w:val="0"/>
              <w:keepLines w:val="0"/>
              <w:pageBreakBefore w:val="0"/>
              <w:widowControl w:val="0"/>
              <w:numPr>
                <w:ilvl w:val="0"/>
                <w:numId w:val="6"/>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安全设计：自带硬件机械式写保护滑动锁，切换只读 / 读写模式，防病毒、防实训案例误删篡改；</w:t>
            </w:r>
          </w:p>
          <w:p w14:paraId="51ED06C1">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2" w:firstLineChars="200"/>
              <w:jc w:val="both"/>
              <w:textAlignment w:val="auto"/>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 xml:space="preserve">2. </w:t>
            </w:r>
            <w:r>
              <w:rPr>
                <w:rFonts w:hint="eastAsia" w:ascii="宋体" w:hAnsi="宋体" w:eastAsia="宋体" w:cs="宋体"/>
                <w:b/>
                <w:bCs/>
                <w:color w:val="auto"/>
                <w:highlight w:val="none"/>
                <w:lang w:eastAsia="zh-CN"/>
              </w:rPr>
              <w:t>标准控制平</w:t>
            </w:r>
            <w:r>
              <w:rPr>
                <w:rFonts w:hint="eastAsia" w:ascii="宋体" w:hAnsi="宋体" w:eastAsia="宋体" w:cs="宋体"/>
                <w:b/>
                <w:bCs/>
                <w:color w:val="auto"/>
                <w:highlight w:val="none"/>
                <w:lang w:val="en-US" w:eastAsia="zh-CN"/>
              </w:rPr>
              <w:t>台</w:t>
            </w:r>
            <w:r>
              <w:rPr>
                <w:rFonts w:hint="eastAsia" w:ascii="宋体" w:hAnsi="宋体" w:eastAsia="宋体" w:cs="宋体"/>
                <w:b/>
                <w:bCs/>
                <w:color w:val="auto"/>
                <w:highlight w:val="none"/>
              </w:rPr>
              <w:t>要求</w:t>
            </w:r>
            <w:r>
              <w:rPr>
                <w:rFonts w:hint="eastAsia" w:ascii="宋体" w:hAnsi="宋体" w:eastAsia="宋体" w:cs="宋体"/>
                <w:b/>
                <w:bCs/>
                <w:color w:val="auto"/>
                <w:highlight w:val="none"/>
                <w:lang w:val="en-US" w:eastAsia="zh-CN"/>
              </w:rPr>
              <w:t>:</w:t>
            </w:r>
          </w:p>
          <w:p w14:paraId="606CEB2E">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val="en-US" w:eastAsia="zh-CN"/>
              </w:rPr>
              <w:t>标准控制平</w:t>
            </w:r>
            <w:r>
              <w:rPr>
                <w:rFonts w:hint="eastAsia" w:eastAsia="宋体"/>
                <w:color w:val="auto"/>
                <w:highlight w:val="none"/>
                <w:lang w:val="en-US" w:eastAsia="zh-CN"/>
              </w:rPr>
              <w:t>台</w:t>
            </w:r>
            <w:r>
              <w:rPr>
                <w:rFonts w:hint="eastAsia" w:ascii="宋体" w:hAnsi="宋体" w:eastAsia="宋体" w:cs="宋体"/>
                <w:b w:val="0"/>
                <w:bCs w:val="0"/>
                <w:color w:val="auto"/>
                <w:highlight w:val="none"/>
                <w:lang w:val="en-US" w:eastAsia="zh-CN"/>
              </w:rPr>
              <w:t>支持</w:t>
            </w:r>
            <w:r>
              <w:rPr>
                <w:rFonts w:hint="eastAsia" w:ascii="宋体" w:hAnsi="宋体" w:eastAsia="宋体" w:cs="宋体"/>
                <w:b w:val="0"/>
                <w:bCs w:val="0"/>
                <w:color w:val="auto"/>
                <w:highlight w:val="none"/>
                <w:lang w:eastAsia="zh-CN"/>
              </w:rPr>
              <w:t>立式结构控制屏，由网孔板、安全防护隔板、支撑架及支撑条、4只万向轮、空气开关、开关电源、插座等组成，平台中全部单元模块都安装在标准控制平上。</w:t>
            </w:r>
          </w:p>
          <w:p w14:paraId="6800E947">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1</w:t>
            </w:r>
            <w:r>
              <w:rPr>
                <w:rFonts w:hint="eastAsia" w:ascii="宋体" w:hAnsi="宋体" w:eastAsia="宋体" w:cs="宋体"/>
                <w:b w:val="0"/>
                <w:bCs w:val="0"/>
                <w:color w:val="auto"/>
                <w:highlight w:val="none"/>
                <w:lang w:eastAsia="zh-CN"/>
              </w:rPr>
              <w:t>）采用立式结构，由网孔板、安全防护隔板、支撑架、支撑条及4只万向轮组成；本条所列各控制、动力和实训模块均可在平台上安装或挂接。</w:t>
            </w:r>
          </w:p>
          <w:p w14:paraId="4A460451">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）外形尺寸：高度1800</w:t>
            </w:r>
            <w:r>
              <w:rPr>
                <w:rFonts w:hint="eastAsia" w:ascii="宋体" w:hAnsi="宋体" w:eastAsia="宋体" w:cs="宋体"/>
                <w:b w:val="0"/>
                <w:bCs w:val="0"/>
                <w:color w:val="auto"/>
                <w:highlight w:val="none"/>
                <w:lang w:val="en-US" w:eastAsia="zh-CN"/>
              </w:rPr>
              <w:t>±20</w:t>
            </w:r>
            <w:r>
              <w:rPr>
                <w:rFonts w:hint="eastAsia" w:ascii="宋体" w:hAnsi="宋体" w:eastAsia="宋体" w:cs="宋体"/>
                <w:b w:val="0"/>
                <w:bCs w:val="0"/>
                <w:color w:val="auto"/>
                <w:highlight w:val="none"/>
                <w:lang w:eastAsia="zh-CN"/>
              </w:rPr>
              <w:t>mm、长度800</w:t>
            </w:r>
            <w:r>
              <w:rPr>
                <w:rFonts w:hint="eastAsia" w:ascii="宋体" w:hAnsi="宋体" w:eastAsia="宋体" w:cs="宋体"/>
                <w:b w:val="0"/>
                <w:bCs w:val="0"/>
                <w:color w:val="auto"/>
                <w:kern w:val="2"/>
                <w:sz w:val="21"/>
                <w:szCs w:val="21"/>
                <w:highlight w:val="none"/>
                <w:lang w:val="en-US" w:eastAsia="zh-CN" w:bidi="ar"/>
              </w:rPr>
              <w:t>±20</w:t>
            </w:r>
            <w:r>
              <w:rPr>
                <w:rFonts w:hint="eastAsia" w:ascii="宋体" w:hAnsi="宋体" w:eastAsia="宋体" w:cs="宋体"/>
                <w:b w:val="0"/>
                <w:bCs w:val="0"/>
                <w:color w:val="auto"/>
                <w:highlight w:val="none"/>
                <w:lang w:eastAsia="zh-CN"/>
              </w:rPr>
              <w:t>mm、宽度800</w:t>
            </w:r>
            <w:r>
              <w:rPr>
                <w:rFonts w:hint="eastAsia" w:ascii="宋体" w:hAnsi="宋体" w:eastAsia="宋体" w:cs="宋体"/>
                <w:b w:val="0"/>
                <w:bCs w:val="0"/>
                <w:color w:val="auto"/>
                <w:kern w:val="2"/>
                <w:sz w:val="21"/>
                <w:szCs w:val="21"/>
                <w:highlight w:val="none"/>
                <w:lang w:val="en-US" w:eastAsia="zh-CN" w:bidi="ar"/>
              </w:rPr>
              <w:t>±20</w:t>
            </w:r>
            <w:r>
              <w:rPr>
                <w:rFonts w:hint="eastAsia" w:ascii="宋体" w:hAnsi="宋体" w:eastAsia="宋体" w:cs="宋体"/>
                <w:b w:val="0"/>
                <w:bCs w:val="0"/>
                <w:color w:val="auto"/>
                <w:highlight w:val="none"/>
                <w:lang w:eastAsia="zh-CN"/>
              </w:rPr>
              <w:t>mm。</w:t>
            </w:r>
          </w:p>
          <w:p w14:paraId="06DAC898">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3</w:t>
            </w:r>
            <w:r>
              <w:rPr>
                <w:rFonts w:hint="eastAsia" w:ascii="宋体" w:hAnsi="宋体" w:eastAsia="宋体" w:cs="宋体"/>
                <w:b w:val="0"/>
                <w:bCs w:val="0"/>
                <w:color w:val="auto"/>
                <w:highlight w:val="none"/>
                <w:lang w:eastAsia="zh-CN"/>
              </w:rPr>
              <w:t>）网孔板采用冷轧钢板，板厚≥2mm，宽度≥700mm、高度≥1500mm。</w:t>
            </w:r>
          </w:p>
          <w:p w14:paraId="7175FAB5">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4</w:t>
            </w:r>
            <w:r>
              <w:rPr>
                <w:rFonts w:hint="eastAsia" w:ascii="宋体" w:hAnsi="宋体" w:eastAsia="宋体" w:cs="宋体"/>
                <w:b w:val="0"/>
                <w:bCs w:val="0"/>
                <w:color w:val="auto"/>
                <w:highlight w:val="none"/>
                <w:lang w:eastAsia="zh-CN"/>
              </w:rPr>
              <w:t>）底部支撑条厚度≥2mm、长度≥750mm，整体承重能力≥200kg。</w:t>
            </w:r>
          </w:p>
          <w:p w14:paraId="6670D3B1">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5</w:t>
            </w:r>
            <w:r>
              <w:rPr>
                <w:rFonts w:hint="eastAsia" w:ascii="宋体" w:hAnsi="宋体" w:eastAsia="宋体" w:cs="宋体"/>
                <w:b w:val="0"/>
                <w:bCs w:val="0"/>
                <w:color w:val="auto"/>
                <w:highlight w:val="none"/>
                <w:lang w:eastAsia="zh-CN"/>
              </w:rPr>
              <w:t>）配备成套接线端子、走线槽、安装导轨、插座、连接线缆及安装辅材；结构应稳固、便于移动和制动。</w:t>
            </w:r>
          </w:p>
          <w:p w14:paraId="0603F5DE">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eastAsia="zh-CN"/>
              </w:rPr>
            </w:pPr>
          </w:p>
          <w:p w14:paraId="57B76CCD">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2" w:firstLineChars="200"/>
              <w:jc w:val="both"/>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highlight w:val="none"/>
              </w:rPr>
              <w:t>▲</w:t>
            </w:r>
            <w:r>
              <w:rPr>
                <w:rFonts w:hint="eastAsia" w:ascii="宋体" w:hAnsi="宋体" w:eastAsia="宋体" w:cs="宋体"/>
                <w:b/>
                <w:bCs/>
                <w:color w:val="auto"/>
                <w:sz w:val="21"/>
                <w:szCs w:val="21"/>
                <w:highlight w:val="none"/>
                <w:lang w:val="en-US" w:eastAsia="zh-CN"/>
              </w:rPr>
              <w:t>3.电源模块（含总电源开关、三相电源开关，≥1个）要求：</w:t>
            </w:r>
          </w:p>
          <w:p w14:paraId="27D7E96F">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（1）装置输入电源与现场供电条件匹配，设置独立总电源开关和三相电源开关，回路分区控制。</w:t>
            </w:r>
          </w:p>
          <w:p w14:paraId="3C770633">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（2）总电源侧配置4P C16A漏电保护空气开关，额定漏电动作电流30mA，动作电流允许偏差 ±20%；该漏电动作值兼顾人身触电安全防护，设备正常运行工况下无误跳闸；</w:t>
            </w:r>
          </w:p>
          <w:p w14:paraId="4CF79FB2">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（3）具备漏电、过载、短路、过压/欠压等安全防护；强弱电物理分区布线，所有开关、接线端子、控制回路均配有清晰永久性标识。</w:t>
            </w:r>
          </w:p>
          <w:p w14:paraId="04990643">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2" w:firstLineChars="200"/>
              <w:jc w:val="both"/>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highlight w:val="none"/>
              </w:rPr>
              <w:t>▲</w:t>
            </w:r>
            <w:r>
              <w:rPr>
                <w:rFonts w:hint="eastAsia" w:ascii="宋体" w:hAnsi="宋体" w:eastAsia="宋体" w:cs="宋体"/>
                <w:b/>
                <w:bCs/>
                <w:color w:val="auto"/>
                <w:sz w:val="21"/>
                <w:szCs w:val="21"/>
                <w:highlight w:val="none"/>
                <w:lang w:val="en-US" w:eastAsia="zh-CN"/>
              </w:rPr>
              <w:t>4. 直流24V电源模块要求：</w:t>
            </w:r>
          </w:p>
          <w:p w14:paraId="122DFB1E">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（1）采用DIN35标准导轨安装的工业级开关电源，与PLC、触摸屏、继电器及信号单元等供电需求相匹配。</w:t>
            </w:r>
          </w:p>
          <w:p w14:paraId="5F5FC31F">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（2）输入电压120/230V AC，输出电压24V DC，额定输出电流≥5A，功率≥120W。</w:t>
            </w:r>
          </w:p>
          <w:p w14:paraId="7C1F522A">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（3）具备过流、过压、短路和过热保护，24V输出通过有明确极性标识的安全端子或香蕉插头连接线对外供电。</w:t>
            </w:r>
          </w:p>
          <w:p w14:paraId="7670E036">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p>
          <w:p w14:paraId="5A61D469">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rightChars="0"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sz w:val="21"/>
                <w:szCs w:val="21"/>
                <w:highlight w:val="none"/>
                <w:lang w:val="en-US" w:eastAsia="zh-CN"/>
              </w:rPr>
              <w:t>空气开关要求：</w:t>
            </w:r>
          </w:p>
          <w:p w14:paraId="2A55174C">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w:t>
            </w:r>
            <w:r>
              <w:rPr>
                <w:rFonts w:hint="eastAsia" w:ascii="宋体" w:hAnsi="宋体" w:eastAsia="宋体" w:cs="宋体"/>
                <w:b w:val="0"/>
                <w:bCs w:val="0"/>
                <w:color w:val="auto"/>
                <w:kern w:val="2"/>
                <w:sz w:val="21"/>
                <w:szCs w:val="21"/>
                <w:highlight w:val="none"/>
                <w:lang w:val="en-US" w:eastAsia="zh-CN" w:bidi="ar"/>
              </w:rPr>
              <w:t>三相支路配置3P C10A空气开关，并配3P三相熔断器、1P单相熔断器</w:t>
            </w:r>
            <w:r>
              <w:rPr>
                <w:rFonts w:hint="eastAsia" w:ascii="宋体" w:hAnsi="宋体" w:eastAsia="宋体" w:cs="宋体"/>
                <w:b w:val="0"/>
                <w:bCs w:val="0"/>
                <w:color w:val="auto"/>
                <w:highlight w:val="none"/>
                <w:lang w:val="en-US" w:eastAsia="zh-CN"/>
              </w:rPr>
              <w:t>，支持DIN导轨安装，用作三相动力支路的通断与过载、短路保护。</w:t>
            </w:r>
          </w:p>
          <w:p w14:paraId="61DFA9E0">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（2）空气开关应安装于具备防误触措施的区域，并与总电源、熔断器及急停回路形成完整的用电安全保护链路。</w:t>
            </w:r>
          </w:p>
          <w:p w14:paraId="1A80613A">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420" w:leftChars="200" w:right="0" w:right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 xml:space="preserve">6. </w:t>
            </w:r>
            <w:r>
              <w:rPr>
                <w:rFonts w:hint="eastAsia" w:ascii="宋体" w:hAnsi="宋体" w:eastAsia="宋体" w:cs="宋体"/>
                <w:b/>
                <w:bCs/>
                <w:color w:val="auto"/>
                <w:sz w:val="21"/>
                <w:szCs w:val="21"/>
                <w:highlight w:val="none"/>
                <w:lang w:val="en-US" w:eastAsia="zh-CN"/>
              </w:rPr>
              <w:t>可编程逻辑控制器(PLC)</w:t>
            </w:r>
            <w:r>
              <w:rPr>
                <w:rFonts w:hint="eastAsia" w:ascii="宋体" w:hAnsi="宋体" w:eastAsia="宋体" w:cs="宋体"/>
                <w:b/>
                <w:bCs/>
                <w:color w:val="auto"/>
                <w:sz w:val="21"/>
                <w:szCs w:val="21"/>
                <w:highlight w:val="none"/>
              </w:rPr>
              <w:t>模块</w:t>
            </w:r>
            <w:r>
              <w:rPr>
                <w:rFonts w:hint="eastAsia" w:ascii="宋体" w:hAnsi="宋体" w:eastAsia="宋体" w:cs="宋体"/>
                <w:b/>
                <w:bCs/>
                <w:color w:val="auto"/>
                <w:sz w:val="21"/>
                <w:szCs w:val="21"/>
                <w:highlight w:val="none"/>
                <w:lang w:val="en-US" w:eastAsia="zh-CN"/>
              </w:rPr>
              <w:t>要求：</w:t>
            </w:r>
          </w:p>
          <w:p w14:paraId="3CAF3139">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rightChars="0" w:firstLine="420" w:firstLineChars="200"/>
              <w:jc w:val="both"/>
              <w:textAlignment w:val="auto"/>
              <w:rPr>
                <w:rFonts w:hint="eastAsia" w:ascii="宋体" w:hAnsi="宋体" w:eastAsia="宋体" w:cs="宋体"/>
                <w:b w:val="0"/>
                <w:bCs w:val="0"/>
                <w:color w:val="auto"/>
                <w:highlight w:val="none"/>
                <w:lang w:eastAsia="zh-CN"/>
              </w:rPr>
            </w:pPr>
            <w:r>
              <w:rPr>
                <w:rFonts w:hint="default" w:ascii="宋体" w:hAnsi="宋体" w:eastAsia="宋体" w:cs="宋体"/>
                <w:color w:val="auto"/>
                <w:highlight w:val="none"/>
              </w:rPr>
              <w:t>装置输入AC220V后，由配套电源模块转换为PLC及I/O所需的DC24V；所选CPU具体型号应满足本条全部资源要求。</w:t>
            </w:r>
          </w:p>
          <w:p w14:paraId="305189E7">
            <w:pPr>
              <w:keepNext w:val="0"/>
              <w:keepLines w:val="0"/>
              <w:pageBreakBefore w:val="0"/>
              <w:widowControl/>
              <w:numPr>
                <w:ilvl w:val="0"/>
                <w:numId w:val="7"/>
              </w:numPr>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支持 ProfiNET 工业实时以太网、RS485 Modbus RTU 通用工业通讯，具备 1 路以太网接口，以太网通道可 CPU 本体集成或选配通讯扩展模块；高速计数器通道≥6 路，脉冲输出通道≥4 路；位逻辑（布尔）指令执行速度≤40ns / 条；程序运行工作存储≥250KB，数据运行工作存储区≥750KB，掉电保持存储区≥10KB；整机支持 AC220V 供电；可搭载不少于 2 块信号扩展板；内置符合 IEC 标准的运动控制功能，支持点位定位、速度调节、多轴同步、电子凸轮轨迹控制；支持配套调试工具读取设备参数、启停控制，相关功能可本体集成或选配扩展模块实现；全部 IO 信号端子独立外置引出，便于实训教学接线操作。</w:t>
            </w:r>
          </w:p>
          <w:p w14:paraId="45DCCBE4">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（2）CPU本机集成IO资源：数字量输入≥14路 24V DC（源漏型通用），0~10V DC模拟量输入≥2路，24V直流晶体管数字量输出≥10路；单路输出电流≥0.5A，总输出驱动电流≥3A，可直接驱动实训指示灯、小型继电器。</w:t>
            </w:r>
          </w:p>
          <w:p w14:paraId="09B1977B">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（3）标配原厂工业屏蔽以太网编程电缆1根，用于 PLC 以太网接口与独立采购的工业交换机对接，实现 PLC、触摸屏、电脑多设备同时联网通信。</w:t>
            </w:r>
          </w:p>
          <w:p w14:paraId="63648A65">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eastAsia="宋体" w:cs="Times New Roman"/>
                <w:color w:val="auto"/>
                <w:highlight w:val="none"/>
                <w:lang w:val="en-US" w:eastAsia="zh-CN"/>
              </w:rPr>
            </w:pPr>
            <w:r>
              <w:rPr>
                <w:rFonts w:hint="eastAsia" w:ascii="宋体" w:hAnsi="宋体" w:eastAsia="宋体" w:cs="宋体"/>
                <w:b w:val="0"/>
                <w:bCs w:val="0"/>
                <w:color w:val="auto"/>
                <w:highlight w:val="none"/>
                <w:lang w:val="en-US" w:eastAsia="zh-CN"/>
              </w:rPr>
              <w:t>（4）</w:t>
            </w:r>
            <w:r>
              <w:rPr>
                <w:rFonts w:hint="eastAsia" w:ascii="宋体" w:hAnsi="Times New Roman" w:eastAsia="宋体" w:cs="Times New Roman"/>
                <w:color w:val="auto"/>
                <w:highlight w:val="none"/>
                <w:lang w:val="en-US" w:eastAsia="zh-CN"/>
              </w:rPr>
              <w:t>供货时须提供</w:t>
            </w:r>
            <w:r>
              <w:rPr>
                <w:rFonts w:hint="eastAsia" w:ascii="宋体" w:eastAsia="宋体" w:cs="Times New Roman"/>
                <w:color w:val="auto"/>
                <w:highlight w:val="none"/>
                <w:lang w:val="en-US" w:eastAsia="zh-CN"/>
              </w:rPr>
              <w:t>国家认可的</w:t>
            </w:r>
            <w:r>
              <w:rPr>
                <w:rFonts w:hint="eastAsia" w:ascii="宋体" w:hAnsi="Times New Roman" w:eastAsia="宋体" w:cs="Times New Roman"/>
                <w:color w:val="auto"/>
                <w:highlight w:val="none"/>
                <w:lang w:val="en-US" w:eastAsia="zh-CN"/>
              </w:rPr>
              <w:t>第三方</w:t>
            </w:r>
            <w:r>
              <w:rPr>
                <w:rFonts w:hint="eastAsia" w:eastAsia="宋体"/>
                <w:color w:val="auto"/>
                <w:highlight w:val="none"/>
                <w:lang w:val="en-US" w:eastAsia="zh-CN"/>
              </w:rPr>
              <w:t>检</w:t>
            </w:r>
            <w:r>
              <w:rPr>
                <w:rFonts w:hint="eastAsia" w:ascii="宋体" w:hAnsi="Times New Roman" w:eastAsia="宋体" w:cs="Times New Roman"/>
                <w:color w:val="auto"/>
                <w:highlight w:val="none"/>
                <w:lang w:val="en-US" w:eastAsia="zh-CN"/>
              </w:rPr>
              <w:t>测机构出具的整机性能检测报告复印件</w:t>
            </w:r>
            <w:r>
              <w:rPr>
                <w:rFonts w:hint="eastAsia" w:ascii="宋体" w:eastAsia="宋体" w:cs="Times New Roman"/>
                <w:color w:val="auto"/>
                <w:highlight w:val="none"/>
                <w:lang w:val="en-US" w:eastAsia="zh-CN"/>
              </w:rPr>
              <w:t>并加盖投标人公章。</w:t>
            </w:r>
          </w:p>
          <w:p w14:paraId="2D5354C7">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eastAsia" w:ascii="宋体" w:hAnsi="宋体" w:eastAsia="宋体" w:cs="宋体"/>
                <w:b w:val="0"/>
                <w:bCs w:val="0"/>
                <w:color w:val="auto"/>
                <w:highlight w:val="none"/>
                <w:lang w:val="en-US" w:eastAsia="zh-CN"/>
              </w:rPr>
            </w:pPr>
            <w:r>
              <w:rPr>
                <w:rFonts w:hint="eastAsia" w:ascii="宋体" w:eastAsia="宋体" w:cs="Times New Roman"/>
                <w:color w:val="auto"/>
                <w:highlight w:val="none"/>
                <w:lang w:val="en-US" w:eastAsia="zh-CN"/>
              </w:rPr>
              <w:t>（5）</w:t>
            </w:r>
            <w:r>
              <w:rPr>
                <w:rFonts w:hint="eastAsia" w:ascii="宋体" w:eastAsia="宋体"/>
                <w:color w:val="auto"/>
                <w:highlight w:val="none"/>
                <w:lang w:val="en-US" w:eastAsia="zh-CN"/>
              </w:rPr>
              <w:t>须随设备免费配套一体化全集成自动化工程软件，软件融合控制器编程、触摸屏画面组态、离线虚拟仿真三大核心模块，一套软件完成自动化项目全流程开发调试，适配本项目自动化实训硬件。</w:t>
            </w:r>
          </w:p>
          <w:p w14:paraId="3918A6B8">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color w:val="auto"/>
                <w:highlight w:val="none"/>
              </w:rPr>
            </w:pPr>
            <w:r>
              <w:rPr>
                <w:rFonts w:hint="eastAsia" w:ascii="宋体" w:eastAsia="宋体" w:cs="Times New Roman"/>
                <w:color w:val="auto"/>
                <w:highlight w:val="none"/>
                <w:lang w:val="en-US" w:eastAsia="zh-CN"/>
              </w:rPr>
              <w:t>（6）</w:t>
            </w:r>
            <w:r>
              <w:rPr>
                <w:rFonts w:hint="eastAsia" w:ascii="宋体" w:hAnsi="宋体" w:eastAsia="宋体" w:cs="宋体"/>
                <w:color w:val="auto"/>
                <w:highlight w:val="none"/>
              </w:rPr>
              <w:t>模块采用独立可移动式结构，支持灵活布局与自由组合。面板集成制式电气接口：</w:t>
            </w:r>
            <w:r>
              <w:rPr>
                <w:rFonts w:hint="eastAsia" w:ascii="宋体" w:hAnsi="宋体" w:eastAsia="宋体" w:cs="宋体"/>
                <w:color w:val="auto"/>
                <w:highlight w:val="none"/>
                <w:lang w:val="en-US" w:eastAsia="zh-CN"/>
              </w:rPr>
              <w:t>该</w:t>
            </w:r>
            <w:r>
              <w:rPr>
                <w:rFonts w:hint="eastAsia" w:ascii="宋体" w:hAnsi="宋体" w:eastAsia="宋体" w:cs="宋体"/>
                <w:color w:val="auto"/>
                <w:highlight w:val="none"/>
              </w:rPr>
              <w:t>接口设计兼容弱电控制信号连接与强电动力线路接线，可同时满足PLC自动控制实训与通用</w:t>
            </w:r>
            <w:r>
              <w:rPr>
                <w:rFonts w:hint="eastAsia" w:ascii="宋体" w:hAnsi="宋体" w:eastAsia="宋体" w:cs="宋体"/>
                <w:color w:val="auto"/>
                <w:highlight w:val="none"/>
                <w:lang w:val="en-US" w:eastAsia="zh-CN"/>
              </w:rPr>
              <w:t>中高级</w:t>
            </w:r>
            <w:r>
              <w:rPr>
                <w:rFonts w:hint="eastAsia" w:ascii="宋体" w:hAnsi="宋体" w:eastAsia="宋体" w:cs="宋体"/>
                <w:color w:val="auto"/>
                <w:highlight w:val="none"/>
              </w:rPr>
              <w:t>电工技能考核的双重教学需求</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模块上必须对每个IO口和电源端子做明确标识</w:t>
            </w:r>
            <w:r>
              <w:rPr>
                <w:rFonts w:hint="eastAsia" w:ascii="宋体" w:hAnsi="宋体" w:eastAsia="宋体" w:cs="宋体"/>
                <w:color w:val="auto"/>
                <w:highlight w:val="none"/>
              </w:rPr>
              <w:t>。</w:t>
            </w:r>
          </w:p>
          <w:p w14:paraId="3CDE125E">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PLC 可搭配工业远程监控网关，实现远程程序下载、设备运行数据实时监控、故障报警推送、远程停机管控；远程网关功能仅作为补充，不得替代本机 Profinet、Modbus RTU 基础通讯能力。</w:t>
            </w:r>
          </w:p>
          <w:p w14:paraId="19244E44">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color w:val="auto"/>
                <w:highlight w:val="none"/>
              </w:rPr>
            </w:pPr>
          </w:p>
          <w:p w14:paraId="3074B63B">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highlight w:val="none"/>
                <w:lang w:val="en-US" w:eastAsia="zh-CN"/>
              </w:rPr>
              <w:t xml:space="preserve">7. </w:t>
            </w:r>
            <w:r>
              <w:rPr>
                <w:rFonts w:hint="eastAsia" w:ascii="宋体" w:hAnsi="宋体" w:eastAsia="宋体" w:cs="宋体"/>
                <w:b/>
                <w:bCs/>
                <w:color w:val="auto"/>
                <w:sz w:val="21"/>
                <w:szCs w:val="21"/>
                <w:highlight w:val="none"/>
                <w:lang w:val="en-US" w:eastAsia="zh-CN"/>
              </w:rPr>
              <w:t>数字量扩展模块要求：</w:t>
            </w:r>
          </w:p>
          <w:p w14:paraId="054BECCA">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rightChars="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配套与PLC兼容的本地总线数字量扩展模块≥1块，该扩展模块独立提供数字量输入≥16点、数字量输出≥16 点，各I/O点完整引出到外置接线端子并清晰标识，便于实训接线。</w:t>
            </w:r>
          </w:p>
          <w:p w14:paraId="72B66D45">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eastAsia="宋体" w:cs="Times New Roman"/>
                <w:color w:val="auto"/>
                <w:highlight w:val="none"/>
                <w:lang w:val="en-US" w:eastAsia="zh-CN"/>
              </w:rPr>
            </w:pPr>
          </w:p>
          <w:p w14:paraId="1400CA60">
            <w:pPr>
              <w:keepNext w:val="0"/>
              <w:keepLines w:val="0"/>
              <w:pageBreakBefore w:val="0"/>
              <w:widowControl w:val="0"/>
              <w:numPr>
                <w:ilvl w:val="0"/>
                <w:numId w:val="8"/>
              </w:numPr>
              <w:suppressLineNumbers w:val="0"/>
              <w:kinsoku/>
              <w:wordWrap/>
              <w:overflowPunct/>
              <w:topLinePunct w:val="0"/>
              <w:autoSpaceDE/>
              <w:autoSpaceDN/>
              <w:bidi w:val="0"/>
              <w:spacing w:before="0" w:beforeLines="0" w:beforeAutospacing="0" w:after="0" w:afterLines="0" w:afterAutospacing="0" w:line="360" w:lineRule="exact"/>
              <w:ind w:left="0" w:right="0" w:firstLine="422" w:firstLineChars="200"/>
              <w:jc w:val="both"/>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模拟量扩展模块要求：</w:t>
            </w:r>
          </w:p>
          <w:p w14:paraId="0E041A3D">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rightChars="0"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b w:val="0"/>
                <w:bCs w:val="0"/>
                <w:color w:val="auto"/>
                <w:highlight w:val="none"/>
                <w:lang w:val="en-US" w:eastAsia="zh-CN"/>
              </w:rPr>
              <w:t>配套与PLC兼容的本地总线模拟量扩展模块≥1</w:t>
            </w:r>
            <w:r>
              <w:rPr>
                <w:rFonts w:hint="eastAsia" w:ascii="宋体" w:hAnsi="宋体" w:eastAsia="宋体" w:cs="宋体"/>
                <w:b w:val="0"/>
                <w:bCs w:val="0"/>
                <w:color w:val="auto"/>
                <w:highlight w:val="none"/>
                <w:lang w:val="en-US" w:eastAsia="zh-CN"/>
              </w:rPr>
              <w:t>块，该扩展模块独立提供模拟量输出≥2 路，同时兼容 0~10V DC、0~20mA 两种标准模拟信号，</w:t>
            </w:r>
            <w:r>
              <w:rPr>
                <w:rFonts w:hint="eastAsia" w:ascii="宋体" w:hAnsi="宋体" w:eastAsia="宋体" w:cs="宋体"/>
                <w:color w:val="auto"/>
                <w:highlight w:val="none"/>
              </w:rPr>
              <w:t>端子完整引出并清晰标识。</w:t>
            </w:r>
          </w:p>
          <w:p w14:paraId="286BAE36">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420" w:leftChars="200" w:right="0" w:rightChars="0"/>
              <w:jc w:val="both"/>
              <w:textAlignment w:val="auto"/>
              <w:rPr>
                <w:rFonts w:hint="default" w:ascii="宋体" w:eastAsia="宋体" w:cs="Times New Roman"/>
                <w:color w:val="auto"/>
                <w:highlight w:val="none"/>
                <w:lang w:val="en-US" w:eastAsia="zh-CN"/>
              </w:rPr>
            </w:pPr>
          </w:p>
          <w:p w14:paraId="35E4326F">
            <w:pPr>
              <w:keepNext w:val="0"/>
              <w:keepLines w:val="0"/>
              <w:pageBreakBefore w:val="0"/>
              <w:widowControl w:val="0"/>
              <w:numPr>
                <w:ilvl w:val="0"/>
                <w:numId w:val="8"/>
              </w:numPr>
              <w:suppressLineNumbers w:val="0"/>
              <w:kinsoku/>
              <w:wordWrap/>
              <w:overflowPunct/>
              <w:topLinePunct w:val="0"/>
              <w:autoSpaceDE/>
              <w:autoSpaceDN/>
              <w:bidi w:val="0"/>
              <w:spacing w:before="0" w:beforeLines="0" w:beforeAutospacing="0" w:after="0" w:afterLines="0" w:afterAutospacing="0" w:line="360" w:lineRule="exact"/>
              <w:ind w:left="0" w:right="0" w:firstLine="422" w:firstLineChars="200"/>
              <w:jc w:val="both"/>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工业级触摸屏模块要求：</w:t>
            </w:r>
          </w:p>
          <w:p w14:paraId="3E0F5059">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210" w:firstLineChars="1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▲（1）触摸式操作，7 英寸宽屏 TFT 显</w:t>
            </w:r>
            <w:r>
              <w:rPr>
                <w:rFonts w:hint="eastAsia" w:ascii="宋体" w:hAnsi="宋体" w:eastAsia="宋体" w:cs="宋体"/>
                <w:b w:val="0"/>
                <w:bCs w:val="0"/>
                <w:color w:val="auto"/>
                <w:highlight w:val="none"/>
                <w:lang w:val="en-US" w:eastAsia="zh-CN"/>
              </w:rPr>
              <w:t>示屏，≥6</w:t>
            </w:r>
            <w:r>
              <w:rPr>
                <w:rFonts w:hint="eastAsia" w:ascii="宋体" w:hAnsi="宋体" w:eastAsia="宋体" w:cs="宋体"/>
                <w:b w:val="0"/>
                <w:bCs w:val="0"/>
                <w:color w:val="auto"/>
                <w:highlight w:val="none"/>
                <w:lang w:val="en-US" w:eastAsia="zh-CN"/>
              </w:rPr>
              <w:t>5536 色，分辨率≥800×480；具备 RS-422/485、以太网 RJ45、USB A 型接口，自带硬件 RTC 时钟；可兼容 MCGS PRO 组态环境完成工程组态，同时兼容市面主流工控组态软件；配套预制工业以太网电缆，提供正版组态软件及合法授权。</w:t>
            </w:r>
          </w:p>
          <w:p w14:paraId="341FBE5F">
            <w:pPr>
              <w:widowControl w:val="0"/>
              <w:jc w:val="left"/>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模块采用独立可移动式结构，支持灵活布局与自由组合。面板集成制式电气接口：</w:t>
            </w:r>
            <w:r>
              <w:rPr>
                <w:rFonts w:hint="eastAsia" w:ascii="宋体" w:hAnsi="宋体" w:eastAsia="宋体" w:cs="宋体"/>
                <w:color w:val="auto"/>
                <w:kern w:val="2"/>
                <w:sz w:val="21"/>
                <w:szCs w:val="24"/>
                <w:highlight w:val="none"/>
                <w:lang w:val="en-US" w:eastAsia="zh-CN" w:bidi="ar-SA"/>
              </w:rPr>
              <w:t>弱电控制信号与强电动力线路采用分隔、防误插且与电压等级匹配的接口</w:t>
            </w:r>
            <w:r>
              <w:rPr>
                <w:rFonts w:hint="eastAsia" w:ascii="宋体" w:hAnsi="宋体" w:eastAsia="宋体" w:cs="宋体"/>
                <w:color w:val="auto"/>
                <w:kern w:val="2"/>
                <w:sz w:val="21"/>
                <w:szCs w:val="24"/>
                <w:highlight w:val="none"/>
                <w:lang w:val="en-US" w:eastAsia="zh-CN" w:bidi="ar-SA"/>
              </w:rPr>
              <w:t>，可同时满足自动控制实训与通用中高级电工技能考核的双重教学需求，模块上必须对每个IO口和电源端子做明确标识。</w:t>
            </w:r>
          </w:p>
          <w:p w14:paraId="08BE3AAF">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210" w:firstLineChars="1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▲（3）</w:t>
            </w:r>
            <w:r>
              <w:rPr>
                <w:rFonts w:hint="eastAsia" w:ascii="宋体" w:hAnsi="Times New Roman" w:eastAsia="宋体" w:cs="Times New Roman"/>
                <w:color w:val="auto"/>
                <w:highlight w:val="none"/>
                <w:lang w:val="en-US" w:eastAsia="zh-CN"/>
              </w:rPr>
              <w:t>触摸屏整机具备国内产品相关合格资质，</w:t>
            </w:r>
            <w:r>
              <w:rPr>
                <w:rFonts w:hint="eastAsia" w:eastAsia="宋体"/>
                <w:color w:val="auto"/>
                <w:highlight w:val="none"/>
                <w:lang w:val="en-US" w:eastAsia="zh-CN"/>
              </w:rPr>
              <w:t>供货时</w:t>
            </w:r>
            <w:r>
              <w:rPr>
                <w:rFonts w:hint="eastAsia" w:ascii="宋体" w:hAnsi="Times New Roman" w:eastAsia="宋体" w:cs="Times New Roman"/>
                <w:color w:val="auto"/>
                <w:highlight w:val="none"/>
                <w:lang w:val="en-US" w:eastAsia="zh-CN"/>
              </w:rPr>
              <w:t>须提供国家认可的第三方检测机构出具的整机性能检测报告复印件或原厂出厂合格资质文件或产品彩页或技术白皮书。</w:t>
            </w:r>
          </w:p>
          <w:p w14:paraId="124A59A9">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2" w:firstLineChars="200"/>
              <w:jc w:val="both"/>
              <w:textAlignment w:val="auto"/>
              <w:rPr>
                <w:rFonts w:hint="eastAsia" w:ascii="宋体" w:hAnsi="宋体" w:eastAsia="宋体" w:cs="宋体"/>
                <w:b/>
                <w:bCs/>
                <w:color w:val="auto"/>
                <w:highlight w:val="none"/>
                <w:lang w:val="en-US" w:eastAsia="zh-CN"/>
              </w:rPr>
            </w:pPr>
          </w:p>
          <w:p w14:paraId="4148391D">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632" w:firstLineChars="300"/>
              <w:jc w:val="both"/>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10.  8口以太网交换机要求：</w:t>
            </w:r>
          </w:p>
          <w:p w14:paraId="16F02D88">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210" w:firstLineChars="1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▲（1）端口：≥8 个 1000Mbps 自适应 RJ45接口，支持全 / 半双工、自动端口切换。</w:t>
            </w:r>
          </w:p>
          <w:p w14:paraId="1A3BA5F8">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p>
          <w:p w14:paraId="7745F8BF">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（2）环境与安装：工作温度 0℃~60℃，防护等级≥IP30，支持导轨安装。</w:t>
            </w:r>
          </w:p>
          <w:p w14:paraId="66465AD4">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（3）性能：具备工业抗干扰能力，无风扇设计，可长期连续运行。</w:t>
            </w:r>
          </w:p>
          <w:p w14:paraId="7C6C2785">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（4）协议：兼容主流工业以太网协议。</w:t>
            </w:r>
          </w:p>
          <w:p w14:paraId="27A99040">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highlight w:val="none"/>
                <w:lang w:val="en-US" w:eastAsia="zh-CN"/>
              </w:rPr>
              <w:t>（5）配件：</w:t>
            </w:r>
            <w:r>
              <w:rPr>
                <w:rFonts w:hint="eastAsia" w:ascii="宋体" w:hAnsi="宋体" w:eastAsia="宋体" w:cs="宋体"/>
                <w:b w:val="0"/>
                <w:bCs w:val="0"/>
                <w:color w:val="auto"/>
                <w:kern w:val="2"/>
                <w:sz w:val="21"/>
                <w:szCs w:val="21"/>
                <w:highlight w:val="none"/>
                <w:lang w:val="en-US" w:eastAsia="zh-CN" w:bidi="ar"/>
              </w:rPr>
              <w:t>每台配≥4根长度≥1m 超五类网线，1根长度≥3m 超五类网线。</w:t>
            </w:r>
          </w:p>
          <w:p w14:paraId="32ED3E90">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eastAsia" w:ascii="宋体" w:hAnsi="宋体" w:eastAsia="宋体" w:cs="宋体"/>
                <w:b w:val="0"/>
                <w:bCs w:val="0"/>
                <w:color w:val="auto"/>
                <w:kern w:val="2"/>
                <w:sz w:val="21"/>
                <w:szCs w:val="21"/>
                <w:highlight w:val="none"/>
                <w:lang w:val="en-US" w:eastAsia="zh-CN" w:bidi="ar"/>
              </w:rPr>
            </w:pPr>
          </w:p>
          <w:p w14:paraId="6228E63A">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highlight w:val="none"/>
                <w:lang w:val="en-US" w:eastAsia="zh-CN"/>
              </w:rPr>
              <w:t>▲</w:t>
            </w:r>
            <w:r>
              <w:rPr>
                <w:rFonts w:hint="eastAsia" w:ascii="宋体" w:hAnsi="宋体" w:eastAsia="宋体" w:cs="宋体"/>
                <w:b/>
                <w:bCs/>
                <w:color w:val="auto"/>
                <w:kern w:val="2"/>
                <w:sz w:val="21"/>
                <w:szCs w:val="21"/>
                <w:highlight w:val="none"/>
                <w:lang w:val="en-US" w:eastAsia="zh-CN" w:bidi="ar"/>
              </w:rPr>
              <w:t xml:space="preserve">11. </w:t>
            </w:r>
            <w:r>
              <w:rPr>
                <w:rFonts w:hint="eastAsia" w:ascii="宋体" w:hAnsi="宋体" w:eastAsia="宋体" w:cs="宋体"/>
                <w:b/>
                <w:bCs/>
                <w:color w:val="auto"/>
                <w:sz w:val="21"/>
                <w:szCs w:val="21"/>
                <w:highlight w:val="none"/>
              </w:rPr>
              <w:t>变频器</w:t>
            </w:r>
            <w:r>
              <w:rPr>
                <w:rFonts w:hint="eastAsia" w:ascii="宋体" w:hAnsi="宋体" w:eastAsia="宋体" w:cs="宋体"/>
                <w:b/>
                <w:bCs/>
                <w:color w:val="auto"/>
                <w:sz w:val="21"/>
                <w:szCs w:val="21"/>
                <w:highlight w:val="none"/>
                <w:lang w:val="en-US" w:eastAsia="zh-CN"/>
              </w:rPr>
              <w:t>要求：</w:t>
            </w:r>
          </w:p>
          <w:p w14:paraId="387B9972">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（1）输入电压：AC380V，功率≥0.4kW。</w:t>
            </w:r>
          </w:p>
          <w:p w14:paraId="5EAE5300">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（2）数字量输入信号端子：包括正转，反转，启动保持，多段速，点动，停止，复位等功能。</w:t>
            </w:r>
          </w:p>
          <w:p w14:paraId="6C9C368B">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（3）数字量输出：不少于 2 路。</w:t>
            </w:r>
          </w:p>
          <w:p w14:paraId="14AF00E7">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（4）模拟量输入：至少支持 0–10V DC 或 0–20mA 中的两种，可用于外部电位器或 PLC 模拟量调速。</w:t>
            </w:r>
          </w:p>
          <w:p w14:paraId="6F98AF09">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（5）模拟量输出：至少 1 路 0–10V DC 输出，用于频率或速度反馈。</w:t>
            </w:r>
          </w:p>
          <w:p w14:paraId="5C4E02D3">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（6）运行电压 3 AC 380～480V/+10%～20%。</w:t>
            </w:r>
          </w:p>
          <w:p w14:paraId="2C673338">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（7）输入频率47～63 Hz。</w:t>
            </w:r>
          </w:p>
          <w:p w14:paraId="6AD869EE">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（8）输出频率:V/f控制方式0～550Hz；矢量控制方式0～240Hz。</w:t>
            </w:r>
          </w:p>
          <w:p w14:paraId="3AE2D58A">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color w:val="auto"/>
                <w:kern w:val="0"/>
                <w:szCs w:val="21"/>
                <w:highlight w:val="none"/>
                <w:lang w:eastAsia="zh-CN"/>
              </w:rPr>
            </w:pPr>
            <w:r>
              <w:rPr>
                <w:rFonts w:hint="eastAsia" w:ascii="宋体" w:hAnsi="宋体" w:eastAsia="宋体" w:cs="宋体"/>
                <w:b w:val="0"/>
                <w:bCs w:val="0"/>
                <w:color w:val="auto"/>
                <w:highlight w:val="none"/>
                <w:lang w:val="en-US" w:eastAsia="zh-CN"/>
              </w:rPr>
              <w:t>（9）内置 ProfiNET 工业以太网通讯接口，支持闭环矢量控制，驱动器自带内置定位功能，可通过标准 PROFIdrive 报文实现原点回归、点动、绝对 / 相对定位任务。</w:t>
            </w:r>
          </w:p>
          <w:p w14:paraId="281F9ED1">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firstLine="420" w:firstLineChars="200"/>
              <w:jc w:val="left"/>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highlight w:val="none"/>
                <w:lang w:val="en-US" w:eastAsia="zh-CN"/>
              </w:rPr>
              <w:t>（10）保护功能：应具备欠压保护，过压保护，过载保护，接地保护，短路保护，失步保护，电机堵转保护，电机超温保护，变频器超温保护。</w:t>
            </w:r>
          </w:p>
          <w:p w14:paraId="4A6A73F9">
            <w:pPr>
              <w:keepNext w:val="0"/>
              <w:keepLines w:val="0"/>
              <w:pageBreakBefore w:val="0"/>
              <w:widowControl/>
              <w:suppressLineNumbers w:val="0"/>
              <w:kinsoku/>
              <w:wordWrap/>
              <w:overflowPunct/>
              <w:topLinePunct w:val="0"/>
              <w:autoSpaceDN/>
              <w:bidi w:val="0"/>
              <w:spacing w:before="0" w:beforeAutospacing="0" w:after="0" w:afterAutospacing="0" w:line="360" w:lineRule="exact"/>
              <w:ind w:left="0" w:right="0"/>
              <w:jc w:val="left"/>
              <w:rPr>
                <w:rFonts w:hint="eastAsia" w:ascii="宋体" w:hAnsi="宋体" w:eastAsia="宋体" w:cs="宋体"/>
                <w:b w:val="0"/>
                <w:bCs w:val="0"/>
                <w:color w:val="auto"/>
                <w:kern w:val="2"/>
                <w:sz w:val="21"/>
                <w:szCs w:val="21"/>
                <w:highlight w:val="none"/>
                <w:lang w:val="en-US" w:eastAsia="zh-CN" w:bidi="ar"/>
              </w:rPr>
            </w:pPr>
          </w:p>
          <w:p w14:paraId="37630591">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360" w:lineRule="exact"/>
              <w:ind w:left="0" w:right="0" w:rightChars="0" w:firstLine="630" w:firstLineChars="300"/>
              <w:jc w:val="left"/>
              <w:rPr>
                <w:rFonts w:hint="default" w:ascii="宋体" w:hAnsi="宋体" w:eastAsia="宋体" w:cs="宋体"/>
                <w:b/>
                <w:bCs/>
                <w:color w:val="auto"/>
                <w:kern w:val="2"/>
                <w:sz w:val="21"/>
                <w:szCs w:val="21"/>
                <w:highlight w:val="none"/>
                <w:lang w:val="en-US" w:eastAsia="zh-CN" w:bidi="ar"/>
              </w:rPr>
            </w:pPr>
            <w:r>
              <w:rPr>
                <w:rFonts w:hint="eastAsia" w:ascii="宋体" w:hAnsi="宋体" w:eastAsia="宋体" w:cs="宋体"/>
                <w:b w:val="0"/>
                <w:bCs w:val="0"/>
                <w:color w:val="auto"/>
                <w:highlight w:val="none"/>
                <w:lang w:val="en-US" w:eastAsia="zh-CN"/>
              </w:rPr>
              <w:t xml:space="preserve">▲12. </w:t>
            </w:r>
            <w:r>
              <w:rPr>
                <w:rFonts w:hint="eastAsia" w:ascii="宋体" w:hAnsi="宋体" w:eastAsia="宋体" w:cs="宋体"/>
                <w:b/>
                <w:bCs/>
                <w:color w:val="auto"/>
                <w:sz w:val="21"/>
                <w:szCs w:val="21"/>
                <w:highlight w:val="none"/>
              </w:rPr>
              <w:t>三相异步电动机</w:t>
            </w:r>
            <w:r>
              <w:rPr>
                <w:rFonts w:hint="eastAsia" w:ascii="宋体" w:hAnsi="宋体" w:eastAsia="宋体" w:cs="宋体"/>
                <w:b/>
                <w:bCs/>
                <w:color w:val="auto"/>
                <w:sz w:val="21"/>
                <w:szCs w:val="21"/>
                <w:highlight w:val="none"/>
                <w:lang w:val="en-US" w:eastAsia="zh-CN"/>
              </w:rPr>
              <w:t>要求：</w:t>
            </w:r>
          </w:p>
          <w:p w14:paraId="493F4DAE">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360" w:lineRule="exact"/>
              <w:ind w:left="0" w:right="0" w:rightChars="0" w:firstLine="420" w:firstLineChars="200"/>
              <w:jc w:val="left"/>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额定功率≥0.18kW；额定电压：380V/660V；额定转速≥1400rpm；防护等级≥IP44。</w:t>
            </w:r>
          </w:p>
          <w:p w14:paraId="6B8C29BF">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360" w:lineRule="exact"/>
              <w:ind w:left="0" w:right="0" w:rightChars="0" w:firstLine="420" w:firstLineChars="200"/>
              <w:jc w:val="left"/>
              <w:rPr>
                <w:rFonts w:hint="eastAsia" w:ascii="宋体" w:hAnsi="宋体" w:eastAsia="宋体" w:cs="宋体"/>
                <w:b w:val="0"/>
                <w:bCs w:val="0"/>
                <w:color w:val="auto"/>
                <w:highlight w:val="none"/>
                <w:lang w:val="en-US" w:eastAsia="zh-CN"/>
              </w:rPr>
            </w:pPr>
          </w:p>
          <w:p w14:paraId="59C649F0">
            <w:pPr>
              <w:keepNext w:val="0"/>
              <w:keepLines w:val="0"/>
              <w:pageBreakBefore w:val="0"/>
              <w:widowControl/>
              <w:numPr>
                <w:ilvl w:val="0"/>
                <w:numId w:val="9"/>
              </w:numPr>
              <w:suppressLineNumbers w:val="0"/>
              <w:kinsoku/>
              <w:wordWrap/>
              <w:overflowPunct/>
              <w:topLinePunct w:val="0"/>
              <w:autoSpaceDN/>
              <w:bidi w:val="0"/>
              <w:spacing w:before="0" w:beforeAutospacing="0" w:after="0" w:afterAutospacing="0" w:line="360" w:lineRule="exact"/>
              <w:ind w:left="0" w:right="0" w:rightChars="0" w:firstLine="632" w:firstLineChars="300"/>
              <w:jc w:val="left"/>
              <w:rPr>
                <w:rFonts w:hint="default" w:ascii="宋体" w:hAnsi="宋体" w:eastAsia="宋体" w:cs="宋体"/>
                <w:b/>
                <w:bCs/>
                <w:color w:val="auto"/>
                <w:highlight w:val="none"/>
                <w:lang w:val="en-US" w:eastAsia="zh-CN"/>
              </w:rPr>
            </w:pPr>
            <w:r>
              <w:rPr>
                <w:rFonts w:hint="eastAsia" w:ascii="宋体" w:hAnsi="宋体" w:eastAsia="宋体" w:cs="宋体"/>
                <w:b/>
                <w:bCs/>
                <w:color w:val="auto"/>
                <w:sz w:val="21"/>
                <w:szCs w:val="21"/>
                <w:highlight w:val="none"/>
                <w:lang w:val="en-US" w:eastAsia="zh-CN"/>
              </w:rPr>
              <w:t>电工实训组件套要求：</w:t>
            </w:r>
          </w:p>
          <w:p w14:paraId="7D728CE6">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（1）≥1个小型断路器</w:t>
            </w:r>
          </w:p>
          <w:p w14:paraId="313D6BD1">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（2）≥4个交流接触器</w:t>
            </w:r>
          </w:p>
          <w:p w14:paraId="11FC6D29">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（3）≥4个辅助触头</w:t>
            </w:r>
          </w:p>
          <w:p w14:paraId="5000C4BC">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（4）≥8个中间继电器</w:t>
            </w:r>
          </w:p>
          <w:p w14:paraId="77449417">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（5）≥5个熔体</w:t>
            </w:r>
          </w:p>
          <w:p w14:paraId="6F5E4CF6">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（6）≥5个熔断器座</w:t>
            </w:r>
          </w:p>
          <w:p w14:paraId="748BA3A9">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（7）≥2个时间继电器</w:t>
            </w:r>
          </w:p>
          <w:p w14:paraId="7CA20112">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（8）≥2个时间继电器座</w:t>
            </w:r>
          </w:p>
          <w:p w14:paraId="1367228D">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（9）≥2个热过载继电器</w:t>
            </w:r>
          </w:p>
          <w:p w14:paraId="07B52922">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（10）≥2个行程开关（不带锁）</w:t>
            </w:r>
          </w:p>
          <w:p w14:paraId="5C57E676">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（11）≥2个行程开关（带锁）</w:t>
            </w:r>
          </w:p>
          <w:p w14:paraId="41B64451">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（12）≥2个自复平头按钮、</w:t>
            </w:r>
          </w:p>
          <w:p w14:paraId="30368A91">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（13）≥1个1位蘑菇头式按钮</w:t>
            </w:r>
          </w:p>
          <w:p w14:paraId="3C8F8BC2">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（14）≥5个3位按钮盒</w:t>
            </w:r>
          </w:p>
          <w:p w14:paraId="0F8EC2A4">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（15）≥2个信号指示灯（绿色）</w:t>
            </w:r>
          </w:p>
          <w:p w14:paraId="5FB1BD94">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（16）≥2个信号指示灯（黄色）</w:t>
            </w:r>
          </w:p>
          <w:p w14:paraId="1894E52A">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（17）≥2个信号指示灯（红色）</w:t>
            </w:r>
          </w:p>
          <w:p w14:paraId="2689AAF2">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（18）≥2个二位置锁定旋钮式开关</w:t>
            </w:r>
          </w:p>
          <w:p w14:paraId="72CB0FDF">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（19）≥3条线槽</w:t>
            </w:r>
          </w:p>
          <w:p w14:paraId="512F5C44">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（20）≥3条通用C45铝导轨</w:t>
            </w:r>
          </w:p>
          <w:p w14:paraId="41A5B81C">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（21）≥1套安装螺钉</w:t>
            </w:r>
          </w:p>
          <w:p w14:paraId="07492A6B">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（22）≥1块数字电流表，可显示电流、电压、视在功率、功率因素等信息</w:t>
            </w:r>
          </w:p>
          <w:p w14:paraId="299BF370">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（23）≥1导轨式开关电源，提供24v直流电源输出，功率≥60w</w:t>
            </w:r>
          </w:p>
          <w:p w14:paraId="21E4D413">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（24）</w:t>
            </w:r>
            <w:r>
              <w:rPr>
                <w:rFonts w:hint="eastAsia" w:ascii="宋体" w:hAnsi="宋体" w:eastAsia="宋体" w:cs="宋体"/>
                <w:b w:val="0"/>
                <w:bCs w:val="0"/>
                <w:color w:val="auto"/>
                <w:kern w:val="2"/>
                <w:sz w:val="21"/>
                <w:szCs w:val="24"/>
                <w:highlight w:val="none"/>
                <w:lang w:val="en-US" w:eastAsia="zh-CN" w:bidi="ar-SA"/>
              </w:rPr>
              <w:t>要根据可开展的实训项目匹配相关组件并做成相应模块方便拆卸使用</w:t>
            </w:r>
            <w:r>
              <w:rPr>
                <w:rFonts w:hint="eastAsia" w:ascii="宋体" w:hAnsi="宋体" w:eastAsia="宋体" w:cs="宋体"/>
                <w:b w:val="0"/>
                <w:bCs w:val="0"/>
                <w:color w:val="auto"/>
                <w:highlight w:val="none"/>
                <w:lang w:val="en-US" w:eastAsia="zh-CN"/>
              </w:rPr>
              <w:t>。</w:t>
            </w:r>
          </w:p>
          <w:p w14:paraId="794F435F">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right="0" w:firstLine="210" w:firstLineChars="1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▲（25）配套电工教学软件，可完成功能包括多种电工工器具识别，电路图绘图及连接测试，实物模拟接线及通电实验，电路通路短路维修检测，提供相对应的电工考试试题及答案、PPT课件。</w:t>
            </w:r>
            <w:r>
              <w:rPr>
                <w:rFonts w:hint="eastAsia" w:ascii="宋体" w:hAnsi="宋体" w:eastAsia="宋体" w:cs="宋体"/>
                <w:b/>
                <w:bCs/>
                <w:color w:val="auto"/>
                <w:highlight w:val="none"/>
                <w:lang w:val="en-US" w:eastAsia="zh-CN"/>
              </w:rPr>
              <w:t>相关内容须在响应文件中提供软件截图等证明材料。</w:t>
            </w:r>
          </w:p>
          <w:p w14:paraId="219110ED">
            <w:pPr>
              <w:ind w:firstLine="210" w:firstLineChars="100"/>
              <w:rPr>
                <w:rFonts w:hint="eastAsia" w:eastAsia="宋体"/>
                <w:color w:val="auto"/>
                <w:highlight w:val="none"/>
                <w:lang w:eastAsia="zh-CN"/>
              </w:rPr>
            </w:pPr>
            <w:r>
              <w:rPr>
                <w:rFonts w:hint="eastAsia" w:eastAsia="宋体"/>
                <w:color w:val="auto"/>
                <w:highlight w:val="none"/>
                <w:lang w:eastAsia="zh-CN"/>
              </w:rPr>
              <w:t>▲（26）可移动导线出线车（每个实验室配置1台）：用于PLC实训、电工技能实训、电工考证实操中大量使用导线，便于出线使用提高效率：</w:t>
            </w:r>
          </w:p>
          <w:p w14:paraId="3C922A4C">
            <w:pPr>
              <w:rPr>
                <w:rFonts w:hint="eastAsia" w:eastAsia="宋体"/>
                <w:color w:val="auto"/>
                <w:highlight w:val="none"/>
                <w:lang w:eastAsia="zh-CN"/>
              </w:rPr>
            </w:pPr>
            <w:r>
              <w:rPr>
                <w:rFonts w:hint="eastAsia" w:eastAsia="宋体"/>
                <w:color w:val="auto"/>
                <w:highlight w:val="none"/>
                <w:lang w:eastAsia="zh-CN"/>
              </w:rPr>
              <w:t>①　外形尺寸：≥820mm×500mm×860mm（允许误差在±5%）</w:t>
            </w:r>
          </w:p>
          <w:p w14:paraId="7330B97E">
            <w:pPr>
              <w:rPr>
                <w:rFonts w:hint="eastAsia" w:eastAsia="宋体"/>
                <w:color w:val="auto"/>
                <w:highlight w:val="none"/>
                <w:lang w:eastAsia="zh-CN"/>
              </w:rPr>
            </w:pPr>
            <w:r>
              <w:rPr>
                <w:rFonts w:hint="eastAsia" w:eastAsia="宋体"/>
                <w:color w:val="auto"/>
                <w:highlight w:val="none"/>
                <w:lang w:eastAsia="zh-CN"/>
              </w:rPr>
              <w:t>②　输入电源：AC220V ,50Hz</w:t>
            </w:r>
          </w:p>
          <w:p w14:paraId="7960CB13">
            <w:pPr>
              <w:rPr>
                <w:rFonts w:hint="eastAsia" w:eastAsia="宋体"/>
                <w:color w:val="auto"/>
                <w:highlight w:val="none"/>
                <w:lang w:eastAsia="zh-CN"/>
              </w:rPr>
            </w:pPr>
            <w:r>
              <w:rPr>
                <w:rFonts w:hint="eastAsia" w:eastAsia="宋体"/>
                <w:color w:val="auto"/>
                <w:highlight w:val="none"/>
                <w:lang w:eastAsia="zh-CN"/>
              </w:rPr>
              <w:t>③　整机容量≤0.2kVA</w:t>
            </w:r>
          </w:p>
          <w:p w14:paraId="300CDCDE">
            <w:pPr>
              <w:rPr>
                <w:rFonts w:hint="eastAsia" w:eastAsia="宋体"/>
                <w:color w:val="auto"/>
                <w:highlight w:val="none"/>
                <w:lang w:eastAsia="zh-CN"/>
              </w:rPr>
            </w:pPr>
            <w:r>
              <w:rPr>
                <w:rFonts w:hint="eastAsia" w:eastAsia="宋体"/>
                <w:color w:val="auto"/>
                <w:highlight w:val="none"/>
                <w:lang w:eastAsia="zh-CN"/>
              </w:rPr>
              <w:t>主要功能要求：</w:t>
            </w:r>
          </w:p>
          <w:p w14:paraId="5FA6C1E6">
            <w:pPr>
              <w:rPr>
                <w:rFonts w:hint="eastAsia" w:eastAsia="宋体"/>
                <w:color w:val="auto"/>
                <w:highlight w:val="none"/>
                <w:lang w:eastAsia="zh-CN"/>
              </w:rPr>
            </w:pPr>
            <w:r>
              <w:rPr>
                <w:rFonts w:hint="eastAsia" w:eastAsia="宋体"/>
                <w:color w:val="auto"/>
                <w:highlight w:val="none"/>
                <w:lang w:eastAsia="zh-CN"/>
              </w:rPr>
              <w:t>①　本机采用数字智能控制装置，按键操作，性能稳定，精度高，速度快，操作方便。</w:t>
            </w:r>
          </w:p>
          <w:p w14:paraId="52282F20">
            <w:pPr>
              <w:rPr>
                <w:rFonts w:hint="eastAsia" w:eastAsia="宋体"/>
                <w:color w:val="auto"/>
                <w:highlight w:val="none"/>
                <w:lang w:eastAsia="zh-CN"/>
              </w:rPr>
            </w:pPr>
            <w:r>
              <w:rPr>
                <w:rFonts w:hint="eastAsia" w:eastAsia="宋体"/>
                <w:color w:val="auto"/>
                <w:highlight w:val="none"/>
                <w:lang w:eastAsia="zh-CN"/>
              </w:rPr>
              <w:t>②　</w:t>
            </w:r>
            <w:r>
              <w:rPr>
                <w:rFonts w:hint="eastAsia" w:eastAsia="宋体"/>
                <w:color w:val="auto"/>
                <w:highlight w:val="none"/>
                <w:lang w:eastAsia="zh-CN"/>
              </w:rPr>
              <w:t>出线规格为0.5mm</w:t>
            </w:r>
            <w:r>
              <w:rPr>
                <w:rFonts w:hint="eastAsia" w:eastAsia="宋体"/>
                <w:color w:val="auto"/>
                <w:highlight w:val="none"/>
                <w:vertAlign w:val="superscript"/>
                <w:lang w:eastAsia="zh-CN"/>
              </w:rPr>
              <w:t>2</w:t>
            </w:r>
            <w:r>
              <w:rPr>
                <w:rFonts w:hint="eastAsia" w:eastAsia="宋体"/>
                <w:color w:val="auto"/>
                <w:highlight w:val="none"/>
                <w:lang w:eastAsia="zh-CN"/>
              </w:rPr>
              <w:t>～6mm</w:t>
            </w:r>
            <w:r>
              <w:rPr>
                <w:rFonts w:hint="eastAsia" w:eastAsia="宋体"/>
                <w:color w:val="auto"/>
                <w:highlight w:val="none"/>
                <w:vertAlign w:val="superscript"/>
                <w:lang w:eastAsia="zh-CN"/>
              </w:rPr>
              <w:t>2</w:t>
            </w:r>
            <w:r>
              <w:rPr>
                <w:rFonts w:hint="eastAsia" w:eastAsia="宋体"/>
                <w:color w:val="auto"/>
                <w:highlight w:val="none"/>
                <w:lang w:eastAsia="zh-CN"/>
              </w:rPr>
              <w:t>电线</w:t>
            </w:r>
            <w:r>
              <w:rPr>
                <w:rFonts w:hint="eastAsia" w:eastAsia="宋体"/>
                <w:color w:val="auto"/>
                <w:highlight w:val="none"/>
                <w:lang w:eastAsia="zh-CN"/>
              </w:rPr>
              <w:t>，出线时可以同时出3根电线或2根电线或1根电线，并且可以同时出不同规格电线。</w:t>
            </w:r>
          </w:p>
          <w:p w14:paraId="1E2731F6">
            <w:pPr>
              <w:rPr>
                <w:rFonts w:hint="eastAsia" w:eastAsia="宋体"/>
                <w:color w:val="auto"/>
                <w:highlight w:val="none"/>
                <w:lang w:eastAsia="zh-CN"/>
              </w:rPr>
            </w:pPr>
            <w:r>
              <w:rPr>
                <w:rFonts w:hint="eastAsia" w:eastAsia="宋体"/>
                <w:color w:val="auto"/>
                <w:highlight w:val="none"/>
                <w:lang w:eastAsia="zh-CN"/>
              </w:rPr>
              <w:t>③　具有自动矫直导线功能，本装置可以将整捆电线在出线的时候自动矫直，省去了学生手工矫直的环节，省时省力。</w:t>
            </w:r>
          </w:p>
          <w:p w14:paraId="44B0CA1A">
            <w:pPr>
              <w:rPr>
                <w:rFonts w:hint="eastAsia" w:eastAsia="宋体"/>
                <w:color w:val="auto"/>
                <w:highlight w:val="none"/>
                <w:lang w:eastAsia="zh-CN"/>
              </w:rPr>
            </w:pPr>
            <w:r>
              <w:rPr>
                <w:rFonts w:hint="eastAsia" w:eastAsia="宋体"/>
                <w:color w:val="auto"/>
                <w:highlight w:val="none"/>
                <w:lang w:eastAsia="zh-CN"/>
              </w:rPr>
              <w:t>④　学生可以根据需要定量、定尺自动出线，也可以手动出线，节约用线。</w:t>
            </w:r>
          </w:p>
          <w:p w14:paraId="31E933B7">
            <w:pPr>
              <w:rPr>
                <w:rFonts w:eastAsia="宋体"/>
                <w:color w:val="auto"/>
                <w:highlight w:val="none"/>
              </w:rPr>
            </w:pPr>
            <w:r>
              <w:rPr>
                <w:rFonts w:hint="eastAsia" w:eastAsia="宋体"/>
                <w:color w:val="auto"/>
                <w:highlight w:val="none"/>
              </w:rPr>
              <w:t>主要技术参数：</w:t>
            </w:r>
          </w:p>
          <w:p w14:paraId="70C80589">
            <w:pPr>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①处理器：处理器</w:t>
            </w:r>
            <w:r>
              <w:rPr>
                <w:rFonts w:hint="eastAsia" w:ascii="宋体" w:hAnsi="宋体" w:eastAsia="宋体" w:cs="宋体"/>
                <w:color w:val="auto"/>
                <w:szCs w:val="21"/>
                <w:highlight w:val="none"/>
                <w:lang w:val="en-US" w:eastAsia="zh-CN" w:bidi="ar"/>
              </w:rPr>
              <w:t>采用≥ 32 位微控制器，支持程序在线烧录调试，具备 SPI、UART、I2C、PWM、ADC、定时器、GPIO 等常用外设资源，满足设备控制逻辑运行需求。</w:t>
            </w:r>
          </w:p>
          <w:p w14:paraId="74A851D5">
            <w:pPr>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②内存存储：≥128KB Flash，≥8KB RAM。</w:t>
            </w:r>
          </w:p>
          <w:p w14:paraId="2F9BF5FD">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bidi="ar"/>
              </w:rPr>
              <w:t>▲③具备程序下载、调试及系统维护功能，可采用板载或外接工具实现。</w:t>
            </w:r>
            <w:r>
              <w:rPr>
                <w:rFonts w:hint="eastAsia" w:ascii="宋体" w:hAnsi="宋体" w:eastAsia="宋体" w:cs="宋体"/>
                <w:color w:val="auto"/>
                <w:szCs w:val="21"/>
                <w:highlight w:val="none"/>
                <w:lang w:val="en-US" w:eastAsia="zh-CN" w:bidi="ar"/>
              </w:rPr>
              <w:t>主板具备防短路过流报警功能，发生短路故障时实现自动断电、声光告警；短路故障排除后设备可自动恢复工作。（</w:t>
            </w:r>
            <w:r>
              <w:rPr>
                <w:rFonts w:hint="eastAsia" w:asciiTheme="majorEastAsia" w:hAnsiTheme="majorEastAsia" w:eastAsiaTheme="majorEastAsia" w:cstheme="majorEastAsia"/>
                <w:color w:val="auto"/>
                <w:highlight w:val="none"/>
                <w:lang w:val="en-US" w:eastAsia="zh-CN"/>
              </w:rPr>
              <w:t>竞标时必须提供以下任意一项证明</w:t>
            </w:r>
            <w:r>
              <w:rPr>
                <w:rFonts w:hint="eastAsia" w:asciiTheme="majorEastAsia" w:hAnsiTheme="majorEastAsia" w:eastAsiaTheme="majorEastAsia" w:cstheme="majorEastAsia"/>
                <w:color w:val="auto"/>
                <w:highlight w:val="none"/>
              </w:rPr>
              <w:t>材料</w:t>
            </w:r>
            <w:r>
              <w:rPr>
                <w:rFonts w:hint="eastAsia" w:asciiTheme="majorEastAsia" w:hAnsiTheme="majorEastAsia" w:eastAsiaTheme="majorEastAsia" w:cstheme="majorEastAsia"/>
                <w:color w:val="auto"/>
                <w:highlight w:val="none"/>
                <w:lang w:val="en-US" w:eastAsia="zh-CN"/>
              </w:rPr>
              <w:t>：在</w:t>
            </w:r>
            <w:r>
              <w:rPr>
                <w:rFonts w:hint="eastAsia" w:ascii="Times New Roman" w:hAnsi="Times New Roman" w:eastAsia="宋体" w:cs="Times New Roman"/>
                <w:color w:val="auto"/>
                <w:highlight w:val="none"/>
                <w:lang w:val="en-US" w:eastAsia="zh-CN"/>
              </w:rPr>
              <w:t>广西政府采购云平台</w:t>
            </w:r>
            <w:r>
              <w:rPr>
                <w:rFonts w:hint="eastAsia" w:eastAsia="宋体" w:cs="Times New Roman"/>
                <w:color w:val="auto"/>
                <w:highlight w:val="none"/>
                <w:lang w:val="en-US" w:eastAsia="zh-CN"/>
              </w:rPr>
              <w:t>提供</w:t>
            </w:r>
            <w:r>
              <w:rPr>
                <w:rFonts w:hint="eastAsia" w:asciiTheme="majorEastAsia" w:hAnsiTheme="majorEastAsia" w:eastAsiaTheme="majorEastAsia" w:cstheme="majorEastAsia"/>
                <w:color w:val="auto"/>
                <w:highlight w:val="none"/>
              </w:rPr>
              <w:t>视频演示或</w:t>
            </w: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val="en-US" w:eastAsia="zh-CN"/>
              </w:rPr>
              <w:t>展现此项参数要求的相关图片</w:t>
            </w:r>
            <w:r>
              <w:rPr>
                <w:rFonts w:hint="eastAsia" w:asciiTheme="majorEastAsia" w:hAnsiTheme="majorEastAsia" w:eastAsiaTheme="majorEastAsia" w:cstheme="majorEastAsia"/>
                <w:color w:val="auto"/>
                <w:highlight w:val="none"/>
              </w:rPr>
              <w:t>或</w:t>
            </w:r>
            <w:r>
              <w:rPr>
                <w:rFonts w:hint="eastAsia" w:ascii="宋体" w:hAnsi="宋体" w:eastAsia="宋体" w:cs="宋体"/>
                <w:color w:val="auto"/>
                <w:szCs w:val="21"/>
                <w:highlight w:val="none"/>
                <w:lang w:val="en-US" w:eastAsia="zh-CN" w:bidi="ar"/>
              </w:rPr>
              <w:t>官方产品彩页或</w:t>
            </w:r>
            <w:r>
              <w:rPr>
                <w:rFonts w:hint="eastAsia" w:asciiTheme="majorEastAsia" w:hAnsiTheme="majorEastAsia" w:eastAsiaTheme="majorEastAsia" w:cstheme="majorEastAsia"/>
                <w:color w:val="auto"/>
                <w:highlight w:val="none"/>
              </w:rPr>
              <w:t>第三方检测机构出具的检测报告或</w:t>
            </w:r>
            <w:r>
              <w:rPr>
                <w:rFonts w:hint="eastAsia" w:asciiTheme="majorEastAsia" w:hAnsiTheme="majorEastAsia" w:eastAsiaTheme="majorEastAsia" w:cstheme="majorEastAsia"/>
                <w:color w:val="auto"/>
                <w:highlight w:val="none"/>
                <w:lang w:val="en-US" w:eastAsia="zh-CN"/>
              </w:rPr>
              <w:t>技术白皮书</w:t>
            </w:r>
            <w:r>
              <w:rPr>
                <w:rFonts w:hint="eastAsia" w:asciiTheme="majorEastAsia" w:hAnsiTheme="majorEastAsia" w:eastAsiaTheme="majorEastAsia" w:cstheme="majorEastAsia"/>
                <w:color w:val="auto"/>
                <w:highlight w:val="none"/>
              </w:rPr>
              <w:t>。</w:t>
            </w:r>
            <w:r>
              <w:rPr>
                <w:rFonts w:hint="eastAsia" w:asciiTheme="majorEastAsia" w:hAnsiTheme="majorEastAsia" w:eastAsiaTheme="majorEastAsia" w:cstheme="majorEastAsia"/>
                <w:color w:val="auto"/>
                <w:highlight w:val="none"/>
                <w:lang w:val="en-US" w:eastAsia="zh-CN"/>
              </w:rPr>
              <w:t>未提供相关证明材料或提供的</w:t>
            </w:r>
            <w:r>
              <w:rPr>
                <w:rFonts w:hint="eastAsia" w:asciiTheme="majorEastAsia" w:hAnsiTheme="majorEastAsia" w:eastAsiaTheme="majorEastAsia" w:cstheme="majorEastAsia"/>
                <w:color w:val="auto"/>
                <w:highlight w:val="none"/>
              </w:rPr>
              <w:t>证明材料</w:t>
            </w:r>
            <w:r>
              <w:rPr>
                <w:rFonts w:hint="eastAsia" w:asciiTheme="majorEastAsia" w:hAnsiTheme="majorEastAsia" w:eastAsiaTheme="majorEastAsia" w:cstheme="majorEastAsia"/>
                <w:color w:val="auto"/>
                <w:highlight w:val="none"/>
                <w:lang w:val="en-US" w:eastAsia="zh-CN"/>
              </w:rPr>
              <w:t>未</w:t>
            </w:r>
            <w:r>
              <w:rPr>
                <w:rFonts w:hint="eastAsia" w:asciiTheme="majorEastAsia" w:hAnsiTheme="majorEastAsia" w:eastAsiaTheme="majorEastAsia" w:cstheme="majorEastAsia"/>
                <w:color w:val="auto"/>
                <w:highlight w:val="none"/>
              </w:rPr>
              <w:t>能</w:t>
            </w:r>
            <w:r>
              <w:rPr>
                <w:rFonts w:hint="eastAsia" w:asciiTheme="majorEastAsia" w:hAnsiTheme="majorEastAsia" w:eastAsiaTheme="majorEastAsia" w:cstheme="majorEastAsia"/>
                <w:color w:val="auto"/>
                <w:highlight w:val="none"/>
                <w:lang w:val="en-US" w:eastAsia="zh-CN"/>
              </w:rPr>
              <w:t>体现</w:t>
            </w:r>
            <w:r>
              <w:rPr>
                <w:rFonts w:hint="eastAsia" w:asciiTheme="majorEastAsia" w:hAnsiTheme="majorEastAsia" w:eastAsiaTheme="majorEastAsia" w:cstheme="majorEastAsia"/>
                <w:color w:val="auto"/>
                <w:highlight w:val="none"/>
              </w:rPr>
              <w:t>对应功能</w:t>
            </w:r>
            <w:r>
              <w:rPr>
                <w:rFonts w:hint="eastAsia" w:eastAsia="宋体" w:cs="Times New Roman"/>
                <w:color w:val="auto"/>
                <w:highlight w:val="none"/>
                <w:lang w:val="en-US" w:eastAsia="zh-CN"/>
              </w:rPr>
              <w:t>按竞标无效处理</w:t>
            </w:r>
            <w:r>
              <w:rPr>
                <w:rFonts w:hint="eastAsia" w:asciiTheme="majorEastAsia" w:hAnsiTheme="majorEastAsia" w:eastAsiaTheme="majorEastAsia" w:cstheme="majorEastAsia"/>
                <w:color w:val="auto"/>
                <w:highlight w:val="none"/>
                <w:lang w:eastAsia="zh-CN"/>
              </w:rPr>
              <w:t>。</w:t>
            </w:r>
            <w:r>
              <w:rPr>
                <w:rFonts w:hint="eastAsia" w:ascii="宋体" w:hAnsi="宋体" w:eastAsia="宋体" w:cs="宋体"/>
                <w:color w:val="auto"/>
                <w:szCs w:val="21"/>
                <w:highlight w:val="none"/>
                <w:lang w:val="en-US" w:eastAsia="zh-CN" w:bidi="ar"/>
              </w:rPr>
              <w:t>）</w:t>
            </w:r>
          </w:p>
          <w:p w14:paraId="3086132D">
            <w:pPr>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④支持常用出线参数断电保存及重新调用，不限定存储器类型。</w:t>
            </w:r>
          </w:p>
          <w:p w14:paraId="71312232">
            <w:pPr>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⑤具备与所配传感器、执行机构匹配的I/O接口并清晰标识，不限定连接器针脚及排列。</w:t>
            </w:r>
          </w:p>
          <w:p w14:paraId="32C9EF9E">
            <w:pPr>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⑥支持通过复位按键或操作界面进行手动复位。</w:t>
            </w:r>
          </w:p>
          <w:p w14:paraId="48914BC5">
            <w:pPr>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⑦支持通过按键或触摸界面进行功能操作。</w:t>
            </w:r>
          </w:p>
          <w:p w14:paraId="74849C71">
            <w:pPr>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⑧具备工作状态指示，可通过指示灯或显示界面实现。</w:t>
            </w:r>
          </w:p>
          <w:p w14:paraId="020C64B1">
            <w:pPr>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bidi="ar"/>
              </w:rPr>
              <w:t>⑨</w:t>
            </w:r>
            <w:r>
              <w:rPr>
                <w:rFonts w:hint="eastAsia" w:ascii="宋体" w:hAnsi="宋体" w:eastAsia="宋体" w:cs="宋体"/>
                <w:color w:val="auto"/>
                <w:szCs w:val="21"/>
                <w:highlight w:val="none"/>
                <w:lang w:val="en-US" w:eastAsia="zh-CN" w:bidi="ar"/>
              </w:rPr>
              <w:t>搭配显示屏≥</w:t>
            </w:r>
            <w:r>
              <w:rPr>
                <w:rFonts w:hint="eastAsia" w:ascii="宋体" w:hAnsi="宋体" w:eastAsia="宋体" w:cs="宋体"/>
                <w:color w:val="auto"/>
                <w:szCs w:val="21"/>
                <w:highlight w:val="none"/>
                <w:lang w:bidi="ar"/>
              </w:rPr>
              <w:t>0.96英寸</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val="en-US" w:eastAsia="zh-CN" w:bidi="ar"/>
              </w:rPr>
              <w:t>OLED或液晶</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val="en-US" w:eastAsia="zh-CN" w:bidi="ar"/>
              </w:rPr>
              <w:t>分辨率≥</w:t>
            </w:r>
            <w:r>
              <w:rPr>
                <w:rFonts w:hint="eastAsia" w:ascii="宋体" w:hAnsi="宋体" w:eastAsia="宋体" w:cs="宋体"/>
                <w:color w:val="auto"/>
                <w:szCs w:val="21"/>
                <w:highlight w:val="none"/>
                <w:lang w:bidi="ar"/>
              </w:rPr>
              <w:t>128*64、</w:t>
            </w:r>
            <w:r>
              <w:rPr>
                <w:rFonts w:hint="eastAsia" w:ascii="宋体" w:hAnsi="宋体" w:eastAsia="宋体" w:cs="宋体"/>
                <w:color w:val="auto"/>
                <w:szCs w:val="21"/>
                <w:highlight w:val="none"/>
                <w:lang w:val="en-US" w:eastAsia="zh-CN" w:bidi="ar"/>
              </w:rPr>
              <w:t>具备 GPIO 扩展、硬件复位、功能按键、用户状态 LED、蜂鸣器、不少于 2 路 RS485 通信接口、USB 转串口、12V 供电、USB 接口、电源开关，具备充足外设接口，满足实训扩展使用。履约验收以采购文件、合同约定及现场实测结果作为判定依据；若到货产品</w:t>
            </w:r>
            <w:r>
              <w:rPr>
                <w:rFonts w:hint="eastAsia" w:ascii="宋体" w:hAnsi="宋体" w:cs="宋体"/>
                <w:color w:val="auto"/>
                <w:szCs w:val="21"/>
                <w:highlight w:val="none"/>
                <w:lang w:val="en-US" w:eastAsia="zh-CN" w:bidi="ar"/>
              </w:rPr>
              <w:t>与竞</w:t>
            </w:r>
            <w:r>
              <w:rPr>
                <w:rFonts w:hint="eastAsia" w:ascii="宋体" w:hAnsi="宋体" w:eastAsia="宋体" w:cs="宋体"/>
                <w:color w:val="auto"/>
                <w:szCs w:val="21"/>
                <w:highlight w:val="none"/>
                <w:lang w:val="en-US" w:eastAsia="zh-CN" w:bidi="ar"/>
              </w:rPr>
              <w:t>标响应参数不符，视为虚假应标，采购人</w:t>
            </w:r>
            <w:r>
              <w:rPr>
                <w:rFonts w:ascii="宋体" w:hAnsi="宋体" w:eastAsia="宋体"/>
                <w:color w:val="auto"/>
                <w:szCs w:val="21"/>
                <w:highlight w:val="none"/>
                <w:lang w:val="en-US" w:eastAsia="zh-CN"/>
              </w:rPr>
              <w:t>有权将供应商违约履约情况报送同级政府采购监督管理部门依规处理</w:t>
            </w:r>
            <w:r>
              <w:rPr>
                <w:rFonts w:hint="eastAsia" w:ascii="宋体" w:hAnsi="宋体" w:eastAsia="宋体" w:cs="宋体"/>
                <w:color w:val="auto"/>
                <w:szCs w:val="21"/>
                <w:highlight w:val="none"/>
                <w:lang w:val="en-US" w:eastAsia="zh-CN" w:bidi="ar"/>
              </w:rPr>
              <w:t>。</w:t>
            </w:r>
          </w:p>
          <w:p w14:paraId="2515AE0C">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Times New Roman" w:hAnsi="Times New Roman" w:eastAsia="宋体" w:cs="Times New Roman"/>
                <w:color w:val="auto"/>
                <w:highlight w:val="none"/>
                <w:lang w:eastAsia="zh-CN"/>
              </w:rPr>
            </w:pPr>
            <w:r>
              <w:rPr>
                <w:rFonts w:hint="eastAsia" w:eastAsia="宋体"/>
                <w:color w:val="auto"/>
                <w:highlight w:val="none"/>
                <w:lang w:eastAsia="zh-CN"/>
              </w:rPr>
              <w:t>▲（27）</w:t>
            </w:r>
            <w:r>
              <w:rPr>
                <w:rFonts w:hint="eastAsia" w:ascii="Times New Roman" w:hAnsi="Times New Roman" w:eastAsia="宋体" w:cs="Times New Roman"/>
                <w:color w:val="auto"/>
                <w:highlight w:val="none"/>
                <w:lang w:eastAsia="zh-CN"/>
              </w:rPr>
              <w:t>智能电量监测仪表单元（含智能交直流两用电压表、智能交直流两用电流表）</w:t>
            </w:r>
          </w:p>
          <w:p w14:paraId="3E42F11F">
            <w:pPr>
              <w:widowControl w:val="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①智能交直流两用电压表：支持交流、直流电压测量及自动或手动模式选择，数字显示位数≥5 位（</w:t>
            </w:r>
            <w:r>
              <w:rPr>
                <w:rFonts w:hint="eastAsia" w:ascii="Times New Roman" w:hAnsi="Times New Roman" w:eastAsia="宋体" w:cs="Times New Roman"/>
                <w:color w:val="auto"/>
                <w:kern w:val="2"/>
                <w:sz w:val="21"/>
                <w:szCs w:val="24"/>
                <w:highlight w:val="none"/>
                <w:lang w:val="en-US" w:eastAsia="zh-CN" w:bidi="ar-SA"/>
              </w:rPr>
              <w:t>显示屏可为液晶或OLED类型</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竞标时须提供能够证明显示屏（</w:t>
            </w:r>
            <w:r>
              <w:rPr>
                <w:rFonts w:hint="eastAsia" w:ascii="Times New Roman" w:hAnsi="Times New Roman" w:eastAsia="宋体" w:cs="Times New Roman"/>
                <w:color w:val="auto"/>
                <w:kern w:val="2"/>
                <w:sz w:val="21"/>
                <w:szCs w:val="24"/>
                <w:highlight w:val="none"/>
                <w:lang w:val="en-US" w:eastAsia="zh-CN" w:bidi="ar-SA"/>
              </w:rPr>
              <w:t>液晶或</w:t>
            </w:r>
            <w:r>
              <w:rPr>
                <w:rFonts w:hint="eastAsia" w:ascii="宋体" w:hAnsi="宋体" w:eastAsia="宋体" w:cs="宋体"/>
                <w:color w:val="auto"/>
                <w:kern w:val="2"/>
                <w:sz w:val="21"/>
                <w:szCs w:val="21"/>
                <w:highlight w:val="none"/>
                <w:lang w:val="en-US" w:eastAsia="zh-CN" w:bidi="ar"/>
              </w:rPr>
              <w:t>OLED 均可）数字显示位数不小于 5 位的以下任意一项佐证材料：第三方检测报告或技术白皮书或官方产品彩页或设备实测图片（数字显示五位数</w:t>
            </w:r>
            <w:r>
              <w:rPr>
                <w:rFonts w:hint="eastAsia" w:ascii="Times New Roman" w:hAnsi="Times New Roman" w:eastAsia="宋体" w:cs="Times New Roman"/>
                <w:color w:val="auto"/>
                <w:kern w:val="2"/>
                <w:sz w:val="21"/>
                <w:szCs w:val="24"/>
                <w:highlight w:val="none"/>
                <w:lang w:val="en-US" w:eastAsia="zh-CN" w:bidi="ar-SA"/>
              </w:rPr>
              <w:t>液晶或OLED</w:t>
            </w:r>
            <w:r>
              <w:rPr>
                <w:rFonts w:hint="eastAsia" w:ascii="宋体" w:hAnsi="宋体" w:eastAsia="宋体" w:cs="宋体"/>
                <w:color w:val="auto"/>
                <w:kern w:val="2"/>
                <w:sz w:val="21"/>
                <w:szCs w:val="21"/>
                <w:highlight w:val="none"/>
                <w:lang w:val="en-US" w:eastAsia="zh-CN" w:bidi="ar"/>
              </w:rPr>
              <w:t>显示）或原厂技术确认函。未提供相关证明材料或提供的证明材料未能清晰展示对应上述技术指标按竞标无效处理。</w:t>
            </w:r>
          </w:p>
          <w:p w14:paraId="553A2F1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0～10V 量程分辨率不大于 0.01V、其余量程不大于 0.1V，输入阻抗≥10MΩ。量程可覆盖 10V、100V、500V 测量区间，支持自动分档或等效量程配置，无需固定档位数值，满足全量程实训测量需求；测量精度：直流电压 1×10⁻³，交流电压 2×10⁻³。具备手动 / 自动换挡、软件调零、软件校准、通讯地址设置、滤波级数设置、交直流自动判断、超量程报警功能。设备外壳、安装方式、工作供电适配实训装置使用场景，配套齐全安装及供电附件。配备标准双向 RS485 串行通讯接口，采用标准 MODBUS－RTU 通讯协议。</w:t>
            </w:r>
            <w:r>
              <w:rPr>
                <w:rFonts w:hint="eastAsia" w:ascii="宋体" w:hAnsi="宋体" w:eastAsia="宋体" w:cs="宋体"/>
                <w:strike w:val="0"/>
                <w:color w:val="auto"/>
                <w:szCs w:val="21"/>
                <w:highlight w:val="none"/>
                <w:lang w:val="en-US" w:eastAsia="zh-CN" w:bidi="ar"/>
              </w:rPr>
              <w:t>履约验收以采购文件、合同约定及现场实测结果作为判定依据。</w:t>
            </w:r>
          </w:p>
          <w:p w14:paraId="70544469">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eastAsia="宋体"/>
                <w:color w:val="auto"/>
                <w:highlight w:val="none"/>
                <w:lang w:eastAsia="zh-CN"/>
              </w:rPr>
            </w:pPr>
            <w:r>
              <w:rPr>
                <w:rFonts w:hint="eastAsia" w:eastAsia="宋体"/>
                <w:color w:val="auto"/>
                <w:highlight w:val="none"/>
                <w:lang w:eastAsia="zh-CN"/>
              </w:rPr>
              <w:t>②智能交直流两用电流表：支持交流、直流电流测量及自动或手动模式选择，数字显示位数≥5 位（显示屏可为液晶或OLED类型，前面显示正负号或交流符号，后面显示测量数据，保留小数点后三位显示），数字显示分辨率不大于0.001A，输入阻抗≤100mΩ。量程覆盖0-5A，测量不确定度：直流电流1×10⁻³，交流电流2×10⁻³。支持手动/自动换挡、软件调零、软件校准、通讯地址设置、滤波级数设置、交直流自动识别、超量程报警等功能。设备外壳、安装方式、工作供电适配实训装置使用场景，配套齐全安装附件。配备标准双向RS485串行通讯接口，采用标准MODBUS</w:t>
            </w:r>
            <w:r>
              <w:rPr>
                <w:rFonts w:hint="eastAsia" w:eastAsia="宋体"/>
                <w:color w:val="auto"/>
                <w:highlight w:val="none"/>
                <w:lang w:eastAsia="zh-CN"/>
              </w:rPr>
              <w:noBreakHyphen/>
            </w:r>
            <w:r>
              <w:rPr>
                <w:rFonts w:hint="eastAsia" w:eastAsia="宋体"/>
                <w:color w:val="auto"/>
                <w:highlight w:val="none"/>
                <w:lang w:eastAsia="zh-CN"/>
              </w:rPr>
              <w:t>RTU通讯协议；配套适配上位机调试软件，可实现仪表参数设置、实时数据读取、通讯调试等功能（支持原厂专用软件或通用商用Modbus调试软件）。</w:t>
            </w:r>
          </w:p>
          <w:p w14:paraId="03D2D80B">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本单元仪表除用于电工技能等级考证实训，开展交直流电量观测、电气故障判别训练外，还支持RS485</w:t>
            </w:r>
            <w:r>
              <w:rPr>
                <w:rFonts w:hint="eastAsia" w:ascii="Times New Roman" w:hAnsi="Times New Roman" w:eastAsia="宋体" w:cs="Times New Roman"/>
                <w:color w:val="auto"/>
                <w:highlight w:val="none"/>
                <w:lang w:eastAsia="zh-CN"/>
              </w:rPr>
              <w:noBreakHyphen/>
            </w:r>
            <w:r>
              <w:rPr>
                <w:rFonts w:hint="eastAsia" w:ascii="Times New Roman" w:hAnsi="Times New Roman" w:eastAsia="宋体" w:cs="Times New Roman"/>
                <w:color w:val="auto"/>
                <w:highlight w:val="none"/>
                <w:lang w:eastAsia="zh-CN"/>
              </w:rPr>
              <w:t>Modbus通讯与PLC联动，可完成电量采集、超限报警等PLC综合测控实训项目。</w:t>
            </w:r>
          </w:p>
          <w:p w14:paraId="4087E079">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right="0"/>
              <w:jc w:val="both"/>
              <w:textAlignment w:val="auto"/>
              <w:rPr>
                <w:rFonts w:hint="eastAsia" w:ascii="宋体" w:hAnsi="宋体" w:eastAsia="宋体" w:cs="宋体"/>
                <w:b w:val="0"/>
                <w:bCs w:val="0"/>
                <w:color w:val="auto"/>
                <w:highlight w:val="none"/>
                <w:lang w:val="en-US" w:eastAsia="zh-CN"/>
              </w:rPr>
            </w:pPr>
          </w:p>
          <w:p w14:paraId="153A16CB">
            <w:pPr>
              <w:keepNext w:val="0"/>
              <w:keepLines w:val="0"/>
              <w:pageBreakBefore w:val="0"/>
              <w:widowControl w:val="0"/>
              <w:numPr>
                <w:ilvl w:val="0"/>
                <w:numId w:val="9"/>
              </w:numPr>
              <w:suppressLineNumbers w:val="0"/>
              <w:kinsoku/>
              <w:wordWrap/>
              <w:overflowPunct/>
              <w:topLinePunct w:val="0"/>
              <w:autoSpaceDE/>
              <w:autoSpaceDN/>
              <w:bidi w:val="0"/>
              <w:spacing w:before="0" w:beforeLines="0" w:beforeAutospacing="0" w:after="0" w:afterLines="0" w:afterAutospacing="0" w:line="360" w:lineRule="exact"/>
              <w:ind w:left="0" w:leftChars="0" w:right="0" w:firstLine="632" w:firstLineChars="300"/>
              <w:jc w:val="both"/>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sz w:val="21"/>
                <w:szCs w:val="21"/>
                <w:highlight w:val="none"/>
                <w:lang w:val="en-US" w:eastAsia="zh-CN"/>
              </w:rPr>
              <w:t>按钮指示信号组件套要求：</w:t>
            </w:r>
          </w:p>
          <w:p w14:paraId="1073F347">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要求单元包括黄色指示灯≥2个、绿色指示灯≥2个、红色指示灯≥2个、绿色按钮≥2个、红色按钮≥2个、转换开关≥2个、急停开关≥1个、电位器≥1个、数码管≥2个、数字电流表≥1块、单元框架≥1个等。所有器件应根据可开展的实训项目合理匹配，采用独立可移动模块结构；端子、触点类型和电源极性标识清晰。</w:t>
            </w:r>
          </w:p>
          <w:p w14:paraId="4DBE2DCC">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rightChars="0" w:firstLine="420" w:firstLineChars="200"/>
              <w:jc w:val="both"/>
              <w:textAlignment w:val="auto"/>
              <w:rPr>
                <w:rFonts w:hint="default" w:ascii="宋体" w:hAnsi="宋体" w:eastAsia="宋体" w:cs="宋体"/>
                <w:color w:val="auto"/>
                <w:highlight w:val="none"/>
              </w:rPr>
            </w:pPr>
          </w:p>
          <w:p w14:paraId="394A3515">
            <w:pPr>
              <w:keepNext w:val="0"/>
              <w:keepLines w:val="0"/>
              <w:pageBreakBefore w:val="0"/>
              <w:widowControl w:val="0"/>
              <w:numPr>
                <w:ilvl w:val="0"/>
                <w:numId w:val="9"/>
              </w:numPr>
              <w:suppressLineNumbers w:val="0"/>
              <w:kinsoku/>
              <w:wordWrap/>
              <w:overflowPunct/>
              <w:topLinePunct w:val="0"/>
              <w:autoSpaceDE/>
              <w:autoSpaceDN/>
              <w:bidi w:val="0"/>
              <w:spacing w:before="0" w:beforeLines="0" w:beforeAutospacing="0" w:after="0" w:afterLines="0" w:afterAutospacing="0" w:line="360" w:lineRule="exact"/>
              <w:ind w:left="0" w:leftChars="0" w:right="0" w:rightChars="0" w:firstLine="632" w:firstLineChars="300"/>
              <w:jc w:val="both"/>
              <w:textAlignment w:val="auto"/>
              <w:rPr>
                <w:rFonts w:hint="default" w:ascii="宋体" w:hAnsi="宋体" w:eastAsia="宋体" w:cs="宋体"/>
                <w:b/>
                <w:bCs/>
                <w:color w:val="auto"/>
                <w:highlight w:val="none"/>
                <w:lang w:val="en-US" w:eastAsia="zh-CN"/>
              </w:rPr>
            </w:pPr>
            <w:r>
              <w:rPr>
                <w:rFonts w:hint="eastAsia" w:ascii="宋体" w:hAnsi="宋体" w:eastAsia="宋体" w:cs="宋体"/>
                <w:b/>
                <w:bCs/>
                <w:color w:val="auto"/>
                <w:sz w:val="21"/>
                <w:szCs w:val="21"/>
                <w:highlight w:val="none"/>
                <w:lang w:val="en-US" w:eastAsia="zh-CN"/>
              </w:rPr>
              <w:t>步进电机二维丝杆控制单元要求：</w:t>
            </w:r>
          </w:p>
          <w:p w14:paraId="0F37EB29">
            <w:pPr>
              <w:keepNext w:val="0"/>
              <w:keepLines w:val="0"/>
              <w:pageBreakBefore w:val="0"/>
              <w:suppressLineNumbers w:val="0"/>
              <w:kinsoku/>
              <w:wordWrap/>
              <w:overflowPunct/>
              <w:topLinePunct w:val="0"/>
              <w:autoSpaceDN/>
              <w:bidi w:val="0"/>
              <w:adjustRightInd w:val="0"/>
              <w:snapToGrid w:val="0"/>
              <w:spacing w:before="0" w:beforeAutospacing="0" w:after="0" w:afterAutospacing="0" w:line="360" w:lineRule="exact"/>
              <w:ind w:left="0" w:right="0" w:firstLine="420" w:firstLineChars="200"/>
              <w:rPr>
                <w:rFonts w:hint="eastAsia" w:ascii="宋体" w:eastAsia="宋体"/>
                <w:color w:val="auto"/>
                <w:highlight w:val="none"/>
              </w:rPr>
            </w:pPr>
            <w:r>
              <w:rPr>
                <w:rFonts w:hint="eastAsia" w:ascii="宋体" w:eastAsia="宋体"/>
                <w:color w:val="auto"/>
                <w:highlight w:val="none"/>
                <w:lang w:eastAsia="zh-CN"/>
              </w:rPr>
              <w:t>（</w:t>
            </w:r>
            <w:r>
              <w:rPr>
                <w:rFonts w:hint="eastAsia" w:ascii="宋体" w:eastAsia="宋体"/>
                <w:color w:val="auto"/>
                <w:highlight w:val="none"/>
                <w:lang w:val="en-US" w:eastAsia="zh-CN"/>
              </w:rPr>
              <w:t>1</w:t>
            </w:r>
            <w:r>
              <w:rPr>
                <w:rFonts w:hint="eastAsia" w:ascii="宋体" w:eastAsia="宋体"/>
                <w:color w:val="auto"/>
                <w:highlight w:val="none"/>
                <w:lang w:eastAsia="zh-CN"/>
              </w:rPr>
              <w:t>）</w:t>
            </w:r>
            <w:r>
              <w:rPr>
                <w:rFonts w:hint="eastAsia" w:ascii="宋体" w:eastAsia="宋体"/>
                <w:color w:val="auto"/>
                <w:highlight w:val="none"/>
              </w:rPr>
              <w:t>配置步进电机、二维丝杆机构及驱动系统，适配</w:t>
            </w:r>
            <w:r>
              <w:rPr>
                <w:rFonts w:hint="eastAsia" w:ascii="宋体" w:eastAsia="宋体"/>
                <w:color w:val="auto"/>
                <w:highlight w:val="none"/>
                <w:lang w:val="en-US" w:eastAsia="zh-CN"/>
              </w:rPr>
              <w:t>本项目</w:t>
            </w:r>
            <w:r>
              <w:rPr>
                <w:rFonts w:hint="eastAsia" w:ascii="宋体" w:eastAsia="宋体"/>
                <w:color w:val="auto"/>
                <w:highlight w:val="none"/>
              </w:rPr>
              <w:t>PLC，实现定位、往复、限位控制实训。</w:t>
            </w:r>
          </w:p>
          <w:p w14:paraId="608ECCF9">
            <w:pPr>
              <w:keepNext w:val="0"/>
              <w:keepLines w:val="0"/>
              <w:pageBreakBefore w:val="0"/>
              <w:suppressLineNumbers w:val="0"/>
              <w:kinsoku/>
              <w:wordWrap/>
              <w:overflowPunct/>
              <w:topLinePunct w:val="0"/>
              <w:autoSpaceDN/>
              <w:bidi w:val="0"/>
              <w:adjustRightInd w:val="0"/>
              <w:snapToGrid w:val="0"/>
              <w:spacing w:before="0" w:beforeAutospacing="0" w:after="0" w:afterAutospacing="0" w:line="360" w:lineRule="exact"/>
              <w:ind w:left="0" w:right="0" w:firstLine="420" w:firstLineChars="200"/>
              <w:rPr>
                <w:rFonts w:hint="eastAsia" w:ascii="宋体" w:eastAsia="宋体"/>
                <w:color w:val="auto"/>
                <w:highlight w:val="none"/>
              </w:rPr>
            </w:pPr>
            <w:r>
              <w:rPr>
                <w:rFonts w:hint="eastAsia" w:ascii="宋体" w:eastAsia="宋体"/>
                <w:color w:val="auto"/>
                <w:highlight w:val="none"/>
                <w:lang w:eastAsia="zh-CN"/>
              </w:rPr>
              <w:t>（</w:t>
            </w:r>
            <w:r>
              <w:rPr>
                <w:rFonts w:hint="eastAsia" w:ascii="宋体" w:eastAsia="宋体"/>
                <w:color w:val="auto"/>
                <w:highlight w:val="none"/>
                <w:lang w:val="en-US" w:eastAsia="zh-CN"/>
              </w:rPr>
              <w:t>2</w:t>
            </w:r>
            <w:r>
              <w:rPr>
                <w:rFonts w:hint="eastAsia" w:ascii="宋体" w:eastAsia="宋体"/>
                <w:color w:val="auto"/>
                <w:highlight w:val="none"/>
                <w:lang w:eastAsia="zh-CN"/>
              </w:rPr>
              <w:t>）</w:t>
            </w:r>
            <w:r>
              <w:rPr>
                <w:rFonts w:hint="eastAsia" w:ascii="宋体" w:eastAsia="宋体"/>
                <w:color w:val="auto"/>
                <w:highlight w:val="none"/>
              </w:rPr>
              <w:t>由实训台 AC380V 取电，转换 DC24V 供电，动力回路与控制回路电气隔离并标识清晰。</w:t>
            </w:r>
          </w:p>
          <w:p w14:paraId="5A40E62E">
            <w:pPr>
              <w:keepNext w:val="0"/>
              <w:keepLines w:val="0"/>
              <w:pageBreakBefore w:val="0"/>
              <w:suppressLineNumbers w:val="0"/>
              <w:kinsoku/>
              <w:wordWrap/>
              <w:overflowPunct/>
              <w:topLinePunct w:val="0"/>
              <w:autoSpaceDN/>
              <w:bidi w:val="0"/>
              <w:adjustRightInd w:val="0"/>
              <w:snapToGrid w:val="0"/>
              <w:spacing w:before="0" w:beforeAutospacing="0" w:after="0" w:afterAutospacing="0" w:line="360" w:lineRule="exact"/>
              <w:ind w:left="0" w:right="0" w:firstLine="210" w:firstLineChars="100"/>
              <w:rPr>
                <w:rFonts w:hint="eastAsia" w:ascii="宋体" w:eastAsia="宋体"/>
                <w:color w:val="auto"/>
                <w:highlight w:val="none"/>
              </w:rPr>
            </w:pPr>
            <w:r>
              <w:rPr>
                <w:rFonts w:hint="eastAsia" w:ascii="宋体" w:eastAsia="宋体"/>
                <w:color w:val="auto"/>
                <w:highlight w:val="none"/>
              </w:rPr>
              <w:t>▲</w:t>
            </w:r>
            <w:r>
              <w:rPr>
                <w:rFonts w:hint="eastAsia" w:ascii="宋体" w:eastAsia="宋体"/>
                <w:color w:val="auto"/>
                <w:highlight w:val="none"/>
                <w:lang w:eastAsia="zh-CN"/>
              </w:rPr>
              <w:t>（</w:t>
            </w:r>
            <w:r>
              <w:rPr>
                <w:rFonts w:hint="eastAsia" w:ascii="宋体" w:eastAsia="宋体"/>
                <w:color w:val="auto"/>
                <w:highlight w:val="none"/>
                <w:lang w:val="en-US" w:eastAsia="zh-CN"/>
              </w:rPr>
              <w:t>3</w:t>
            </w:r>
            <w:r>
              <w:rPr>
                <w:rFonts w:hint="eastAsia" w:ascii="宋体" w:eastAsia="宋体"/>
                <w:color w:val="auto"/>
                <w:highlight w:val="none"/>
                <w:lang w:eastAsia="zh-CN"/>
              </w:rPr>
              <w:t>）</w:t>
            </w:r>
            <w:r>
              <w:rPr>
                <w:rFonts w:hint="eastAsia" w:ascii="宋体" w:eastAsia="宋体"/>
                <w:color w:val="auto"/>
                <w:highlight w:val="none"/>
              </w:rPr>
              <w:t>驱动器 DC24V 供电，支持 8 细分、多档位电流可选，配备故障报警灯。</w:t>
            </w:r>
          </w:p>
          <w:p w14:paraId="6632D896">
            <w:pPr>
              <w:keepNext w:val="0"/>
              <w:keepLines w:val="0"/>
              <w:pageBreakBefore w:val="0"/>
              <w:suppressLineNumbers w:val="0"/>
              <w:kinsoku/>
              <w:wordWrap/>
              <w:overflowPunct/>
              <w:topLinePunct w:val="0"/>
              <w:autoSpaceDN/>
              <w:bidi w:val="0"/>
              <w:adjustRightInd w:val="0"/>
              <w:snapToGrid w:val="0"/>
              <w:spacing w:before="0" w:beforeAutospacing="0" w:after="0" w:afterAutospacing="0" w:line="360" w:lineRule="exact"/>
              <w:ind w:left="0" w:right="0" w:firstLine="420" w:firstLineChars="200"/>
              <w:rPr>
                <w:rFonts w:hint="eastAsia" w:ascii="宋体" w:eastAsia="宋体"/>
                <w:color w:val="auto"/>
                <w:highlight w:val="none"/>
              </w:rPr>
            </w:pPr>
            <w:r>
              <w:rPr>
                <w:rFonts w:hint="eastAsia" w:ascii="宋体" w:eastAsia="宋体"/>
                <w:color w:val="auto"/>
                <w:highlight w:val="none"/>
                <w:lang w:eastAsia="zh-CN"/>
              </w:rPr>
              <w:t>（</w:t>
            </w:r>
            <w:r>
              <w:rPr>
                <w:rFonts w:hint="eastAsia" w:ascii="宋体" w:eastAsia="宋体"/>
                <w:color w:val="auto"/>
                <w:highlight w:val="none"/>
                <w:lang w:val="en-US" w:eastAsia="zh-CN"/>
              </w:rPr>
              <w:t>4</w:t>
            </w:r>
            <w:r>
              <w:rPr>
                <w:rFonts w:hint="eastAsia" w:ascii="宋体" w:eastAsia="宋体"/>
                <w:color w:val="auto"/>
                <w:highlight w:val="none"/>
                <w:lang w:eastAsia="zh-CN"/>
              </w:rPr>
              <w:t>）</w:t>
            </w:r>
            <w:r>
              <w:rPr>
                <w:rFonts w:hint="eastAsia" w:ascii="宋体" w:eastAsia="宋体"/>
                <w:color w:val="auto"/>
                <w:highlight w:val="none"/>
              </w:rPr>
              <w:t>兼容 PROFINET 总线接入系统，不具备总线功能时可通过 PLC 脉冲方式完成控制。</w:t>
            </w:r>
          </w:p>
          <w:p w14:paraId="30F0B9A6">
            <w:pPr>
              <w:keepNext w:val="0"/>
              <w:keepLines w:val="0"/>
              <w:pageBreakBefore w:val="0"/>
              <w:widowControl/>
              <w:numPr>
                <w:ilvl w:val="0"/>
                <w:numId w:val="0"/>
              </w:numPr>
              <w:suppressLineNumbers w:val="0"/>
              <w:tabs>
                <w:tab w:val="left" w:pos="540"/>
              </w:tabs>
              <w:kinsoku/>
              <w:wordWrap/>
              <w:overflowPunct/>
              <w:topLinePunct w:val="0"/>
              <w:autoSpaceDN/>
              <w:bidi w:val="0"/>
              <w:spacing w:before="0" w:beforeAutospacing="0" w:after="80" w:afterAutospacing="0" w:line="360" w:lineRule="exact"/>
              <w:ind w:left="0" w:right="0" w:firstLine="420" w:firstLineChars="200"/>
              <w:rPr>
                <w:rFonts w:hint="eastAsia" w:ascii="宋体" w:hAnsi="宋体" w:eastAsia="宋体" w:cs="Times New Roman"/>
                <w:color w:val="auto"/>
                <w:sz w:val="21"/>
                <w:szCs w:val="22"/>
                <w:highlight w:val="none"/>
                <w:lang w:val="en-US" w:eastAsia="en-US" w:bidi="ar-SA"/>
              </w:rPr>
            </w:pPr>
            <w:r>
              <w:rPr>
                <w:rFonts w:hint="eastAsia" w:ascii="宋体" w:hAnsi="宋体" w:eastAsia="宋体" w:cs="Times New Roman"/>
                <w:color w:val="auto"/>
                <w:sz w:val="21"/>
                <w:szCs w:val="22"/>
                <w:highlight w:val="none"/>
                <w:lang w:val="en-US" w:eastAsia="zh-CN" w:bidi="ar-SA"/>
              </w:rPr>
              <w:t>（5）</w:t>
            </w:r>
            <w:r>
              <w:rPr>
                <w:rFonts w:hint="eastAsia" w:ascii="宋体" w:hAnsi="宋体" w:eastAsia="宋体" w:cs="Times New Roman"/>
                <w:color w:val="auto"/>
                <w:sz w:val="21"/>
                <w:szCs w:val="22"/>
                <w:highlight w:val="none"/>
                <w:lang w:val="en-US" w:eastAsia="en-US" w:bidi="ar-SA"/>
              </w:rPr>
              <w:t>丝杆左右两侧装设限位开关，具备行程限位防护。</w:t>
            </w:r>
          </w:p>
          <w:p w14:paraId="4B4B937E">
            <w:pPr>
              <w:keepNext w:val="0"/>
              <w:keepLines w:val="0"/>
              <w:pageBreakBefore w:val="0"/>
              <w:widowControl/>
              <w:numPr>
                <w:ilvl w:val="0"/>
                <w:numId w:val="0"/>
              </w:numPr>
              <w:suppressLineNumbers w:val="0"/>
              <w:tabs>
                <w:tab w:val="left" w:pos="540"/>
              </w:tabs>
              <w:kinsoku/>
              <w:wordWrap/>
              <w:overflowPunct/>
              <w:topLinePunct w:val="0"/>
              <w:autoSpaceDN/>
              <w:bidi w:val="0"/>
              <w:spacing w:before="0" w:beforeAutospacing="0" w:after="80" w:afterAutospacing="0" w:line="360" w:lineRule="exact"/>
              <w:ind w:right="0"/>
              <w:rPr>
                <w:rFonts w:hint="eastAsia" w:ascii="宋体" w:hAnsi="宋体" w:eastAsia="宋体" w:cs="Times New Roman"/>
                <w:color w:val="auto"/>
                <w:sz w:val="21"/>
                <w:szCs w:val="22"/>
                <w:highlight w:val="none"/>
                <w:lang w:val="en-US" w:eastAsia="en-US" w:bidi="ar-SA"/>
              </w:rPr>
            </w:pPr>
          </w:p>
          <w:p w14:paraId="0F25940D">
            <w:pPr>
              <w:keepNext w:val="0"/>
              <w:keepLines w:val="0"/>
              <w:pageBreakBefore w:val="0"/>
              <w:widowControl/>
              <w:numPr>
                <w:ilvl w:val="0"/>
                <w:numId w:val="0"/>
              </w:numPr>
              <w:suppressLineNumbers w:val="0"/>
              <w:tabs>
                <w:tab w:val="left" w:pos="540"/>
              </w:tabs>
              <w:kinsoku/>
              <w:wordWrap/>
              <w:overflowPunct/>
              <w:topLinePunct w:val="0"/>
              <w:autoSpaceDN/>
              <w:bidi w:val="0"/>
              <w:spacing w:before="0" w:beforeAutospacing="0" w:after="80" w:afterAutospacing="0" w:line="360" w:lineRule="exact"/>
              <w:ind w:left="0" w:right="0" w:firstLine="632" w:firstLineChars="300"/>
              <w:rPr>
                <w:rFonts w:hint="eastAsia" w:ascii="宋体" w:hAnsi="宋体" w:eastAsia="宋体" w:cs="宋体"/>
                <w:b/>
                <w:bCs/>
                <w:color w:val="auto"/>
                <w:sz w:val="21"/>
                <w:szCs w:val="21"/>
                <w:highlight w:val="none"/>
                <w:lang w:val="en-US" w:eastAsia="zh-CN" w:bidi="ar-SA"/>
              </w:rPr>
            </w:pPr>
            <w:r>
              <w:rPr>
                <w:rFonts w:hint="eastAsia" w:ascii="宋体" w:hAnsi="宋体" w:eastAsia="宋体" w:cs="Times New Roman"/>
                <w:b/>
                <w:bCs/>
                <w:color w:val="auto"/>
                <w:sz w:val="21"/>
                <w:szCs w:val="22"/>
                <w:highlight w:val="none"/>
                <w:lang w:val="en-US" w:eastAsia="zh-CN" w:bidi="ar-SA"/>
              </w:rPr>
              <w:t xml:space="preserve">16. </w:t>
            </w:r>
            <w:r>
              <w:rPr>
                <w:rFonts w:hint="eastAsia" w:ascii="宋体" w:hAnsi="宋体" w:eastAsia="宋体" w:cs="宋体"/>
                <w:b/>
                <w:bCs/>
                <w:color w:val="auto"/>
                <w:sz w:val="21"/>
                <w:szCs w:val="21"/>
                <w:highlight w:val="none"/>
                <w:lang w:val="en-US" w:eastAsia="zh-CN" w:bidi="ar-SA"/>
              </w:rPr>
              <w:t>直流电机小车运动控制单元要求：</w:t>
            </w:r>
          </w:p>
          <w:p w14:paraId="713B943C">
            <w:pPr>
              <w:keepNext w:val="0"/>
              <w:keepLines w:val="0"/>
              <w:pageBreakBefore w:val="0"/>
              <w:widowControl w:val="0"/>
              <w:numPr>
                <w:ilvl w:val="0"/>
                <w:numId w:val="0"/>
              </w:numPr>
              <w:suppressLineNumbers w:val="0"/>
              <w:kinsoku/>
              <w:wordWrap/>
              <w:overflowPunct/>
              <w:topLinePunct w:val="0"/>
              <w:autoSpaceDE/>
              <w:autoSpaceDN/>
              <w:bidi w:val="0"/>
              <w:spacing w:before="0" w:beforeLines="0" w:beforeAutospacing="0" w:after="0" w:afterLines="0" w:afterAutospacing="0" w:line="360" w:lineRule="exact"/>
              <w:ind w:left="0" w:right="0" w:firstLine="420" w:firstLineChars="200"/>
              <w:jc w:val="both"/>
              <w:textAlignment w:val="auto"/>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直流电机小车运动控制单元是由直流电机控制小车运动，控制单元配有电感式接近开关，机械限位开关等控制小车做直线运动，往复运动等。</w:t>
            </w:r>
          </w:p>
          <w:p w14:paraId="38FC31A3">
            <w:pPr>
              <w:keepNext w:val="0"/>
              <w:keepLines w:val="0"/>
              <w:pageBreakBefore w:val="0"/>
              <w:suppressLineNumbers w:val="0"/>
              <w:kinsoku/>
              <w:wordWrap/>
              <w:overflowPunct/>
              <w:topLinePunct w:val="0"/>
              <w:autoSpaceDN/>
              <w:bidi w:val="0"/>
              <w:adjustRightInd w:val="0"/>
              <w:snapToGrid w:val="0"/>
              <w:spacing w:before="0" w:beforeAutospacing="0" w:after="0" w:afterAutospacing="0" w:line="360" w:lineRule="exact"/>
              <w:ind w:left="0" w:right="0" w:firstLine="420" w:firstLineChars="200"/>
              <w:rPr>
                <w:rFonts w:hint="eastAsia" w:ascii="宋体" w:eastAsia="宋体"/>
                <w:color w:val="auto"/>
                <w:highlight w:val="none"/>
              </w:rPr>
            </w:pPr>
          </w:p>
          <w:p w14:paraId="42EAE778">
            <w:pPr>
              <w:rPr>
                <w:rFonts w:hint="eastAsia" w:asciiTheme="majorEastAsia" w:hAnsiTheme="majorEastAsia" w:eastAsiaTheme="majorEastAsia" w:cstheme="majorEastAsia"/>
                <w:b/>
                <w:bCs/>
                <w:color w:val="auto"/>
                <w:highlight w:val="none"/>
              </w:rPr>
            </w:pPr>
            <w:r>
              <w:rPr>
                <w:rFonts w:hint="eastAsia" w:ascii="宋体" w:eastAsia="宋体"/>
                <w:color w:val="auto"/>
                <w:highlight w:val="none"/>
                <w:lang w:val="en-US" w:eastAsia="zh-CN"/>
              </w:rPr>
              <w:t xml:space="preserve"> </w:t>
            </w:r>
            <w:r>
              <w:rPr>
                <w:rFonts w:hint="eastAsia" w:ascii="宋体" w:eastAsia="宋体"/>
                <w:color w:val="auto"/>
                <w:highlight w:val="none"/>
                <w:lang w:val="en-US" w:eastAsia="zh-CN"/>
              </w:rPr>
              <w:t xml:space="preserve"> </w:t>
            </w:r>
            <w:r>
              <w:rPr>
                <w:rFonts w:hint="eastAsia" w:ascii="宋体" w:eastAsia="宋体"/>
                <w:color w:val="auto"/>
                <w:highlight w:val="none"/>
                <w:lang w:val="en-US" w:eastAsia="zh-CN"/>
              </w:rPr>
              <w:t xml:space="preserve"> </w:t>
            </w:r>
            <w:r>
              <w:rPr>
                <w:rFonts w:hint="eastAsia" w:asciiTheme="majorEastAsia" w:hAnsiTheme="majorEastAsia" w:eastAsiaTheme="majorEastAsia" w:cstheme="majorEastAsia"/>
                <w:b/>
                <w:bCs/>
                <w:color w:val="auto"/>
                <w:highlight w:val="none"/>
              </w:rPr>
              <w:t>▲ 17. 模拟实验对象要求：</w:t>
            </w:r>
          </w:p>
          <w:p w14:paraId="4CA52762">
            <w:p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模拟实验对象的使用主要基于智能触控PLC仿真控制主机装置平台、小型自动化工业生产线及工业远程监控网关平台及智能视觉移动小车创新实训平台（每个实训室分别配一套）。三个平台均须与本项目真实PLC建立控制或数据交互关系，分别承担虚拟工艺验证、实物产线控制及视觉移动作业任务，形成"程序验证—现场调试—综合协同"的递进实训。PLC本体及按钮指示灯不能完整呈现连续工艺、真实执行机构和视觉移动反馈，故需配套上述三类控制对象；每室各一套供各PLC工位轮换使用。实物模拟模块可共享且不得重复计价，但各平台所需控制接口、安全保护及完成联动任务的执行部件应配齐。本章节设备覆盖基础PLC仿真模拟、自动化产线实训、智能视觉移动控制创新模拟实训，满足分层递进式机电一体化实训教学与创新拓展需求。</w:t>
            </w:r>
          </w:p>
          <w:p w14:paraId="33680C2A">
            <w:p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（一）智能触控PLC仿真控制主机装置平台</w:t>
            </w:r>
          </w:p>
          <w:p w14:paraId="7F9F7882">
            <w:pPr>
              <w:numPr>
                <w:ilvl w:val="-1"/>
                <w:numId w:val="0"/>
              </w:numPr>
              <w:adjustRightInd w:val="0"/>
              <w:snapToGrid w:val="0"/>
              <w:spacing w:line="360" w:lineRule="exact"/>
              <w:ind w:left="0"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1.</w:t>
            </w:r>
            <w:r>
              <w:rPr>
                <w:rFonts w:hint="eastAsia" w:ascii="宋体" w:hAnsi="Times New Roman" w:eastAsia="宋体" w:cs="Times New Roman"/>
                <w:color w:val="auto"/>
                <w:highlight w:val="none"/>
              </w:rPr>
              <w:t>智能触控PLC仿真控制主机装置平台作为PLC的可切换被控对象，将学生编写的真实PLC程序与虚拟工艺模型构成输入、输出反馈闭环，用于验证控制逻辑、观察工艺过程及模拟故障，减少初学阶段反复调试实物设备的损耗，为后续产线调试提供程序基础。</w:t>
            </w:r>
          </w:p>
          <w:p w14:paraId="7E816ADA">
            <w:pPr>
              <w:numPr>
                <w:ilvl w:val="-1"/>
                <w:numId w:val="0"/>
              </w:numPr>
              <w:adjustRightInd w:val="0"/>
              <w:snapToGrid w:val="0"/>
              <w:spacing w:line="360" w:lineRule="exact"/>
              <w:ind w:left="0"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2.</w:t>
            </w:r>
            <w:r>
              <w:rPr>
                <w:rFonts w:hint="eastAsia" w:ascii="宋体" w:hAnsi="Times New Roman" w:eastAsia="宋体" w:cs="Times New Roman"/>
                <w:color w:val="auto"/>
                <w:highlight w:val="none"/>
              </w:rPr>
              <w:t>智能触控PLC仿真控制主机装置平台，需采用不小于12英寸TFT触摸屏，分辨率≥1024×600，配备4mm安全导线插孔或同等安全接口，不限定接口位置；通过一体化或配套接口模块提供≥16路光电隔离数字量输入，≥16路继电器数字量输出，≥4通道模拟量输入和≥2通道模拟量输出。</w:t>
            </w:r>
          </w:p>
          <w:p w14:paraId="60534837">
            <w:pPr>
              <w:numPr>
                <w:ilvl w:val="-1"/>
                <w:numId w:val="0"/>
              </w:numPr>
              <w:adjustRightInd w:val="0"/>
              <w:snapToGrid w:val="0"/>
              <w:spacing w:line="360" w:lineRule="exact"/>
              <w:ind w:left="0"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3.</w:t>
            </w:r>
            <w:r>
              <w:rPr>
                <w:rFonts w:hint="eastAsia" w:ascii="宋体" w:hAnsi="Times New Roman" w:eastAsia="宋体" w:cs="Times New Roman"/>
                <w:color w:val="auto"/>
                <w:highlight w:val="none"/>
              </w:rPr>
              <w:t>平台设备支持外接配套实物模拟实训模块，可通过平台接线指引及安全接口完成实物模块接线对接；平台可实时采集外部实物模块的传感器数据、开关状态、运行动作等真实信号，并在仿真界面实时同步显示外部实物工作状态；外部实物模块运行状态可联动驱动平台内部仿真模型。设备支持真实PLC通过IO端口或标准工业协议完成闭环控制，仿真模型动作跟随外部实物模块真实运行状态联动变化，禁止采用固定预录动画替代实物数据联动与PLC闭环控制。</w:t>
            </w:r>
          </w:p>
          <w:p w14:paraId="0C0B794D">
            <w:pPr>
              <w:numPr>
                <w:ilvl w:val="-1"/>
                <w:numId w:val="0"/>
              </w:numPr>
              <w:adjustRightInd w:val="0"/>
              <w:snapToGrid w:val="0"/>
              <w:spacing w:line="360" w:lineRule="exact"/>
              <w:ind w:left="0"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4.</w:t>
            </w:r>
            <w:r>
              <w:rPr>
                <w:rFonts w:hint="eastAsia" w:ascii="宋体" w:hAnsi="Times New Roman" w:eastAsia="宋体" w:cs="Times New Roman"/>
                <w:color w:val="auto"/>
                <w:highlight w:val="none"/>
              </w:rPr>
              <w:t>平台内软件可采集外部实物模拟对象的数据，帮助调试分析设备运行的工艺流程。</w:t>
            </w:r>
          </w:p>
          <w:p w14:paraId="0158DA2C">
            <w:pPr>
              <w:numPr>
                <w:ilvl w:val="-1"/>
                <w:numId w:val="0"/>
              </w:numPr>
              <w:adjustRightInd w:val="0"/>
              <w:snapToGrid w:val="0"/>
              <w:spacing w:line="360" w:lineRule="exact"/>
              <w:ind w:left="0"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5.</w:t>
            </w:r>
            <w:r>
              <w:rPr>
                <w:rFonts w:hint="eastAsia" w:ascii="宋体" w:hAnsi="Times New Roman" w:eastAsia="宋体" w:cs="Times New Roman"/>
                <w:color w:val="auto"/>
                <w:highlight w:val="none"/>
              </w:rPr>
              <w:t>平台内模拟对象要求包含但不局限于以下内容：抢答器控制，音乐喷泉控制，装配流水线控制，十字路口交通灯控制，自动送料转车控制，四节传送带控制，四层电梯控制，机械手控制，天塔之光控制，多种液体混合装置控制，数码显示、舞台灯光、轧钢机、邮件分拣的模拟控制、装配流水线、Y/△换接起动、自动配料、运料小车的模拟控制、加工中心等多种对象；模拟对象还应有实物模型，要求包含但不局限以下模型：供料模块、翻转模块、搬运模块、加工模块、分拣模块等控制对象，可进行对应场景程序编写的练习。</w:t>
            </w:r>
          </w:p>
          <w:p w14:paraId="71FD9B60">
            <w:pPr>
              <w:ind w:firstLine="42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▲7. 功能演示要求：</w:t>
            </w:r>
          </w:p>
          <w:p w14:paraId="4FA1D0AE">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Theme="majorEastAsia" w:hAnsiTheme="majorEastAsia" w:eastAsiaTheme="majorEastAsia" w:cstheme="majorEastAsia"/>
                <w:color w:val="auto"/>
                <w:highlight w:val="none"/>
              </w:rPr>
              <w:t>（</w:t>
            </w:r>
            <w:r>
              <w:rPr>
                <w:rFonts w:hint="eastAsia" w:ascii="宋体" w:hAnsi="Times New Roman" w:eastAsia="宋体" w:cs="Times New Roman"/>
                <w:color w:val="auto"/>
                <w:highlight w:val="none"/>
              </w:rPr>
              <w:t>1）智能触控PLC仿真控制主机装置平台使用不小于12寸触控显示屏，配备4mm安全导线插孔或同等安全接口，不限定位置，可独立仿真使用，也可与外部实物模块连接使用。</w:t>
            </w:r>
          </w:p>
          <w:p w14:paraId="1DDCE923">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（2）系统具备用户账号管理功能，支持账号密码登录，可配置登录时长、空闲注销保护机制。</w:t>
            </w:r>
          </w:p>
          <w:p w14:paraId="2541A9E6">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（3）登录后系统内置不少于12个仿真模型选项，可启动仿真动画运行，配套任务说明、启停控制功能。</w:t>
            </w:r>
          </w:p>
          <w:p w14:paraId="02B8CE01">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（4）系统具备调试、设备状态查看、参数配置、音效控制等管理功能。</w:t>
            </w:r>
          </w:p>
          <w:p w14:paraId="3176BEBC">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5）装置软件界面所显示的模型应与外部连接的实物模块一致，通过安全接口或公开通信协议与实物模块连接，联机实训时由真实PLC程序对实际设备进行控制，装置页面仿真模型需与实物模块动作同步并实时显示。</w:t>
            </w:r>
          </w:p>
          <w:p w14:paraId="34E407E2">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（6）系统支持用户登录、注销、密码修改等权限管理功能。</w:t>
            </w:r>
          </w:p>
          <w:p w14:paraId="1C87B8F5">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▲供应商应在</w:t>
            </w:r>
            <w:r>
              <w:rPr>
                <w:rFonts w:hint="eastAsia" w:ascii="宋体" w:hAnsi="Times New Roman" w:eastAsia="宋体" w:cs="Times New Roman"/>
                <w:color w:val="auto"/>
                <w:highlight w:val="none"/>
                <w:lang w:val="en-US" w:eastAsia="zh-CN"/>
              </w:rPr>
              <w:t>响应</w:t>
            </w:r>
            <w:r>
              <w:rPr>
                <w:rFonts w:hint="eastAsia" w:ascii="宋体" w:hAnsi="Times New Roman" w:eastAsia="宋体" w:cs="Times New Roman"/>
                <w:color w:val="auto"/>
                <w:highlight w:val="none"/>
              </w:rPr>
              <w:t>文件中提供包含上述（</w:t>
            </w:r>
            <w:r>
              <w:rPr>
                <w:rFonts w:hint="eastAsia" w:ascii="宋体" w:hAnsi="Times New Roman" w:eastAsia="宋体" w:cs="Times New Roman"/>
                <w:color w:val="auto"/>
                <w:highlight w:val="none"/>
                <w:lang w:val="en-US" w:eastAsia="zh-CN"/>
              </w:rPr>
              <w:t>1</w:t>
            </w:r>
            <w:r>
              <w:rPr>
                <w:rFonts w:hint="eastAsia" w:ascii="宋体" w:hAnsi="Times New Roman" w:eastAsia="宋体" w:cs="Times New Roman"/>
                <w:color w:val="auto"/>
                <w:highlight w:val="none"/>
              </w:rPr>
              <w:t>）-（6）项功能的证明材料，</w:t>
            </w:r>
            <w:r>
              <w:rPr>
                <w:rFonts w:hint="eastAsia" w:ascii="宋体" w:hAnsi="Times New Roman" w:eastAsia="宋体" w:cs="Times New Roman"/>
                <w:color w:val="auto"/>
                <w:highlight w:val="none"/>
                <w:lang w:val="en-US" w:eastAsia="zh-CN"/>
              </w:rPr>
              <w:t>竞标时必须提供以下任意一项证明</w:t>
            </w:r>
            <w:r>
              <w:rPr>
                <w:rFonts w:hint="eastAsia" w:ascii="宋体" w:hAnsi="Times New Roman" w:eastAsia="宋体" w:cs="Times New Roman"/>
                <w:color w:val="auto"/>
                <w:highlight w:val="none"/>
              </w:rPr>
              <w:t>材料</w:t>
            </w:r>
            <w:r>
              <w:rPr>
                <w:rFonts w:hint="eastAsia" w:ascii="宋体" w:hAnsi="Times New Roman" w:eastAsia="宋体" w:cs="Times New Roman"/>
                <w:color w:val="auto"/>
                <w:highlight w:val="none"/>
                <w:lang w:val="en-US" w:eastAsia="zh-CN"/>
              </w:rPr>
              <w:t>：在广西政府采购云平台提供</w:t>
            </w:r>
            <w:r>
              <w:rPr>
                <w:rFonts w:hint="eastAsia" w:ascii="宋体" w:hAnsi="Times New Roman" w:eastAsia="宋体" w:cs="Times New Roman"/>
                <w:color w:val="auto"/>
                <w:highlight w:val="none"/>
              </w:rPr>
              <w:t>视频演示或软件界面截图或第三方检测机构出具的检测报告或</w:t>
            </w:r>
            <w:r>
              <w:rPr>
                <w:rFonts w:hint="eastAsia" w:ascii="宋体" w:hAnsi="Times New Roman" w:eastAsia="宋体" w:cs="Times New Roman"/>
                <w:color w:val="auto"/>
                <w:highlight w:val="none"/>
                <w:lang w:val="en-US" w:eastAsia="zh-CN"/>
              </w:rPr>
              <w:t>技术白皮书</w:t>
            </w:r>
            <w:r>
              <w:rPr>
                <w:rFonts w:hint="eastAsia" w:ascii="宋体" w:hAnsi="Times New Roman" w:eastAsia="宋体" w:cs="Times New Roman"/>
                <w:color w:val="auto"/>
                <w:highlight w:val="none"/>
              </w:rPr>
              <w:t>。</w:t>
            </w:r>
            <w:r>
              <w:rPr>
                <w:rFonts w:hint="eastAsia" w:ascii="宋体" w:hAnsi="Times New Roman" w:eastAsia="宋体" w:cs="Times New Roman"/>
                <w:color w:val="auto"/>
                <w:highlight w:val="none"/>
                <w:lang w:val="en-US" w:eastAsia="zh-CN"/>
              </w:rPr>
              <w:t>未提供相关证明材料或提供的</w:t>
            </w:r>
            <w:r>
              <w:rPr>
                <w:rFonts w:hint="eastAsia" w:ascii="宋体" w:hAnsi="Times New Roman" w:eastAsia="宋体" w:cs="Times New Roman"/>
                <w:color w:val="auto"/>
                <w:highlight w:val="none"/>
              </w:rPr>
              <w:t>证明材料</w:t>
            </w:r>
            <w:r>
              <w:rPr>
                <w:rFonts w:hint="eastAsia" w:ascii="宋体" w:hAnsi="Times New Roman" w:eastAsia="宋体" w:cs="Times New Roman"/>
                <w:color w:val="auto"/>
                <w:highlight w:val="none"/>
                <w:lang w:val="en-US" w:eastAsia="zh-CN"/>
              </w:rPr>
              <w:t>未</w:t>
            </w:r>
            <w:r>
              <w:rPr>
                <w:rFonts w:hint="eastAsia" w:ascii="宋体" w:hAnsi="Times New Roman" w:eastAsia="宋体" w:cs="Times New Roman"/>
                <w:color w:val="auto"/>
                <w:highlight w:val="none"/>
              </w:rPr>
              <w:t>能清晰展示对应功能实现情况</w:t>
            </w:r>
            <w:r>
              <w:rPr>
                <w:rFonts w:hint="eastAsia" w:ascii="宋体" w:hAnsi="Times New Roman" w:eastAsia="宋体" w:cs="Times New Roman"/>
                <w:color w:val="auto"/>
                <w:highlight w:val="none"/>
                <w:lang w:val="en-US" w:eastAsia="zh-CN"/>
              </w:rPr>
              <w:t>按竞标无效处理</w:t>
            </w:r>
            <w:r>
              <w:rPr>
                <w:rFonts w:hint="eastAsia" w:ascii="宋体" w:hAnsi="Times New Roman" w:eastAsia="宋体" w:cs="Times New Roman"/>
                <w:color w:val="auto"/>
                <w:highlight w:val="none"/>
                <w:lang w:eastAsia="zh-CN"/>
              </w:rPr>
              <w:t>。</w:t>
            </w:r>
            <w:r>
              <w:rPr>
                <w:rFonts w:hint="eastAsia" w:ascii="宋体" w:hAnsi="Times New Roman" w:eastAsia="宋体" w:cs="Times New Roman"/>
                <w:color w:val="auto"/>
                <w:highlight w:val="none"/>
              </w:rPr>
              <w:t>交付验收时，须连接真实PLC，选取交通灯、四层电梯及多液体混合（或采购人根据教学需要指定的其他场景）共三个代表场景，现场验证输出驱动、输入反馈及程序修改后模型响应，逐项记录测试结果，全部通过方予验收。</w:t>
            </w:r>
          </w:p>
          <w:p w14:paraId="3FBA97F6">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Theme="majorEastAsia" w:hAnsiTheme="majorEastAsia" w:eastAsiaTheme="majorEastAsia" w:cstheme="majorEastAsia"/>
                <w:color w:val="auto"/>
                <w:highlight w:val="none"/>
              </w:rPr>
              <w:t>（</w:t>
            </w:r>
            <w:r>
              <w:rPr>
                <w:rFonts w:hint="eastAsia" w:ascii="宋体" w:hAnsi="Times New Roman" w:eastAsia="宋体" w:cs="Times New Roman"/>
                <w:color w:val="auto"/>
                <w:highlight w:val="none"/>
              </w:rPr>
              <w:t>二）小型自动化工业生产线及工业远程监控网关平台</w:t>
            </w:r>
          </w:p>
          <w:p w14:paraId="4C1C31A7">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平台至少由材料传送分拣实训系统和工业远程监控网关模块两部分组成，二者可直接通信或经PLC交换数据并成套交付。材料传送分拣实物承担"模拟实验对象"的现场对象功能；工业远程监控网关承担该对象与PLC、变频器、仪表和云端之间的数据桥接功能。本平台提供纯软件仿真不能充分反映的真实传感器、驱动器、执行机构及工艺节拍，用于检验接线、互锁、变频调速、故障恢复和运行监控；网关将PLC运行数据用于趋势、报警及远程维护教学，构成从现场控制到运行管理的实训任务。</w:t>
            </w:r>
          </w:p>
          <w:p w14:paraId="28635541">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1.</w:t>
            </w:r>
            <w:r>
              <w:rPr>
                <w:rFonts w:hint="eastAsia" w:ascii="宋体" w:hAnsi="Times New Roman" w:eastAsia="宋体" w:cs="Times New Roman"/>
                <w:color w:val="auto"/>
                <w:highlight w:val="none"/>
              </w:rPr>
              <w:t>材料传送分拣实训系统用于模拟自动化生产线：由变频器控制输送带调速，配备光纤、光电和金属传感器，由PLC驱动气缸完成上料、分拣、搬运和入库；设备控制端口全部开放，满足教学接线、程序调试和联动实训。配齐气源处理及必要气源设备、接口适配和安全连接附件，由PLC完成顺序控制、互锁及异常处理。</w:t>
            </w:r>
          </w:p>
          <w:p w14:paraId="55432BC7">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2.</w:t>
            </w:r>
            <w:r>
              <w:rPr>
                <w:rFonts w:hint="eastAsia" w:ascii="宋体" w:hAnsi="Times New Roman" w:eastAsia="宋体" w:cs="Times New Roman"/>
                <w:color w:val="auto"/>
                <w:highlight w:val="none"/>
              </w:rPr>
              <w:t>配套工业远程监控网关模块，硬件支持以太网及GPRS/4G联网以太网及校园网络或配套无线网络接入，具备不少于3路以太网口、RS232、RS485、CAN2.0B（或兼容）、2DI、2DO、SD卡和USB存储接口；配套PC、Android及iOS客户端，无需固定IP即可开展远程监控。</w:t>
            </w:r>
          </w:p>
          <w:p w14:paraId="3322956B">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3.</w:t>
            </w:r>
            <w:r>
              <w:rPr>
                <w:rFonts w:hint="eastAsia" w:ascii="宋体" w:hAnsi="Times New Roman" w:eastAsia="宋体" w:cs="Times New Roman"/>
                <w:color w:val="auto"/>
                <w:highlight w:val="none"/>
              </w:rPr>
              <w:t>网关功能包括PLC程序远程下载、数据远程监控、报警推送、历史数据存储与查询、远程停机、开放接口、本地/云端双存储、断网缓存续传、多设备集中统计和运维管理；提供OPC、Web接口及开放编程环境（如Linux开发环境或同等环境）。网关及配套软件应连接现场PLC、变频器和仪表，并将数据传输至远端服务器，实现数据采集、设备监控、程序升级和故障报警。</w:t>
            </w:r>
          </w:p>
          <w:p w14:paraId="069460DE">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4.</w:t>
            </w:r>
            <w:r>
              <w:rPr>
                <w:rFonts w:hint="eastAsia" w:ascii="宋体" w:hAnsi="Times New Roman" w:eastAsia="宋体" w:cs="Times New Roman"/>
                <w:color w:val="auto"/>
                <w:highlight w:val="none"/>
              </w:rPr>
              <w:t>系统配置的独立实验模块宜不少于11个（兼顾开设的实验实训项目），采用标准化可移动设计，支持在台架上灵活挂接；面板宜集成φ4mm安全香蕉插座，实现模块供电和PLC I/O互联。</w:t>
            </w:r>
          </w:p>
          <w:p w14:paraId="4DB8A1F2">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5.</w:t>
            </w:r>
            <w:r>
              <w:rPr>
                <w:rFonts w:hint="eastAsia" w:ascii="宋体" w:hAnsi="Times New Roman" w:eastAsia="宋体" w:cs="Times New Roman"/>
                <w:color w:val="auto"/>
                <w:highlight w:val="none"/>
              </w:rPr>
              <w:t>PLC对象控制类实训至少覆盖：自动送料装车、水塔水位、交通灯自/手动、全自动洗衣机、喷泉、传送带、邮件分拣、铁塔之光、四层电梯、数码显示、MODBUS温湿度显示。</w:t>
            </w:r>
          </w:p>
          <w:p w14:paraId="1B4B3BC9">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6.</w:t>
            </w:r>
            <w:r>
              <w:rPr>
                <w:rFonts w:hint="eastAsia" w:ascii="宋体" w:hAnsi="Times New Roman" w:eastAsia="宋体" w:cs="Times New Roman"/>
                <w:color w:val="auto"/>
                <w:highlight w:val="none"/>
              </w:rPr>
              <w:t>变频调速类实训至少覆盖：参数设置、外部端子点动、正反转、多段速、无级调速、外部模拟量调速、瞬时停电启动、PLC通信调速、PLC外部端子正反转、运行时间控制。</w:t>
            </w:r>
          </w:p>
          <w:p w14:paraId="1A4A3322">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7.</w:t>
            </w:r>
            <w:r>
              <w:rPr>
                <w:rFonts w:hint="eastAsia" w:ascii="宋体" w:hAnsi="Times New Roman" w:eastAsia="宋体" w:cs="Times New Roman"/>
                <w:color w:val="auto"/>
                <w:highlight w:val="none"/>
              </w:rPr>
              <w:t>电机与人机交互类实训至少覆盖：PLC数字量多段速、星—三角降压启动、触摸屏组态、运动单元往返、接触器连锁与主电路自动顺序启动、自锁、两地控制、双重连锁正反转。</w:t>
            </w:r>
          </w:p>
          <w:p w14:paraId="053453DE">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8.</w:t>
            </w:r>
            <w:r>
              <w:rPr>
                <w:rFonts w:hint="eastAsia" w:ascii="宋体" w:hAnsi="Times New Roman" w:eastAsia="宋体" w:cs="Times New Roman"/>
                <w:color w:val="auto"/>
                <w:highlight w:val="none"/>
              </w:rPr>
              <w:t>系统配置多个独立硬件模块，用于构建多元化实训场景。各模块均采用标准化可移动设计，支持在实验台架上灵活挂接与位置调整；面板集成φ4mm安全香蕉插座，兼具模块供电及PLC I/O信号互联功能，实现即插即用与自由组合。</w:t>
            </w:r>
          </w:p>
          <w:p w14:paraId="64E8C2BF">
            <w:pPr>
              <w:rPr>
                <w:rFonts w:hint="eastAsia" w:asciiTheme="majorEastAsia" w:hAnsiTheme="majorEastAsia" w:eastAsiaTheme="majorEastAsia" w:cstheme="majorEastAsia"/>
                <w:color w:val="auto"/>
                <w:kern w:val="2"/>
                <w:sz w:val="21"/>
                <w:szCs w:val="24"/>
                <w:highlight w:val="none"/>
                <w:lang w:val="en-US" w:eastAsia="zh-CN" w:bidi="ar"/>
              </w:rPr>
            </w:pPr>
            <w:r>
              <w:rPr>
                <w:rFonts w:hint="eastAsia" w:asciiTheme="majorEastAsia" w:hAnsiTheme="majorEastAsia" w:eastAsiaTheme="majorEastAsia" w:cstheme="majorEastAsia"/>
                <w:color w:val="auto"/>
                <w:highlight w:val="none"/>
              </w:rPr>
              <w:t>（三）智能视觉移动小车创新实训平台</w:t>
            </w:r>
          </w:p>
          <w:p w14:paraId="628A6B84">
            <w:pPr>
              <w:keepNext w:val="0"/>
              <w:keepLines w:val="0"/>
              <w:widowControl/>
              <w:suppressLineNumbers w:val="0"/>
              <w:ind w:firstLine="420" w:firstLineChars="200"/>
              <w:jc w:val="left"/>
              <w:rPr>
                <w:rFonts w:hint="eastAsia" w:asciiTheme="majorEastAsia" w:hAnsiTheme="majorEastAsia" w:eastAsiaTheme="majorEastAsia" w:cstheme="majorEastAsia"/>
                <w:b w:val="0"/>
                <w:bCs w:val="0"/>
                <w:color w:val="auto"/>
                <w:kern w:val="2"/>
                <w:sz w:val="21"/>
                <w:szCs w:val="24"/>
                <w:highlight w:val="none"/>
                <w:lang w:val="en-US" w:eastAsia="zh-CN" w:bidi="ar"/>
              </w:rPr>
            </w:pPr>
            <w:r>
              <w:rPr>
                <w:rFonts w:hint="eastAsia" w:asciiTheme="majorEastAsia" w:hAnsiTheme="majorEastAsia" w:eastAsiaTheme="majorEastAsia" w:cstheme="majorEastAsia"/>
                <w:b w:val="0"/>
                <w:bCs w:val="0"/>
                <w:color w:val="auto"/>
                <w:kern w:val="2"/>
                <w:sz w:val="21"/>
                <w:szCs w:val="24"/>
                <w:highlight w:val="none"/>
                <w:lang w:val="en-US" w:eastAsia="zh-CN" w:bidi="ar"/>
              </w:rPr>
              <w:t>本平台为 PLC 机电一体化、智能控制、机器视觉高阶创新实训载体，作为 PLC 的视觉感知与移动作业终端：视觉单元处理图像，车载控制器完成循迹、定点行驶与电机控制，支持与 PLC 实现双向数据通信联动，可接收 PLC 下发的站点行驶、物料搬运、启停控制任务指令，同时将小车运行状态、站点识别结果、到站完成信号、故障状态实时上传反馈至 PLC。平台补充固定传感器和固定输送线难以完成的图像识别、站点选择和移动任务调度功能，重点用于PLC 与异构控制器跨设备通信、物流任务调度、点位自动行驶、到站应答协同实训，支持课程设计、毕业设计和创新应用训练。综合实训任务流程可实现：PLC 下发目标站点指令→小车自主循迹定位行驶→到达指定站点后自动回传 “到站完成” 信号至 PLC，完成单次物流搬运闭环联动；装卸动作可人工确认，无需额外配置装卸机器人设备。</w:t>
            </w:r>
          </w:p>
          <w:p w14:paraId="453637B8">
            <w:pPr>
              <w:keepNext w:val="0"/>
              <w:keepLines w:val="0"/>
              <w:widowControl/>
              <w:suppressLineNumbers w:val="0"/>
              <w:ind w:firstLine="420" w:firstLineChars="200"/>
              <w:jc w:val="left"/>
              <w:rPr>
                <w:rFonts w:hint="eastAsia" w:asciiTheme="majorEastAsia" w:hAnsiTheme="majorEastAsia" w:eastAsiaTheme="majorEastAsia" w:cstheme="majorEastAsia"/>
                <w:color w:val="auto"/>
                <w:kern w:val="2"/>
                <w:sz w:val="21"/>
                <w:szCs w:val="24"/>
                <w:highlight w:val="none"/>
                <w:lang w:val="en-US" w:eastAsia="zh-CN" w:bidi="ar"/>
              </w:rPr>
            </w:pPr>
          </w:p>
          <w:p w14:paraId="7FEDD3E8">
            <w:pPr>
              <w:ind w:firstLine="210" w:firstLineChars="1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主要参数要求：</w:t>
            </w:r>
          </w:p>
          <w:p w14:paraId="710EF7F4">
            <w:pPr>
              <w:numPr>
                <w:ilvl w:val="0"/>
                <w:numId w:val="0"/>
              </w:numPr>
              <w:adjustRightInd w:val="0"/>
              <w:snapToGrid w:val="0"/>
              <w:spacing w:line="360" w:lineRule="exact"/>
              <w:ind w:firstLine="210" w:firstLineChars="100"/>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SA"/>
              </w:rPr>
              <w:t>1.</w:t>
            </w:r>
            <w:r>
              <w:rPr>
                <w:rFonts w:hint="eastAsia" w:ascii="宋体" w:hAnsi="Times New Roman" w:eastAsia="宋体" w:cs="Times New Roman"/>
                <w:color w:val="auto"/>
                <w:highlight w:val="none"/>
              </w:rPr>
              <w:t>车体：尺寸及结构适配教学路线、安装空间和安全操作要求，车身坚固，便于安装控制器、传感器和摄像头，不限定材质及开槽结构。</w:t>
            </w:r>
          </w:p>
          <w:p w14:paraId="55C44B32">
            <w:pPr>
              <w:keepNext w:val="0"/>
              <w:keepLines w:val="0"/>
              <w:widowControl/>
              <w:numPr>
                <w:ilvl w:val="0"/>
                <w:numId w:val="0"/>
              </w:numPr>
              <w:suppressLineNumbers w:val="0"/>
              <w:adjustRightInd w:val="0"/>
              <w:snapToGrid w:val="0"/>
              <w:spacing w:line="360" w:lineRule="exact"/>
              <w:ind w:firstLine="210" w:firstLineChars="100"/>
              <w:jc w:val="left"/>
              <w:rPr>
                <w:rFonts w:hint="eastAsia" w:ascii="宋体" w:hAnsi="Times New Roman" w:eastAsia="宋体" w:cs="Times New Roman"/>
                <w:color w:val="auto"/>
                <w:kern w:val="2"/>
                <w:sz w:val="21"/>
                <w:szCs w:val="24"/>
                <w:highlight w:val="none"/>
                <w:lang w:val="en-US" w:eastAsia="zh-CN" w:bidi="ar"/>
              </w:rPr>
            </w:pPr>
            <w:r>
              <w:rPr>
                <w:rFonts w:hint="eastAsia" w:ascii="宋体" w:hAnsi="Times New Roman" w:eastAsia="宋体" w:cs="Times New Roman"/>
                <w:color w:val="auto"/>
                <w:highlight w:val="none"/>
              </w:rPr>
              <w:t xml:space="preserve">▲2 </w:t>
            </w:r>
            <w:r>
              <w:rPr>
                <w:rFonts w:hint="eastAsia" w:ascii="宋体" w:hAnsi="Times New Roman" w:eastAsia="宋体" w:cs="Times New Roman"/>
                <w:color w:val="auto"/>
                <w:highlight w:val="none"/>
                <w:lang w:val="en-US" w:eastAsia="zh-CN"/>
              </w:rPr>
              <w:t>核心控制单元：微控制器具备硬件 FPU 浮点运算单元，硬件资源可满足本平台循迹运动控制、多 CAN 总线交互、PLC 双向通信、传感器数据处理等全部实训任务稳定运行；板载 CAN 总线收发电路，通信速率可达 1Mb/s，兼容 3.3V/5V 电平，具备总线故障防护能力，提升总线通信可靠性。板载多组功能输入按键，包含系统复位按键；配置多路用户状态指示 LED，设置电源拨档开关；配备调试接口、带过流保护的任务板对接接口、备用扩展接口以及多路 CAN 总线接口，满足程序调试、外设对接及实训拓展教学使用。履约验收以采购文件、合同约定及现场通电实测结果为判定依据，不限定处理器具体型号。车载主控支持与 PLC 实现双向通信交互，可解析 PLC 下发的点位行驶、启停、任务调度指令，同时主动上传小车运行状态、站点到位信号、设备故障信息，实现 PLC 全程管控小车移动作业流程。</w:t>
            </w:r>
          </w:p>
          <w:p w14:paraId="706800C9">
            <w:pPr>
              <w:widowControl/>
              <w:numPr>
                <w:ilvl w:val="0"/>
                <w:numId w:val="0"/>
              </w:numPr>
              <w:adjustRightInd w:val="0"/>
              <w:snapToGrid w:val="0"/>
              <w:spacing w:line="360" w:lineRule="exact"/>
              <w:ind w:firstLine="210" w:firstLineChars="100"/>
              <w:jc w:val="left"/>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 xml:space="preserve">▲3. </w:t>
            </w:r>
            <w:r>
              <w:rPr>
                <w:rFonts w:hint="eastAsia" w:ascii="宋体" w:hAnsi="Times New Roman" w:eastAsia="宋体" w:cs="Times New Roman"/>
                <w:color w:val="auto"/>
                <w:highlight w:val="none"/>
                <w:lang w:val="en-US" w:eastAsia="zh-CN"/>
              </w:rPr>
              <w:t>智能显示通信单元：采用 32 位及以上架构高性能微控制器，具备充足硬件资源满足显示、无线组网、多外设协同以及与 PLC 双向通信实训需求；板载 CAN 总线收发电路，通信速率可达 1Mb/s，兼容 3.3V/5V 电平，具备总线故障防护能力。搭载 2.4GHz 无线通信模组，支持频段 2.400GHz~2.4853GHz，可实现无线组网通信；配置显示模块（OLED、LCD 液晶等类型均可），支持自定义通信协议；具备调试接口、CAN 接口、UART 串口等多路外设接口，满足通信组网、状态显示、程序调试以及实训拓展需求，不限定处理器具体型号。</w:t>
            </w:r>
          </w:p>
          <w:p w14:paraId="2D94DC30">
            <w:pPr>
              <w:widowControl/>
              <w:numPr>
                <w:ilvl w:val="0"/>
                <w:numId w:val="0"/>
              </w:numPr>
              <w:adjustRightInd w:val="0"/>
              <w:snapToGrid w:val="0"/>
              <w:spacing w:line="360" w:lineRule="exact"/>
              <w:ind w:firstLine="210" w:firstLineChars="100"/>
              <w:jc w:val="left"/>
              <w:rPr>
                <w:rFonts w:hint="eastAsia" w:ascii="宋体" w:hAnsi="Times New Roman" w:eastAsia="宋体" w:cs="Times New Roman"/>
                <w:color w:val="auto"/>
                <w:highlight w:val="none"/>
              </w:rPr>
            </w:pPr>
            <w:r>
              <w:rPr>
                <w:rFonts w:hint="eastAsia" w:ascii="宋体" w:cs="Times New Roman"/>
                <w:color w:val="auto"/>
                <w:highlight w:val="none"/>
                <w:lang w:val="en-US" w:eastAsia="zh-CN"/>
              </w:rPr>
              <w:t>4.</w:t>
            </w:r>
            <w:r>
              <w:rPr>
                <w:rFonts w:hint="eastAsia" w:ascii="宋体" w:hAnsi="Times New Roman" w:eastAsia="宋体" w:cs="Times New Roman"/>
                <w:color w:val="auto"/>
                <w:highlight w:val="none"/>
              </w:rPr>
              <w:t>电机单元：直流减速电机，转速及驱动参数与车体、供电和教学路线匹配；≥2路电机测速码盘信号接口。</w:t>
            </w:r>
          </w:p>
          <w:p w14:paraId="5F6DB97C">
            <w:pPr>
              <w:widowControl/>
              <w:numPr>
                <w:ilvl w:val="0"/>
                <w:numId w:val="0"/>
              </w:numPr>
              <w:adjustRightInd w:val="0"/>
              <w:snapToGrid w:val="0"/>
              <w:spacing w:line="360" w:lineRule="exact"/>
              <w:ind w:firstLine="210" w:firstLineChars="100"/>
              <w:jc w:val="left"/>
              <w:rPr>
                <w:rFonts w:hint="eastAsia" w:ascii="宋体" w:hAnsi="Times New Roman" w:eastAsia="宋体" w:cs="Times New Roman"/>
                <w:color w:val="auto"/>
                <w:highlight w:val="none"/>
              </w:rPr>
            </w:pPr>
            <w:r>
              <w:rPr>
                <w:rFonts w:hint="eastAsia" w:ascii="宋体" w:cs="Times New Roman"/>
                <w:color w:val="auto"/>
                <w:highlight w:val="none"/>
                <w:lang w:val="en-US" w:eastAsia="zh-CN"/>
              </w:rPr>
              <w:t>5.</w:t>
            </w:r>
            <w:r>
              <w:rPr>
                <w:rFonts w:hint="eastAsia" w:ascii="宋体" w:hAnsi="Times New Roman" w:eastAsia="宋体" w:cs="Times New Roman"/>
                <w:color w:val="auto"/>
                <w:highlight w:val="none"/>
              </w:rPr>
              <w:t>车载供电单元：≥2组独立锂电池供电，≥2个充电接口，输出≥12V，容量≥6000mAh，满足正常教学任务连续运行不少于60分钟，配套适配充电器，具备过充、过放、过流及短路保护。</w:t>
            </w:r>
          </w:p>
          <w:p w14:paraId="53C9762F">
            <w:pPr>
              <w:widowControl/>
              <w:numPr>
                <w:ilvl w:val="0"/>
                <w:numId w:val="0"/>
              </w:numPr>
              <w:adjustRightInd w:val="0"/>
              <w:snapToGrid w:val="0"/>
              <w:spacing w:line="360" w:lineRule="exact"/>
              <w:ind w:firstLine="210" w:firstLineChars="100"/>
              <w:jc w:val="left"/>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▲6. 智能循迹单元：采用红外、视觉或等效检测方式，支持直线、转弯、站点识别及到站停车，传感器可标定或调整灵敏度，</w:t>
            </w:r>
            <w:r>
              <w:rPr>
                <w:rFonts w:hint="eastAsia" w:ascii="宋体" w:hAnsi="Times New Roman" w:eastAsia="宋体" w:cs="Times New Roman"/>
                <w:color w:val="auto"/>
                <w:kern w:val="2"/>
                <w:sz w:val="21"/>
                <w:szCs w:val="24"/>
                <w:highlight w:val="none"/>
                <w:lang w:val="en-US" w:eastAsia="zh-CN" w:bidi="ar"/>
              </w:rPr>
              <w:t>并</w:t>
            </w:r>
            <w:r>
              <w:rPr>
                <w:rFonts w:hint="eastAsia" w:ascii="宋体" w:hAnsi="Times New Roman" w:eastAsia="宋体" w:cs="Times New Roman"/>
                <w:b w:val="0"/>
                <w:bCs w:val="0"/>
                <w:color w:val="auto"/>
                <w:kern w:val="2"/>
                <w:sz w:val="21"/>
                <w:szCs w:val="24"/>
                <w:highlight w:val="none"/>
                <w:lang w:val="en-US" w:eastAsia="zh-CN" w:bidi="ar"/>
              </w:rPr>
              <w:t>可精准识别预设工位站点、自动完成定点停靠，到站后主动生成到位信号并上传至 PLC，完成 PLC 指令闭环应答</w:t>
            </w:r>
            <w:r>
              <w:rPr>
                <w:rFonts w:hint="eastAsia" w:ascii="宋体" w:hAnsi="Times New Roman" w:eastAsia="宋体" w:cs="Times New Roman"/>
                <w:color w:val="auto"/>
                <w:kern w:val="2"/>
                <w:sz w:val="21"/>
                <w:szCs w:val="24"/>
                <w:highlight w:val="none"/>
                <w:lang w:val="en-US" w:eastAsia="zh-CN" w:bidi="ar"/>
              </w:rPr>
              <w:t>。</w:t>
            </w:r>
            <w:r>
              <w:rPr>
                <w:rFonts w:hint="eastAsia" w:ascii="宋体" w:hAnsi="Times New Roman" w:eastAsia="宋体" w:cs="Times New Roman"/>
                <w:color w:val="auto"/>
                <w:highlight w:val="none"/>
              </w:rPr>
              <w:t>接口与所供控制单元匹配，不限定处理器系列、传感器数量、采样位数和连接器针脚，车体中心相对轨道中心线最大循迹偏差不大于±8mm，保障小车行驶平稳匀速。</w:t>
            </w:r>
          </w:p>
          <w:p w14:paraId="2B57EEBA">
            <w:pPr>
              <w:widowControl/>
              <w:numPr>
                <w:ilvl w:val="0"/>
                <w:numId w:val="0"/>
              </w:numPr>
              <w:adjustRightInd w:val="0"/>
              <w:snapToGrid w:val="0"/>
              <w:spacing w:line="360" w:lineRule="exact"/>
              <w:ind w:firstLine="210" w:firstLineChars="100"/>
              <w:jc w:val="left"/>
              <w:rPr>
                <w:rFonts w:hint="eastAsia" w:ascii="宋体" w:hAnsi="Times New Roman" w:eastAsia="宋体" w:cs="Times New Roman"/>
                <w:color w:val="auto"/>
                <w:kern w:val="2"/>
                <w:sz w:val="21"/>
                <w:szCs w:val="24"/>
                <w:highlight w:val="none"/>
                <w:lang w:val="en-US" w:eastAsia="zh-CN" w:bidi="ar"/>
              </w:rPr>
            </w:pPr>
            <w:r>
              <w:rPr>
                <w:rFonts w:hint="eastAsia" w:ascii="宋体" w:hAnsi="Times New Roman" w:eastAsia="宋体" w:cs="Times New Roman"/>
                <w:color w:val="auto"/>
                <w:highlight w:val="none"/>
                <w:lang w:val="en-US" w:eastAsia="zh-CN"/>
              </w:rPr>
              <w:t>7.</w:t>
            </w:r>
            <w:r>
              <w:rPr>
                <w:rFonts w:hint="eastAsia" w:ascii="宋体" w:hAnsi="Times New Roman" w:eastAsia="宋体" w:cs="Times New Roman"/>
                <w:color w:val="auto"/>
                <w:highlight w:val="none"/>
              </w:rPr>
              <w:t>集成障碍检测、光照采集、红外信号输出、声光提示单元；具备站点/物料身份识别能力，身份识别可采用RFID、视觉或其他等效技术；具备语音交互信号交互能力；配备对接核心控制单元的扩展对接接口，所有板载外设可直接参与小车实训控制，不允许全部依赖外部附加模块实现上述基础感知功能；不限定具体传感器器件型号、RFID工作频段、连接器引脚定义。</w:t>
            </w:r>
            <w:r>
              <w:rPr>
                <w:rFonts w:hint="eastAsia" w:ascii="宋体" w:hAnsi="Times New Roman" w:eastAsia="宋体" w:cs="Times New Roman"/>
                <w:color w:val="auto"/>
                <w:kern w:val="2"/>
                <w:sz w:val="21"/>
                <w:szCs w:val="24"/>
                <w:highlight w:val="none"/>
                <w:lang w:val="en-US" w:eastAsia="zh-CN" w:bidi="ar"/>
              </w:rPr>
              <w:t>识别结果可上传至 PLC，作为 PLC 任务调度、物料分拣、站点匹配的判定依据。</w:t>
            </w:r>
          </w:p>
          <w:p w14:paraId="69414C44">
            <w:pPr>
              <w:widowControl/>
              <w:numPr>
                <w:ilvl w:val="0"/>
                <w:numId w:val="0"/>
              </w:numPr>
              <w:adjustRightInd w:val="0"/>
              <w:snapToGrid w:val="0"/>
              <w:spacing w:line="360" w:lineRule="exact"/>
              <w:ind w:firstLine="210" w:firstLineChars="100"/>
              <w:jc w:val="left"/>
              <w:rPr>
                <w:rFonts w:hint="eastAsia" w:ascii="宋体" w:hAnsi="Times New Roman" w:eastAsia="宋体" w:cs="Times New Roman"/>
                <w:color w:val="auto"/>
                <w:highlight w:val="none"/>
              </w:rPr>
            </w:pPr>
            <w:r>
              <w:rPr>
                <w:rFonts w:hint="eastAsia" w:ascii="宋体" w:hAnsi="Times New Roman" w:eastAsia="宋体" w:cs="Times New Roman"/>
                <w:color w:val="auto"/>
                <w:kern w:val="2"/>
                <w:sz w:val="21"/>
                <w:szCs w:val="24"/>
                <w:highlight w:val="none"/>
                <w:lang w:val="en-US" w:eastAsia="zh-CN" w:bidi="ar"/>
              </w:rPr>
              <w:t xml:space="preserve">8. </w:t>
            </w:r>
            <w:r>
              <w:rPr>
                <w:rFonts w:hint="eastAsia" w:ascii="宋体" w:hAnsi="Times New Roman" w:eastAsia="宋体" w:cs="Times New Roman"/>
                <w:color w:val="auto"/>
                <w:highlight w:val="none"/>
              </w:rPr>
              <w:t>电机控制单元：具备调速、方向控制及测速反馈，与所配电机及核心控制单元匹配，不限定处理器和接口布局。配置本地急停或运动电源切断装置，遇障碍、控制通信中断或驱动故障时安全停止，故障解除后经人工确认恢复。</w:t>
            </w:r>
          </w:p>
          <w:p w14:paraId="7B247066">
            <w:pPr>
              <w:keepNext w:val="0"/>
              <w:keepLines w:val="0"/>
              <w:widowControl/>
              <w:numPr>
                <w:ilvl w:val="0"/>
                <w:numId w:val="0"/>
              </w:numPr>
              <w:suppressLineNumbers w:val="0"/>
              <w:adjustRightInd w:val="0"/>
              <w:snapToGrid w:val="0"/>
              <w:spacing w:line="360" w:lineRule="exact"/>
              <w:ind w:firstLine="210" w:firstLineChars="100"/>
              <w:jc w:val="left"/>
              <w:rPr>
                <w:rFonts w:hint="eastAsia" w:ascii="宋体" w:hAnsi="Times New Roman" w:eastAsia="宋体" w:cs="Times New Roman"/>
                <w:color w:val="auto"/>
                <w:highlight w:val="none"/>
              </w:rPr>
            </w:pPr>
            <w:r>
              <w:rPr>
                <w:rFonts w:hint="eastAsia" w:ascii="宋体" w:eastAsia="宋体" w:cs="Times New Roman"/>
                <w:color w:val="auto"/>
                <w:highlight w:val="none"/>
                <w:lang w:val="en-US" w:eastAsia="zh-CN"/>
              </w:rPr>
              <w:t xml:space="preserve">9. </w:t>
            </w:r>
            <w:r>
              <w:rPr>
                <w:rFonts w:hint="eastAsia" w:ascii="宋体" w:hAnsi="Times New Roman" w:eastAsia="宋体" w:cs="Times New Roman"/>
                <w:color w:val="auto"/>
                <w:highlight w:val="none"/>
              </w:rPr>
              <w:t>摄像头模块：像素≥100万，WiFi图像传输，支持JPEG、H.264压缩格式。配套实际可运行的视觉处理软件及教学样件，至少识别两类物料或站点标识，</w:t>
            </w:r>
            <w:r>
              <w:rPr>
                <w:rFonts w:hint="eastAsia" w:ascii="宋体" w:hAnsi="Times New Roman" w:eastAsia="宋体" w:cs="Times New Roman"/>
                <w:color w:val="auto"/>
                <w:kern w:val="2"/>
                <w:sz w:val="21"/>
                <w:szCs w:val="24"/>
                <w:highlight w:val="none"/>
                <w:lang w:val="en-US" w:eastAsia="zh-CN" w:bidi="ar"/>
              </w:rPr>
              <w:t>并</w:t>
            </w:r>
            <w:r>
              <w:rPr>
                <w:rFonts w:hint="eastAsia" w:ascii="宋体" w:hAnsi="Times New Roman" w:eastAsia="宋体" w:cs="Times New Roman"/>
                <w:b w:val="0"/>
                <w:bCs w:val="0"/>
                <w:color w:val="auto"/>
                <w:kern w:val="2"/>
                <w:sz w:val="21"/>
                <w:szCs w:val="24"/>
                <w:highlight w:val="none"/>
                <w:lang w:val="en-US" w:eastAsia="zh-CN" w:bidi="ar"/>
              </w:rPr>
              <w:t>将视觉识别结果实时传送至 PLC，参与 PLC 任务选择、物料判定、工位匹配等联动控制实训</w:t>
            </w:r>
            <w:r>
              <w:rPr>
                <w:rFonts w:hint="eastAsia" w:ascii="宋体" w:hAnsi="Times New Roman" w:eastAsia="宋体" w:cs="Times New Roman"/>
                <w:color w:val="auto"/>
                <w:kern w:val="2"/>
                <w:sz w:val="21"/>
                <w:szCs w:val="24"/>
                <w:highlight w:val="none"/>
                <w:lang w:val="en-US" w:eastAsia="zh-CN" w:bidi="ar"/>
              </w:rPr>
              <w:t>；允许车载或配套计算机处理图像。</w:t>
            </w:r>
          </w:p>
          <w:p w14:paraId="6D5D4AB6">
            <w:pPr>
              <w:keepNext w:val="0"/>
              <w:keepLines w:val="0"/>
              <w:pageBreakBefore w:val="0"/>
              <w:widowControl/>
              <w:numPr>
                <w:ilvl w:val="0"/>
                <w:numId w:val="10"/>
              </w:numPr>
              <w:suppressLineNumbers w:val="0"/>
              <w:kinsoku/>
              <w:wordWrap/>
              <w:overflowPunct/>
              <w:topLinePunct w:val="0"/>
              <w:autoSpaceDN/>
              <w:bidi w:val="0"/>
              <w:spacing w:before="0" w:beforeAutospacing="0" w:after="80" w:afterAutospacing="0" w:line="360" w:lineRule="exact"/>
              <w:ind w:left="0" w:right="0" w:firstLine="632" w:firstLineChars="300"/>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sz w:val="21"/>
                <w:szCs w:val="21"/>
                <w:highlight w:val="none"/>
                <w:lang w:val="en-US" w:eastAsia="zh-CN" w:bidi="ar-SA"/>
              </w:rPr>
              <w:t>配套实验</w:t>
            </w:r>
            <w:r>
              <w:rPr>
                <w:rFonts w:hint="eastAsia" w:ascii="宋体" w:hAnsi="宋体" w:eastAsia="宋体" w:cs="宋体"/>
                <w:b/>
                <w:bCs/>
                <w:color w:val="auto"/>
                <w:sz w:val="21"/>
                <w:szCs w:val="22"/>
                <w:highlight w:val="none"/>
                <w:lang w:val="en-US" w:eastAsia="en-US" w:bidi="ar-SA"/>
              </w:rPr>
              <w:t>实训项目</w:t>
            </w:r>
            <w:r>
              <w:rPr>
                <w:rFonts w:hint="eastAsia" w:ascii="宋体" w:hAnsi="宋体" w:eastAsia="宋体" w:cs="宋体"/>
                <w:b/>
                <w:bCs/>
                <w:color w:val="auto"/>
                <w:sz w:val="21"/>
                <w:szCs w:val="22"/>
                <w:highlight w:val="none"/>
                <w:lang w:val="en-US" w:eastAsia="zh-CN" w:bidi="ar-SA"/>
              </w:rPr>
              <w:t>教程要求：</w:t>
            </w:r>
          </w:p>
          <w:p w14:paraId="3A85701C">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firstLine="422" w:firstLineChars="200"/>
              <w:textAlignment w:val="center"/>
              <w:rPr>
                <w:rFonts w:hint="default" w:eastAsia="宋体"/>
                <w:color w:val="auto"/>
                <w:highlight w:val="none"/>
              </w:rPr>
            </w:pPr>
            <w:r>
              <w:rPr>
                <w:rFonts w:hint="eastAsia" w:eastAsia="宋体"/>
                <w:b/>
                <w:bCs/>
                <w:color w:val="auto"/>
                <w:highlight w:val="none"/>
                <w:lang w:val="en-US" w:eastAsia="zh-CN"/>
              </w:rPr>
              <w:t>实验实训</w:t>
            </w:r>
            <w:r>
              <w:rPr>
                <w:rFonts w:hint="eastAsia" w:eastAsia="宋体"/>
                <w:b/>
                <w:bCs/>
                <w:color w:val="auto"/>
                <w:highlight w:val="none"/>
              </w:rPr>
              <w:t>项目包含</w:t>
            </w:r>
            <w:r>
              <w:rPr>
                <w:rFonts w:hint="eastAsia" w:eastAsia="宋体"/>
                <w:color w:val="auto"/>
                <w:highlight w:val="none"/>
              </w:rPr>
              <w:t>：</w:t>
            </w:r>
          </w:p>
          <w:p w14:paraId="3D2192F0">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自动送料装车系统</w:t>
            </w:r>
          </w:p>
          <w:p w14:paraId="46B1BED6">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水塔水位自动控制 </w:t>
            </w:r>
          </w:p>
          <w:p w14:paraId="0C1CCBDD">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交通灯自控与手控</w:t>
            </w:r>
          </w:p>
          <w:p w14:paraId="1C0F4414">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全自动洗衣机 </w:t>
            </w:r>
          </w:p>
          <w:p w14:paraId="5B206AFA">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lang w:val="en-US" w:eastAsia="zh-CN"/>
              </w:rPr>
              <w:t>喷泉模拟</w:t>
            </w:r>
            <w:r>
              <w:rPr>
                <w:rFonts w:hint="eastAsia" w:eastAsia="宋体"/>
                <w:color w:val="auto"/>
                <w:highlight w:val="none"/>
              </w:rPr>
              <w:t> </w:t>
            </w:r>
          </w:p>
          <w:p w14:paraId="3389D8E1">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lang w:val="en-US" w:eastAsia="zh-CN"/>
              </w:rPr>
              <w:t>传送带模</w:t>
            </w:r>
            <w:r>
              <w:rPr>
                <w:rFonts w:hint="eastAsia" w:eastAsia="宋体"/>
                <w:color w:val="auto"/>
                <w:highlight w:val="none"/>
              </w:rPr>
              <w:t> </w:t>
            </w:r>
          </w:p>
          <w:p w14:paraId="384C8BC7">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邮件分拣机 </w:t>
            </w:r>
          </w:p>
          <w:p w14:paraId="08141A27">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铁塔之光 </w:t>
            </w:r>
          </w:p>
          <w:p w14:paraId="2CD04693">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四层电梯控制 </w:t>
            </w:r>
          </w:p>
          <w:p w14:paraId="24B51BC5">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lang w:val="en-US" w:eastAsia="zh-CN"/>
              </w:rPr>
              <w:t>数码显示</w:t>
            </w:r>
            <w:r>
              <w:rPr>
                <w:rFonts w:hint="eastAsia" w:eastAsia="宋体"/>
                <w:color w:val="auto"/>
                <w:highlight w:val="none"/>
              </w:rPr>
              <w:t>控制 </w:t>
            </w:r>
          </w:p>
          <w:p w14:paraId="5B722415">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lang w:val="en-US" w:eastAsia="zh-CN"/>
              </w:rPr>
              <w:t>温湿度显示控制模块（支持MODBUS协议）</w:t>
            </w:r>
          </w:p>
          <w:p w14:paraId="748ECC3A">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变频器功能参数设置与操作</w:t>
            </w:r>
          </w:p>
          <w:p w14:paraId="5DAE8F25">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lang w:val="en-US" w:eastAsia="zh-CN"/>
              </w:rPr>
              <w:t>变频器</w:t>
            </w:r>
            <w:r>
              <w:rPr>
                <w:rFonts w:hint="eastAsia" w:eastAsia="宋体"/>
                <w:color w:val="auto"/>
                <w:highlight w:val="none"/>
              </w:rPr>
              <w:t>外部端子点动控制</w:t>
            </w:r>
          </w:p>
          <w:p w14:paraId="414BB862">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变频器控制电机正反转</w:t>
            </w:r>
          </w:p>
          <w:p w14:paraId="6C028FFA">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多段速度选择变频调速</w:t>
            </w:r>
          </w:p>
          <w:p w14:paraId="633710B3">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变频器无级调速</w:t>
            </w:r>
          </w:p>
          <w:p w14:paraId="52394F90">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基于外部模拟量（电压/电流）控制方式的变频调速</w:t>
            </w:r>
          </w:p>
          <w:p w14:paraId="7AF35243">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瞬时停电</w:t>
            </w:r>
            <w:r>
              <w:rPr>
                <w:rFonts w:hint="eastAsia" w:eastAsia="宋体"/>
                <w:color w:val="auto"/>
                <w:highlight w:val="none"/>
                <w:lang w:val="en-US" w:eastAsia="zh-CN"/>
              </w:rPr>
              <w:t>启动</w:t>
            </w:r>
            <w:r>
              <w:rPr>
                <w:rFonts w:hint="eastAsia" w:eastAsia="宋体"/>
                <w:color w:val="auto"/>
                <w:highlight w:val="none"/>
              </w:rPr>
              <w:t>控制</w:t>
            </w:r>
          </w:p>
          <w:p w14:paraId="36C01418">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eastAsia="宋体"/>
                <w:color w:val="auto"/>
                <w:highlight w:val="none"/>
              </w:rPr>
            </w:pPr>
            <w:r>
              <w:rPr>
                <w:rFonts w:hint="eastAsia" w:eastAsia="宋体"/>
                <w:color w:val="auto"/>
                <w:highlight w:val="none"/>
              </w:rPr>
              <w:t>PLC</w:t>
            </w:r>
            <w:r>
              <w:rPr>
                <w:rFonts w:hint="eastAsia" w:eastAsia="宋体"/>
                <w:color w:val="auto"/>
                <w:highlight w:val="none"/>
                <w:lang w:val="en-US" w:eastAsia="zh-CN"/>
              </w:rPr>
              <w:t>与</w:t>
            </w:r>
            <w:r>
              <w:rPr>
                <w:rFonts w:hint="eastAsia" w:eastAsia="宋体"/>
                <w:color w:val="auto"/>
                <w:highlight w:val="none"/>
              </w:rPr>
              <w:t>变频</w:t>
            </w:r>
            <w:r>
              <w:rPr>
                <w:rFonts w:hint="eastAsia" w:eastAsia="宋体"/>
                <w:color w:val="auto"/>
                <w:highlight w:val="none"/>
                <w:lang w:val="en-US" w:eastAsia="zh-CN"/>
              </w:rPr>
              <w:t>器通讯</w:t>
            </w:r>
            <w:r>
              <w:rPr>
                <w:rFonts w:hint="eastAsia" w:eastAsia="宋体"/>
                <w:color w:val="auto"/>
                <w:highlight w:val="none"/>
              </w:rPr>
              <w:t>调速控制</w:t>
            </w:r>
          </w:p>
          <w:p w14:paraId="31970251">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ascii="Times New Roman" w:hAnsi="Times New Roman" w:eastAsia="宋体" w:cs="Times New Roman"/>
                <w:color w:val="auto"/>
                <w:highlight w:val="none"/>
              </w:rPr>
            </w:pPr>
            <w:r>
              <w:rPr>
                <w:rFonts w:hint="eastAsia" w:eastAsia="宋体"/>
                <w:color w:val="auto"/>
                <w:highlight w:val="none"/>
              </w:rPr>
              <w:t>PLC控制变</w:t>
            </w:r>
            <w:r>
              <w:rPr>
                <w:rFonts w:hint="eastAsia" w:ascii="Times New Roman" w:hAnsi="Times New Roman" w:eastAsia="宋体" w:cs="Times New Roman"/>
                <w:color w:val="auto"/>
                <w:highlight w:val="none"/>
              </w:rPr>
              <w:t>频器外部端子的电机正反转</w:t>
            </w:r>
          </w:p>
          <w:p w14:paraId="310A350E">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PLC控制变频器外部端子的电机运行时间控制</w:t>
            </w:r>
          </w:p>
          <w:p w14:paraId="3B2CC4FF">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基于PLC数字量控制方式的多段速</w:t>
            </w:r>
          </w:p>
          <w:p w14:paraId="68A3EBE7">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电动机</w:t>
            </w:r>
            <w:r>
              <w:rPr>
                <w:rFonts w:hint="eastAsia" w:ascii="Times New Roman" w:hAnsi="Times New Roman" w:eastAsia="宋体" w:cs="Times New Roman"/>
                <w:color w:val="auto"/>
                <w:highlight w:val="none"/>
              </w:rPr>
              <w:t>星三角降压启动</w:t>
            </w:r>
          </w:p>
          <w:p w14:paraId="38D26576">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触摸屏组态实训</w:t>
            </w:r>
          </w:p>
          <w:p w14:paraId="75979D2F">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运动单元控制往返</w:t>
            </w:r>
          </w:p>
          <w:p w14:paraId="16AB75DC">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三相异步电机接触器连锁控制、主电路自动顺序启动</w:t>
            </w:r>
          </w:p>
          <w:p w14:paraId="319CD47D">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三相异步电机自锁控制电路</w:t>
            </w:r>
          </w:p>
          <w:p w14:paraId="75D0AC61">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三相异步电机两地控制电路</w:t>
            </w:r>
          </w:p>
          <w:p w14:paraId="1EC3B758">
            <w:pPr>
              <w:keepNext w:val="0"/>
              <w:keepLines w:val="0"/>
              <w:pageBreakBefore w:val="0"/>
              <w:numPr>
                <w:ilvl w:val="0"/>
                <w:numId w:val="11"/>
              </w:numPr>
              <w:suppressLineNumbers w:val="0"/>
              <w:kinsoku/>
              <w:wordWrap/>
              <w:overflowPunct/>
              <w:topLinePunct w:val="0"/>
              <w:autoSpaceDN/>
              <w:bidi w:val="0"/>
              <w:adjustRightInd w:val="0"/>
              <w:snapToGrid w:val="0"/>
              <w:spacing w:before="0" w:beforeAutospacing="0" w:after="0" w:afterAutospacing="0" w:line="360" w:lineRule="exact"/>
              <w:ind w:left="845" w:leftChars="0" w:right="0" w:hanging="425" w:firstLineChars="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三相异步电机双重连锁正反转控制电路</w:t>
            </w:r>
          </w:p>
          <w:p w14:paraId="5062FB10">
            <w:pPr>
              <w:keepNext w:val="0"/>
              <w:keepLines w:val="0"/>
              <w:pageBreakBefore w:val="0"/>
              <w:numPr>
                <w:ilvl w:val="0"/>
                <w:numId w:val="0"/>
              </w:numPr>
              <w:suppressLineNumbers w:val="0"/>
              <w:kinsoku/>
              <w:wordWrap/>
              <w:overflowPunct/>
              <w:topLinePunct w:val="0"/>
              <w:autoSpaceDN/>
              <w:bidi w:val="0"/>
              <w:adjustRightInd w:val="0"/>
              <w:snapToGrid w:val="0"/>
              <w:spacing w:before="0" w:beforeAutospacing="0" w:after="0" w:afterAutospacing="0" w:line="360" w:lineRule="exact"/>
              <w:ind w:left="420" w:leftChars="200" w:right="0" w:rightChars="0"/>
              <w:rPr>
                <w:rFonts w:hint="eastAsia" w:ascii="宋体" w:eastAsia="宋体"/>
                <w:color w:val="auto"/>
                <w:highlight w:val="none"/>
                <w:lang w:eastAsia="zh-CN"/>
              </w:rPr>
            </w:pPr>
          </w:p>
          <w:p w14:paraId="0F9AA01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firstLine="420" w:firstLineChars="200"/>
              <w:jc w:val="both"/>
              <w:rPr>
                <w:rFonts w:hint="eastAsia" w:ascii="宋体" w:hAnsi="宋体" w:eastAsia="宋体" w:cs="宋体"/>
                <w:b/>
                <w:bCs/>
                <w:color w:val="auto"/>
                <w:kern w:val="2"/>
                <w:sz w:val="21"/>
                <w:szCs w:val="21"/>
                <w:highlight w:val="none"/>
                <w:lang w:eastAsia="zh-CN"/>
              </w:rPr>
            </w:pPr>
            <w:r>
              <w:rPr>
                <w:rFonts w:hint="eastAsia" w:ascii="宋体" w:eastAsia="宋体"/>
                <w:color w:val="auto"/>
                <w:highlight w:val="none"/>
              </w:rPr>
              <w:t>▲</w:t>
            </w:r>
            <w:r>
              <w:rPr>
                <w:rFonts w:hint="eastAsia" w:ascii="宋体" w:hAnsi="宋体" w:eastAsia="宋体" w:cs="宋体"/>
                <w:color w:val="auto"/>
                <w:kern w:val="2"/>
                <w:sz w:val="21"/>
                <w:szCs w:val="21"/>
                <w:highlight w:val="none"/>
                <w:lang w:val="en-US" w:eastAsia="zh-CN" w:bidi="ar"/>
              </w:rPr>
              <w:t>须提供与以上全部实训项目一一对应的全套实训指导书纸质版+电子版，内容包含实训原理、操作步骤、接线图纸、参数设置、故障排查、实训思考题等内容，格式规范、内容完整，满足日常教学、学生自主实训使用。</w:t>
            </w:r>
            <w:r>
              <w:rPr>
                <w:rFonts w:hint="default" w:ascii="宋体" w:hAnsi="宋体" w:eastAsia="宋体" w:cs="宋体"/>
                <w:color w:val="auto"/>
                <w:highlight w:val="none"/>
              </w:rPr>
              <w:t>每套配实训指导书纸质版3本及电子文件</w:t>
            </w:r>
            <w:r>
              <w:rPr>
                <w:rFonts w:hint="eastAsia" w:ascii="宋体" w:hAnsi="宋体" w:eastAsia="宋体" w:cs="宋体"/>
                <w:color w:val="auto"/>
                <w:highlight w:val="none"/>
                <w:lang w:eastAsia="zh-CN"/>
              </w:rPr>
              <w:t>。</w:t>
            </w:r>
          </w:p>
          <w:p w14:paraId="03DE4BEA">
            <w:pPr>
              <w:keepNext w:val="0"/>
              <w:keepLines w:val="0"/>
              <w:pageBreakBefore w:val="0"/>
              <w:widowControl/>
              <w:suppressLineNumbers w:val="0"/>
              <w:kinsoku/>
              <w:wordWrap/>
              <w:overflowPunct/>
              <w:topLinePunct w:val="0"/>
              <w:autoSpaceDN/>
              <w:bidi w:val="0"/>
              <w:spacing w:before="340" w:beforeAutospacing="0" w:after="330" w:afterAutospacing="0" w:line="360" w:lineRule="exact"/>
              <w:ind w:left="0" w:right="0" w:firstLine="422" w:firstLineChars="200"/>
              <w:jc w:val="both"/>
              <w:outlineLvl w:val="0"/>
              <w:rPr>
                <w:rFonts w:hint="default" w:ascii="宋体" w:hAnsi="宋体" w:eastAsia="宋体" w:cs="宋体"/>
                <w:b/>
                <w:bCs/>
                <w:color w:val="auto"/>
                <w:kern w:val="44"/>
                <w:sz w:val="21"/>
                <w:szCs w:val="21"/>
                <w:highlight w:val="none"/>
                <w:lang w:val="en-US" w:eastAsia="zh-CN" w:bidi="ar-SA"/>
              </w:rPr>
            </w:pPr>
            <w:r>
              <w:rPr>
                <w:rFonts w:hint="eastAsia" w:ascii="宋体" w:hAnsi="Times New Roman" w:eastAsia="宋体" w:cs="Times New Roman"/>
                <w:b/>
                <w:bCs/>
                <w:color w:val="auto"/>
                <w:kern w:val="44"/>
                <w:sz w:val="21"/>
                <w:szCs w:val="21"/>
                <w:highlight w:val="none"/>
                <w:lang w:val="en-US" w:eastAsia="zh-CN" w:bidi="ar-SA"/>
              </w:rPr>
              <w:t>▲</w:t>
            </w:r>
            <w:r>
              <w:rPr>
                <w:rFonts w:hint="eastAsia" w:ascii="宋体" w:hAnsi="宋体" w:eastAsia="宋体" w:cs="宋体"/>
                <w:b/>
                <w:bCs/>
                <w:color w:val="auto"/>
                <w:kern w:val="44"/>
                <w:sz w:val="21"/>
                <w:szCs w:val="21"/>
                <w:highlight w:val="none"/>
                <w:lang w:val="en-US" w:eastAsia="zh-CN" w:bidi="ar-SA"/>
              </w:rPr>
              <w:t>四</w:t>
            </w:r>
            <w:r>
              <w:rPr>
                <w:rFonts w:ascii="宋体" w:hAnsi="宋体" w:eastAsia="宋体" w:cs="宋体"/>
                <w:b/>
                <w:bCs/>
                <w:color w:val="auto"/>
                <w:kern w:val="44"/>
                <w:sz w:val="21"/>
                <w:szCs w:val="21"/>
                <w:highlight w:val="none"/>
                <w:lang w:val="en-US" w:eastAsia="zh-CN" w:bidi="ar-SA"/>
              </w:rPr>
              <w:t>、综合布线、安装调试及配套服务要求</w:t>
            </w:r>
          </w:p>
          <w:p w14:paraId="0FE4D954">
            <w:pPr>
              <w:widowControl/>
              <w:spacing w:line="360" w:lineRule="exact"/>
              <w:ind w:firstLine="422" w:firstLineChars="200"/>
              <w:jc w:val="left"/>
              <w:rPr>
                <w:rFonts w:ascii="宋体" w:hAnsi="宋体" w:eastAsia="宋体" w:cs="宋体"/>
                <w:bCs/>
                <w:color w:val="auto"/>
                <w:szCs w:val="21"/>
                <w:highlight w:val="none"/>
              </w:rPr>
            </w:pPr>
            <w:r>
              <w:rPr>
                <w:rStyle w:val="9"/>
                <w:rFonts w:hint="eastAsia" w:ascii="宋体" w:hAnsi="宋体" w:eastAsia="宋体" w:cs="宋体"/>
                <w:bCs/>
                <w:color w:val="auto"/>
                <w:kern w:val="0"/>
                <w:szCs w:val="21"/>
                <w:highlight w:val="none"/>
                <w:lang w:bidi="ar"/>
              </w:rPr>
              <w:t>本项目包含实训室全套配套工程服务，成交供应商须无条件完成所有施工、安装、组网、调试工作，所有费用包含在总报价内。</w:t>
            </w:r>
          </w:p>
          <w:p w14:paraId="23447BF2">
            <w:pPr>
              <w:keepNext w:val="0"/>
              <w:keepLines w:val="0"/>
              <w:widowControl/>
              <w:spacing w:before="0" w:after="0" w:line="360" w:lineRule="exact"/>
              <w:ind w:firstLine="420" w:firstLineChars="200"/>
              <w:jc w:val="left"/>
              <w:outlineLvl w:val="1"/>
              <w:rPr>
                <w:rFonts w:ascii="宋体" w:hAnsi="宋体" w:eastAsia="宋体" w:cs="宋体"/>
                <w:b w:val="0"/>
                <w:bCs/>
                <w:color w:val="auto"/>
                <w:kern w:val="2"/>
                <w:sz w:val="21"/>
                <w:szCs w:val="21"/>
                <w:highlight w:val="none"/>
                <w:lang w:val="en-US" w:eastAsia="zh-CN" w:bidi="ar-SA"/>
              </w:rPr>
            </w:pPr>
            <w:r>
              <w:rPr>
                <w:rFonts w:hint="eastAsia" w:ascii="宋体" w:hAnsi="Times New Roman" w:eastAsia="宋体" w:cs="Times New Roman"/>
                <w:color w:val="auto"/>
                <w:highlight w:val="none"/>
              </w:rPr>
              <w:t>▲</w:t>
            </w:r>
            <w:r>
              <w:rPr>
                <w:rFonts w:hint="eastAsia" w:ascii="宋体" w:hAnsi="宋体" w:eastAsia="宋体" w:cs="宋体"/>
                <w:b w:val="0"/>
                <w:bCs/>
                <w:color w:val="auto"/>
                <w:kern w:val="2"/>
                <w:sz w:val="21"/>
                <w:szCs w:val="21"/>
                <w:highlight w:val="none"/>
                <w:lang w:val="en-US" w:eastAsia="zh-CN" w:bidi="ar-SA"/>
              </w:rPr>
              <w:t>1. 强弱电综合布线服务</w:t>
            </w:r>
          </w:p>
          <w:p w14:paraId="4D0643F4">
            <w:pPr>
              <w:widowControl/>
              <w:spacing w:line="360" w:lineRule="exact"/>
              <w:ind w:firstLine="422" w:firstLineChars="200"/>
              <w:jc w:val="left"/>
              <w:rPr>
                <w:rFonts w:ascii="宋体" w:hAnsi="宋体" w:eastAsia="宋体" w:cs="宋体"/>
                <w:bCs/>
                <w:color w:val="auto"/>
                <w:szCs w:val="21"/>
                <w:highlight w:val="none"/>
              </w:rPr>
            </w:pPr>
            <w:r>
              <w:rPr>
                <w:rStyle w:val="9"/>
                <w:rFonts w:hint="eastAsia" w:ascii="宋体" w:hAnsi="宋体" w:eastAsia="宋体" w:cs="宋体"/>
                <w:bCs/>
                <w:color w:val="auto"/>
                <w:kern w:val="0"/>
                <w:szCs w:val="21"/>
                <w:highlight w:val="none"/>
                <w:lang w:bidi="ar"/>
              </w:rPr>
              <w:t>成交供应商需提供讲台、扩音器、</w:t>
            </w:r>
            <w:r>
              <w:rPr>
                <w:rStyle w:val="9"/>
                <w:rFonts w:hint="eastAsia" w:ascii="宋体" w:hAnsi="宋体" w:eastAsia="宋体" w:cs="宋体"/>
                <w:bCs/>
                <w:color w:val="auto"/>
                <w:kern w:val="0"/>
                <w:szCs w:val="21"/>
                <w:highlight w:val="none"/>
                <w:lang w:val="en-US" w:eastAsia="zh-CN" w:bidi="ar"/>
              </w:rPr>
              <w:t>视频转播、</w:t>
            </w:r>
            <w:r>
              <w:rPr>
                <w:rStyle w:val="9"/>
                <w:rFonts w:hint="eastAsia" w:ascii="宋体" w:hAnsi="宋体" w:eastAsia="宋体" w:cs="宋体"/>
                <w:bCs/>
                <w:color w:val="auto"/>
                <w:kern w:val="0"/>
                <w:szCs w:val="21"/>
                <w:highlight w:val="none"/>
                <w:lang w:bidi="ar"/>
              </w:rPr>
              <w:t>投影仪等满足实训室所有基础环境建设，结合实训</w:t>
            </w:r>
            <w:r>
              <w:rPr>
                <w:rStyle w:val="9"/>
                <w:rFonts w:hint="eastAsia" w:ascii="宋体" w:hAnsi="宋体" w:eastAsia="宋体" w:cs="宋体"/>
                <w:bCs/>
                <w:color w:val="auto"/>
                <w:kern w:val="0"/>
                <w:szCs w:val="21"/>
                <w:highlight w:val="none"/>
                <w:lang w:bidi="ar"/>
              </w:rPr>
              <w:t>室现场布局、设备摆放位置及教学使用需求，完成全场强弱电线路勘测、设计、敷设施工</w:t>
            </w:r>
            <w:r>
              <w:rPr>
                <w:rStyle w:val="9"/>
                <w:rFonts w:hint="eastAsia" w:ascii="宋体" w:hAnsi="宋体" w:eastAsia="宋体" w:cs="宋体"/>
                <w:bCs/>
                <w:color w:val="auto"/>
                <w:kern w:val="0"/>
                <w:szCs w:val="21"/>
                <w:highlight w:val="none"/>
                <w:lang w:bidi="ar"/>
              </w:rPr>
              <w:t>，满足所有基础设备正常运行</w:t>
            </w:r>
            <w:r>
              <w:rPr>
                <w:rStyle w:val="9"/>
                <w:rFonts w:hint="eastAsia" w:ascii="宋体" w:hAnsi="宋体" w:eastAsia="宋体" w:cs="宋体"/>
                <w:bCs/>
                <w:color w:val="auto"/>
                <w:kern w:val="0"/>
                <w:szCs w:val="21"/>
                <w:highlight w:val="none"/>
                <w:lang w:bidi="ar"/>
              </w:rPr>
              <w:t>。</w:t>
            </w:r>
            <w:r>
              <w:rPr>
                <w:rFonts w:hint="eastAsia" w:ascii="宋体" w:hAnsi="宋体" w:eastAsia="宋体" w:cs="宋体"/>
                <w:bCs/>
                <w:color w:val="auto"/>
                <w:kern w:val="0"/>
                <w:szCs w:val="21"/>
                <w:highlight w:val="none"/>
                <w:lang w:bidi="ar"/>
              </w:rPr>
              <w:t>完整布设实训设备所需三相电、单相电供电线路及全套网络线路，配套安装线槽、管线、插座等辅材，强弱电分离布设，布线规范、走线整齐、固定牢固，符合国家电气安全及综合布线规范，彻底解决实训室无专用实训供电、无教学局域网问题，保障所有实训设备、教学电脑稳定安全供电、有线网络通畅。</w:t>
            </w:r>
          </w:p>
          <w:p w14:paraId="23F2F718">
            <w:pPr>
              <w:keepNext w:val="0"/>
              <w:keepLines w:val="0"/>
              <w:widowControl/>
              <w:spacing w:before="0" w:after="0" w:line="360" w:lineRule="exact"/>
              <w:ind w:firstLine="420" w:firstLineChars="200"/>
              <w:jc w:val="left"/>
              <w:outlineLvl w:val="1"/>
              <w:rPr>
                <w:rFonts w:ascii="宋体" w:hAnsi="宋体" w:eastAsia="宋体" w:cs="宋体"/>
                <w:b w:val="0"/>
                <w:bCs/>
                <w:color w:val="auto"/>
                <w:kern w:val="2"/>
                <w:sz w:val="21"/>
                <w:szCs w:val="21"/>
                <w:highlight w:val="none"/>
                <w:lang w:val="en-US" w:eastAsia="zh-CN" w:bidi="ar-SA"/>
              </w:rPr>
            </w:pPr>
            <w:r>
              <w:rPr>
                <w:rFonts w:hint="eastAsia" w:ascii="宋体" w:hAnsi="Times New Roman" w:eastAsia="宋体" w:cs="Times New Roman"/>
                <w:color w:val="auto"/>
                <w:highlight w:val="none"/>
              </w:rPr>
              <w:t>▲</w:t>
            </w:r>
            <w:r>
              <w:rPr>
                <w:rFonts w:hint="eastAsia" w:ascii="宋体" w:hAnsi="宋体" w:eastAsia="宋体" w:cs="宋体"/>
                <w:b w:val="0"/>
                <w:bCs/>
                <w:color w:val="auto"/>
                <w:kern w:val="2"/>
                <w:sz w:val="21"/>
                <w:szCs w:val="21"/>
                <w:highlight w:val="none"/>
                <w:lang w:val="en-US" w:eastAsia="zh-CN" w:bidi="ar-SA"/>
              </w:rPr>
              <w:t>2. 设备安装与接线调试</w:t>
            </w:r>
          </w:p>
          <w:p w14:paraId="546F9F55">
            <w:pPr>
              <w:widowControl/>
              <w:spacing w:line="360" w:lineRule="exact"/>
              <w:ind w:firstLine="422" w:firstLineChars="200"/>
              <w:jc w:val="left"/>
              <w:rPr>
                <w:rFonts w:ascii="宋体" w:hAnsi="宋体" w:eastAsia="宋体" w:cs="宋体"/>
                <w:bCs/>
                <w:color w:val="auto"/>
                <w:szCs w:val="21"/>
                <w:highlight w:val="none"/>
              </w:rPr>
            </w:pPr>
            <w:r>
              <w:rPr>
                <w:rStyle w:val="9"/>
                <w:rFonts w:hint="eastAsia" w:ascii="宋体" w:hAnsi="宋体" w:eastAsia="宋体" w:cs="宋体"/>
                <w:bCs/>
                <w:color w:val="auto"/>
                <w:kern w:val="0"/>
                <w:szCs w:val="21"/>
                <w:highlight w:val="none"/>
                <w:lang w:bidi="ar"/>
              </w:rPr>
              <w:t>成交供应商须完成所有实训设备的进场就位、固定安装、整机接线、回路调试工作。</w:t>
            </w:r>
            <w:r>
              <w:rPr>
                <w:rFonts w:hint="eastAsia" w:ascii="宋体" w:hAnsi="宋体" w:eastAsia="宋体" w:cs="宋体"/>
                <w:bCs/>
                <w:color w:val="auto"/>
                <w:kern w:val="0"/>
                <w:szCs w:val="21"/>
                <w:highlight w:val="none"/>
                <w:lang w:bidi="ar"/>
              </w:rPr>
              <w:t>完成单套PLC实训装置内部PLC、触摸屏、变频器、电机、开关按钮、传感器等所有模块的接线匹配与功能调试，确保单工位设备独立运行正常，各项实训功能均可正常开展。</w:t>
            </w:r>
          </w:p>
          <w:p w14:paraId="52629A4C">
            <w:pPr>
              <w:keepNext w:val="0"/>
              <w:keepLines w:val="0"/>
              <w:widowControl/>
              <w:spacing w:before="0" w:after="0" w:line="360" w:lineRule="exact"/>
              <w:ind w:firstLine="420" w:firstLineChars="200"/>
              <w:jc w:val="left"/>
              <w:outlineLvl w:val="1"/>
              <w:rPr>
                <w:rFonts w:ascii="宋体" w:hAnsi="宋体" w:eastAsia="宋体" w:cs="宋体"/>
                <w:b w:val="0"/>
                <w:bCs/>
                <w:color w:val="auto"/>
                <w:kern w:val="2"/>
                <w:sz w:val="21"/>
                <w:szCs w:val="21"/>
                <w:highlight w:val="none"/>
                <w:lang w:val="en-US" w:eastAsia="zh-CN" w:bidi="ar-SA"/>
              </w:rPr>
            </w:pPr>
            <w:r>
              <w:rPr>
                <w:rFonts w:hint="eastAsia" w:ascii="宋体" w:hAnsi="Times New Roman" w:eastAsia="宋体" w:cs="Times New Roman"/>
                <w:color w:val="auto"/>
                <w:highlight w:val="none"/>
              </w:rPr>
              <w:t>▲</w:t>
            </w:r>
            <w:r>
              <w:rPr>
                <w:rFonts w:hint="eastAsia" w:ascii="宋体" w:hAnsi="宋体" w:eastAsia="宋体" w:cs="宋体"/>
                <w:b w:val="0"/>
                <w:bCs/>
                <w:color w:val="auto"/>
                <w:kern w:val="2"/>
                <w:sz w:val="21"/>
                <w:szCs w:val="21"/>
                <w:highlight w:val="none"/>
                <w:lang w:val="en-US" w:eastAsia="zh-CN" w:bidi="ar-SA"/>
              </w:rPr>
              <w:t>3. 全网局域网搭建调试</w:t>
            </w:r>
          </w:p>
          <w:p w14:paraId="5966E437">
            <w:pPr>
              <w:widowControl/>
              <w:spacing w:line="360" w:lineRule="exact"/>
              <w:ind w:firstLine="422" w:firstLineChars="200"/>
              <w:jc w:val="left"/>
              <w:rPr>
                <w:rFonts w:ascii="宋体" w:hAnsi="宋体" w:eastAsia="宋体" w:cs="宋体"/>
                <w:bCs/>
                <w:color w:val="auto"/>
                <w:szCs w:val="21"/>
                <w:highlight w:val="none"/>
              </w:rPr>
            </w:pPr>
            <w:r>
              <w:rPr>
                <w:rStyle w:val="9"/>
                <w:rFonts w:hint="eastAsia" w:ascii="宋体" w:hAnsi="宋体" w:eastAsia="宋体" w:cs="宋体"/>
                <w:bCs/>
                <w:color w:val="auto"/>
                <w:kern w:val="0"/>
                <w:szCs w:val="21"/>
                <w:highlight w:val="none"/>
                <w:lang w:bidi="ar"/>
              </w:rPr>
              <w:t>成交供应商须完</w:t>
            </w:r>
            <w:r>
              <w:rPr>
                <w:rStyle w:val="9"/>
                <w:rFonts w:hint="eastAsia" w:ascii="宋体" w:hAnsi="宋体" w:eastAsia="宋体" w:cs="宋体"/>
                <w:bCs/>
                <w:color w:val="auto"/>
                <w:kern w:val="0"/>
                <w:szCs w:val="21"/>
                <w:highlight w:val="none"/>
                <w:lang w:bidi="ar"/>
              </w:rPr>
              <w:t>成实训室整体教学局域网搭建与全网联调，实现教师机、全部学生实训电脑、所有PLC实训设备统一组网。</w:t>
            </w:r>
            <w:r>
              <w:rPr>
                <w:rFonts w:hint="eastAsia" w:ascii="宋体" w:hAnsi="宋体" w:eastAsia="宋体" w:cs="宋体"/>
                <w:bCs/>
                <w:color w:val="auto"/>
                <w:kern w:val="0"/>
                <w:szCs w:val="21"/>
                <w:highlight w:val="none"/>
                <w:lang w:bidi="ar"/>
              </w:rPr>
              <w:t>调试完成后需满足教师端广播教学、屏幕管控、文件分发、远程设备监控、程序统一下载等全部教学功能，网络运行稳定、无卡顿、无断连。</w:t>
            </w:r>
          </w:p>
          <w:p w14:paraId="7189545C">
            <w:pPr>
              <w:keepNext w:val="0"/>
              <w:keepLines w:val="0"/>
              <w:widowControl/>
              <w:spacing w:before="0" w:after="0" w:line="360" w:lineRule="exact"/>
              <w:ind w:firstLine="420" w:firstLineChars="200"/>
              <w:jc w:val="left"/>
              <w:outlineLvl w:val="1"/>
              <w:rPr>
                <w:rFonts w:ascii="宋体" w:hAnsi="宋体" w:eastAsia="宋体" w:cs="宋体"/>
                <w:b w:val="0"/>
                <w:bCs/>
                <w:color w:val="auto"/>
                <w:kern w:val="2"/>
                <w:sz w:val="21"/>
                <w:szCs w:val="21"/>
                <w:highlight w:val="none"/>
                <w:lang w:val="en-US" w:eastAsia="zh-CN" w:bidi="ar-SA"/>
              </w:rPr>
            </w:pPr>
            <w:r>
              <w:rPr>
                <w:rFonts w:hint="eastAsia" w:ascii="宋体" w:hAnsi="Times New Roman" w:eastAsia="宋体" w:cs="Times New Roman"/>
                <w:color w:val="auto"/>
                <w:highlight w:val="none"/>
              </w:rPr>
              <w:t>▲</w:t>
            </w:r>
            <w:r>
              <w:rPr>
                <w:rFonts w:hint="eastAsia" w:ascii="宋体" w:hAnsi="宋体" w:eastAsia="宋体" w:cs="宋体"/>
                <w:b w:val="0"/>
                <w:bCs/>
                <w:color w:val="auto"/>
                <w:kern w:val="2"/>
                <w:sz w:val="21"/>
                <w:szCs w:val="21"/>
                <w:highlight w:val="none"/>
                <w:lang w:val="en-US" w:eastAsia="zh-CN" w:bidi="ar-SA"/>
              </w:rPr>
              <w:t>4. 整体系统联调验收</w:t>
            </w:r>
          </w:p>
          <w:p w14:paraId="05591D1C">
            <w:pPr>
              <w:widowControl/>
              <w:spacing w:line="360" w:lineRule="exact"/>
              <w:ind w:firstLine="420" w:firstLineChars="200"/>
              <w:jc w:val="left"/>
              <w:rPr>
                <w:rFonts w:hint="eastAsia" w:ascii="宋体" w:hAnsi="宋体" w:eastAsia="宋体" w:cs="宋体"/>
                <w:bCs/>
                <w:color w:val="auto"/>
                <w:kern w:val="0"/>
                <w:szCs w:val="21"/>
                <w:highlight w:val="none"/>
                <w:lang w:bidi="ar"/>
              </w:rPr>
            </w:pPr>
            <w:r>
              <w:rPr>
                <w:rFonts w:hint="eastAsia" w:ascii="宋体" w:hAnsi="宋体" w:eastAsia="宋体" w:cs="宋体"/>
                <w:bCs/>
                <w:color w:val="auto"/>
                <w:kern w:val="0"/>
                <w:szCs w:val="21"/>
                <w:highlight w:val="none"/>
                <w:lang w:bidi="ar"/>
              </w:rPr>
              <w:t>所有设备、电气回路、网络系统安装调试完成后，成交供应商需开展整机联合调试，排查所有设备故障、线路隐患、网络问题，确保整套实训室系统功能完整、运行稳定，完全满足常态化实训教学、技能考核使用标准，顺利通过项目整体验收。第17点</w:t>
            </w:r>
            <w:r>
              <w:rPr>
                <w:rFonts w:hint="eastAsia" w:ascii="宋体" w:hAnsi="宋体" w:eastAsia="宋体" w:cs="宋体"/>
                <w:bCs/>
                <w:color w:val="auto"/>
                <w:kern w:val="0"/>
                <w:szCs w:val="21"/>
                <w:highlight w:val="none"/>
                <w:lang w:eastAsia="zh-CN" w:bidi="ar"/>
              </w:rPr>
              <w:t>“</w:t>
            </w:r>
            <w:r>
              <w:rPr>
                <w:rFonts w:hint="eastAsia" w:ascii="宋体" w:hAnsi="宋体" w:eastAsia="宋体" w:cs="宋体"/>
                <w:bCs/>
                <w:color w:val="auto"/>
                <w:kern w:val="0"/>
                <w:szCs w:val="21"/>
                <w:highlight w:val="none"/>
                <w:lang w:bidi="ar"/>
              </w:rPr>
              <w:t xml:space="preserve"> 模拟实验对象要求</w:t>
            </w:r>
            <w:r>
              <w:rPr>
                <w:rFonts w:hint="eastAsia" w:ascii="宋体" w:hAnsi="宋体" w:eastAsia="宋体" w:cs="宋体"/>
                <w:bCs/>
                <w:color w:val="auto"/>
                <w:kern w:val="0"/>
                <w:szCs w:val="21"/>
                <w:highlight w:val="none"/>
                <w:lang w:eastAsia="zh-CN" w:bidi="ar"/>
              </w:rPr>
              <w:t>”</w:t>
            </w:r>
            <w:r>
              <w:rPr>
                <w:rFonts w:hint="eastAsia" w:ascii="宋体" w:hAnsi="宋体" w:eastAsia="宋体" w:cs="宋体"/>
                <w:bCs/>
                <w:color w:val="auto"/>
                <w:kern w:val="0"/>
                <w:szCs w:val="21"/>
                <w:highlight w:val="none"/>
                <w:lang w:bidi="ar"/>
              </w:rPr>
              <w:t>验收须连接真实PLC，验证仿真输入输出反馈、产线顺序及互锁、网关数据采集、视觉结果传输和小车任务执行，并完成一次产线与小车经PLC协同的完整流程及通信中断后的安全处理。交付接线图、通信点表、教学程序和测试记录；验收以采购文件、响应文件及合同约定的功能、性能和实际测试结果为依据，不以图片外观差异单独</w:t>
            </w:r>
            <w:bookmarkStart w:id="0" w:name="_GoBack"/>
            <w:bookmarkEnd w:id="0"/>
            <w:r>
              <w:rPr>
                <w:rFonts w:hint="eastAsia" w:ascii="宋体" w:hAnsi="宋体" w:eastAsia="宋体" w:cs="宋体"/>
                <w:bCs/>
                <w:color w:val="auto"/>
                <w:kern w:val="0"/>
                <w:szCs w:val="21"/>
                <w:highlight w:val="none"/>
                <w:lang w:bidi="ar"/>
              </w:rPr>
              <w:t>否决验收。</w:t>
            </w:r>
          </w:p>
          <w:p w14:paraId="280A287F">
            <w:pPr>
              <w:widowControl/>
              <w:spacing w:line="360" w:lineRule="exact"/>
              <w:ind w:firstLine="420" w:firstLineChars="200"/>
              <w:jc w:val="left"/>
              <w:rPr>
                <w:rFonts w:hint="eastAsia" w:ascii="宋体" w:hAnsi="宋体" w:cs="宋体"/>
                <w:b/>
                <w:bCs/>
                <w:color w:val="auto"/>
                <w:szCs w:val="21"/>
                <w:highlight w:val="none"/>
              </w:rPr>
            </w:pPr>
            <w:r>
              <w:rPr>
                <w:rFonts w:hint="eastAsia" w:ascii="宋体" w:hAnsi="Times New Roman" w:eastAsia="宋体" w:cs="Times New Roman"/>
                <w:color w:val="auto"/>
                <w:highlight w:val="none"/>
              </w:rPr>
              <w:t>▲</w:t>
            </w:r>
            <w:r>
              <w:rPr>
                <w:rFonts w:hint="eastAsia" w:ascii="宋体" w:hAnsi="宋体" w:eastAsia="宋体" w:cs="宋体"/>
                <w:bCs/>
                <w:color w:val="auto"/>
                <w:kern w:val="0"/>
                <w:szCs w:val="21"/>
                <w:highlight w:val="none"/>
                <w:lang w:val="en-US" w:eastAsia="zh-CN" w:bidi="ar"/>
              </w:rPr>
              <w:t>5.</w:t>
            </w:r>
            <w:r>
              <w:rPr>
                <w:rFonts w:hint="eastAsia" w:ascii="宋体" w:hAnsi="宋体" w:eastAsia="宋体" w:cs="宋体"/>
                <w:bCs/>
                <w:color w:val="auto"/>
                <w:kern w:val="0"/>
                <w:szCs w:val="21"/>
                <w:highlight w:val="none"/>
                <w:lang w:bidi="ar"/>
              </w:rPr>
              <w:t>验收工作严格以</w:t>
            </w:r>
            <w:r>
              <w:rPr>
                <w:rFonts w:hint="eastAsia" w:ascii="宋体" w:hAnsi="宋体" w:eastAsia="宋体" w:cs="宋体"/>
                <w:bCs/>
                <w:color w:val="auto"/>
                <w:kern w:val="0"/>
                <w:szCs w:val="21"/>
                <w:highlight w:val="none"/>
                <w:lang w:val="en-US" w:eastAsia="zh-CN" w:bidi="ar"/>
              </w:rPr>
              <w:t>成交单位</w:t>
            </w:r>
            <w:r>
              <w:rPr>
                <w:rFonts w:hint="eastAsia" w:ascii="宋体" w:hAnsi="宋体" w:eastAsia="宋体" w:cs="宋体"/>
                <w:bCs/>
                <w:color w:val="auto"/>
                <w:kern w:val="0"/>
                <w:szCs w:val="21"/>
                <w:highlight w:val="none"/>
                <w:lang w:bidi="ar"/>
              </w:rPr>
              <w:t>响应</w:t>
            </w:r>
            <w:r>
              <w:rPr>
                <w:rFonts w:hint="eastAsia" w:ascii="宋体" w:hAnsi="宋体" w:eastAsia="宋体" w:cs="宋体"/>
                <w:bCs/>
                <w:color w:val="auto"/>
                <w:kern w:val="0"/>
                <w:szCs w:val="21"/>
                <w:highlight w:val="none"/>
                <w:lang w:val="en-US" w:eastAsia="zh-CN" w:bidi="ar"/>
              </w:rPr>
              <w:t>文件</w:t>
            </w:r>
            <w:r>
              <w:rPr>
                <w:rFonts w:hint="eastAsia" w:ascii="宋体" w:hAnsi="宋体" w:eastAsia="宋体" w:cs="宋体"/>
                <w:bCs/>
                <w:color w:val="auto"/>
                <w:kern w:val="0"/>
                <w:szCs w:val="21"/>
                <w:highlight w:val="none"/>
                <w:lang w:bidi="ar"/>
              </w:rPr>
              <w:t>的技术参数为验收标准。供货成果不满足投标响应指标的，视为验收不合格，采购人将依法追究供应商虚假应标及其他相应法律责任。</w:t>
            </w:r>
          </w:p>
        </w:tc>
        <w:tc>
          <w:tcPr>
            <w:tcW w:w="1217" w:type="dxa"/>
            <w:noWrap w:val="0"/>
            <w:vAlign w:val="center"/>
          </w:tcPr>
          <w:p w14:paraId="2AAFEF4E">
            <w:pPr>
              <w:tabs>
                <w:tab w:val="left" w:pos="180"/>
                <w:tab w:val="left" w:pos="1620"/>
              </w:tabs>
              <w:spacing w:line="400" w:lineRule="exact"/>
              <w:jc w:val="center"/>
              <w:rPr>
                <w:rFonts w:hint="eastAsia" w:ascii="宋体" w:hAnsi="宋体"/>
                <w:b/>
                <w:bCs/>
                <w:color w:val="auto"/>
                <w:szCs w:val="21"/>
                <w:highlight w:val="none"/>
              </w:rPr>
            </w:pPr>
            <w:r>
              <w:rPr>
                <w:rFonts w:hint="eastAsia" w:ascii="宋体" w:hAnsi="宋体"/>
                <w:color w:val="auto"/>
                <w:szCs w:val="21"/>
                <w:highlight w:val="none"/>
              </w:rPr>
              <w:t>工业</w:t>
            </w:r>
          </w:p>
        </w:tc>
      </w:tr>
      <w:tr w14:paraId="264B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9867" w:type="dxa"/>
            <w:gridSpan w:val="6"/>
            <w:noWrap w:val="0"/>
            <w:vAlign w:val="center"/>
          </w:tcPr>
          <w:p w14:paraId="2150ADFE">
            <w:pPr>
              <w:tabs>
                <w:tab w:val="left" w:pos="180"/>
                <w:tab w:val="left" w:pos="1620"/>
              </w:tabs>
              <w:spacing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一、商务要求表：</w:t>
            </w:r>
            <w:r>
              <w:rPr>
                <w:rFonts w:hint="eastAsia" w:ascii="宋体" w:hAnsi="宋体" w:cs="宋体"/>
                <w:color w:val="auto"/>
                <w:szCs w:val="21"/>
                <w:highlight w:val="none"/>
              </w:rPr>
              <w:t xml:space="preserve"> </w:t>
            </w:r>
          </w:p>
        </w:tc>
      </w:tr>
      <w:tr w14:paraId="1EDF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gridSpan w:val="3"/>
            <w:noWrap w:val="0"/>
            <w:vAlign w:val="center"/>
          </w:tcPr>
          <w:p w14:paraId="5E9F0687">
            <w:pPr>
              <w:keepNext w:val="0"/>
              <w:keepLines w:val="0"/>
              <w:suppressLineNumbers w:val="0"/>
              <w:spacing w:before="0" w:beforeAutospacing="0" w:after="0" w:afterAutospacing="0"/>
              <w:ind w:left="0" w:leftChars="0" w:right="0" w:rightChars="0"/>
              <w:jc w:val="center"/>
              <w:rPr>
                <w:rFonts w:hint="eastAsia" w:ascii="宋体" w:hAnsi="宋体"/>
                <w:color w:val="auto"/>
                <w:kern w:val="2"/>
                <w:sz w:val="21"/>
                <w:szCs w:val="21"/>
                <w:highlight w:val="none"/>
                <w:lang w:val="en-US" w:eastAsia="zh-CN" w:bidi="ar-SA"/>
              </w:rPr>
            </w:pPr>
            <w:r>
              <w:rPr>
                <w:rFonts w:hint="eastAsia" w:ascii="宋体" w:eastAsia="宋体"/>
                <w:color w:val="auto"/>
                <w:sz w:val="21"/>
                <w:szCs w:val="21"/>
                <w:highlight w:val="none"/>
              </w:rPr>
              <w:t>▲</w:t>
            </w:r>
            <w:r>
              <w:rPr>
                <w:rFonts w:hint="eastAsia" w:ascii="宋体" w:hAnsi="宋体"/>
                <w:color w:val="auto"/>
                <w:szCs w:val="21"/>
                <w:highlight w:val="none"/>
              </w:rPr>
              <w:t>交货时间及地点</w:t>
            </w:r>
          </w:p>
        </w:tc>
        <w:tc>
          <w:tcPr>
            <w:tcW w:w="7696" w:type="dxa"/>
            <w:gridSpan w:val="3"/>
            <w:noWrap w:val="0"/>
            <w:vAlign w:val="center"/>
          </w:tcPr>
          <w:p w14:paraId="50E9A719">
            <w:pPr>
              <w:pStyle w:val="12"/>
              <w:keepNext w:val="0"/>
              <w:keepLines w:val="0"/>
              <w:numPr>
                <w:ilvl w:val="0"/>
                <w:numId w:val="0"/>
              </w:numPr>
              <w:suppressLineNumbers w:val="0"/>
              <w:spacing w:before="0" w:beforeAutospacing="0" w:after="0" w:afterAutospacing="0" w:line="380" w:lineRule="exact"/>
              <w:ind w:left="0" w:right="0"/>
              <w:rPr>
                <w:rFonts w:hint="eastAsia" w:ascii="宋体" w:hAnsi="宋体"/>
                <w:color w:val="auto"/>
                <w:sz w:val="21"/>
                <w:szCs w:val="21"/>
                <w:highlight w:val="none"/>
                <w:u w:val="single"/>
                <w:lang w:val="en-US" w:eastAsia="zh-CN"/>
              </w:rPr>
            </w:pPr>
            <w:r>
              <w:rPr>
                <w:rFonts w:hint="eastAsia" w:ascii="宋体" w:hAnsi="宋体"/>
                <w:color w:val="auto"/>
                <w:sz w:val="21"/>
                <w:szCs w:val="21"/>
                <w:highlight w:val="none"/>
                <w:lang w:val="en-US" w:eastAsia="zh-CN"/>
              </w:rPr>
              <w:t>1.交货日期</w:t>
            </w:r>
            <w:r>
              <w:rPr>
                <w:rFonts w:hint="eastAsia" w:ascii="宋体" w:hAnsi="宋体"/>
                <w:color w:val="auto"/>
                <w:sz w:val="21"/>
                <w:szCs w:val="21"/>
                <w:highlight w:val="none"/>
                <w:lang w:eastAsia="zh-CN"/>
              </w:rPr>
              <w:t xml:space="preserve">：自合同签订之日起 </w:t>
            </w:r>
            <w:r>
              <w:rPr>
                <w:rFonts w:hint="default" w:ascii="宋体" w:hAnsi="宋体"/>
                <w:color w:val="auto"/>
                <w:sz w:val="21"/>
                <w:szCs w:val="21"/>
                <w:highlight w:val="none"/>
                <w:u w:val="single"/>
                <w:lang w:eastAsia="zh-CN"/>
              </w:rPr>
              <w:t xml:space="preserve"> </w:t>
            </w:r>
            <w:r>
              <w:rPr>
                <w:rFonts w:hint="eastAsia" w:ascii="宋体" w:hAnsi="宋体"/>
                <w:color w:val="auto"/>
                <w:sz w:val="21"/>
                <w:szCs w:val="21"/>
                <w:highlight w:val="none"/>
                <w:u w:val="single"/>
                <w:lang w:val="en-US" w:eastAsia="zh-CN"/>
              </w:rPr>
              <w:t>20 个日历天。</w:t>
            </w:r>
          </w:p>
          <w:p w14:paraId="576A5223">
            <w:pPr>
              <w:pStyle w:val="12"/>
              <w:keepNext w:val="0"/>
              <w:keepLines w:val="0"/>
              <w:numPr>
                <w:ilvl w:val="0"/>
                <w:numId w:val="0"/>
              </w:numPr>
              <w:suppressLineNumbers w:val="0"/>
              <w:spacing w:before="0" w:beforeAutospacing="0" w:after="0" w:afterAutospacing="0" w:line="380" w:lineRule="exact"/>
              <w:ind w:left="0" w:leftChars="0" w:right="0" w:rightChars="0" w:firstLine="0" w:firstLineChars="0"/>
              <w:rPr>
                <w:rFonts w:hint="eastAsia" w:ascii="宋体" w:hAnsi="宋体"/>
                <w:color w:val="auto"/>
                <w:kern w:val="0"/>
                <w:sz w:val="21"/>
                <w:szCs w:val="21"/>
                <w:highlight w:val="none"/>
                <w:lang w:val="en-US" w:eastAsia="zh-CN" w:bidi="ar-SA"/>
              </w:rPr>
            </w:pPr>
            <w:r>
              <w:rPr>
                <w:rFonts w:hint="default" w:ascii="宋体" w:hAnsi="宋体"/>
                <w:color w:val="auto"/>
                <w:sz w:val="21"/>
                <w:szCs w:val="21"/>
                <w:highlight w:val="none"/>
                <w:lang w:eastAsia="zh-CN"/>
              </w:rPr>
              <w:t>2.</w:t>
            </w:r>
            <w:r>
              <w:rPr>
                <w:rFonts w:hint="eastAsia" w:ascii="宋体" w:hAnsi="宋体"/>
                <w:color w:val="auto"/>
                <w:sz w:val="21"/>
                <w:szCs w:val="21"/>
                <w:highlight w:val="none"/>
                <w:lang w:eastAsia="zh-CN"/>
              </w:rPr>
              <w:t>交货地点：</w:t>
            </w:r>
            <w:r>
              <w:rPr>
                <w:rFonts w:hint="eastAsia" w:ascii="宋体" w:hAnsi="宋体"/>
                <w:color w:val="auto"/>
                <w:sz w:val="21"/>
                <w:szCs w:val="21"/>
                <w:highlight w:val="none"/>
                <w:u w:val="single"/>
                <w:lang w:eastAsia="zh-CN"/>
              </w:rPr>
              <w:t>广西机电职业技术学院指定地点。</w:t>
            </w:r>
          </w:p>
        </w:tc>
      </w:tr>
      <w:tr w14:paraId="1D45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171" w:type="dxa"/>
            <w:gridSpan w:val="3"/>
            <w:noWrap w:val="0"/>
            <w:vAlign w:val="center"/>
          </w:tcPr>
          <w:p w14:paraId="05DE4E9C">
            <w:pPr>
              <w:keepNext w:val="0"/>
              <w:keepLines w:val="0"/>
              <w:suppressLineNumbers w:val="0"/>
              <w:spacing w:before="0" w:beforeAutospacing="0" w:after="0" w:afterAutospacing="0"/>
              <w:ind w:left="0" w:leftChars="0" w:right="0" w:rightChars="0"/>
              <w:jc w:val="center"/>
              <w:rPr>
                <w:rFonts w:hint="eastAsia" w:ascii="宋体" w:eastAsia="宋体"/>
                <w:color w:val="auto"/>
                <w:kern w:val="2"/>
                <w:sz w:val="21"/>
                <w:szCs w:val="21"/>
                <w:highlight w:val="none"/>
                <w:lang w:val="en-US" w:eastAsia="zh-CN" w:bidi="ar-SA"/>
              </w:rPr>
            </w:pPr>
            <w:r>
              <w:rPr>
                <w:rFonts w:hint="eastAsia" w:ascii="宋体" w:eastAsia="宋体"/>
                <w:color w:val="auto"/>
                <w:sz w:val="21"/>
                <w:szCs w:val="21"/>
                <w:highlight w:val="none"/>
              </w:rPr>
              <w:t>▲</w:t>
            </w:r>
            <w:r>
              <w:rPr>
                <w:rFonts w:hint="eastAsia" w:ascii="宋体" w:eastAsia="宋体"/>
                <w:color w:val="auto"/>
                <w:sz w:val="21"/>
                <w:szCs w:val="21"/>
                <w:highlight w:val="none"/>
                <w:lang w:val="en-US" w:eastAsia="zh-CN"/>
              </w:rPr>
              <w:t>合同签订时间</w:t>
            </w:r>
          </w:p>
        </w:tc>
        <w:tc>
          <w:tcPr>
            <w:tcW w:w="7696" w:type="dxa"/>
            <w:gridSpan w:val="3"/>
            <w:noWrap w:val="0"/>
            <w:vAlign w:val="center"/>
          </w:tcPr>
          <w:p w14:paraId="2DA94B89">
            <w:pPr>
              <w:pStyle w:val="12"/>
              <w:keepNext w:val="0"/>
              <w:keepLines w:val="0"/>
              <w:numPr>
                <w:ilvl w:val="0"/>
                <w:numId w:val="0"/>
              </w:numPr>
              <w:suppressLineNumbers w:val="0"/>
              <w:spacing w:before="0" w:beforeAutospacing="0" w:after="0" w:afterAutospacing="0" w:line="380" w:lineRule="exact"/>
              <w:ind w:left="0" w:leftChars="0" w:right="0" w:rightChars="0" w:firstLine="0" w:firstLineChars="0"/>
              <w:rPr>
                <w:rFonts w:hint="default" w:ascii="宋体" w:hAnsi="宋体" w:eastAsia="宋体"/>
                <w:color w:val="auto"/>
                <w:kern w:val="0"/>
                <w:sz w:val="21"/>
                <w:szCs w:val="21"/>
                <w:highlight w:val="none"/>
                <w:lang w:val="en-US" w:eastAsia="zh-CN" w:bidi="ar-SA"/>
              </w:rPr>
            </w:pPr>
            <w:r>
              <w:rPr>
                <w:rFonts w:hint="eastAsia" w:hAnsi="宋体"/>
                <w:color w:val="auto"/>
                <w:sz w:val="21"/>
                <w:szCs w:val="21"/>
                <w:highlight w:val="none"/>
              </w:rPr>
              <w:t>成交供应商自成交通知书发出之</w:t>
            </w:r>
            <w:r>
              <w:rPr>
                <w:rFonts w:hint="eastAsia" w:ascii="宋体" w:hAnsi="宋体" w:eastAsia="宋体" w:cs="宋体"/>
                <w:color w:val="auto"/>
                <w:sz w:val="21"/>
                <w:szCs w:val="21"/>
                <w:highlight w:val="none"/>
              </w:rPr>
              <w:t>日起</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日</w:t>
            </w:r>
            <w:r>
              <w:rPr>
                <w:rFonts w:hint="eastAsia" w:hAnsi="宋体" w:eastAsia="宋体" w:cs="Times New Roman"/>
                <w:color w:val="auto"/>
                <w:sz w:val="21"/>
                <w:szCs w:val="21"/>
                <w:highlight w:val="none"/>
              </w:rPr>
              <w:t>内与</w:t>
            </w:r>
            <w:r>
              <w:rPr>
                <w:rFonts w:hint="eastAsia" w:hAnsi="宋体"/>
                <w:color w:val="auto"/>
                <w:sz w:val="21"/>
                <w:szCs w:val="21"/>
                <w:highlight w:val="none"/>
              </w:rPr>
              <w:t>采购人签订合同</w:t>
            </w:r>
            <w:r>
              <w:rPr>
                <w:rFonts w:hint="eastAsia"/>
                <w:color w:val="auto"/>
                <w:sz w:val="21"/>
                <w:szCs w:val="21"/>
                <w:highlight w:val="none"/>
                <w:lang w:eastAsia="zh-CN"/>
              </w:rPr>
              <w:t>。</w:t>
            </w:r>
          </w:p>
        </w:tc>
      </w:tr>
      <w:tr w14:paraId="0CEB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gridSpan w:val="3"/>
            <w:noWrap w:val="0"/>
            <w:vAlign w:val="center"/>
          </w:tcPr>
          <w:p w14:paraId="0901D1B4">
            <w:pPr>
              <w:keepNext w:val="0"/>
              <w:keepLines w:val="0"/>
              <w:suppressLineNumbers w:val="0"/>
              <w:spacing w:before="0" w:beforeAutospacing="0" w:after="0" w:afterAutospacing="0"/>
              <w:ind w:left="0" w:leftChars="0" w:right="0" w:rightChars="0"/>
              <w:jc w:val="center"/>
              <w:rPr>
                <w:rFonts w:hint="eastAsia" w:ascii="宋体" w:hAnsi="宋体"/>
                <w:color w:val="auto"/>
                <w:kern w:val="2"/>
                <w:sz w:val="21"/>
                <w:szCs w:val="21"/>
                <w:highlight w:val="none"/>
                <w:lang w:val="en-US" w:eastAsia="zh-CN" w:bidi="ar-SA"/>
              </w:rPr>
            </w:pPr>
            <w:r>
              <w:rPr>
                <w:rFonts w:hint="eastAsia" w:ascii="宋体" w:eastAsia="宋体"/>
                <w:color w:val="auto"/>
                <w:sz w:val="21"/>
                <w:szCs w:val="21"/>
                <w:highlight w:val="none"/>
              </w:rPr>
              <w:t>▲</w:t>
            </w:r>
            <w:r>
              <w:rPr>
                <w:rFonts w:hint="eastAsia" w:ascii="宋体" w:hAnsi="宋体"/>
                <w:color w:val="auto"/>
                <w:sz w:val="21"/>
                <w:szCs w:val="21"/>
                <w:highlight w:val="none"/>
              </w:rPr>
              <w:t>质保期及售后服务要求</w:t>
            </w:r>
          </w:p>
        </w:tc>
        <w:tc>
          <w:tcPr>
            <w:tcW w:w="7696" w:type="dxa"/>
            <w:gridSpan w:val="3"/>
            <w:noWrap w:val="0"/>
            <w:vAlign w:val="center"/>
          </w:tcPr>
          <w:p w14:paraId="11DD2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1.质保期</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质保期自项目整体竣工验收合格之日起计算，所有设备统一原厂整机质保3年，全程提供原厂溯源凭证、产品序列号及质保文件，质保期内免费维修、更换配件、系统调试升级。</w:t>
            </w:r>
          </w:p>
          <w:p w14:paraId="2E496FA2">
            <w:pPr>
              <w:pStyle w:val="12"/>
              <w:keepNext w:val="0"/>
              <w:keepLines w:val="0"/>
              <w:suppressLineNumbers w:val="0"/>
              <w:spacing w:before="0" w:beforeAutospacing="0" w:after="0" w:afterAutospacing="0" w:line="380" w:lineRule="exact"/>
              <w:ind w:left="0" w:right="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 xml:space="preserve">2.供应商负责为采购方人员培训使用系统操作及设备维护维修。培训费用已包含在设备总价款内。培训目标：使操作人员达到（1）能独立进行设备及系统的操作使用；（2）能独立进行设备的日常维护和常见故障的解决。培训地点：设备安装的地点（采购方所在地）。 </w:t>
            </w:r>
          </w:p>
          <w:p w14:paraId="5A18C93E">
            <w:pPr>
              <w:pStyle w:val="12"/>
              <w:keepNext w:val="0"/>
              <w:keepLines w:val="0"/>
              <w:suppressLineNumbers w:val="0"/>
              <w:spacing w:before="0" w:beforeAutospacing="0" w:after="0" w:afterAutospacing="0" w:line="380" w:lineRule="exact"/>
              <w:ind w:left="0" w:right="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 xml:space="preserve">3.供应商所提供的设备在质保期前三个月内，若出现非人为的质量问题，供应商负责免费整件更换新设备。 </w:t>
            </w:r>
          </w:p>
          <w:p w14:paraId="3617287D">
            <w:pPr>
              <w:pStyle w:val="12"/>
              <w:keepNext w:val="0"/>
              <w:keepLines w:val="0"/>
              <w:suppressLineNumbers w:val="0"/>
              <w:spacing w:before="0" w:beforeAutospacing="0" w:after="0" w:afterAutospacing="0" w:line="380" w:lineRule="exact"/>
              <w:ind w:left="0" w:right="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4.所有设备质保期间出现非人为故障，供应商负责提供免费的上门维修、零部件更换等服务。设备因采购方使用不当造成的损坏，供应商负责成本维修。</w:t>
            </w:r>
          </w:p>
          <w:p w14:paraId="7F56AF02">
            <w:pPr>
              <w:pStyle w:val="12"/>
              <w:keepNext w:val="0"/>
              <w:keepLines w:val="0"/>
              <w:suppressLineNumbers w:val="0"/>
              <w:spacing w:before="0" w:beforeAutospacing="0" w:after="0" w:afterAutospacing="0" w:line="380" w:lineRule="exact"/>
              <w:ind w:left="0" w:right="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5.质保期内，供应商借故推脱或无理由拒绝采购方提出的维修、更换服务请求，采购方可以自行解决，并对维修或更换服务以实际发生的费用或按市场价从履约保证金内扣除；造成采购方损失的，还须按造成的实际损失另行赔偿。</w:t>
            </w:r>
          </w:p>
          <w:p w14:paraId="2FCE1142">
            <w:pPr>
              <w:pStyle w:val="12"/>
              <w:keepNext w:val="0"/>
              <w:keepLines w:val="0"/>
              <w:suppressLineNumbers w:val="0"/>
              <w:spacing w:before="0" w:beforeAutospacing="0" w:after="0" w:afterAutospacing="0" w:line="380" w:lineRule="exact"/>
              <w:ind w:left="0" w:right="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 xml:space="preserve">6.质保期内，设备经维修或更换后仍无法达到质量标准，采购方有权退货并向供应商索赔。 </w:t>
            </w:r>
          </w:p>
          <w:p w14:paraId="04FABA71">
            <w:pPr>
              <w:pStyle w:val="12"/>
              <w:keepNext w:val="0"/>
              <w:keepLines w:val="0"/>
              <w:suppressLineNumbers w:val="0"/>
              <w:spacing w:before="0" w:beforeAutospacing="0" w:after="0" w:afterAutospacing="0" w:line="380" w:lineRule="exact"/>
              <w:ind w:left="0" w:right="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7.在质保期内，供应商提供7X24小时的完全免费上门保修服务（免费人工、免费配件），当接到采购方处理问题通知后2小时内进行响应，一般故障处理时间不超过12小时，重大故障处理时限不超过24小时，若24小时内无法维修好的设备，供应商应免费提供不低于故障设备型号档次的备用设备。</w:t>
            </w:r>
          </w:p>
          <w:p w14:paraId="2F5F2B30">
            <w:pPr>
              <w:pStyle w:val="12"/>
              <w:keepNext w:val="0"/>
              <w:keepLines w:val="0"/>
              <w:suppressLineNumbers w:val="0"/>
              <w:spacing w:before="0" w:beforeAutospacing="0" w:after="0" w:afterAutospacing="0" w:line="380" w:lineRule="exact"/>
              <w:ind w:left="0" w:right="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8.质保期满后提供终身维修服务。保修期外零配件若损坏，供应商按出厂价提供零配件，不加收任何费用，如需供应商派出技术人员上门服务，采购方仅支付零配件费用，维修响应时间和修复时间与第</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lang w:eastAsia="zh-CN"/>
              </w:rPr>
              <w:t>款相同。</w:t>
            </w:r>
          </w:p>
          <w:p w14:paraId="3CDE7DED">
            <w:pPr>
              <w:pStyle w:val="12"/>
              <w:keepNext w:val="0"/>
              <w:keepLines w:val="0"/>
              <w:suppressLineNumbers w:val="0"/>
              <w:spacing w:before="0" w:beforeAutospacing="0" w:after="0" w:afterAutospacing="0" w:line="380" w:lineRule="exact"/>
              <w:ind w:left="0" w:right="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9.质保期内提供软件系统的免费修改、维护服务，免费提供版本升级、现场维护。</w:t>
            </w:r>
          </w:p>
          <w:p w14:paraId="7FA1BB45">
            <w:pPr>
              <w:pStyle w:val="12"/>
              <w:keepNext w:val="0"/>
              <w:keepLines w:val="0"/>
              <w:suppressLineNumbers w:val="0"/>
              <w:spacing w:before="0" w:beforeAutospacing="0" w:after="0" w:afterAutospacing="0" w:line="380" w:lineRule="exact"/>
              <w:ind w:left="0" w:leftChars="0" w:right="0" w:rightChars="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10.质保期后，供应商对产品进行终身服务并定期对产品进行巡检维护跟踪。厂家软件更新后，供应商提供软件终身免费升级。</w:t>
            </w:r>
          </w:p>
          <w:p w14:paraId="1E133E22">
            <w:pPr>
              <w:pStyle w:val="12"/>
              <w:keepNext w:val="0"/>
              <w:keepLines w:val="0"/>
              <w:suppressLineNumbers w:val="0"/>
              <w:spacing w:before="0" w:beforeAutospacing="0" w:after="0" w:afterAutospacing="0" w:line="380" w:lineRule="exact"/>
              <w:ind w:left="0" w:leftChars="0" w:right="0" w:rightChars="0"/>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11.本项目交付范围内凡纳入《强制性产品认证目录》的全部货物，均具备合法有效且规格匹配的3C强制认证。</w:t>
            </w:r>
          </w:p>
        </w:tc>
      </w:tr>
      <w:tr w14:paraId="3B84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gridSpan w:val="3"/>
            <w:noWrap w:val="0"/>
            <w:vAlign w:val="center"/>
          </w:tcPr>
          <w:p w14:paraId="613A3B02">
            <w:pPr>
              <w:keepNext w:val="0"/>
              <w:keepLines w:val="0"/>
              <w:suppressLineNumbers w:val="0"/>
              <w:spacing w:before="0" w:beforeAutospacing="0" w:after="0" w:afterAutospacing="0"/>
              <w:ind w:left="0" w:leftChars="0" w:right="0" w:rightChars="0"/>
              <w:jc w:val="center"/>
              <w:rPr>
                <w:rFonts w:hint="eastAsia" w:ascii="宋体" w:hAnsi="宋体"/>
                <w:color w:val="auto"/>
                <w:kern w:val="2"/>
                <w:sz w:val="21"/>
                <w:szCs w:val="21"/>
                <w:highlight w:val="none"/>
                <w:lang w:val="en-US" w:eastAsia="zh-CN" w:bidi="ar-SA"/>
              </w:rPr>
            </w:pPr>
            <w:r>
              <w:rPr>
                <w:rFonts w:hint="eastAsia" w:ascii="宋体" w:eastAsia="宋体"/>
                <w:color w:val="auto"/>
                <w:sz w:val="21"/>
                <w:szCs w:val="21"/>
                <w:highlight w:val="none"/>
              </w:rPr>
              <w:t>▲</w:t>
            </w:r>
            <w:r>
              <w:rPr>
                <w:rFonts w:hint="eastAsia" w:ascii="宋体" w:hAnsi="宋体"/>
                <w:color w:val="auto"/>
                <w:sz w:val="21"/>
                <w:szCs w:val="21"/>
                <w:highlight w:val="none"/>
              </w:rPr>
              <w:t>付款方式</w:t>
            </w:r>
          </w:p>
        </w:tc>
        <w:tc>
          <w:tcPr>
            <w:tcW w:w="7696" w:type="dxa"/>
            <w:gridSpan w:val="3"/>
            <w:noWrap w:val="0"/>
            <w:vAlign w:val="center"/>
          </w:tcPr>
          <w:p w14:paraId="054E1EC7">
            <w:pPr>
              <w:pStyle w:val="12"/>
              <w:keepNext w:val="0"/>
              <w:keepLines w:val="0"/>
              <w:suppressLineNumbers w:val="0"/>
              <w:spacing w:before="0" w:beforeAutospacing="0" w:after="0" w:afterAutospacing="0" w:line="380" w:lineRule="exact"/>
              <w:ind w:left="0" w:right="0"/>
              <w:rPr>
                <w:rFonts w:hint="eastAsia" w:ascii="宋体" w:hAnsi="宋体"/>
                <w:color w:val="auto"/>
                <w:kern w:val="0"/>
                <w:sz w:val="21"/>
                <w:szCs w:val="21"/>
                <w:highlight w:val="none"/>
                <w:lang w:val="en-US" w:eastAsia="zh-CN" w:bidi="ar-SA"/>
              </w:rPr>
            </w:pPr>
            <w:r>
              <w:rPr>
                <w:rFonts w:hint="eastAsia" w:ascii="宋体" w:hAnsi="宋体" w:eastAsia="宋体" w:cs="Times New Roman"/>
                <w:color w:val="auto"/>
                <w:sz w:val="21"/>
                <w:szCs w:val="21"/>
                <w:highlight w:val="none"/>
                <w:lang w:eastAsia="zh-CN"/>
              </w:rPr>
              <w:t>验收合格</w:t>
            </w:r>
            <w:r>
              <w:rPr>
                <w:rFonts w:hint="eastAsia" w:ascii="宋体" w:hAnsi="宋体" w:eastAsia="宋体" w:cs="Times New Roman"/>
                <w:color w:val="auto"/>
                <w:sz w:val="21"/>
                <w:szCs w:val="21"/>
                <w:highlight w:val="none"/>
                <w:lang w:val="en-US" w:eastAsia="zh-CN"/>
              </w:rPr>
              <w:t>之日起10个工作日内</w:t>
            </w:r>
            <w:r>
              <w:rPr>
                <w:rFonts w:hint="eastAsia" w:ascii="宋体" w:hAnsi="宋体" w:eastAsia="宋体" w:cs="Times New Roman"/>
                <w:color w:val="auto"/>
                <w:sz w:val="21"/>
                <w:szCs w:val="21"/>
                <w:highlight w:val="none"/>
                <w:lang w:eastAsia="zh-CN"/>
              </w:rPr>
              <w:t>一次性支付合同全款，成交供应商须在采购人付款前，按付款金额向采购人提供合法有效的增值税专用发票；否则采购人有权暂缓付款，且不承担延迟付款责任。</w:t>
            </w:r>
          </w:p>
        </w:tc>
      </w:tr>
      <w:tr w14:paraId="3274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gridSpan w:val="3"/>
            <w:noWrap w:val="0"/>
            <w:vAlign w:val="center"/>
          </w:tcPr>
          <w:p w14:paraId="61A707DA">
            <w:pPr>
              <w:keepNext w:val="0"/>
              <w:keepLines w:val="0"/>
              <w:suppressLineNumbers w:val="0"/>
              <w:spacing w:before="0" w:beforeAutospacing="0" w:after="0" w:afterAutospacing="0"/>
              <w:ind w:left="0" w:leftChars="0" w:right="0" w:rightChars="0"/>
              <w:jc w:val="center"/>
              <w:rPr>
                <w:rFonts w:hint="eastAsia" w:ascii="宋体" w:hAnsi="宋体" w:eastAsia="宋体"/>
                <w:color w:val="auto"/>
                <w:kern w:val="2"/>
                <w:sz w:val="21"/>
                <w:szCs w:val="21"/>
                <w:highlight w:val="none"/>
                <w:lang w:val="en-US" w:eastAsia="zh-CN" w:bidi="ar-SA"/>
              </w:rPr>
            </w:pPr>
            <w:r>
              <w:rPr>
                <w:rFonts w:hint="eastAsia" w:ascii="宋体" w:eastAsia="宋体"/>
                <w:color w:val="auto"/>
                <w:sz w:val="21"/>
                <w:szCs w:val="21"/>
                <w:highlight w:val="none"/>
              </w:rPr>
              <w:t>▲</w:t>
            </w:r>
            <w:r>
              <w:rPr>
                <w:rFonts w:hint="eastAsia" w:ascii="宋体" w:hAnsi="宋体"/>
                <w:color w:val="auto"/>
                <w:sz w:val="21"/>
                <w:szCs w:val="21"/>
                <w:highlight w:val="none"/>
              </w:rPr>
              <w:t>履约保证金</w:t>
            </w:r>
          </w:p>
        </w:tc>
        <w:tc>
          <w:tcPr>
            <w:tcW w:w="7696" w:type="dxa"/>
            <w:gridSpan w:val="3"/>
            <w:noWrap w:val="0"/>
            <w:vAlign w:val="center"/>
          </w:tcPr>
          <w:p w14:paraId="6BC08B17">
            <w:pPr>
              <w:pStyle w:val="12"/>
              <w:keepNext w:val="0"/>
              <w:keepLines w:val="0"/>
              <w:suppressLineNumbers w:val="0"/>
              <w:spacing w:before="0" w:beforeAutospacing="0" w:after="0" w:afterAutospacing="0" w:line="360" w:lineRule="exact"/>
              <w:ind w:left="0" w:right="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1.履约保证金金额：按成交金额的2%交纳。</w:t>
            </w:r>
          </w:p>
          <w:p w14:paraId="0B9E0046">
            <w:pPr>
              <w:keepNext w:val="0"/>
              <w:keepLines w:val="0"/>
              <w:widowControl/>
              <w:suppressLineNumbers w:val="0"/>
              <w:spacing w:before="0" w:beforeAutospacing="0" w:after="0" w:afterAutospacing="0" w:line="360" w:lineRule="exact"/>
              <w:ind w:left="0" w:right="0"/>
              <w:jc w:val="left"/>
              <w:rPr>
                <w:rFonts w:hint="eastAsia" w:ascii="宋体" w:hAnsi="宋体"/>
                <w:color w:val="auto"/>
                <w:sz w:val="21"/>
                <w:szCs w:val="21"/>
                <w:highlight w:val="none"/>
              </w:rPr>
            </w:pPr>
            <w:r>
              <w:rPr>
                <w:rFonts w:hint="eastAsia" w:ascii="宋体" w:hAnsi="宋体"/>
                <w:color w:val="auto"/>
                <w:sz w:val="21"/>
                <w:szCs w:val="21"/>
                <w:highlight w:val="none"/>
              </w:rPr>
              <w:t>2.履约保证金递交方式：以电汇、转账、汇票、金融机构或担保机构出具的保函等非现金形式提交。由</w:t>
            </w:r>
            <w:r>
              <w:rPr>
                <w:rFonts w:hint="eastAsia" w:ascii="宋体" w:hAnsi="宋体"/>
                <w:color w:val="auto"/>
                <w:sz w:val="21"/>
                <w:szCs w:val="21"/>
                <w:highlight w:val="none"/>
                <w:lang w:eastAsia="zh-CN"/>
              </w:rPr>
              <w:t>成交人</w:t>
            </w:r>
            <w:r>
              <w:rPr>
                <w:rFonts w:hint="eastAsia" w:ascii="宋体" w:hAnsi="宋体"/>
                <w:color w:val="auto"/>
                <w:sz w:val="21"/>
                <w:szCs w:val="21"/>
                <w:highlight w:val="none"/>
              </w:rPr>
              <w:t>在成交通知书发出后10个工作日内按规定的金额直接缴入广西机电职业技术学院账户，账户名称: 广西机电职业技术学院；开户行：建设银行南宁</w:t>
            </w:r>
            <w:r>
              <w:rPr>
                <w:rFonts w:hint="eastAsia" w:ascii="宋体" w:hAnsi="宋体"/>
                <w:color w:val="auto"/>
                <w:sz w:val="21"/>
                <w:szCs w:val="21"/>
                <w:highlight w:val="none"/>
                <w:lang w:val="en-US" w:eastAsia="zh-CN"/>
              </w:rPr>
              <w:t>市</w:t>
            </w:r>
            <w:r>
              <w:rPr>
                <w:rFonts w:hint="eastAsia" w:ascii="宋体" w:hAnsi="宋体"/>
                <w:color w:val="auto"/>
                <w:sz w:val="21"/>
                <w:szCs w:val="21"/>
                <w:highlight w:val="none"/>
              </w:rPr>
              <w:t>大学路支行；银行账号：4500 1604 8510 5050 3961。</w:t>
            </w:r>
          </w:p>
          <w:p w14:paraId="34871B1D">
            <w:pPr>
              <w:pStyle w:val="12"/>
              <w:keepNext w:val="0"/>
              <w:keepLines w:val="0"/>
              <w:suppressLineNumbers w:val="0"/>
              <w:spacing w:before="0" w:beforeAutospacing="0" w:after="0" w:afterAutospacing="0" w:line="360" w:lineRule="exact"/>
              <w:ind w:left="0" w:right="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3.成交人须在签订合同之前按照本条规定的履约保证金金额、递交方式直接转入采购人账户，否则不予签订合同。项目验收合格后一年退付（无息）。由成交人向履约保证金收取单位提供《采购项目合同验收书》、《采购项目履约保证金退付意见书》，保证金收取单位在收到合格材料后，根据成交人相关违约处罚扣款后的实际数额在</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个工作日内办理退还手续（不计利息）。若采购内容质保期各不相同的，也可按金额比例分次退付。</w:t>
            </w:r>
          </w:p>
          <w:p w14:paraId="3198ACAF">
            <w:pPr>
              <w:pStyle w:val="12"/>
              <w:keepNext w:val="0"/>
              <w:keepLines w:val="0"/>
              <w:suppressLineNumbers w:val="0"/>
              <w:spacing w:before="0" w:beforeAutospacing="0" w:after="0" w:afterAutospacing="0" w:line="380" w:lineRule="exact"/>
              <w:ind w:left="0" w:leftChars="0" w:right="0" w:rightChars="0"/>
              <w:rPr>
                <w:rFonts w:hint="eastAsia" w:ascii="宋体" w:hAnsi="宋体"/>
                <w:color w:val="auto"/>
                <w:kern w:val="0"/>
                <w:sz w:val="21"/>
                <w:szCs w:val="21"/>
                <w:highlight w:val="none"/>
                <w:lang w:val="en-US" w:eastAsia="zh-CN" w:bidi="ar-SA"/>
              </w:rPr>
            </w:pPr>
            <w:r>
              <w:rPr>
                <w:rFonts w:hint="eastAsia" w:ascii="宋体" w:hAnsi="宋体"/>
                <w:color w:val="auto"/>
                <w:sz w:val="21"/>
                <w:szCs w:val="21"/>
                <w:highlight w:val="none"/>
                <w:lang w:eastAsia="zh-CN"/>
              </w:rPr>
              <w:t>4.在履约保证金退还日期前，若成交人的开户名称、开户银行、账号有变动的，请以书面形式通知广西机电职业技术学院，否则由此产生的后果由成交人自负。</w:t>
            </w:r>
          </w:p>
        </w:tc>
      </w:tr>
      <w:tr w14:paraId="7AA5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gridSpan w:val="3"/>
            <w:noWrap w:val="0"/>
            <w:vAlign w:val="center"/>
          </w:tcPr>
          <w:p w14:paraId="64C807F9">
            <w:pPr>
              <w:keepNext w:val="0"/>
              <w:keepLines w:val="0"/>
              <w:suppressLineNumbers w:val="0"/>
              <w:spacing w:before="0" w:beforeAutospacing="0" w:after="0" w:afterAutospacing="0"/>
              <w:ind w:left="0" w:leftChars="0" w:right="0" w:rightChars="0"/>
              <w:jc w:val="center"/>
              <w:rPr>
                <w:rFonts w:hint="eastAsia" w:ascii="宋体" w:hAnsi="宋体" w:eastAsia="宋体"/>
                <w:color w:val="auto"/>
                <w:kern w:val="2"/>
                <w:sz w:val="21"/>
                <w:szCs w:val="21"/>
                <w:highlight w:val="none"/>
                <w:lang w:val="en-US" w:eastAsia="zh-CN" w:bidi="ar-SA"/>
              </w:rPr>
            </w:pPr>
            <w:r>
              <w:rPr>
                <w:rFonts w:hint="eastAsia" w:ascii="宋体" w:eastAsia="宋体"/>
                <w:color w:val="auto"/>
                <w:sz w:val="21"/>
                <w:szCs w:val="21"/>
                <w:highlight w:val="none"/>
              </w:rPr>
              <w:t>▲</w:t>
            </w:r>
            <w:r>
              <w:rPr>
                <w:rFonts w:hint="eastAsia" w:ascii="宋体" w:hAnsi="宋体"/>
                <w:color w:val="auto"/>
                <w:sz w:val="21"/>
                <w:szCs w:val="21"/>
                <w:highlight w:val="none"/>
                <w:lang w:val="en-US" w:eastAsia="zh-CN"/>
              </w:rPr>
              <w:t>其他要求</w:t>
            </w:r>
          </w:p>
        </w:tc>
        <w:tc>
          <w:tcPr>
            <w:tcW w:w="7696" w:type="dxa"/>
            <w:gridSpan w:val="3"/>
            <w:noWrap w:val="0"/>
            <w:vAlign w:val="center"/>
          </w:tcPr>
          <w:p w14:paraId="4310DE5E">
            <w:pPr>
              <w:pStyle w:val="12"/>
              <w:keepNext w:val="0"/>
              <w:keepLines w:val="0"/>
              <w:suppressLineNumbers w:val="0"/>
              <w:spacing w:before="0" w:beforeAutospacing="0" w:after="0" w:afterAutospacing="0" w:line="360" w:lineRule="exact"/>
              <w:ind w:left="0" w:right="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本项目包含免费现场实操培训服务，成交供应商须安排专业技术工程师上门开展专项培训，所有培训费用包含在总报价内。</w:t>
            </w:r>
          </w:p>
          <w:p w14:paraId="1F9A2687">
            <w:pPr>
              <w:pStyle w:val="12"/>
              <w:keepNext w:val="0"/>
              <w:keepLines w:val="0"/>
              <w:suppressLineNumbers w:val="0"/>
              <w:spacing w:before="0" w:beforeAutospacing="0" w:after="0" w:afterAutospacing="0" w:line="360" w:lineRule="exact"/>
              <w:ind w:left="0" w:right="0"/>
              <w:rPr>
                <w:rFonts w:hint="default"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1.培训对象：实训室授课教师、设备管理员、相关教学工作人员、学生等。</w:t>
            </w:r>
          </w:p>
          <w:p w14:paraId="4E708217">
            <w:pPr>
              <w:pStyle w:val="12"/>
              <w:keepNext w:val="0"/>
              <w:keepLines w:val="0"/>
              <w:suppressLineNumbers w:val="0"/>
              <w:spacing w:before="0" w:beforeAutospacing="0" w:after="0" w:afterAutospacing="0" w:line="360" w:lineRule="exact"/>
              <w:ind w:left="0" w:right="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培训内容：涵盖实训设备结构认知、硬件接线规范、PLC编程软件操作、触摸屏组态设置、变频器参数调试、电机控制实训操作、局域网网络运维、设备日常巡检保养、常见故障判断与简易排查等全套教学及运维内容。</w:t>
            </w:r>
          </w:p>
          <w:p w14:paraId="1397D515">
            <w:pPr>
              <w:pStyle w:val="12"/>
              <w:keepNext w:val="0"/>
              <w:keepLines w:val="0"/>
              <w:suppressLineNumbers w:val="0"/>
              <w:spacing w:before="0" w:beforeAutospacing="0" w:after="0" w:afterAutospacing="0" w:line="360" w:lineRule="exact"/>
              <w:ind w:left="0" w:right="0"/>
              <w:rPr>
                <w:rFonts w:hint="eastAsia" w:ascii="宋体" w:hAnsi="宋体"/>
                <w:color w:val="auto"/>
                <w:kern w:val="0"/>
                <w:sz w:val="21"/>
                <w:szCs w:val="21"/>
                <w:highlight w:val="none"/>
                <w:lang w:val="en-US" w:eastAsia="zh-CN" w:bidi="ar-SA"/>
              </w:rPr>
            </w:pPr>
            <w:r>
              <w:rPr>
                <w:rFonts w:hint="eastAsia" w:ascii="宋体" w:hAnsi="宋体" w:eastAsia="宋体" w:cs="Times New Roman"/>
                <w:color w:val="auto"/>
                <w:sz w:val="21"/>
                <w:szCs w:val="21"/>
                <w:highlight w:val="none"/>
                <w:lang w:val="en-US" w:eastAsia="zh-CN"/>
              </w:rPr>
              <w:t>3.集中培训开展不少于 5次，保障整体教学效果，让参训人员熟练掌握设备实操、实训流程落地与基础设备维护相关技能；培训结束后将移交全套课件、签到台账等归档材料，后续工作中若遇到相关设备使用问题，可随时咨询对接。</w:t>
            </w:r>
          </w:p>
        </w:tc>
      </w:tr>
      <w:tr w14:paraId="24EF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gridSpan w:val="3"/>
            <w:noWrap w:val="0"/>
            <w:vAlign w:val="center"/>
          </w:tcPr>
          <w:p w14:paraId="163E7802">
            <w:pPr>
              <w:keepNext w:val="0"/>
              <w:keepLines w:val="0"/>
              <w:suppressLineNumbers w:val="0"/>
              <w:spacing w:before="0" w:beforeAutospacing="0" w:after="0" w:afterAutospacing="0"/>
              <w:ind w:left="0" w:leftChars="0" w:right="0" w:rightChars="0"/>
              <w:jc w:val="center"/>
              <w:rPr>
                <w:rFonts w:hint="eastAsia" w:ascii="宋体" w:hAnsi="宋体"/>
                <w:color w:val="auto"/>
                <w:sz w:val="21"/>
                <w:szCs w:val="21"/>
                <w:highlight w:val="none"/>
                <w:lang w:val="en-US" w:eastAsia="zh-CN"/>
              </w:rPr>
            </w:pPr>
            <w:r>
              <w:rPr>
                <w:rFonts w:hint="eastAsia" w:ascii="宋体" w:eastAsia="宋体"/>
                <w:color w:val="auto"/>
                <w:sz w:val="21"/>
                <w:szCs w:val="21"/>
                <w:highlight w:val="none"/>
              </w:rPr>
              <w:t>▲</w:t>
            </w:r>
            <w:r>
              <w:rPr>
                <w:rFonts w:hint="eastAsia" w:ascii="宋体" w:hAnsi="宋体"/>
                <w:color w:val="auto"/>
                <w:sz w:val="21"/>
                <w:szCs w:val="21"/>
                <w:highlight w:val="none"/>
              </w:rPr>
              <w:t>采购标的验收标准</w:t>
            </w:r>
          </w:p>
        </w:tc>
        <w:tc>
          <w:tcPr>
            <w:tcW w:w="7696" w:type="dxa"/>
            <w:gridSpan w:val="3"/>
            <w:noWrap w:val="0"/>
            <w:vAlign w:val="center"/>
          </w:tcPr>
          <w:p w14:paraId="40041A9C">
            <w:pPr>
              <w:spacing w:line="360" w:lineRule="atLeast"/>
              <w:rPr>
                <w:rFonts w:hAnsi="宋体"/>
                <w:color w:val="auto"/>
                <w:kern w:val="0"/>
                <w:sz w:val="21"/>
                <w:szCs w:val="21"/>
                <w:highlight w:val="none"/>
              </w:rPr>
            </w:pPr>
            <w:r>
              <w:rPr>
                <w:rFonts w:hint="eastAsia" w:hAnsi="宋体"/>
                <w:color w:val="auto"/>
                <w:sz w:val="21"/>
                <w:szCs w:val="21"/>
                <w:highlight w:val="none"/>
              </w:rPr>
              <w:t>1.采购人可以根据采购项目具体情况自行组织验收，或者委托第三方机构或部门开展采购项目履约验收工作，验收过程中所产生的费用均由</w:t>
            </w:r>
            <w:r>
              <w:rPr>
                <w:rFonts w:hint="eastAsia" w:hAnsi="宋体"/>
                <w:color w:val="auto"/>
                <w:sz w:val="21"/>
                <w:szCs w:val="21"/>
                <w:highlight w:val="none"/>
                <w:lang w:val="en-US" w:eastAsia="zh-CN"/>
              </w:rPr>
              <w:t>成交</w:t>
            </w:r>
            <w:r>
              <w:rPr>
                <w:rFonts w:hint="eastAsia" w:hAnsi="宋体"/>
                <w:color w:val="auto"/>
                <w:sz w:val="21"/>
                <w:szCs w:val="21"/>
                <w:highlight w:val="none"/>
              </w:rPr>
              <w:t>人承担，供应商</w:t>
            </w:r>
            <w:r>
              <w:rPr>
                <w:rFonts w:hint="eastAsia" w:hAnsi="宋体"/>
                <w:color w:val="auto"/>
                <w:sz w:val="21"/>
                <w:szCs w:val="21"/>
                <w:highlight w:val="none"/>
                <w:lang w:val="en-US" w:eastAsia="zh-CN"/>
              </w:rPr>
              <w:t>的竞标报价</w:t>
            </w:r>
            <w:r>
              <w:rPr>
                <w:rFonts w:hint="eastAsia" w:hAnsi="宋体"/>
                <w:color w:val="auto"/>
                <w:sz w:val="21"/>
                <w:szCs w:val="21"/>
                <w:highlight w:val="none"/>
              </w:rPr>
              <w:t>应考虑相关费用。</w:t>
            </w:r>
          </w:p>
          <w:p w14:paraId="7F3425CE">
            <w:pPr>
              <w:spacing w:line="360" w:lineRule="atLeast"/>
              <w:rPr>
                <w:rFonts w:hint="eastAsia" w:hAnsi="宋体"/>
                <w:color w:val="auto"/>
                <w:sz w:val="21"/>
                <w:szCs w:val="21"/>
                <w:highlight w:val="none"/>
              </w:rPr>
            </w:pPr>
            <w:r>
              <w:rPr>
                <w:rFonts w:hint="eastAsia" w:hAnsi="宋体"/>
                <w:color w:val="auto"/>
                <w:sz w:val="21"/>
                <w:szCs w:val="21"/>
                <w:highlight w:val="none"/>
              </w:rPr>
              <w:t>2.在验收过程中发现</w:t>
            </w:r>
            <w:r>
              <w:rPr>
                <w:rFonts w:hint="eastAsia" w:hAnsi="宋体"/>
                <w:color w:val="auto"/>
                <w:sz w:val="21"/>
                <w:szCs w:val="21"/>
                <w:highlight w:val="none"/>
                <w:lang w:val="en-US" w:eastAsia="zh-CN"/>
              </w:rPr>
              <w:t>成交</w:t>
            </w:r>
            <w:r>
              <w:rPr>
                <w:rFonts w:hint="eastAsia" w:hAnsi="宋体"/>
                <w:color w:val="auto"/>
                <w:sz w:val="21"/>
                <w:szCs w:val="21"/>
                <w:highlight w:val="none"/>
              </w:rPr>
              <w:t>人有违约问题，可暂缓资金结算，待违约问题解决后，方可办理资金结算事宜。</w:t>
            </w:r>
          </w:p>
          <w:p w14:paraId="7478ED69">
            <w:pPr>
              <w:spacing w:line="360" w:lineRule="atLeast"/>
              <w:rPr>
                <w:rFonts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验收标准</w:t>
            </w:r>
          </w:p>
          <w:p w14:paraId="54A6B971">
            <w:pPr>
              <w:spacing w:line="360" w:lineRule="atLeast"/>
              <w:rPr>
                <w:rFonts w:hint="eastAsia" w:ascii="宋体" w:hAnsi="宋体"/>
                <w:color w:val="auto"/>
                <w:sz w:val="21"/>
                <w:szCs w:val="21"/>
                <w:highlight w:val="none"/>
              </w:rPr>
            </w:pPr>
            <w:r>
              <w:rPr>
                <w:rFonts w:ascii="宋体" w:hAnsi="宋体"/>
                <w:color w:val="auto"/>
                <w:sz w:val="21"/>
                <w:szCs w:val="21"/>
                <w:highlight w:val="none"/>
              </w:rPr>
              <w:t>3.1</w:t>
            </w:r>
            <w:r>
              <w:rPr>
                <w:rFonts w:hint="eastAsia" w:ascii="宋体" w:hAnsi="宋体"/>
                <w:color w:val="auto"/>
                <w:sz w:val="21"/>
                <w:szCs w:val="21"/>
                <w:highlight w:val="none"/>
              </w:rPr>
              <w:t>供货产品须是按厂家出厂标准配置提供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14:paraId="071AA9E5">
            <w:pPr>
              <w:spacing w:line="360" w:lineRule="atLeas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3.2</w:t>
            </w:r>
            <w:r>
              <w:rPr>
                <w:rFonts w:hint="eastAsia" w:ascii="宋体" w:hAnsi="宋体" w:eastAsia="宋体" w:cs="宋体"/>
                <w:color w:val="auto"/>
                <w:sz w:val="21"/>
                <w:szCs w:val="21"/>
                <w:highlight w:val="none"/>
                <w:lang w:eastAsia="zh-CN"/>
              </w:rPr>
              <w:t>成交</w:t>
            </w:r>
            <w:r>
              <w:rPr>
                <w:rFonts w:ascii="宋体" w:hAnsi="宋体" w:eastAsia="宋体" w:cs="宋体"/>
                <w:color w:val="auto"/>
                <w:sz w:val="21"/>
                <w:szCs w:val="21"/>
                <w:highlight w:val="none"/>
              </w:rPr>
              <w:t>供应商供货全部设备进场验收时，采购人有权核查所有列入3C强制目录产品的实物CCC标识</w:t>
            </w:r>
            <w:r>
              <w:rPr>
                <w:rFonts w:hint="eastAsia" w:ascii="宋体" w:hAnsi="宋体" w:eastAsia="宋体" w:cs="宋体"/>
                <w:color w:val="auto"/>
                <w:sz w:val="21"/>
                <w:szCs w:val="21"/>
                <w:highlight w:val="none"/>
                <w:lang w:val="en-US" w:eastAsia="zh-CN"/>
              </w:rPr>
              <w:t>及</w:t>
            </w:r>
            <w:r>
              <w:rPr>
                <w:rFonts w:ascii="宋体" w:hAnsi="宋体" w:eastAsia="宋体" w:cs="宋体"/>
                <w:color w:val="auto"/>
                <w:sz w:val="21"/>
                <w:szCs w:val="21"/>
                <w:highlight w:val="none"/>
              </w:rPr>
              <w:t>有效认证证书，若产品不符合认证要求，采购人有权拒收货物、暂缓支付款项，由此产生的工期延误、整改费用全部由</w:t>
            </w:r>
            <w:r>
              <w:rPr>
                <w:rFonts w:hint="eastAsia" w:ascii="宋体" w:hAnsi="宋体" w:eastAsia="宋体" w:cs="宋体"/>
                <w:color w:val="auto"/>
                <w:sz w:val="21"/>
                <w:szCs w:val="21"/>
                <w:highlight w:val="none"/>
                <w:lang w:eastAsia="zh-CN"/>
              </w:rPr>
              <w:t>成交</w:t>
            </w:r>
            <w:r>
              <w:rPr>
                <w:rFonts w:ascii="宋体" w:hAnsi="宋体" w:eastAsia="宋体" w:cs="宋体"/>
                <w:color w:val="auto"/>
                <w:sz w:val="21"/>
                <w:szCs w:val="21"/>
                <w:highlight w:val="none"/>
              </w:rPr>
              <w:t>人承担；</w:t>
            </w:r>
          </w:p>
          <w:p w14:paraId="6A96DAAD">
            <w:pPr>
              <w:keepNext w:val="0"/>
              <w:keepLines w:val="0"/>
              <w:widowControl/>
              <w:suppressLineNumbers w:val="0"/>
              <w:spacing w:before="0" w:beforeAutospacing="0" w:after="0" w:afterAutospacing="0" w:line="360" w:lineRule="atLeast"/>
              <w:ind w:left="0" w:right="0"/>
              <w:jc w:val="left"/>
              <w:rPr>
                <w:rFonts w:hint="eastAsia" w:ascii="宋体" w:hAnsi="宋体" w:eastAsia="宋体" w:cs="Times New Roman"/>
                <w:color w:val="auto"/>
                <w:sz w:val="21"/>
                <w:szCs w:val="21"/>
                <w:highlight w:val="none"/>
                <w:lang w:val="en-US" w:eastAsia="zh-CN"/>
              </w:rPr>
            </w:pPr>
            <w:r>
              <w:rPr>
                <w:rFonts w:ascii="宋体" w:hAnsi="宋体"/>
                <w:color w:val="auto"/>
                <w:sz w:val="21"/>
                <w:szCs w:val="21"/>
                <w:highlight w:val="none"/>
              </w:rPr>
              <w:t>3.</w:t>
            </w:r>
            <w:r>
              <w:rPr>
                <w:rFonts w:hint="eastAsia" w:ascii="宋体" w:hAnsi="宋体"/>
                <w:color w:val="auto"/>
                <w:sz w:val="21"/>
                <w:szCs w:val="21"/>
                <w:highlight w:val="none"/>
                <w:lang w:val="en-US" w:eastAsia="zh-CN"/>
              </w:rPr>
              <w:t>3成交</w:t>
            </w:r>
            <w:r>
              <w:rPr>
                <w:rFonts w:ascii="宋体" w:hAnsi="宋体"/>
                <w:color w:val="auto"/>
                <w:sz w:val="21"/>
                <w:szCs w:val="21"/>
                <w:highlight w:val="none"/>
                <w:lang w:val="en-US" w:eastAsia="zh-CN"/>
              </w:rPr>
              <w:t>供应商所提供的产品必须为原装正品、全新、完好无破损、未开箱状态，且完全符合国家、行业相关质量标准及本项目采购要求。设备到货安装前，采购人有权依据招标文件明确要求、响应承诺对设备参数、质量、配置等内容逐项现场核验；必要时，采购人可要求供应商对设备各项技术指标、功能效果进行现场演示，供应商须无条件配合。若核验发现产品质量、配置、技术指标不符合约定，或供应商无正当理由拒不配合现场演示、设备技术功能无法达到采购及合同约定标准的，视为供应商履约违约。采购人有权根据违约情形轻重，要求供应商限期整改、免费更换货品；存在重大违约、无法整改达标、严重影响项目使用的，采购人有权全额退货、解除对应履约条款。因供应商违约行为给采购人造成全部直接经济损失的，由</w:t>
            </w:r>
            <w:r>
              <w:rPr>
                <w:rFonts w:hint="eastAsia" w:ascii="宋体" w:hAnsi="宋体"/>
                <w:color w:val="auto"/>
                <w:sz w:val="21"/>
                <w:szCs w:val="21"/>
                <w:highlight w:val="none"/>
                <w:lang w:val="en-US" w:eastAsia="zh-CN"/>
              </w:rPr>
              <w:t>成交</w:t>
            </w:r>
            <w:r>
              <w:rPr>
                <w:rFonts w:ascii="宋体" w:hAnsi="宋体"/>
                <w:color w:val="auto"/>
                <w:sz w:val="21"/>
                <w:szCs w:val="21"/>
                <w:highlight w:val="none"/>
                <w:lang w:val="en-US" w:eastAsia="zh-CN"/>
              </w:rPr>
              <w:t>供应商承担全额赔偿责任。同时，采购人有权将供应商违约履约情况报送同级政府采购监督管理部门依规处理。</w:t>
            </w:r>
          </w:p>
        </w:tc>
      </w:tr>
      <w:tr w14:paraId="1912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67" w:type="dxa"/>
            <w:gridSpan w:val="6"/>
            <w:noWrap w:val="0"/>
            <w:vAlign w:val="center"/>
          </w:tcPr>
          <w:p w14:paraId="66EE080D">
            <w:pPr>
              <w:tabs>
                <w:tab w:val="left" w:pos="180"/>
                <w:tab w:val="left" w:pos="1620"/>
              </w:tabs>
              <w:spacing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w:t>
            </w:r>
            <w:r>
              <w:rPr>
                <w:rFonts w:hint="eastAsia" w:ascii="宋体" w:hAnsi="宋体" w:cs="宋体"/>
                <w:b/>
                <w:color w:val="auto"/>
                <w:kern w:val="0"/>
                <w:szCs w:val="21"/>
                <w:highlight w:val="none"/>
              </w:rPr>
              <w:t>谈判小组根据与供应商谈判情况可能实质性变动的内容</w:t>
            </w:r>
            <w:r>
              <w:rPr>
                <w:rFonts w:hint="eastAsia" w:ascii="宋体" w:hAnsi="宋体" w:cs="宋体"/>
                <w:b/>
                <w:color w:val="auto"/>
                <w:szCs w:val="21"/>
                <w:highlight w:val="none"/>
              </w:rPr>
              <w:t xml:space="preserve">： </w:t>
            </w:r>
          </w:p>
          <w:p w14:paraId="2B169C96">
            <w:pPr>
              <w:tabs>
                <w:tab w:val="left" w:pos="180"/>
                <w:tab w:val="left" w:pos="1620"/>
              </w:tabs>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1.未标注“▲”的内容。</w:t>
            </w:r>
          </w:p>
        </w:tc>
      </w:tr>
    </w:tbl>
    <w:p w14:paraId="1F021260">
      <w:pPr>
        <w:keepNext w:val="0"/>
        <w:keepLines w:val="0"/>
        <w:pageBreakBefore w:val="0"/>
        <w:widowControl w:val="0"/>
        <w:kinsoku/>
        <w:wordWrap/>
        <w:overflowPunct/>
        <w:topLinePunct w:val="0"/>
        <w:autoSpaceDE/>
        <w:autoSpaceDN/>
        <w:bidi w:val="0"/>
        <w:adjustRightInd/>
        <w:snapToGrid/>
        <w:spacing w:line="720" w:lineRule="auto"/>
        <w:jc w:val="both"/>
        <w:textAlignment w:val="auto"/>
        <w:rPr>
          <w:rFonts w:hint="eastAsia" w:ascii="仿宋_GB2312" w:hAnsi="宋体" w:eastAsia="仿宋_GB2312"/>
          <w:b/>
          <w:color w:val="auto"/>
          <w:sz w:val="32"/>
          <w:szCs w:val="32"/>
          <w:highlight w:val="none"/>
          <w:lang w:val="en-US" w:eastAsia="zh-CN"/>
        </w:rPr>
      </w:pPr>
      <w:r>
        <w:rPr>
          <w:rFonts w:hint="eastAsia" w:ascii="仿宋_GB2312" w:hAnsi="宋体" w:eastAsia="仿宋_GB2312"/>
          <w:b/>
          <w:color w:val="auto"/>
          <w:sz w:val="32"/>
          <w:szCs w:val="32"/>
          <w:highlight w:val="none"/>
          <w:lang w:val="en-US" w:eastAsia="zh-CN"/>
        </w:rPr>
        <w:br w:type="page"/>
      </w:r>
      <w:r>
        <w:rPr>
          <w:rFonts w:hint="eastAsia" w:ascii="宋体" w:hAnsi="宋体" w:eastAsia="宋体" w:cs="宋体"/>
          <w:b/>
          <w:color w:val="auto"/>
          <w:sz w:val="30"/>
          <w:szCs w:val="30"/>
          <w:highlight w:val="none"/>
          <w:lang w:val="en-US" w:eastAsia="zh-CN"/>
        </w:rPr>
        <w:t>附件</w:t>
      </w:r>
    </w:p>
    <w:p w14:paraId="2FA8E632">
      <w:pPr>
        <w:rPr>
          <w:color w:val="auto"/>
          <w:highlight w:val="none"/>
        </w:rPr>
      </w:pPr>
      <w:r>
        <w:rPr>
          <w:rFonts w:hint="default"/>
          <w:color w:val="auto"/>
          <w:highlight w:val="none"/>
          <w:lang w:val="en-US" w:eastAsia="zh-CN"/>
        </w:rPr>
        <w:drawing>
          <wp:inline distT="0" distB="0" distL="114300" distR="114300">
            <wp:extent cx="6114415" cy="4309745"/>
            <wp:effectExtent l="0" t="0" r="635" b="14605"/>
            <wp:docPr id="1" name="图片 1" descr="1c38383ed03fb4dc23848292431382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c38383ed03fb4dc23848292431382e9"/>
                    <pic:cNvPicPr>
                      <a:picLocks noChangeAspect="1"/>
                    </pic:cNvPicPr>
                  </pic:nvPicPr>
                  <pic:blipFill>
                    <a:blip r:embed="rId5"/>
                    <a:stretch>
                      <a:fillRect/>
                    </a:stretch>
                  </pic:blipFill>
                  <pic:spPr>
                    <a:xfrm>
                      <a:off x="0" y="0"/>
                      <a:ext cx="6114415" cy="4309745"/>
                    </a:xfrm>
                    <a:prstGeom prst="rect">
                      <a:avLst/>
                    </a:prstGeom>
                    <a:noFill/>
                    <a:ln>
                      <a:noFill/>
                    </a:ln>
                  </pic:spPr>
                </pic:pic>
              </a:graphicData>
            </a:graphic>
          </wp:inline>
        </w:drawing>
      </w:r>
    </w:p>
    <w:sectPr>
      <w:footerReference r:id="rId3" w:type="default"/>
      <w:pgSz w:w="11906" w:h="16838"/>
      <w:pgMar w:top="1440" w:right="14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0030101010101"/>
    <w:charset w:val="00"/>
    <w:family w:val="modern"/>
    <w:pitch w:val="default"/>
    <w:sig w:usb0="00000000" w:usb1="00000000" w:usb2="00000006" w:usb3="00000000" w:csb0="00040001" w:csb1="00000000"/>
  </w:font>
  <w:font w:name="仿宋-简">
    <w:altName w:val="仿宋"/>
    <w:panose1 w:val="02010609060101010101"/>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71A3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698C8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5698C8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F79046"/>
    <w:multiLevelType w:val="singleLevel"/>
    <w:tmpl w:val="BCF79046"/>
    <w:lvl w:ilvl="0" w:tentative="0">
      <w:start w:val="1"/>
      <w:numFmt w:val="decimalEnclosedCircleChinese"/>
      <w:suff w:val="nothing"/>
      <w:lvlText w:val="%1　"/>
      <w:lvlJc w:val="left"/>
      <w:pPr>
        <w:ind w:left="0" w:firstLine="400"/>
      </w:pPr>
      <w:rPr>
        <w:rFonts w:hint="eastAsia"/>
      </w:rPr>
    </w:lvl>
  </w:abstractNum>
  <w:abstractNum w:abstractNumId="1">
    <w:nsid w:val="CDBF8CD6"/>
    <w:multiLevelType w:val="singleLevel"/>
    <w:tmpl w:val="CDBF8CD6"/>
    <w:lvl w:ilvl="0" w:tentative="0">
      <w:start w:val="1"/>
      <w:numFmt w:val="decimalEnclosedCircleChinese"/>
      <w:suff w:val="nothing"/>
      <w:lvlText w:val="%1　"/>
      <w:lvlJc w:val="left"/>
      <w:pPr>
        <w:ind w:left="0" w:firstLine="400"/>
      </w:pPr>
      <w:rPr>
        <w:rFonts w:hint="eastAsia"/>
      </w:rPr>
    </w:lvl>
  </w:abstractNum>
  <w:abstractNum w:abstractNumId="2">
    <w:nsid w:val="E3D95E24"/>
    <w:multiLevelType w:val="singleLevel"/>
    <w:tmpl w:val="E3D95E24"/>
    <w:lvl w:ilvl="0" w:tentative="0">
      <w:start w:val="1"/>
      <w:numFmt w:val="decimal"/>
      <w:suff w:val="nothing"/>
      <w:lvlText w:val="（%1）"/>
      <w:lvlJc w:val="left"/>
    </w:lvl>
  </w:abstractNum>
  <w:abstractNum w:abstractNumId="3">
    <w:nsid w:val="E7FB9B30"/>
    <w:multiLevelType w:val="singleLevel"/>
    <w:tmpl w:val="E7FB9B30"/>
    <w:lvl w:ilvl="0" w:tentative="0">
      <w:start w:val="1"/>
      <w:numFmt w:val="decimal"/>
      <w:suff w:val="space"/>
      <w:lvlText w:val="%1."/>
      <w:lvlJc w:val="left"/>
    </w:lvl>
  </w:abstractNum>
  <w:abstractNum w:abstractNumId="4">
    <w:nsid w:val="F7FE462F"/>
    <w:multiLevelType w:val="singleLevel"/>
    <w:tmpl w:val="F7FE462F"/>
    <w:lvl w:ilvl="0" w:tentative="0">
      <w:start w:val="2"/>
      <w:numFmt w:val="chineseCounting"/>
      <w:suff w:val="nothing"/>
      <w:lvlText w:val="（%1）"/>
      <w:lvlJc w:val="left"/>
      <w:rPr>
        <w:rFonts w:hint="eastAsia"/>
      </w:rPr>
    </w:lvl>
  </w:abstractNum>
  <w:abstractNum w:abstractNumId="5">
    <w:nsid w:val="F7FE8FB6"/>
    <w:multiLevelType w:val="singleLevel"/>
    <w:tmpl w:val="F7FE8FB6"/>
    <w:lvl w:ilvl="0" w:tentative="0">
      <w:start w:val="18"/>
      <w:numFmt w:val="decimal"/>
      <w:suff w:val="space"/>
      <w:lvlText w:val="%1."/>
      <w:lvlJc w:val="left"/>
    </w:lvl>
  </w:abstractNum>
  <w:abstractNum w:abstractNumId="6">
    <w:nsid w:val="FD6FD2EC"/>
    <w:multiLevelType w:val="singleLevel"/>
    <w:tmpl w:val="FD6FD2EC"/>
    <w:lvl w:ilvl="0" w:tentative="0">
      <w:start w:val="8"/>
      <w:numFmt w:val="decimal"/>
      <w:suff w:val="space"/>
      <w:lvlText w:val="%1."/>
      <w:lvlJc w:val="left"/>
    </w:lvl>
  </w:abstractNum>
  <w:abstractNum w:abstractNumId="7">
    <w:nsid w:val="FEFADB68"/>
    <w:multiLevelType w:val="singleLevel"/>
    <w:tmpl w:val="FEFADB68"/>
    <w:lvl w:ilvl="0" w:tentative="0">
      <w:start w:val="13"/>
      <w:numFmt w:val="decimal"/>
      <w:suff w:val="space"/>
      <w:lvlText w:val="%1."/>
      <w:lvlJc w:val="left"/>
    </w:lvl>
  </w:abstractNum>
  <w:abstractNum w:abstractNumId="8">
    <w:nsid w:val="7474E0ED"/>
    <w:multiLevelType w:val="singleLevel"/>
    <w:tmpl w:val="7474E0ED"/>
    <w:lvl w:ilvl="0" w:tentative="0">
      <w:start w:val="1"/>
      <w:numFmt w:val="decimalEnclosedCircleChinese"/>
      <w:suff w:val="nothing"/>
      <w:lvlText w:val="%1　"/>
      <w:lvlJc w:val="left"/>
      <w:pPr>
        <w:ind w:left="0" w:firstLine="400"/>
      </w:pPr>
      <w:rPr>
        <w:rFonts w:hint="eastAsia"/>
      </w:rPr>
    </w:lvl>
  </w:abstractNum>
  <w:abstractNum w:abstractNumId="9">
    <w:nsid w:val="75B3D4B2"/>
    <w:multiLevelType w:val="singleLevel"/>
    <w:tmpl w:val="75B3D4B2"/>
    <w:lvl w:ilvl="0" w:tentative="0">
      <w:start w:val="1"/>
      <w:numFmt w:val="decimalEnclosedCircleChinese"/>
      <w:suff w:val="nothing"/>
      <w:lvlText w:val="%1　"/>
      <w:lvlJc w:val="left"/>
      <w:pPr>
        <w:ind w:left="0" w:firstLine="403"/>
      </w:pPr>
      <w:rPr>
        <w:rFonts w:hint="eastAsia"/>
      </w:rPr>
    </w:lvl>
  </w:abstractNum>
  <w:abstractNum w:abstractNumId="10">
    <w:nsid w:val="7E58F0F1"/>
    <w:multiLevelType w:val="singleLevel"/>
    <w:tmpl w:val="7E58F0F1"/>
    <w:lvl w:ilvl="0" w:tentative="0">
      <w:start w:val="1"/>
      <w:numFmt w:val="decimal"/>
      <w:lvlText w:val="(%1)"/>
      <w:lvlJc w:val="left"/>
      <w:pPr>
        <w:ind w:left="425" w:hanging="425"/>
      </w:pPr>
      <w:rPr>
        <w:rFonts w:hint="default"/>
      </w:rPr>
    </w:lvl>
  </w:abstractNum>
  <w:num w:numId="1">
    <w:abstractNumId w:val="4"/>
  </w:num>
  <w:num w:numId="2">
    <w:abstractNumId w:val="3"/>
  </w:num>
  <w:num w:numId="3">
    <w:abstractNumId w:val="0"/>
  </w:num>
  <w:num w:numId="4">
    <w:abstractNumId w:val="1"/>
  </w:num>
  <w:num w:numId="5">
    <w:abstractNumId w:val="9"/>
  </w:num>
  <w:num w:numId="6">
    <w:abstractNumId w:val="8"/>
  </w:num>
  <w:num w:numId="7">
    <w:abstractNumId w:val="2"/>
  </w:num>
  <w:num w:numId="8">
    <w:abstractNumId w:val="6"/>
  </w:num>
  <w:num w:numId="9">
    <w:abstractNumId w:val="7"/>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E1345"/>
    <w:rsid w:val="02176934"/>
    <w:rsid w:val="091F5F7D"/>
    <w:rsid w:val="0ADD2874"/>
    <w:rsid w:val="0FB837A4"/>
    <w:rsid w:val="16234301"/>
    <w:rsid w:val="17221EB7"/>
    <w:rsid w:val="17ED76F2"/>
    <w:rsid w:val="1C787634"/>
    <w:rsid w:val="1EED0853"/>
    <w:rsid w:val="1F942D45"/>
    <w:rsid w:val="1FD784DA"/>
    <w:rsid w:val="25FB4E76"/>
    <w:rsid w:val="26F900BA"/>
    <w:rsid w:val="33984612"/>
    <w:rsid w:val="33FF5CA8"/>
    <w:rsid w:val="3584720B"/>
    <w:rsid w:val="37ED48BB"/>
    <w:rsid w:val="37FDC195"/>
    <w:rsid w:val="37FE907D"/>
    <w:rsid w:val="386EFF9F"/>
    <w:rsid w:val="3BFF53B7"/>
    <w:rsid w:val="3CDD973D"/>
    <w:rsid w:val="3DEC0266"/>
    <w:rsid w:val="3F610588"/>
    <w:rsid w:val="3FC63AC8"/>
    <w:rsid w:val="4118679F"/>
    <w:rsid w:val="41A14CE3"/>
    <w:rsid w:val="45586DE4"/>
    <w:rsid w:val="4691EAAE"/>
    <w:rsid w:val="469320CC"/>
    <w:rsid w:val="4B006BF4"/>
    <w:rsid w:val="4D820906"/>
    <w:rsid w:val="4D993D4C"/>
    <w:rsid w:val="4FDF7255"/>
    <w:rsid w:val="51AC2900"/>
    <w:rsid w:val="580F4096"/>
    <w:rsid w:val="5CFF609D"/>
    <w:rsid w:val="5DDA62C1"/>
    <w:rsid w:val="5DF74FE0"/>
    <w:rsid w:val="5DF8194E"/>
    <w:rsid w:val="5EE693E0"/>
    <w:rsid w:val="5F7C1AFB"/>
    <w:rsid w:val="5FBFE056"/>
    <w:rsid w:val="5FDDE1E8"/>
    <w:rsid w:val="5FFD2679"/>
    <w:rsid w:val="5FFFDEA9"/>
    <w:rsid w:val="636FCBCE"/>
    <w:rsid w:val="63DB1390"/>
    <w:rsid w:val="64FEF0DD"/>
    <w:rsid w:val="67917B37"/>
    <w:rsid w:val="6BFB4532"/>
    <w:rsid w:val="6D7F4AD7"/>
    <w:rsid w:val="6DD75399"/>
    <w:rsid w:val="6EAF23D6"/>
    <w:rsid w:val="6EB58FE9"/>
    <w:rsid w:val="6EFFB736"/>
    <w:rsid w:val="6FF54C99"/>
    <w:rsid w:val="6FFF8631"/>
    <w:rsid w:val="6FFFB87A"/>
    <w:rsid w:val="71FFE58F"/>
    <w:rsid w:val="75FB7268"/>
    <w:rsid w:val="76EF670B"/>
    <w:rsid w:val="76FF6BF6"/>
    <w:rsid w:val="77277675"/>
    <w:rsid w:val="77975DFC"/>
    <w:rsid w:val="77CE54BD"/>
    <w:rsid w:val="78A3126A"/>
    <w:rsid w:val="7937AD1F"/>
    <w:rsid w:val="79618D79"/>
    <w:rsid w:val="7967D1D3"/>
    <w:rsid w:val="7ADFDED4"/>
    <w:rsid w:val="7B576257"/>
    <w:rsid w:val="7BBB1502"/>
    <w:rsid w:val="7BBE1345"/>
    <w:rsid w:val="7BCFDC41"/>
    <w:rsid w:val="7BF7C7B4"/>
    <w:rsid w:val="7D126BE3"/>
    <w:rsid w:val="7D1F10B7"/>
    <w:rsid w:val="7D974968"/>
    <w:rsid w:val="7DB26AED"/>
    <w:rsid w:val="7DBF5FA8"/>
    <w:rsid w:val="7DDFEB1E"/>
    <w:rsid w:val="7DDFF2E3"/>
    <w:rsid w:val="7EDF547D"/>
    <w:rsid w:val="7EEF871F"/>
    <w:rsid w:val="7EF17140"/>
    <w:rsid w:val="7EF7BA41"/>
    <w:rsid w:val="7F3CD151"/>
    <w:rsid w:val="7F3FC6E9"/>
    <w:rsid w:val="7F559774"/>
    <w:rsid w:val="7F992A5C"/>
    <w:rsid w:val="7FFC4FFC"/>
    <w:rsid w:val="7FFEA45F"/>
    <w:rsid w:val="997DF7B5"/>
    <w:rsid w:val="9DFDF9A4"/>
    <w:rsid w:val="9EBF5C31"/>
    <w:rsid w:val="A81706BE"/>
    <w:rsid w:val="B57B18EE"/>
    <w:rsid w:val="B65E711B"/>
    <w:rsid w:val="BEB76DEC"/>
    <w:rsid w:val="BEDDE625"/>
    <w:rsid w:val="BEFFE73E"/>
    <w:rsid w:val="BFAB19F3"/>
    <w:rsid w:val="BFF124D3"/>
    <w:rsid w:val="BFF721EE"/>
    <w:rsid w:val="CBBFD51A"/>
    <w:rsid w:val="CF2B9C79"/>
    <w:rsid w:val="CFF35E0D"/>
    <w:rsid w:val="D7B6A1D8"/>
    <w:rsid w:val="D7E5B475"/>
    <w:rsid w:val="DAFB2A7E"/>
    <w:rsid w:val="E5A76D35"/>
    <w:rsid w:val="EC7DAA54"/>
    <w:rsid w:val="ED9CD065"/>
    <w:rsid w:val="EDFE5184"/>
    <w:rsid w:val="EE7FC376"/>
    <w:rsid w:val="EEFFBDEB"/>
    <w:rsid w:val="EF7C0266"/>
    <w:rsid w:val="F3F65087"/>
    <w:rsid w:val="F75D3CCC"/>
    <w:rsid w:val="F7FF7B41"/>
    <w:rsid w:val="FAF7BBFF"/>
    <w:rsid w:val="FC7B96F0"/>
    <w:rsid w:val="FDE8F22D"/>
    <w:rsid w:val="FDFA0B02"/>
    <w:rsid w:val="FE3EEF12"/>
    <w:rsid w:val="FECF506A"/>
    <w:rsid w:val="FEF9078C"/>
    <w:rsid w:val="FEFAEFC1"/>
    <w:rsid w:val="FF36D22E"/>
    <w:rsid w:val="FF3BDF7A"/>
    <w:rsid w:val="FFDB07A8"/>
    <w:rsid w:val="FFEDE7B3"/>
    <w:rsid w:val="FFEF84BE"/>
    <w:rsid w:val="FFEFC6A9"/>
    <w:rsid w:val="FFFF7EF7"/>
    <w:rsid w:val="FFFFABB5"/>
    <w:rsid w:val="FFFFB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 w:type="paragraph" w:customStyle="1" w:styleId="10">
    <w:name w:val="正文1"/>
    <w:qFormat/>
    <w:uiPriority w:val="0"/>
    <w:pPr>
      <w:widowControl/>
      <w:spacing w:after="100" w:line="300" w:lineRule="auto"/>
    </w:pPr>
    <w:rPr>
      <w:rFonts w:ascii="宋体" w:hAnsi="宋体" w:eastAsia="宋体" w:cs="Times New Roman"/>
      <w:color w:val="000000"/>
      <w:sz w:val="21"/>
      <w:szCs w:val="22"/>
      <w:lang w:val="en-US" w:eastAsia="en-US" w:bidi="ar-SA"/>
    </w:rPr>
  </w:style>
  <w:style w:type="paragraph" w:customStyle="1" w:styleId="11">
    <w:name w:val="0正文"/>
    <w:qFormat/>
    <w:uiPriority w:val="0"/>
    <w:pPr>
      <w:spacing w:line="360" w:lineRule="auto"/>
      <w:ind w:firstLine="200" w:firstLineChars="200"/>
      <w:jc w:val="both"/>
    </w:pPr>
    <w:rPr>
      <w:rFonts w:ascii="Calibri" w:hAnsi="Calibri" w:eastAsia="宋体" w:cs="Times New Roman"/>
      <w:kern w:val="2"/>
      <w:sz w:val="24"/>
      <w:szCs w:val="24"/>
      <w:lang w:val="en-US" w:eastAsia="zh-CN" w:bidi="ar-SA"/>
    </w:rPr>
  </w:style>
  <w:style w:type="paragraph" w:customStyle="1" w:styleId="12">
    <w:name w:val="Char Char Char3"/>
    <w:basedOn w:val="1"/>
    <w:qFormat/>
    <w:uiPriority w:val="0"/>
    <w:pPr>
      <w:widowControl/>
      <w:spacing w:line="240" w:lineRule="exact"/>
      <w:jc w:val="left"/>
    </w:pPr>
    <w:rPr>
      <w:rFonts w:ascii="Verdana" w:hAnsi="Verdana"/>
      <w:kern w:val="0"/>
      <w:sz w:val="20"/>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16918</Words>
  <Characters>18247</Characters>
  <Lines>0</Lines>
  <Paragraphs>0</Paragraphs>
  <TotalTime>1</TotalTime>
  <ScaleCrop>false</ScaleCrop>
  <LinksUpToDate>false</LinksUpToDate>
  <CharactersWithSpaces>18525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2026-09-05T16:15:00Z</dcterms:created>
  <dc:creator>WPS_1715921369</dc:creator>
  <cp:lastModifiedBy>招标代理机构</cp:lastModifiedBy>
  <dcterms:modified xsi:type="dcterms:W3CDTF">2026-09-07T11:22:23Z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6034EB62411731D615759E6A68150E93_43</vt:lpwstr>
  </property>
  <property fmtid="{D5CDD505-2E9C-101B-9397-08002B2CF9AE}" pid="4" name="KSOTemplateDocerSaveRecord">
    <vt:lpwstr>eyJoZGlkIjoiNThhMGNjNzRjODA1MzlmOTNhODQ1NTg4YWM3YjQ2ZjQiLCJ1c2VySWQiOiIzNjQ5MTc2OTQifQ==</vt:lpwstr>
  </property>
</Properties>
</file>