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0B74B"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</w:rPr>
      </w:pPr>
      <w:bookmarkStart w:id="0" w:name="_Toc35393813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</w:rPr>
        <w:t>广西国力招标有限公司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val="en-US" w:eastAsia="zh-CN"/>
        </w:rPr>
        <w:t>关于广西医科大学实验动物中心以旧换新设备采购（第二批）（GXZC2026-G1-002190-GLZB）的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</w:rPr>
        <w:t>更正公告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</w:rPr>
        <w:t>（一）</w:t>
      </w:r>
    </w:p>
    <w:p w14:paraId="229C59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bookmarkStart w:id="1" w:name="_Toc35393814"/>
      <w:bookmarkStart w:id="2" w:name="_Toc35393645"/>
      <w:bookmarkStart w:id="3" w:name="_Toc28359104"/>
      <w:bookmarkStart w:id="4" w:name="_Toc28359027"/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一、项目基本情况</w:t>
      </w:r>
      <w:bookmarkEnd w:id="1"/>
      <w:bookmarkEnd w:id="2"/>
      <w:bookmarkEnd w:id="3"/>
      <w:bookmarkEnd w:id="4"/>
    </w:p>
    <w:p w14:paraId="3BF59C7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原公告的采购项目编号：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</w:rPr>
        <w:t>GXZC2026-G1-002190-GLZB</w:t>
      </w:r>
    </w:p>
    <w:p w14:paraId="06BFE0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Cs w:val="21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原公告的采购项目名称：</w:t>
      </w:r>
      <w:r>
        <w:rPr>
          <w:rFonts w:hint="eastAsia" w:ascii="宋体" w:hAnsi="宋体"/>
          <w:color w:val="auto"/>
          <w:szCs w:val="21"/>
          <w:u w:val="single"/>
        </w:rPr>
        <w:t>广西医科大学实验动物中心以旧换新设备采购（第二批）</w:t>
      </w:r>
    </w:p>
    <w:p w14:paraId="6B3F44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首次公告日期：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val="en-US" w:eastAsia="zh-CN"/>
        </w:rPr>
        <w:t>日</w:t>
      </w:r>
    </w:p>
    <w:p w14:paraId="1A49AE1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bookmarkStart w:id="5" w:name="_Toc35393646"/>
      <w:bookmarkStart w:id="6" w:name="_Toc28359105"/>
      <w:bookmarkStart w:id="7" w:name="_Toc28359028"/>
      <w:bookmarkStart w:id="8" w:name="_Toc35393815"/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二、更正信息</w:t>
      </w:r>
      <w:bookmarkEnd w:id="5"/>
      <w:bookmarkEnd w:id="6"/>
      <w:bookmarkEnd w:id="7"/>
      <w:bookmarkEnd w:id="8"/>
    </w:p>
    <w:p w14:paraId="0B610B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更正事项：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□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采购公告 </w:t>
      </w:r>
      <w:r>
        <w:rPr>
          <w:rFonts w:hint="eastAsia" w:ascii="宋体" w:hAnsi="宋体" w:eastAsia="宋体" w:cs="宋体"/>
          <w:color w:val="auto"/>
          <w:sz w:val="21"/>
          <w:szCs w:val="21"/>
        </w:rPr>
        <w:sym w:font="Wingdings 2" w:char="0052"/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采购文件 □采购结果     </w:t>
      </w:r>
    </w:p>
    <w:p w14:paraId="3B75A7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更正内容：</w:t>
      </w:r>
    </w:p>
    <w:tbl>
      <w:tblPr>
        <w:tblStyle w:val="13"/>
        <w:tblW w:w="9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2208"/>
        <w:gridCol w:w="3333"/>
        <w:gridCol w:w="3171"/>
      </w:tblGrid>
      <w:tr w14:paraId="04EB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5" w:type="dxa"/>
            <w:noWrap w:val="0"/>
            <w:vAlign w:val="center"/>
          </w:tcPr>
          <w:p w14:paraId="1C5AC4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208" w:type="dxa"/>
            <w:noWrap w:val="0"/>
            <w:vAlign w:val="center"/>
          </w:tcPr>
          <w:p w14:paraId="1C24E1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更正项</w:t>
            </w:r>
          </w:p>
        </w:tc>
        <w:tc>
          <w:tcPr>
            <w:tcW w:w="3333" w:type="dxa"/>
            <w:noWrap w:val="0"/>
            <w:vAlign w:val="center"/>
          </w:tcPr>
          <w:p w14:paraId="6EFF65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更正前内容</w:t>
            </w:r>
          </w:p>
        </w:tc>
        <w:tc>
          <w:tcPr>
            <w:tcW w:w="3171" w:type="dxa"/>
            <w:noWrap w:val="0"/>
            <w:vAlign w:val="center"/>
          </w:tcPr>
          <w:p w14:paraId="07D264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更正后内容</w:t>
            </w:r>
          </w:p>
        </w:tc>
      </w:tr>
      <w:tr w14:paraId="21FB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5" w:type="dxa"/>
            <w:noWrap w:val="0"/>
            <w:vAlign w:val="center"/>
          </w:tcPr>
          <w:p w14:paraId="129D26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208" w:type="dxa"/>
            <w:noWrap w:val="0"/>
            <w:vAlign w:val="center"/>
          </w:tcPr>
          <w:p w14:paraId="0C436D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第一章  公开招标公告</w:t>
            </w:r>
          </w:p>
        </w:tc>
        <w:tc>
          <w:tcPr>
            <w:tcW w:w="3333" w:type="dxa"/>
            <w:noWrap w:val="0"/>
            <w:vAlign w:val="center"/>
          </w:tcPr>
          <w:p w14:paraId="2FF7F3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项目概况</w:t>
            </w:r>
          </w:p>
          <w:p w14:paraId="0E4870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广西医科大学实验动物中心以旧换新设备采购（第二批）招标项目的潜在投标人应在广西政府采购云平台（https://www.gcy.zfcg.gxzf.gov.cn/）获取招标文件，并于2026年8月17日09点30分（北京时间）前递交投标文件。</w:t>
            </w:r>
          </w:p>
        </w:tc>
        <w:tc>
          <w:tcPr>
            <w:tcW w:w="3171" w:type="dxa"/>
            <w:noWrap w:val="0"/>
            <w:vAlign w:val="center"/>
          </w:tcPr>
          <w:p w14:paraId="66C243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项目概况</w:t>
            </w:r>
          </w:p>
          <w:p w14:paraId="265135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广西医科大学实验动物中心以旧换新设备采购（第二批）招标项目的潜在投标人应在广西政府采购云平台（https://www.gcy.zfcg.gxzf.gov.cn/）获取招标文件，并于2026年9月3日09点30分（北京时间）前递交投标文件。</w:t>
            </w:r>
          </w:p>
        </w:tc>
      </w:tr>
      <w:tr w14:paraId="65E14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5" w:type="dxa"/>
            <w:noWrap w:val="0"/>
            <w:vAlign w:val="center"/>
          </w:tcPr>
          <w:p w14:paraId="75F176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208" w:type="dxa"/>
            <w:noWrap w:val="0"/>
            <w:vAlign w:val="center"/>
          </w:tcPr>
          <w:p w14:paraId="68270C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第一章  公开招标公告</w:t>
            </w:r>
          </w:p>
        </w:tc>
        <w:tc>
          <w:tcPr>
            <w:tcW w:w="3333" w:type="dxa"/>
            <w:noWrap w:val="0"/>
            <w:vAlign w:val="center"/>
          </w:tcPr>
          <w:p w14:paraId="684416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四、提交投标文件截止时间、开标时间和地点</w:t>
            </w:r>
          </w:p>
          <w:p w14:paraId="4BFED9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提交投标文件截止时间：2026年8月17日 09:30（北京时间）</w:t>
            </w:r>
          </w:p>
          <w:p w14:paraId="251ED2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投标地点（网址）：广西政府采购云平台（https://www.gcy.zfcg.gxzf.gov.cn/）（本项目为全流程电子化项目，供应商应派法定代表人或委托代理人准时在线出席电子开评标会议，随时关注开评标进度，如在开评标过程中有电子询标，应在规定的时间内对电子询标函进行澄清回复。）</w:t>
            </w:r>
          </w:p>
          <w:p w14:paraId="3343C5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开标时间：2026年8月17日 09:30（北京时间）</w:t>
            </w:r>
          </w:p>
          <w:p w14:paraId="38F61E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开标地点：广西政府采购云平台电子开标大厅</w:t>
            </w:r>
          </w:p>
        </w:tc>
        <w:tc>
          <w:tcPr>
            <w:tcW w:w="3171" w:type="dxa"/>
            <w:noWrap w:val="0"/>
            <w:vAlign w:val="center"/>
          </w:tcPr>
          <w:p w14:paraId="570567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四、提交投标文件截止时间、开标时间和地点</w:t>
            </w:r>
          </w:p>
          <w:p w14:paraId="2970D2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提交投标文件截止时间：2026年9月3日 09:30（北京时间）</w:t>
            </w:r>
          </w:p>
          <w:p w14:paraId="33C9D1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投标地点（网址）：广西政府采购云平台（https://www.gcy.zfcg.gxzf.gov.cn/）（本项目为全流程电子化项目，供应商应派法定代表人或委托代理人准时在线出席电子开评标会议，随时关注开评标进度，如在开评标过程中有电子询标，应在规定的时间内对电子询标函进行澄清回复。）</w:t>
            </w:r>
          </w:p>
          <w:p w14:paraId="2D5595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开标时间：2026年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日 09:30（北京时间）</w:t>
            </w:r>
          </w:p>
          <w:p w14:paraId="7740A4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开标地点：广西政府采购云平台电子开标大厅</w:t>
            </w:r>
          </w:p>
        </w:tc>
      </w:tr>
      <w:tr w14:paraId="7F86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5" w:type="dxa"/>
            <w:noWrap w:val="0"/>
            <w:vAlign w:val="center"/>
          </w:tcPr>
          <w:p w14:paraId="43142A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208" w:type="dxa"/>
            <w:noWrap w:val="0"/>
            <w:vAlign w:val="center"/>
          </w:tcPr>
          <w:p w14:paraId="083F48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第二章  招标项目采购需求 标项二  项号8 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多模式动物活体成像系统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”技术参数及性能（配置）要求</w:t>
            </w:r>
          </w:p>
        </w:tc>
        <w:tc>
          <w:tcPr>
            <w:tcW w:w="3333" w:type="dxa"/>
            <w:noWrap w:val="0"/>
            <w:vAlign w:val="center"/>
          </w:tcPr>
          <w:p w14:paraId="533DF9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.配置清单：小动物荧光活体成像仪主机1套；高灵敏度科学级冷CCD1套；高强度LED激发光源和激发滤光片20个；发射光滤光片18个；气体麻醉模块1套；双能X光成像模块1套；AniView图像分析软件1套；高灵敏度细胞标记鉴定模块1套；工作站一台1台。</w:t>
            </w:r>
          </w:p>
        </w:tc>
        <w:tc>
          <w:tcPr>
            <w:tcW w:w="3171" w:type="dxa"/>
            <w:noWrap w:val="0"/>
            <w:vAlign w:val="center"/>
          </w:tcPr>
          <w:p w14:paraId="1ADDD7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.配置清单：小动物荧光活体成像仪主机1套；高灵敏度科学级冷CCD1套；高强度LED激发光源和激发滤光片20个；发射光滤光片18个；气体麻醉模块1套；双能X光成像模块1套；图像分析软件1套；高灵敏度细胞标记鉴定模块1套；工作站一台1台。</w:t>
            </w:r>
          </w:p>
        </w:tc>
      </w:tr>
      <w:tr w14:paraId="1FFE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5" w:type="dxa"/>
            <w:noWrap w:val="0"/>
            <w:vAlign w:val="center"/>
          </w:tcPr>
          <w:p w14:paraId="2293B8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208" w:type="dxa"/>
            <w:noWrap w:val="0"/>
            <w:vAlign w:val="center"/>
          </w:tcPr>
          <w:p w14:paraId="135783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bookmarkStart w:id="9" w:name="OLE_LINK73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第二章  招标项目采购需求 标项二  项号2“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大型多功能清洗机</w:t>
            </w:r>
            <w:bookmarkEnd w:id="9"/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”技术参数及性能（配置）要求</w:t>
            </w:r>
          </w:p>
        </w:tc>
        <w:tc>
          <w:tcPr>
            <w:tcW w:w="3333" w:type="dxa"/>
            <w:noWrap w:val="0"/>
            <w:vAlign w:val="center"/>
          </w:tcPr>
          <w:p w14:paraId="1AEEE9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5.10设备装载量：以标准型小鼠笼盒MI-03（长宽高391*177*131mm）计算，使用大小鼠通用四层清洗车：96个/程序（7000AG）；</w:t>
            </w:r>
          </w:p>
        </w:tc>
        <w:tc>
          <w:tcPr>
            <w:tcW w:w="3171" w:type="dxa"/>
            <w:noWrap w:val="0"/>
            <w:vAlign w:val="center"/>
          </w:tcPr>
          <w:p w14:paraId="1BFD2F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5.10设备装载量：以标准型小鼠笼盒（长宽高391*177*131mm）计算，使用大小鼠通用四层清洗车：96个/程序；</w:t>
            </w:r>
          </w:p>
          <w:p w14:paraId="1FBA70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3AF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5" w:type="dxa"/>
            <w:noWrap w:val="0"/>
            <w:vAlign w:val="center"/>
          </w:tcPr>
          <w:p w14:paraId="21FDF9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208" w:type="dxa"/>
            <w:noWrap w:val="0"/>
            <w:vAlign w:val="center"/>
          </w:tcPr>
          <w:p w14:paraId="19A40F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第二章  招标项目采购需求 标项二 项号3“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高密度小鼠IVC系统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”技术参数及性能（配置）要求</w:t>
            </w:r>
          </w:p>
        </w:tc>
        <w:tc>
          <w:tcPr>
            <w:tcW w:w="3333" w:type="dxa"/>
            <w:noWrap w:val="0"/>
            <w:vAlign w:val="center"/>
          </w:tcPr>
          <w:p w14:paraId="7032C1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3.12笼盒盒底叠放高度≤50mm，笼盒盒盖叠放高度≤28mm，盒底叠放后保证笼盒短边或长边配合间隙≥4mm，保证笼盒的灭菌效率，提供实物现场量取；</w:t>
            </w:r>
          </w:p>
          <w:p w14:paraId="01EE6F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171" w:type="dxa"/>
            <w:noWrap w:val="0"/>
            <w:vAlign w:val="center"/>
          </w:tcPr>
          <w:p w14:paraId="3265A7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3.12笼盒盒底叠放高度≤50mm，笼盒盒盖叠放高度≤28mm，盒底叠放后保证笼盒短边或长边配合间隙≥4mm，保证笼盒的灭菌效率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  <w:tr w14:paraId="0755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5" w:type="dxa"/>
            <w:noWrap w:val="0"/>
            <w:vAlign w:val="center"/>
          </w:tcPr>
          <w:p w14:paraId="1165CC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208" w:type="dxa"/>
            <w:noWrap w:val="0"/>
            <w:vAlign w:val="center"/>
          </w:tcPr>
          <w:p w14:paraId="04C109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第二章  招标项目采购需求 标项二 项号6“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高密度小鼠IVC系统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”技术参数及性能（配置）要求</w:t>
            </w:r>
          </w:p>
        </w:tc>
        <w:tc>
          <w:tcPr>
            <w:tcW w:w="3333" w:type="dxa"/>
            <w:noWrap w:val="0"/>
            <w:vAlign w:val="center"/>
          </w:tcPr>
          <w:p w14:paraId="58AEC3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●4.10设备通过TUV检测（投标时提供详细检测（检验、检查）报告复印件，并加盖投标人电子签章）；</w:t>
            </w:r>
          </w:p>
        </w:tc>
        <w:tc>
          <w:tcPr>
            <w:tcW w:w="3171" w:type="dxa"/>
            <w:noWrap w:val="0"/>
            <w:vAlign w:val="center"/>
          </w:tcPr>
          <w:p w14:paraId="38BFC0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●4.10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设备通过TUV检测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或CMA检测或CNAS检测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(投标时提供详细检测(检验、检查)报告复印件，并加盖投标人电子签章)。</w:t>
            </w:r>
          </w:p>
        </w:tc>
      </w:tr>
      <w:tr w14:paraId="77CA0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5" w:type="dxa"/>
            <w:noWrap w:val="0"/>
            <w:vAlign w:val="center"/>
          </w:tcPr>
          <w:p w14:paraId="28FC22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208" w:type="dxa"/>
            <w:noWrap w:val="0"/>
            <w:vAlign w:val="center"/>
          </w:tcPr>
          <w:p w14:paraId="05BF4D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第二章  招标项目采购需求 标项二 项号8“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多模式动物活体成像系统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”技术参数及性能（配置）要求</w:t>
            </w:r>
          </w:p>
        </w:tc>
        <w:tc>
          <w:tcPr>
            <w:tcW w:w="3333" w:type="dxa"/>
            <w:noWrap w:val="0"/>
            <w:vAlign w:val="center"/>
          </w:tcPr>
          <w:p w14:paraId="31771E39">
            <w:pPr>
              <w:wordWrap w:val="0"/>
              <w:topLinePunct/>
              <w:spacing w:line="38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▲2.1.1CCD芯片：零缺陷、科研级高灵敏背部薄化、背部感应型冷CCD ，制冷温度≤-100℃；</w:t>
            </w:r>
          </w:p>
        </w:tc>
        <w:tc>
          <w:tcPr>
            <w:tcW w:w="3171" w:type="dxa"/>
            <w:noWrap w:val="0"/>
            <w:vAlign w:val="center"/>
          </w:tcPr>
          <w:p w14:paraId="7AD40D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▲2.1.1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 xml:space="preserve">CCD芯片：零缺陷、科研级高灵敏背部薄化、背部感应型冷CCD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制冷温度≤-90℃；</w:t>
            </w:r>
          </w:p>
        </w:tc>
      </w:tr>
    </w:tbl>
    <w:p w14:paraId="6BFB08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ind w:firstLine="210" w:firstLineChars="100"/>
        <w:textAlignment w:val="auto"/>
        <w:rPr>
          <w:rFonts w:hint="eastAsia" w:ascii="宋体" w:hAnsi="宋体" w:eastAsia="宋体" w:cs="宋体"/>
          <w:color w:val="auto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更正日期：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10 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val="en-US" w:eastAsia="zh-CN"/>
        </w:rPr>
        <w:t>日</w:t>
      </w:r>
    </w:p>
    <w:p w14:paraId="0EACA5C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bookmarkStart w:id="10" w:name="_Toc35393647"/>
      <w:bookmarkStart w:id="11" w:name="_Toc35393816"/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三、其他补充事宜</w:t>
      </w:r>
      <w:bookmarkEnd w:id="10"/>
      <w:bookmarkEnd w:id="11"/>
    </w:p>
    <w:p w14:paraId="77BE07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网上公告媒体查询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：</w:t>
      </w:r>
      <w:bookmarkStart w:id="12" w:name="_Toc28359106"/>
      <w:bookmarkStart w:id="13" w:name="_Toc28359029"/>
      <w:bookmarkStart w:id="14" w:name="_Toc35393648"/>
      <w:bookmarkStart w:id="15" w:name="_Toc35393817"/>
      <w:r>
        <w:rPr>
          <w:rFonts w:hint="eastAsia" w:ascii="宋体" w:hAnsi="宋体" w:cs="Arial"/>
          <w:color w:val="auto"/>
          <w:highlight w:val="none"/>
        </w:rPr>
        <w:t>中国政府采购网（www.ccgp.gov.cn）、广西壮族自治区政府采购网（zfcg.gxzf.gov.cn）、广西壮族自治区公共资源交易中心网（gxggzy.gxzf.gov.cn）</w:t>
      </w:r>
      <w:r>
        <w:rPr>
          <w:rFonts w:hint="eastAsia" w:ascii="宋体" w:hAnsi="宋体" w:cs="Arial"/>
          <w:color w:val="auto"/>
          <w:highlight w:val="none"/>
          <w:lang w:eastAsia="zh-CN"/>
        </w:rPr>
        <w:t>。</w:t>
      </w:r>
    </w:p>
    <w:p w14:paraId="021C14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四、凡对本次公告内容提出询问，请按以下方式联系。</w:t>
      </w:r>
      <w:bookmarkEnd w:id="12"/>
      <w:bookmarkEnd w:id="13"/>
      <w:bookmarkEnd w:id="14"/>
      <w:bookmarkEnd w:id="15"/>
    </w:p>
    <w:p w14:paraId="760D66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1.采购人信息</w:t>
      </w:r>
    </w:p>
    <w:p w14:paraId="7A8BCA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名    称：广西医科大学 </w:t>
      </w:r>
    </w:p>
    <w:p w14:paraId="0A1EE8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    址：广西南宁市双拥路22号</w:t>
      </w:r>
    </w:p>
    <w:p w14:paraId="06871B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项目联系人：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吴智辉</w:t>
      </w:r>
    </w:p>
    <w:p w14:paraId="56C3A8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项目联系方式：0771-5330800</w:t>
      </w:r>
    </w:p>
    <w:p w14:paraId="6F64A2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40" w:lineRule="exact"/>
        <w:ind w:firstLine="420" w:firstLineChars="200"/>
        <w:rPr>
          <w:rFonts w:hint="eastAsia" w:ascii="宋体" w:hAnsi="宋体" w:eastAsia="宋体" w:cs="宋体"/>
          <w:color w:val="auto"/>
        </w:rPr>
      </w:pPr>
    </w:p>
    <w:p w14:paraId="521E3F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2.采购代理机构信息</w:t>
      </w:r>
    </w:p>
    <w:p w14:paraId="4A958B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    称：广西国力招标有限公司</w:t>
      </w:r>
    </w:p>
    <w:p w14:paraId="23406C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    址：广西南宁市白沙大道53号松宇时代13楼</w:t>
      </w:r>
    </w:p>
    <w:p w14:paraId="48C489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项目联系人：覃阳、隆丽艺、罗铁、李立英</w:t>
      </w:r>
    </w:p>
    <w:p w14:paraId="7DBDEE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80" w:lineRule="exact"/>
        <w:ind w:left="0" w:leftChars="0" w:right="0"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项目联系方式：0771-4915558</w:t>
      </w:r>
    </w:p>
    <w:p w14:paraId="6DDB73B3">
      <w:pPr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16" w:name="_GoBack"/>
      <w:bookmarkEnd w:id="16"/>
    </w:p>
    <w:p w14:paraId="1B0AA82D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5CDB1366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1256CD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广西国力招标有限公司</w:t>
      </w:r>
    </w:p>
    <w:p w14:paraId="4439EE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2026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10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日</w:t>
      </w:r>
    </w:p>
    <w:sectPr>
      <w:pgSz w:w="11906" w:h="16838"/>
      <w:pgMar w:top="1440" w:right="12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mMGRiMDMwYjFjODA4Mzk1YWM0ZGJkOGJhYmVlNzYifQ=="/>
    <w:docVar w:name="KSO_WPS_MARK_KEY" w:val="02020c88-8cd4-4f61-9436-e960d51e9db4"/>
  </w:docVars>
  <w:rsids>
    <w:rsidRoot w:val="005208BA"/>
    <w:rsid w:val="000D4A56"/>
    <w:rsid w:val="00153F43"/>
    <w:rsid w:val="001C1FFC"/>
    <w:rsid w:val="002C4456"/>
    <w:rsid w:val="002C7C5F"/>
    <w:rsid w:val="003A7CD3"/>
    <w:rsid w:val="005208BA"/>
    <w:rsid w:val="005A438A"/>
    <w:rsid w:val="00703DF3"/>
    <w:rsid w:val="00764A84"/>
    <w:rsid w:val="00812B7B"/>
    <w:rsid w:val="009C5EC6"/>
    <w:rsid w:val="00A943D2"/>
    <w:rsid w:val="00B56810"/>
    <w:rsid w:val="00BC6D98"/>
    <w:rsid w:val="00D54948"/>
    <w:rsid w:val="00E23D21"/>
    <w:rsid w:val="00EB6608"/>
    <w:rsid w:val="00FF1887"/>
    <w:rsid w:val="01FA2E48"/>
    <w:rsid w:val="045A3333"/>
    <w:rsid w:val="05A21986"/>
    <w:rsid w:val="09650297"/>
    <w:rsid w:val="097C7048"/>
    <w:rsid w:val="0A9A576F"/>
    <w:rsid w:val="0C861D43"/>
    <w:rsid w:val="0E4849A4"/>
    <w:rsid w:val="1069256A"/>
    <w:rsid w:val="11BB73DB"/>
    <w:rsid w:val="136B762B"/>
    <w:rsid w:val="15A935CF"/>
    <w:rsid w:val="17796D42"/>
    <w:rsid w:val="1AE01F93"/>
    <w:rsid w:val="1D395CAD"/>
    <w:rsid w:val="1D526E45"/>
    <w:rsid w:val="22454D23"/>
    <w:rsid w:val="225A2A3E"/>
    <w:rsid w:val="237F0120"/>
    <w:rsid w:val="26AD328E"/>
    <w:rsid w:val="280B2A12"/>
    <w:rsid w:val="2933235B"/>
    <w:rsid w:val="2A222B3E"/>
    <w:rsid w:val="2A711C36"/>
    <w:rsid w:val="2B6F28BA"/>
    <w:rsid w:val="31E77EE9"/>
    <w:rsid w:val="35131158"/>
    <w:rsid w:val="374F414A"/>
    <w:rsid w:val="38E82C2B"/>
    <w:rsid w:val="39A10A2D"/>
    <w:rsid w:val="3A4D2A17"/>
    <w:rsid w:val="3A6A5E11"/>
    <w:rsid w:val="3C3976F6"/>
    <w:rsid w:val="3C925059"/>
    <w:rsid w:val="421B789E"/>
    <w:rsid w:val="42863DD0"/>
    <w:rsid w:val="42A72EE0"/>
    <w:rsid w:val="43E37142"/>
    <w:rsid w:val="47541888"/>
    <w:rsid w:val="48B97AFC"/>
    <w:rsid w:val="4A553BC5"/>
    <w:rsid w:val="4B584959"/>
    <w:rsid w:val="518B234A"/>
    <w:rsid w:val="54880DC3"/>
    <w:rsid w:val="550C37A2"/>
    <w:rsid w:val="58B242A2"/>
    <w:rsid w:val="5C7E1456"/>
    <w:rsid w:val="5E577750"/>
    <w:rsid w:val="6137266F"/>
    <w:rsid w:val="61A3723C"/>
    <w:rsid w:val="629A2D10"/>
    <w:rsid w:val="62DE24C4"/>
    <w:rsid w:val="63DC6A36"/>
    <w:rsid w:val="66F12334"/>
    <w:rsid w:val="6D37188F"/>
    <w:rsid w:val="76484EF2"/>
    <w:rsid w:val="77D357FB"/>
    <w:rsid w:val="79AB6BC0"/>
    <w:rsid w:val="7CD9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7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next w:val="1"/>
    <w:qFormat/>
    <w:uiPriority w:val="0"/>
    <w:pPr>
      <w:widowControl w:val="0"/>
      <w:spacing w:before="43"/>
      <w:jc w:val="center"/>
      <w:textAlignment w:val="baseline"/>
    </w:pPr>
    <w:rPr>
      <w:rFonts w:ascii="黑体" w:hAnsi="黑体" w:eastAsia="黑体" w:cs="黑体"/>
      <w:b/>
      <w:bCs/>
      <w:kern w:val="2"/>
      <w:sz w:val="32"/>
      <w:szCs w:val="32"/>
      <w:lang w:val="zh-CN" w:eastAsia="zh-CN" w:bidi="zh-CN"/>
    </w:rPr>
  </w:style>
  <w:style w:type="paragraph" w:styleId="5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1"/>
    <w:qFormat/>
    <w:uiPriority w:val="0"/>
    <w:pPr>
      <w:spacing w:line="380" w:lineRule="exact"/>
    </w:pPr>
    <w:rPr>
      <w:sz w:val="24"/>
    </w:rPr>
  </w:style>
  <w:style w:type="paragraph" w:styleId="7">
    <w:name w:val="Body Text Indent"/>
    <w:basedOn w:val="1"/>
    <w:autoRedefine/>
    <w:qFormat/>
    <w:uiPriority w:val="0"/>
    <w:pPr>
      <w:ind w:firstLine="352" w:firstLineChars="352"/>
    </w:pPr>
    <w:rPr>
      <w:rFonts w:ascii="仿宋_GB2312" w:eastAsia="仿宋_GB2312"/>
      <w:sz w:val="32"/>
      <w:szCs w:val="20"/>
    </w:rPr>
  </w:style>
  <w:style w:type="paragraph" w:styleId="8">
    <w:name w:val="Plain Text"/>
    <w:basedOn w:val="1"/>
    <w:next w:val="1"/>
    <w:link w:val="19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footer"/>
    <w:basedOn w:val="1"/>
    <w:link w:val="16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2"/>
    <w:next w:val="1"/>
    <w:autoRedefine/>
    <w:qFormat/>
    <w:uiPriority w:val="0"/>
    <w:pPr>
      <w:tabs>
        <w:tab w:val="right" w:leader="dot" w:pos="8296"/>
        <w:tab w:val="right" w:leader="dot" w:pos="8398"/>
      </w:tabs>
      <w:spacing w:before="120" w:after="120" w:line="320" w:lineRule="exact"/>
      <w:ind w:firstLine="400" w:firstLineChars="400"/>
      <w:jc w:val="left"/>
    </w:pPr>
    <w:rPr>
      <w:rFonts w:ascii="仿宋_GB2312" w:eastAsia="仿宋_GB2312" w:cs="Courier New"/>
      <w:bCs/>
      <w:caps/>
      <w:szCs w:val="21"/>
      <w:lang w:bidi="ar-SA"/>
    </w:rPr>
  </w:style>
  <w:style w:type="paragraph" w:styleId="12">
    <w:name w:val="index 1"/>
    <w:basedOn w:val="1"/>
    <w:next w:val="1"/>
    <w:autoRedefine/>
    <w:qFormat/>
    <w:uiPriority w:val="0"/>
    <w:pPr>
      <w:spacing w:line="400" w:lineRule="exact"/>
      <w:ind w:firstLine="200" w:firstLineChars="200"/>
    </w:pPr>
    <w:rPr>
      <w:rFonts w:ascii="宋体"/>
      <w:b/>
      <w:szCs w:val="20"/>
    </w:rPr>
  </w:style>
  <w:style w:type="character" w:customStyle="1" w:styleId="15">
    <w:name w:val="页眉 Char"/>
    <w:basedOn w:val="14"/>
    <w:link w:val="10"/>
    <w:autoRedefine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9"/>
    <w:autoRedefine/>
    <w:semiHidden/>
    <w:qFormat/>
    <w:uiPriority w:val="99"/>
    <w:rPr>
      <w:sz w:val="18"/>
      <w:szCs w:val="18"/>
    </w:rPr>
  </w:style>
  <w:style w:type="character" w:customStyle="1" w:styleId="17">
    <w:name w:val="标题 1 Char"/>
    <w:basedOn w:val="14"/>
    <w:link w:val="3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Char"/>
    <w:basedOn w:val="14"/>
    <w:link w:val="4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9">
    <w:name w:val="纯文本 Char"/>
    <w:basedOn w:val="14"/>
    <w:link w:val="8"/>
    <w:autoRedefine/>
    <w:qFormat/>
    <w:uiPriority w:val="0"/>
    <w:rPr>
      <w:rFonts w:ascii="宋体" w:hAnsi="Courier New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  <w:spacing w:line="400" w:lineRule="exact"/>
      <w:ind w:firstLine="420" w:firstLineChars="20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1778</Words>
  <Characters>2202</Characters>
  <Lines>9</Lines>
  <Paragraphs>2</Paragraphs>
  <TotalTime>5</TotalTime>
  <ScaleCrop>false</ScaleCrop>
  <LinksUpToDate>false</LinksUpToDate>
  <CharactersWithSpaces>2264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2020-06-29T10:00:00Z</dcterms:created>
  <dc:creator>Windows 用户</dc:creator>
  <cp:lastModifiedBy>lly</cp:lastModifiedBy>
  <cp:lastPrinted>2024-03-28T07:35:00Z</cp:lastPrinted>
  <dcterms:modified xsi:type="dcterms:W3CDTF">2026-09-04T07:11:21Z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0497259E1FFD43ECBC00E48F4CDFDC4A_13</vt:lpwstr>
  </property>
  <property fmtid="{D5CDD505-2E9C-101B-9397-08002B2CF9AE}" pid="4" name="KSOTemplateDocerSaveRecord">
    <vt:lpwstr>eyJoZGlkIjoiMmFmY2Y2ZjUzZGMzODU1YjYzNTI5YzFhMDI1YWVmMjQiLCJ1c2VySWQiOiI0MjY5MzMyNDMifQ==</vt:lpwstr>
  </property>
</Properties>
</file>