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8588E">
      <w:pPr>
        <w:shd w:val="clear"/>
        <w:spacing w:line="360" w:lineRule="auto"/>
        <w:jc w:val="center"/>
        <w:rPr>
          <w:rFonts w:hint="eastAsia" w:ascii="华文新魏" w:eastAsia="华文新魏"/>
          <w:color w:val="auto"/>
          <w:sz w:val="84"/>
          <w:szCs w:val="84"/>
          <w:highlight w:val="none"/>
        </w:rPr>
      </w:pPr>
      <w:r>
        <w:rPr>
          <w:rFonts w:hint="eastAsia" w:ascii="华文新魏" w:eastAsia="华文新魏"/>
          <w:color w:val="auto"/>
          <w:sz w:val="84"/>
          <w:szCs w:val="84"/>
          <w:highlight w:val="none"/>
        </w:rPr>
        <w:t>广西国力招标有限公司</w:t>
      </w:r>
    </w:p>
    <w:p w14:paraId="38A6DDC4">
      <w:pPr>
        <w:shd w:val="clear"/>
        <w:spacing w:before="156" w:beforeLines="50"/>
        <w:jc w:val="center"/>
        <w:rPr>
          <w:rFonts w:hint="eastAsia" w:ascii="楷体" w:eastAsia="楷体"/>
          <w:color w:val="auto"/>
          <w:sz w:val="48"/>
          <w:szCs w:val="48"/>
          <w:highlight w:val="none"/>
        </w:rPr>
      </w:pPr>
    </w:p>
    <w:p w14:paraId="13092BF9">
      <w:pPr>
        <w:shd w:val="clear"/>
        <w:spacing w:before="156" w:beforeLines="50"/>
        <w:jc w:val="center"/>
        <w:rPr>
          <w:rFonts w:hint="eastAsia" w:ascii="楷体" w:eastAsia="楷体"/>
          <w:color w:val="auto"/>
          <w:sz w:val="72"/>
          <w:szCs w:val="72"/>
          <w:highlight w:val="none"/>
        </w:rPr>
      </w:pPr>
      <w:r>
        <w:rPr>
          <w:rFonts w:hint="eastAsia" w:ascii="楷体" w:eastAsia="楷体"/>
          <w:color w:val="auto"/>
          <w:sz w:val="72"/>
          <w:szCs w:val="72"/>
          <w:highlight w:val="none"/>
        </w:rPr>
        <w:t>公开招标采购文件</w:t>
      </w:r>
    </w:p>
    <w:p w14:paraId="24416497">
      <w:pPr>
        <w:pStyle w:val="26"/>
        <w:shd w:val="clear"/>
        <w:snapToGrid w:val="0"/>
        <w:spacing w:before="120" w:after="120" w:line="360" w:lineRule="auto"/>
        <w:rPr>
          <w:rFonts w:hint="eastAsia" w:ascii="仿宋_GB2312" w:eastAsia="仿宋_GB2312"/>
          <w:b/>
          <w:bCs/>
          <w:color w:val="auto"/>
          <w:sz w:val="30"/>
          <w:szCs w:val="30"/>
          <w:highlight w:val="none"/>
        </w:rPr>
      </w:pPr>
    </w:p>
    <w:p w14:paraId="1B6A99B0">
      <w:pPr>
        <w:pStyle w:val="26"/>
        <w:shd w:val="clear"/>
        <w:snapToGrid w:val="0"/>
        <w:spacing w:before="120" w:after="120" w:line="360" w:lineRule="auto"/>
        <w:jc w:val="center"/>
        <w:rPr>
          <w:rFonts w:hint="eastAsia" w:ascii="仿宋_GB2312" w:eastAsia="仿宋_GB2312"/>
          <w:b/>
          <w:bCs/>
          <w:color w:val="auto"/>
          <w:sz w:val="30"/>
          <w:szCs w:val="30"/>
          <w:highlight w:val="none"/>
        </w:rPr>
      </w:pPr>
      <w:r>
        <w:rPr>
          <w:rFonts w:ascii="仿宋_GB2312" w:eastAsia="仿宋_GB2312"/>
          <w:b/>
          <w:bCs/>
          <w:color w:val="auto"/>
          <w:sz w:val="30"/>
          <w:szCs w:val="30"/>
          <w:highlight w:val="none"/>
        </w:rPr>
        <w:drawing>
          <wp:inline distT="0" distB="0" distL="114300" distR="114300">
            <wp:extent cx="2284730" cy="1624965"/>
            <wp:effectExtent l="0" t="0" r="1270" b="5715"/>
            <wp:docPr id="1" name="图片 1" descr="947058041150345087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470580411503450878247"/>
                    <pic:cNvPicPr>
                      <a:picLocks noChangeAspect="1"/>
                    </pic:cNvPicPr>
                  </pic:nvPicPr>
                  <pic:blipFill>
                    <a:blip r:embed="rId9"/>
                    <a:stretch>
                      <a:fillRect/>
                    </a:stretch>
                  </pic:blipFill>
                  <pic:spPr>
                    <a:xfrm>
                      <a:off x="0" y="0"/>
                      <a:ext cx="2284730" cy="1624965"/>
                    </a:xfrm>
                    <a:prstGeom prst="rect">
                      <a:avLst/>
                    </a:prstGeom>
                    <a:noFill/>
                    <a:ln>
                      <a:noFill/>
                    </a:ln>
                  </pic:spPr>
                </pic:pic>
              </a:graphicData>
            </a:graphic>
          </wp:inline>
        </w:drawing>
      </w:r>
    </w:p>
    <w:p w14:paraId="51BDE46A">
      <w:pPr>
        <w:pStyle w:val="26"/>
        <w:shd w:val="clear"/>
        <w:snapToGrid w:val="0"/>
        <w:spacing w:before="120" w:after="120" w:line="800" w:lineRule="exact"/>
        <w:ind w:firstLine="1785" w:firstLineChars="496"/>
        <w:rPr>
          <w:rFonts w:hint="eastAsia"/>
          <w:b/>
          <w:bCs/>
          <w:color w:val="auto"/>
          <w:sz w:val="36"/>
          <w:szCs w:val="36"/>
          <w:highlight w:val="none"/>
        </w:rPr>
      </w:pPr>
    </w:p>
    <w:p w14:paraId="3F567ED1">
      <w:pPr>
        <w:pStyle w:val="26"/>
        <w:keepNext w:val="0"/>
        <w:keepLines w:val="0"/>
        <w:pageBreakBefore w:val="0"/>
        <w:widowControl w:val="0"/>
        <w:shd w:val="clear"/>
        <w:kinsoku/>
        <w:wordWrap/>
        <w:overflowPunct/>
        <w:topLinePunct w:val="0"/>
        <w:autoSpaceDE/>
        <w:autoSpaceDN/>
        <w:bidi w:val="0"/>
        <w:adjustRightInd/>
        <w:snapToGrid w:val="0"/>
        <w:spacing w:before="120" w:after="120" w:line="560" w:lineRule="exact"/>
        <w:ind w:left="0" w:leftChars="0" w:firstLine="0" w:firstLineChars="0"/>
        <w:jc w:val="center"/>
        <w:textAlignment w:val="auto"/>
        <w:rPr>
          <w:rFonts w:hint="eastAsia" w:eastAsia="宋体"/>
          <w:b/>
          <w:bCs/>
          <w:color w:val="auto"/>
          <w:sz w:val="36"/>
          <w:szCs w:val="36"/>
          <w:highlight w:val="none"/>
          <w:lang w:eastAsia="zh-CN"/>
        </w:rPr>
      </w:pPr>
      <w:r>
        <w:rPr>
          <w:rFonts w:hint="eastAsia"/>
          <w:b/>
          <w:bCs/>
          <w:color w:val="auto"/>
          <w:sz w:val="36"/>
          <w:szCs w:val="36"/>
          <w:highlight w:val="none"/>
        </w:rPr>
        <w:t>采购项目编号：</w:t>
      </w:r>
      <w:r>
        <w:rPr>
          <w:rFonts w:hint="eastAsia"/>
          <w:b/>
          <w:bCs/>
          <w:color w:val="auto"/>
          <w:sz w:val="36"/>
          <w:szCs w:val="36"/>
          <w:highlight w:val="none"/>
          <w:lang w:eastAsia="zh-CN"/>
        </w:rPr>
        <w:t>GXZC2026-G1-002561-GLZB</w:t>
      </w:r>
    </w:p>
    <w:p w14:paraId="73EF4478">
      <w:pPr>
        <w:keepNext w:val="0"/>
        <w:keepLines w:val="0"/>
        <w:pageBreakBefore w:val="0"/>
        <w:widowControl w:val="0"/>
        <w:pBdr>
          <w:bottom w:val="thickThinSmallGap" w:color="auto" w:sz="24" w:space="1"/>
        </w:pBdr>
        <w:shd w:val="clear"/>
        <w:kinsoku/>
        <w:wordWrap/>
        <w:overflowPunct/>
        <w:topLinePunct w:val="0"/>
        <w:autoSpaceDE/>
        <w:autoSpaceDN/>
        <w:bidi w:val="0"/>
        <w:adjustRightInd/>
        <w:snapToGrid w:val="0"/>
        <w:spacing w:before="156" w:beforeLines="50" w:line="560" w:lineRule="exact"/>
        <w:ind w:left="2520" w:leftChars="0" w:hanging="2520" w:hangingChars="700"/>
        <w:jc w:val="left"/>
        <w:textAlignment w:val="auto"/>
        <w:rPr>
          <w:rFonts w:hint="eastAsia" w:ascii="宋体"/>
          <w:b/>
          <w:color w:val="auto"/>
          <w:sz w:val="36"/>
          <w:szCs w:val="36"/>
          <w:highlight w:val="none"/>
        </w:rPr>
      </w:pPr>
      <w:r>
        <w:rPr>
          <w:rFonts w:hint="eastAsia" w:ascii="宋体"/>
          <w:b/>
          <w:color w:val="auto"/>
          <w:sz w:val="36"/>
          <w:szCs w:val="36"/>
          <w:highlight w:val="none"/>
        </w:rPr>
        <w:t>采购项目名称：</w:t>
      </w:r>
      <w:r>
        <w:rPr>
          <w:rFonts w:hint="eastAsia" w:ascii="宋体"/>
          <w:b/>
          <w:color w:val="auto"/>
          <w:sz w:val="36"/>
          <w:szCs w:val="36"/>
          <w:highlight w:val="none"/>
          <w:lang w:eastAsia="zh-CN"/>
        </w:rPr>
        <w:t>广西壮族自治区人工影响天气水资源保障工程-音视频调度及可视调度指挥显示支撑系统</w:t>
      </w:r>
    </w:p>
    <w:p w14:paraId="44D1D9F1">
      <w:pPr>
        <w:pBdr>
          <w:bottom w:val="thickThinSmallGap" w:color="auto" w:sz="24" w:space="1"/>
        </w:pBdr>
        <w:shd w:val="clear"/>
        <w:snapToGrid w:val="0"/>
        <w:spacing w:before="156" w:beforeLines="50" w:line="600" w:lineRule="exact"/>
        <w:jc w:val="center"/>
        <w:rPr>
          <w:rFonts w:hint="eastAsia" w:ascii="宋体"/>
          <w:b/>
          <w:color w:val="auto"/>
          <w:sz w:val="28"/>
          <w:szCs w:val="28"/>
          <w:highlight w:val="none"/>
        </w:rPr>
      </w:pPr>
      <w:r>
        <w:rPr>
          <w:rFonts w:hint="eastAsia"/>
          <w:b/>
          <w:bCs/>
          <w:color w:val="auto"/>
          <w:sz w:val="28"/>
          <w:szCs w:val="28"/>
          <w:highlight w:val="none"/>
          <w:lang w:eastAsia="zh-CN"/>
        </w:rPr>
        <w:t>（</w:t>
      </w:r>
      <w:r>
        <w:rPr>
          <w:rFonts w:hint="eastAsia"/>
          <w:b/>
          <w:bCs/>
          <w:color w:val="auto"/>
          <w:sz w:val="28"/>
          <w:szCs w:val="28"/>
          <w:highlight w:val="none"/>
        </w:rPr>
        <w:t>GXGL2026M-G399-Z</w:t>
      </w:r>
      <w:r>
        <w:rPr>
          <w:rFonts w:hint="eastAsia"/>
          <w:b/>
          <w:bCs/>
          <w:color w:val="auto"/>
          <w:sz w:val="28"/>
          <w:szCs w:val="28"/>
          <w:highlight w:val="none"/>
          <w:lang w:eastAsia="zh-CN"/>
        </w:rPr>
        <w:t>）</w:t>
      </w:r>
    </w:p>
    <w:p w14:paraId="4C4C78E7">
      <w:pPr>
        <w:shd w:val="clear"/>
        <w:snapToGrid w:val="0"/>
        <w:spacing w:before="156" w:beforeLines="50" w:line="600" w:lineRule="exact"/>
        <w:ind w:left="0" w:leftChars="0" w:firstLine="1479" w:firstLineChars="493"/>
        <w:rPr>
          <w:rFonts w:hint="eastAsia" w:ascii="宋体"/>
          <w:b/>
          <w:color w:val="auto"/>
          <w:sz w:val="30"/>
          <w:szCs w:val="72"/>
          <w:highlight w:val="none"/>
        </w:rPr>
      </w:pPr>
      <w:r>
        <w:rPr>
          <w:rFonts w:hint="eastAsia" w:ascii="宋体"/>
          <w:b/>
          <w:color w:val="auto"/>
          <w:sz w:val="30"/>
          <w:szCs w:val="72"/>
          <w:highlight w:val="none"/>
        </w:rPr>
        <w:t>采   购   人：</w:t>
      </w:r>
      <w:r>
        <w:rPr>
          <w:rFonts w:hint="eastAsia" w:ascii="宋体"/>
          <w:b/>
          <w:color w:val="auto"/>
          <w:sz w:val="30"/>
          <w:szCs w:val="72"/>
          <w:highlight w:val="none"/>
          <w:lang w:eastAsia="zh-CN"/>
        </w:rPr>
        <w:t>广西壮族自治区人工影响天气办公室</w:t>
      </w:r>
      <w:r>
        <w:rPr>
          <w:rFonts w:hint="eastAsia" w:ascii="宋体"/>
          <w:b/>
          <w:color w:val="auto"/>
          <w:sz w:val="30"/>
          <w:szCs w:val="72"/>
          <w:highlight w:val="none"/>
        </w:rPr>
        <w:t xml:space="preserve"> </w:t>
      </w:r>
    </w:p>
    <w:p w14:paraId="0800EA3B">
      <w:pPr>
        <w:shd w:val="clear"/>
        <w:snapToGrid w:val="0"/>
        <w:spacing w:before="156" w:beforeLines="50" w:line="600" w:lineRule="exact"/>
        <w:ind w:left="0" w:leftChars="0" w:firstLine="1479" w:firstLineChars="493"/>
        <w:jc w:val="left"/>
        <w:rPr>
          <w:rFonts w:hint="eastAsia" w:ascii="宋体"/>
          <w:b/>
          <w:color w:val="auto"/>
          <w:sz w:val="30"/>
          <w:szCs w:val="72"/>
          <w:highlight w:val="none"/>
        </w:rPr>
      </w:pPr>
      <w:r>
        <w:rPr>
          <w:rFonts w:hint="eastAsia" w:ascii="宋体"/>
          <w:b/>
          <w:color w:val="auto"/>
          <w:sz w:val="30"/>
          <w:szCs w:val="72"/>
          <w:highlight w:val="none"/>
        </w:rPr>
        <w:t>采购代理机构：广西国力招标有限公司</w:t>
      </w:r>
    </w:p>
    <w:p w14:paraId="0C8CC6C7">
      <w:pPr>
        <w:shd w:val="clear"/>
        <w:snapToGrid w:val="0"/>
        <w:spacing w:before="156" w:beforeLines="50" w:line="600" w:lineRule="exact"/>
        <w:jc w:val="center"/>
        <w:rPr>
          <w:rFonts w:hint="eastAsia" w:ascii="宋体"/>
          <w:b/>
          <w:color w:val="auto"/>
          <w:sz w:val="30"/>
          <w:szCs w:val="72"/>
          <w:highlight w:val="none"/>
        </w:rPr>
        <w:sectPr>
          <w:footerReference r:id="rId4" w:type="first"/>
          <w:footerReference r:id="rId3" w:type="even"/>
          <w:pgSz w:w="11906" w:h="16838"/>
          <w:pgMar w:top="1134" w:right="1134" w:bottom="1134" w:left="1134" w:header="851" w:footer="992" w:gutter="0"/>
          <w:pgBorders>
            <w:top w:val="none" w:sz="0" w:space="0"/>
            <w:left w:val="none" w:sz="0" w:space="0"/>
            <w:bottom w:val="none" w:sz="0" w:space="0"/>
            <w:right w:val="none" w:sz="0" w:space="0"/>
          </w:pgBorders>
          <w:cols w:space="720" w:num="1"/>
          <w:docGrid w:type="linesAndChars" w:linePitch="312" w:charSpace="0"/>
        </w:sectPr>
      </w:pPr>
      <w:r>
        <w:rPr>
          <w:rFonts w:hint="eastAsia" w:ascii="宋体"/>
          <w:b/>
          <w:color w:val="auto"/>
          <w:sz w:val="30"/>
          <w:szCs w:val="72"/>
          <w:highlight w:val="none"/>
          <w:lang w:eastAsia="zh-CN"/>
        </w:rPr>
        <w:t>2026</w:t>
      </w:r>
      <w:r>
        <w:rPr>
          <w:rFonts w:hint="eastAsia" w:ascii="宋体"/>
          <w:b/>
          <w:color w:val="auto"/>
          <w:sz w:val="30"/>
          <w:szCs w:val="72"/>
          <w:highlight w:val="none"/>
        </w:rPr>
        <w:t>年</w:t>
      </w:r>
      <w:r>
        <w:rPr>
          <w:rFonts w:hint="eastAsia" w:ascii="宋体"/>
          <w:b/>
          <w:color w:val="auto"/>
          <w:sz w:val="30"/>
          <w:szCs w:val="72"/>
          <w:highlight w:val="none"/>
          <w:lang w:val="en-US" w:eastAsia="zh-CN"/>
        </w:rPr>
        <w:t>8</w:t>
      </w:r>
      <w:r>
        <w:rPr>
          <w:rFonts w:hint="eastAsia" w:ascii="宋体"/>
          <w:b/>
          <w:color w:val="auto"/>
          <w:sz w:val="30"/>
          <w:szCs w:val="72"/>
          <w:highlight w:val="none"/>
        </w:rPr>
        <w:t>月</w:t>
      </w:r>
    </w:p>
    <w:p w14:paraId="24530A63">
      <w:pPr>
        <w:shd w:val="clear"/>
        <w:jc w:val="center"/>
        <w:rPr>
          <w:rFonts w:hint="eastAsia"/>
          <w:color w:val="auto"/>
          <w:sz w:val="44"/>
          <w:szCs w:val="44"/>
          <w:highlight w:val="none"/>
        </w:rPr>
      </w:pPr>
    </w:p>
    <w:p w14:paraId="1EF6AE72">
      <w:pPr>
        <w:shd w:val="clear"/>
        <w:jc w:val="center"/>
        <w:rPr>
          <w:rFonts w:hint="eastAsia"/>
          <w:b/>
          <w:color w:val="auto"/>
          <w:sz w:val="30"/>
          <w:szCs w:val="30"/>
          <w:highlight w:val="none"/>
        </w:rPr>
      </w:pPr>
      <w:r>
        <w:rPr>
          <w:rFonts w:hint="eastAsia"/>
          <w:b/>
          <w:color w:val="auto"/>
          <w:sz w:val="30"/>
          <w:szCs w:val="30"/>
          <w:highlight w:val="none"/>
        </w:rPr>
        <w:t>目  录</w:t>
      </w:r>
    </w:p>
    <w:p w14:paraId="7473A6B5">
      <w:pPr>
        <w:shd w:val="clear"/>
        <w:rPr>
          <w:rFonts w:hint="eastAsia"/>
          <w:color w:val="auto"/>
          <w:highlight w:val="none"/>
        </w:rPr>
      </w:pPr>
    </w:p>
    <w:p w14:paraId="512C2BB4">
      <w:pPr>
        <w:pStyle w:val="34"/>
        <w:shd w:val="clear"/>
        <w:tabs>
          <w:tab w:val="right" w:leader="dot" w:pos="9639"/>
          <w:tab w:val="clear" w:pos="8296"/>
          <w:tab w:val="clear" w:pos="8398"/>
        </w:tabs>
        <w:spacing w:line="600" w:lineRule="exact"/>
        <w:ind w:firstLine="0" w:firstLineChars="0"/>
        <w:rPr>
          <w:rFonts w:hint="eastAsia" w:ascii="宋体" w:eastAsia="宋体" w:cs="Times New Roman"/>
          <w:bCs w:val="0"/>
          <w:color w:val="auto"/>
          <w:sz w:val="28"/>
          <w:szCs w:val="28"/>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TOC \o "1-3" \h \z \u</w:instrText>
      </w:r>
      <w:r>
        <w:rPr>
          <w:color w:val="auto"/>
          <w:highlight w:val="none"/>
        </w:rPr>
        <w:instrText xml:space="preserve"> </w:instrText>
      </w:r>
      <w:r>
        <w:rPr>
          <w:color w:val="auto"/>
          <w:highlight w:val="none"/>
        </w:rPr>
        <w:fldChar w:fldCharType="separate"/>
      </w:r>
      <w:r>
        <w:rPr>
          <w:rFonts w:hint="eastAsia" w:ascii="宋体" w:eastAsia="宋体"/>
          <w:color w:val="auto"/>
          <w:sz w:val="28"/>
          <w:szCs w:val="28"/>
          <w:highlight w:val="none"/>
        </w:rPr>
        <w:fldChar w:fldCharType="begin"/>
      </w:r>
      <w:r>
        <w:rPr>
          <w:rStyle w:val="56"/>
          <w:rFonts w:hint="eastAsia" w:ascii="宋体" w:eastAsia="宋体"/>
          <w:color w:val="auto"/>
          <w:sz w:val="28"/>
          <w:szCs w:val="28"/>
          <w:highlight w:val="none"/>
        </w:rPr>
        <w:instrText xml:space="preserve"> </w:instrText>
      </w:r>
      <w:r>
        <w:rPr>
          <w:rFonts w:hint="eastAsia" w:ascii="宋体" w:eastAsia="宋体"/>
          <w:color w:val="auto"/>
          <w:sz w:val="28"/>
          <w:szCs w:val="28"/>
          <w:highlight w:val="none"/>
        </w:rPr>
        <w:instrText xml:space="preserve">HYPERLINK \l "_Toc476436431"</w:instrText>
      </w:r>
      <w:r>
        <w:rPr>
          <w:rStyle w:val="56"/>
          <w:rFonts w:hint="eastAsia" w:ascii="宋体" w:eastAsia="宋体"/>
          <w:color w:val="auto"/>
          <w:sz w:val="28"/>
          <w:szCs w:val="28"/>
          <w:highlight w:val="none"/>
        </w:rPr>
        <w:instrText xml:space="preserve"> </w:instrText>
      </w:r>
      <w:r>
        <w:rPr>
          <w:rFonts w:hint="eastAsia" w:ascii="宋体" w:eastAsia="宋体"/>
          <w:color w:val="auto"/>
          <w:sz w:val="28"/>
          <w:szCs w:val="28"/>
          <w:highlight w:val="none"/>
        </w:rPr>
        <w:fldChar w:fldCharType="separate"/>
      </w:r>
      <w:r>
        <w:rPr>
          <w:rFonts w:hint="eastAsia" w:ascii="宋体" w:eastAsia="宋体"/>
          <w:color w:val="auto"/>
          <w:sz w:val="28"/>
          <w:szCs w:val="28"/>
          <w:highlight w:val="none"/>
        </w:rPr>
        <w:t>第一章  公开招标公告</w:t>
      </w:r>
      <w:bookmarkStart w:id="0" w:name="_Hlt184388135"/>
      <w:bookmarkStart w:id="1" w:name="_Hlt42268173"/>
      <w:bookmarkStart w:id="2" w:name="_Hlt126916863"/>
      <w:bookmarkStart w:id="3" w:name="_Hlt186443177"/>
      <w:bookmarkStart w:id="4" w:name="_Hlt126916862"/>
      <w:bookmarkStart w:id="5" w:name="_Hlt91253896"/>
      <w:bookmarkStart w:id="6" w:name="_Hlt91253895"/>
      <w:bookmarkStart w:id="7" w:name="_Hlt42268174"/>
      <w:bookmarkStart w:id="8" w:name="_Hlt186443178"/>
      <w:r>
        <w:rPr>
          <w:rFonts w:hint="eastAsia" w:ascii="宋体" w:eastAsia="宋体"/>
          <w:color w:val="auto"/>
          <w:sz w:val="28"/>
          <w:szCs w:val="28"/>
          <w:highlight w:val="none"/>
        </w:rPr>
        <w:tab/>
      </w:r>
      <w:bookmarkEnd w:id="0"/>
      <w:bookmarkEnd w:id="1"/>
      <w:bookmarkEnd w:id="2"/>
      <w:bookmarkEnd w:id="3"/>
      <w:bookmarkEnd w:id="4"/>
      <w:bookmarkEnd w:id="5"/>
      <w:bookmarkEnd w:id="6"/>
      <w:bookmarkEnd w:id="7"/>
      <w:bookmarkEnd w:id="8"/>
      <w:r>
        <w:rPr>
          <w:rFonts w:hint="eastAsia" w:ascii="宋体" w:eastAsia="宋体"/>
          <w:color w:val="auto"/>
          <w:sz w:val="28"/>
          <w:szCs w:val="28"/>
          <w:highlight w:val="none"/>
        </w:rPr>
        <w:fldChar w:fldCharType="begin"/>
      </w:r>
      <w:r>
        <w:rPr>
          <w:rFonts w:hint="eastAsia" w:ascii="宋体" w:eastAsia="宋体"/>
          <w:color w:val="auto"/>
          <w:sz w:val="28"/>
          <w:szCs w:val="28"/>
          <w:highlight w:val="none"/>
        </w:rPr>
        <w:instrText xml:space="preserve"> PAGEREF _Toc476436431 \h </w:instrText>
      </w:r>
      <w:r>
        <w:rPr>
          <w:rFonts w:hint="eastAsia" w:ascii="宋体" w:eastAsia="宋体"/>
          <w:color w:val="auto"/>
          <w:sz w:val="28"/>
          <w:szCs w:val="28"/>
          <w:highlight w:val="none"/>
        </w:rPr>
        <w:fldChar w:fldCharType="separate"/>
      </w:r>
      <w:r>
        <w:rPr>
          <w:rFonts w:hint="eastAsia" w:ascii="宋体" w:eastAsia="宋体"/>
          <w:color w:val="auto"/>
          <w:sz w:val="28"/>
          <w:szCs w:val="28"/>
          <w:highlight w:val="none"/>
        </w:rPr>
        <w:t>1</w:t>
      </w:r>
      <w:r>
        <w:rPr>
          <w:rFonts w:hint="eastAsia" w:ascii="宋体" w:eastAsia="宋体"/>
          <w:color w:val="auto"/>
          <w:sz w:val="28"/>
          <w:szCs w:val="28"/>
          <w:highlight w:val="none"/>
        </w:rPr>
        <w:fldChar w:fldCharType="end"/>
      </w:r>
      <w:r>
        <w:rPr>
          <w:rFonts w:hint="eastAsia" w:ascii="宋体" w:eastAsia="宋体"/>
          <w:color w:val="auto"/>
          <w:sz w:val="28"/>
          <w:szCs w:val="28"/>
          <w:highlight w:val="none"/>
        </w:rPr>
        <w:fldChar w:fldCharType="end"/>
      </w:r>
    </w:p>
    <w:p w14:paraId="1814A64D">
      <w:pPr>
        <w:pStyle w:val="34"/>
        <w:shd w:val="clear"/>
        <w:tabs>
          <w:tab w:val="right" w:leader="dot" w:pos="9639"/>
          <w:tab w:val="clear" w:pos="8296"/>
          <w:tab w:val="clear" w:pos="8398"/>
        </w:tabs>
        <w:spacing w:line="600" w:lineRule="exact"/>
        <w:ind w:firstLine="0" w:firstLineChars="0"/>
        <w:rPr>
          <w:rFonts w:hint="eastAsia" w:ascii="宋体" w:eastAsia="宋体" w:cs="Times New Roman"/>
          <w:bCs w:val="0"/>
          <w:color w:val="auto"/>
          <w:sz w:val="28"/>
          <w:szCs w:val="28"/>
          <w:highlight w:val="none"/>
        </w:rPr>
      </w:pPr>
      <w:r>
        <w:rPr>
          <w:rFonts w:hint="eastAsia" w:ascii="宋体" w:eastAsia="宋体"/>
          <w:color w:val="auto"/>
          <w:sz w:val="28"/>
          <w:szCs w:val="28"/>
          <w:highlight w:val="none"/>
        </w:rPr>
        <w:fldChar w:fldCharType="begin"/>
      </w:r>
      <w:r>
        <w:rPr>
          <w:rStyle w:val="56"/>
          <w:rFonts w:hint="eastAsia" w:ascii="宋体" w:eastAsia="宋体"/>
          <w:color w:val="auto"/>
          <w:sz w:val="28"/>
          <w:szCs w:val="28"/>
          <w:highlight w:val="none"/>
        </w:rPr>
        <w:instrText xml:space="preserve"> </w:instrText>
      </w:r>
      <w:r>
        <w:rPr>
          <w:rFonts w:hint="eastAsia" w:ascii="宋体" w:eastAsia="宋体"/>
          <w:color w:val="auto"/>
          <w:sz w:val="28"/>
          <w:szCs w:val="28"/>
          <w:highlight w:val="none"/>
        </w:rPr>
        <w:instrText xml:space="preserve">HYPERLINK \l "_Toc476436432"</w:instrText>
      </w:r>
      <w:r>
        <w:rPr>
          <w:rStyle w:val="56"/>
          <w:rFonts w:hint="eastAsia" w:ascii="宋体" w:eastAsia="宋体"/>
          <w:color w:val="auto"/>
          <w:sz w:val="28"/>
          <w:szCs w:val="28"/>
          <w:highlight w:val="none"/>
        </w:rPr>
        <w:instrText xml:space="preserve"> </w:instrText>
      </w:r>
      <w:r>
        <w:rPr>
          <w:rFonts w:hint="eastAsia" w:ascii="宋体" w:eastAsia="宋体"/>
          <w:color w:val="auto"/>
          <w:sz w:val="28"/>
          <w:szCs w:val="28"/>
          <w:highlight w:val="none"/>
        </w:rPr>
        <w:fldChar w:fldCharType="separate"/>
      </w:r>
      <w:r>
        <w:rPr>
          <w:rFonts w:hint="eastAsia" w:ascii="宋体" w:eastAsia="宋体"/>
          <w:color w:val="auto"/>
          <w:sz w:val="28"/>
          <w:szCs w:val="28"/>
          <w:highlight w:val="none"/>
        </w:rPr>
        <w:t>第二章  招标项目采购需求</w:t>
      </w:r>
      <w:r>
        <w:rPr>
          <w:rFonts w:hint="eastAsia" w:ascii="宋体" w:eastAsia="宋体"/>
          <w:color w:val="auto"/>
          <w:sz w:val="28"/>
          <w:szCs w:val="28"/>
          <w:highlight w:val="none"/>
        </w:rPr>
        <w:tab/>
      </w:r>
      <w:r>
        <w:rPr>
          <w:rFonts w:hint="eastAsia" w:ascii="宋体" w:eastAsia="宋体"/>
          <w:color w:val="auto"/>
          <w:sz w:val="28"/>
          <w:szCs w:val="28"/>
          <w:highlight w:val="none"/>
        </w:rPr>
        <w:fldChar w:fldCharType="begin"/>
      </w:r>
      <w:r>
        <w:rPr>
          <w:rFonts w:hint="eastAsia" w:ascii="宋体" w:eastAsia="宋体"/>
          <w:color w:val="auto"/>
          <w:sz w:val="28"/>
          <w:szCs w:val="28"/>
          <w:highlight w:val="none"/>
        </w:rPr>
        <w:instrText xml:space="preserve"> PAGEREF _Toc476436432 \h </w:instrText>
      </w:r>
      <w:r>
        <w:rPr>
          <w:rFonts w:hint="eastAsia" w:ascii="宋体" w:eastAsia="宋体"/>
          <w:color w:val="auto"/>
          <w:sz w:val="28"/>
          <w:szCs w:val="28"/>
          <w:highlight w:val="none"/>
        </w:rPr>
        <w:fldChar w:fldCharType="separate"/>
      </w:r>
      <w:r>
        <w:rPr>
          <w:rFonts w:hint="eastAsia" w:ascii="宋体" w:eastAsia="宋体"/>
          <w:color w:val="auto"/>
          <w:sz w:val="28"/>
          <w:szCs w:val="28"/>
          <w:highlight w:val="none"/>
        </w:rPr>
        <w:t>5</w:t>
      </w:r>
      <w:r>
        <w:rPr>
          <w:rFonts w:hint="eastAsia" w:ascii="宋体" w:eastAsia="宋体"/>
          <w:color w:val="auto"/>
          <w:sz w:val="28"/>
          <w:szCs w:val="28"/>
          <w:highlight w:val="none"/>
        </w:rPr>
        <w:fldChar w:fldCharType="end"/>
      </w:r>
      <w:r>
        <w:rPr>
          <w:rFonts w:hint="eastAsia" w:ascii="宋体" w:eastAsia="宋体"/>
          <w:color w:val="auto"/>
          <w:sz w:val="28"/>
          <w:szCs w:val="28"/>
          <w:highlight w:val="none"/>
        </w:rPr>
        <w:fldChar w:fldCharType="end"/>
      </w:r>
    </w:p>
    <w:p w14:paraId="49D54920">
      <w:pPr>
        <w:pStyle w:val="34"/>
        <w:shd w:val="clear"/>
        <w:tabs>
          <w:tab w:val="right" w:leader="dot" w:pos="9639"/>
          <w:tab w:val="clear" w:pos="8296"/>
          <w:tab w:val="clear" w:pos="8398"/>
        </w:tabs>
        <w:spacing w:line="600" w:lineRule="exact"/>
        <w:ind w:firstLine="0" w:firstLineChars="0"/>
        <w:rPr>
          <w:rFonts w:hint="eastAsia" w:ascii="宋体" w:eastAsia="宋体" w:cs="Times New Roman"/>
          <w:bCs w:val="0"/>
          <w:color w:val="auto"/>
          <w:sz w:val="28"/>
          <w:szCs w:val="28"/>
          <w:highlight w:val="none"/>
        </w:rPr>
      </w:pPr>
      <w:r>
        <w:rPr>
          <w:rFonts w:hint="eastAsia" w:ascii="宋体" w:eastAsia="宋体"/>
          <w:color w:val="auto"/>
          <w:sz w:val="28"/>
          <w:szCs w:val="28"/>
          <w:highlight w:val="none"/>
        </w:rPr>
        <w:fldChar w:fldCharType="begin"/>
      </w:r>
      <w:r>
        <w:rPr>
          <w:rStyle w:val="56"/>
          <w:rFonts w:hint="eastAsia" w:ascii="宋体" w:eastAsia="宋体"/>
          <w:color w:val="auto"/>
          <w:sz w:val="28"/>
          <w:szCs w:val="28"/>
          <w:highlight w:val="none"/>
        </w:rPr>
        <w:instrText xml:space="preserve"> </w:instrText>
      </w:r>
      <w:r>
        <w:rPr>
          <w:rFonts w:hint="eastAsia" w:ascii="宋体" w:eastAsia="宋体"/>
          <w:color w:val="auto"/>
          <w:sz w:val="28"/>
          <w:szCs w:val="28"/>
          <w:highlight w:val="none"/>
        </w:rPr>
        <w:instrText xml:space="preserve">HYPERLINK \l "_Toc476436433"</w:instrText>
      </w:r>
      <w:r>
        <w:rPr>
          <w:rStyle w:val="56"/>
          <w:rFonts w:hint="eastAsia" w:ascii="宋体" w:eastAsia="宋体"/>
          <w:color w:val="auto"/>
          <w:sz w:val="28"/>
          <w:szCs w:val="28"/>
          <w:highlight w:val="none"/>
        </w:rPr>
        <w:instrText xml:space="preserve"> </w:instrText>
      </w:r>
      <w:r>
        <w:rPr>
          <w:rFonts w:hint="eastAsia" w:ascii="宋体" w:eastAsia="宋体"/>
          <w:color w:val="auto"/>
          <w:sz w:val="28"/>
          <w:szCs w:val="28"/>
          <w:highlight w:val="none"/>
        </w:rPr>
        <w:fldChar w:fldCharType="separate"/>
      </w:r>
      <w:r>
        <w:rPr>
          <w:rFonts w:hint="eastAsia" w:ascii="宋体" w:eastAsia="宋体"/>
          <w:color w:val="auto"/>
          <w:sz w:val="28"/>
          <w:szCs w:val="28"/>
          <w:highlight w:val="none"/>
        </w:rPr>
        <w:t>第三章  投标</w:t>
      </w:r>
      <w:bookmarkStart w:id="9" w:name="_Hlt489368816"/>
      <w:bookmarkStart w:id="10" w:name="_Hlt482277892"/>
      <w:bookmarkStart w:id="11" w:name="_Hlt489368815"/>
      <w:r>
        <w:rPr>
          <w:rFonts w:hint="eastAsia" w:ascii="宋体" w:eastAsia="宋体"/>
          <w:color w:val="auto"/>
          <w:sz w:val="28"/>
          <w:szCs w:val="28"/>
          <w:highlight w:val="none"/>
        </w:rPr>
        <w:t>人</w:t>
      </w:r>
      <w:bookmarkEnd w:id="9"/>
      <w:bookmarkEnd w:id="10"/>
      <w:bookmarkEnd w:id="11"/>
      <w:r>
        <w:rPr>
          <w:rFonts w:hint="eastAsia" w:ascii="宋体" w:eastAsia="宋体"/>
          <w:color w:val="auto"/>
          <w:sz w:val="28"/>
          <w:szCs w:val="28"/>
          <w:highlight w:val="none"/>
        </w:rPr>
        <w:t>须知</w:t>
      </w:r>
      <w:bookmarkStart w:id="12" w:name="_Hlt173424981"/>
      <w:bookmarkStart w:id="13" w:name="_Hlt16003897"/>
      <w:bookmarkStart w:id="14" w:name="_Hlt173424980"/>
      <w:bookmarkStart w:id="15" w:name="_Hlt16003898"/>
      <w:r>
        <w:rPr>
          <w:rFonts w:hint="eastAsia" w:ascii="宋体" w:eastAsia="宋体"/>
          <w:color w:val="auto"/>
          <w:sz w:val="28"/>
          <w:szCs w:val="28"/>
          <w:highlight w:val="none"/>
        </w:rPr>
        <w:tab/>
      </w:r>
      <w:bookmarkEnd w:id="12"/>
      <w:bookmarkEnd w:id="13"/>
      <w:bookmarkEnd w:id="14"/>
      <w:bookmarkEnd w:id="15"/>
      <w:r>
        <w:rPr>
          <w:rFonts w:hint="eastAsia" w:ascii="宋体" w:eastAsia="宋体"/>
          <w:color w:val="auto"/>
          <w:sz w:val="28"/>
          <w:szCs w:val="28"/>
          <w:highlight w:val="none"/>
        </w:rPr>
        <w:fldChar w:fldCharType="begin"/>
      </w:r>
      <w:r>
        <w:rPr>
          <w:rFonts w:hint="eastAsia" w:ascii="宋体" w:eastAsia="宋体"/>
          <w:color w:val="auto"/>
          <w:sz w:val="28"/>
          <w:szCs w:val="28"/>
          <w:highlight w:val="none"/>
        </w:rPr>
        <w:instrText xml:space="preserve"> PAGEREF _Toc476436433 \h </w:instrText>
      </w:r>
      <w:r>
        <w:rPr>
          <w:rFonts w:hint="eastAsia" w:ascii="宋体" w:eastAsia="宋体"/>
          <w:color w:val="auto"/>
          <w:sz w:val="28"/>
          <w:szCs w:val="28"/>
          <w:highlight w:val="none"/>
        </w:rPr>
        <w:fldChar w:fldCharType="separate"/>
      </w:r>
      <w:r>
        <w:rPr>
          <w:rFonts w:hint="eastAsia" w:ascii="宋体" w:eastAsia="宋体"/>
          <w:color w:val="auto"/>
          <w:sz w:val="28"/>
          <w:szCs w:val="28"/>
          <w:highlight w:val="none"/>
        </w:rPr>
        <w:t>75</w:t>
      </w:r>
      <w:r>
        <w:rPr>
          <w:rFonts w:hint="eastAsia" w:ascii="宋体" w:eastAsia="宋体"/>
          <w:color w:val="auto"/>
          <w:sz w:val="28"/>
          <w:szCs w:val="28"/>
          <w:highlight w:val="none"/>
        </w:rPr>
        <w:fldChar w:fldCharType="end"/>
      </w:r>
      <w:r>
        <w:rPr>
          <w:rFonts w:hint="eastAsia" w:ascii="宋体" w:eastAsia="宋体"/>
          <w:color w:val="auto"/>
          <w:sz w:val="28"/>
          <w:szCs w:val="28"/>
          <w:highlight w:val="none"/>
        </w:rPr>
        <w:fldChar w:fldCharType="end"/>
      </w:r>
    </w:p>
    <w:p w14:paraId="33C57619">
      <w:pPr>
        <w:pStyle w:val="34"/>
        <w:shd w:val="clear"/>
        <w:tabs>
          <w:tab w:val="right" w:leader="dot" w:pos="9639"/>
          <w:tab w:val="clear" w:pos="8296"/>
          <w:tab w:val="clear" w:pos="8398"/>
        </w:tabs>
        <w:spacing w:line="600" w:lineRule="exact"/>
        <w:ind w:firstLine="0" w:firstLineChars="0"/>
        <w:rPr>
          <w:rFonts w:hint="eastAsia" w:ascii="宋体" w:eastAsia="宋体" w:cs="Times New Roman"/>
          <w:bCs w:val="0"/>
          <w:color w:val="auto"/>
          <w:sz w:val="28"/>
          <w:szCs w:val="28"/>
          <w:highlight w:val="none"/>
        </w:rPr>
      </w:pPr>
      <w:r>
        <w:rPr>
          <w:rFonts w:hint="eastAsia" w:ascii="宋体" w:eastAsia="宋体"/>
          <w:color w:val="auto"/>
          <w:sz w:val="28"/>
          <w:szCs w:val="28"/>
          <w:highlight w:val="none"/>
        </w:rPr>
        <w:fldChar w:fldCharType="begin"/>
      </w:r>
      <w:r>
        <w:rPr>
          <w:rStyle w:val="56"/>
          <w:rFonts w:hint="eastAsia" w:ascii="宋体" w:eastAsia="宋体"/>
          <w:color w:val="auto"/>
          <w:sz w:val="28"/>
          <w:szCs w:val="28"/>
          <w:highlight w:val="none"/>
        </w:rPr>
        <w:instrText xml:space="preserve"> </w:instrText>
      </w:r>
      <w:r>
        <w:rPr>
          <w:rFonts w:hint="eastAsia" w:ascii="宋体" w:eastAsia="宋体"/>
          <w:color w:val="auto"/>
          <w:sz w:val="28"/>
          <w:szCs w:val="28"/>
          <w:highlight w:val="none"/>
        </w:rPr>
        <w:instrText xml:space="preserve">HYPERLINK \l "_Toc476436434"</w:instrText>
      </w:r>
      <w:r>
        <w:rPr>
          <w:rStyle w:val="56"/>
          <w:rFonts w:hint="eastAsia" w:ascii="宋体" w:eastAsia="宋体"/>
          <w:color w:val="auto"/>
          <w:sz w:val="28"/>
          <w:szCs w:val="28"/>
          <w:highlight w:val="none"/>
        </w:rPr>
        <w:instrText xml:space="preserve"> </w:instrText>
      </w:r>
      <w:r>
        <w:rPr>
          <w:rFonts w:hint="eastAsia" w:ascii="宋体" w:eastAsia="宋体"/>
          <w:color w:val="auto"/>
          <w:sz w:val="28"/>
          <w:szCs w:val="28"/>
          <w:highlight w:val="none"/>
        </w:rPr>
        <w:fldChar w:fldCharType="separate"/>
      </w:r>
      <w:r>
        <w:rPr>
          <w:rFonts w:hint="eastAsia" w:ascii="宋体" w:eastAsia="宋体"/>
          <w:color w:val="auto"/>
          <w:sz w:val="28"/>
          <w:szCs w:val="28"/>
          <w:highlight w:val="none"/>
        </w:rPr>
        <w:t>第四章  评标方法及</w:t>
      </w:r>
      <w:bookmarkStart w:id="16" w:name="_Hlt476529840"/>
      <w:bookmarkStart w:id="17" w:name="_Hlt476529841"/>
      <w:r>
        <w:rPr>
          <w:rFonts w:hint="eastAsia" w:ascii="宋体" w:eastAsia="宋体"/>
          <w:color w:val="auto"/>
          <w:sz w:val="28"/>
          <w:szCs w:val="28"/>
          <w:highlight w:val="none"/>
        </w:rPr>
        <w:t>评</w:t>
      </w:r>
      <w:bookmarkEnd w:id="16"/>
      <w:bookmarkEnd w:id="17"/>
      <w:r>
        <w:rPr>
          <w:rFonts w:hint="eastAsia" w:ascii="宋体" w:eastAsia="宋体"/>
          <w:color w:val="auto"/>
          <w:sz w:val="28"/>
          <w:szCs w:val="28"/>
          <w:highlight w:val="none"/>
        </w:rPr>
        <w:t>分标准</w:t>
      </w:r>
      <w:r>
        <w:rPr>
          <w:rFonts w:hint="eastAsia" w:ascii="宋体" w:eastAsia="宋体"/>
          <w:color w:val="auto"/>
          <w:sz w:val="28"/>
          <w:szCs w:val="28"/>
          <w:highlight w:val="none"/>
        </w:rPr>
        <w:tab/>
      </w:r>
      <w:r>
        <w:rPr>
          <w:rFonts w:hint="eastAsia" w:ascii="宋体" w:eastAsia="宋体"/>
          <w:color w:val="auto"/>
          <w:sz w:val="28"/>
          <w:szCs w:val="28"/>
          <w:highlight w:val="none"/>
        </w:rPr>
        <w:fldChar w:fldCharType="begin"/>
      </w:r>
      <w:r>
        <w:rPr>
          <w:rFonts w:hint="eastAsia" w:ascii="宋体" w:eastAsia="宋体"/>
          <w:color w:val="auto"/>
          <w:sz w:val="28"/>
          <w:szCs w:val="28"/>
          <w:highlight w:val="none"/>
        </w:rPr>
        <w:instrText xml:space="preserve"> PAGEREF _Toc476436434 \h </w:instrText>
      </w:r>
      <w:r>
        <w:rPr>
          <w:rFonts w:hint="eastAsia" w:ascii="宋体" w:eastAsia="宋体"/>
          <w:color w:val="auto"/>
          <w:sz w:val="28"/>
          <w:szCs w:val="28"/>
          <w:highlight w:val="none"/>
        </w:rPr>
        <w:fldChar w:fldCharType="separate"/>
      </w:r>
      <w:r>
        <w:rPr>
          <w:rFonts w:hint="eastAsia" w:ascii="宋体" w:eastAsia="宋体"/>
          <w:color w:val="auto"/>
          <w:sz w:val="28"/>
          <w:szCs w:val="28"/>
          <w:highlight w:val="none"/>
        </w:rPr>
        <w:t>96</w:t>
      </w:r>
      <w:r>
        <w:rPr>
          <w:rFonts w:hint="eastAsia" w:ascii="宋体" w:eastAsia="宋体"/>
          <w:color w:val="auto"/>
          <w:sz w:val="28"/>
          <w:szCs w:val="28"/>
          <w:highlight w:val="none"/>
        </w:rPr>
        <w:fldChar w:fldCharType="end"/>
      </w:r>
      <w:r>
        <w:rPr>
          <w:rFonts w:hint="eastAsia" w:ascii="宋体" w:eastAsia="宋体"/>
          <w:color w:val="auto"/>
          <w:sz w:val="28"/>
          <w:szCs w:val="28"/>
          <w:highlight w:val="none"/>
        </w:rPr>
        <w:fldChar w:fldCharType="end"/>
      </w:r>
    </w:p>
    <w:p w14:paraId="3D4207B7">
      <w:pPr>
        <w:pStyle w:val="34"/>
        <w:shd w:val="clear"/>
        <w:tabs>
          <w:tab w:val="right" w:leader="dot" w:pos="9639"/>
          <w:tab w:val="clear" w:pos="8296"/>
          <w:tab w:val="clear" w:pos="8398"/>
        </w:tabs>
        <w:spacing w:line="600" w:lineRule="exact"/>
        <w:ind w:firstLine="0" w:firstLineChars="0"/>
        <w:rPr>
          <w:rFonts w:hint="eastAsia" w:ascii="宋体" w:eastAsia="宋体" w:cs="Times New Roman"/>
          <w:bCs w:val="0"/>
          <w:color w:val="auto"/>
          <w:sz w:val="28"/>
          <w:szCs w:val="28"/>
          <w:highlight w:val="none"/>
        </w:rPr>
      </w:pPr>
      <w:r>
        <w:rPr>
          <w:rFonts w:hint="eastAsia" w:ascii="宋体" w:eastAsia="宋体"/>
          <w:color w:val="auto"/>
          <w:sz w:val="28"/>
          <w:szCs w:val="28"/>
          <w:highlight w:val="none"/>
        </w:rPr>
        <w:fldChar w:fldCharType="begin"/>
      </w:r>
      <w:r>
        <w:rPr>
          <w:rStyle w:val="56"/>
          <w:rFonts w:hint="eastAsia" w:ascii="宋体" w:eastAsia="宋体"/>
          <w:color w:val="auto"/>
          <w:sz w:val="28"/>
          <w:szCs w:val="28"/>
          <w:highlight w:val="none"/>
        </w:rPr>
        <w:instrText xml:space="preserve"> </w:instrText>
      </w:r>
      <w:r>
        <w:rPr>
          <w:rFonts w:hint="eastAsia" w:ascii="宋体" w:eastAsia="宋体"/>
          <w:color w:val="auto"/>
          <w:sz w:val="28"/>
          <w:szCs w:val="28"/>
          <w:highlight w:val="none"/>
        </w:rPr>
        <w:instrText xml:space="preserve">HYPERLINK \l "_Toc476436435"</w:instrText>
      </w:r>
      <w:r>
        <w:rPr>
          <w:rStyle w:val="56"/>
          <w:rFonts w:hint="eastAsia" w:ascii="宋体" w:eastAsia="宋体"/>
          <w:color w:val="auto"/>
          <w:sz w:val="28"/>
          <w:szCs w:val="28"/>
          <w:highlight w:val="none"/>
        </w:rPr>
        <w:instrText xml:space="preserve"> </w:instrText>
      </w:r>
      <w:r>
        <w:rPr>
          <w:rFonts w:hint="eastAsia" w:ascii="宋体" w:eastAsia="宋体"/>
          <w:color w:val="auto"/>
          <w:sz w:val="28"/>
          <w:szCs w:val="28"/>
          <w:highlight w:val="none"/>
        </w:rPr>
        <w:fldChar w:fldCharType="separate"/>
      </w:r>
      <w:r>
        <w:rPr>
          <w:rFonts w:hint="eastAsia" w:ascii="宋体" w:eastAsia="宋体"/>
          <w:color w:val="auto"/>
          <w:sz w:val="28"/>
          <w:szCs w:val="28"/>
          <w:highlight w:val="none"/>
        </w:rPr>
        <w:t>第五章  政府采购合同主要条款</w:t>
      </w:r>
      <w:r>
        <w:rPr>
          <w:rFonts w:hint="eastAsia" w:ascii="宋体" w:eastAsia="宋体"/>
          <w:color w:val="auto"/>
          <w:sz w:val="28"/>
          <w:szCs w:val="28"/>
          <w:highlight w:val="none"/>
        </w:rPr>
        <w:tab/>
      </w:r>
      <w:r>
        <w:rPr>
          <w:rFonts w:hint="eastAsia" w:ascii="宋体" w:eastAsia="宋体"/>
          <w:color w:val="auto"/>
          <w:sz w:val="28"/>
          <w:szCs w:val="28"/>
          <w:highlight w:val="none"/>
        </w:rPr>
        <w:fldChar w:fldCharType="begin"/>
      </w:r>
      <w:r>
        <w:rPr>
          <w:rFonts w:hint="eastAsia" w:ascii="宋体" w:eastAsia="宋体"/>
          <w:color w:val="auto"/>
          <w:sz w:val="28"/>
          <w:szCs w:val="28"/>
          <w:highlight w:val="none"/>
        </w:rPr>
        <w:instrText xml:space="preserve"> PAGEREF _Toc476436435 \h </w:instrText>
      </w:r>
      <w:r>
        <w:rPr>
          <w:rFonts w:hint="eastAsia" w:ascii="宋体" w:eastAsia="宋体"/>
          <w:color w:val="auto"/>
          <w:sz w:val="28"/>
          <w:szCs w:val="28"/>
          <w:highlight w:val="none"/>
        </w:rPr>
        <w:fldChar w:fldCharType="separate"/>
      </w:r>
      <w:r>
        <w:rPr>
          <w:rFonts w:hint="eastAsia" w:ascii="宋体" w:eastAsia="宋体"/>
          <w:color w:val="auto"/>
          <w:sz w:val="28"/>
          <w:szCs w:val="28"/>
          <w:highlight w:val="none"/>
        </w:rPr>
        <w:t>102</w:t>
      </w:r>
      <w:r>
        <w:rPr>
          <w:rFonts w:hint="eastAsia" w:ascii="宋体" w:eastAsia="宋体"/>
          <w:color w:val="auto"/>
          <w:sz w:val="28"/>
          <w:szCs w:val="28"/>
          <w:highlight w:val="none"/>
        </w:rPr>
        <w:fldChar w:fldCharType="end"/>
      </w:r>
      <w:r>
        <w:rPr>
          <w:rFonts w:hint="eastAsia" w:ascii="宋体" w:eastAsia="宋体"/>
          <w:color w:val="auto"/>
          <w:sz w:val="28"/>
          <w:szCs w:val="28"/>
          <w:highlight w:val="none"/>
        </w:rPr>
        <w:fldChar w:fldCharType="end"/>
      </w:r>
    </w:p>
    <w:p w14:paraId="680E9F69">
      <w:pPr>
        <w:pStyle w:val="34"/>
        <w:shd w:val="clear"/>
        <w:tabs>
          <w:tab w:val="right" w:leader="dot" w:pos="9639"/>
          <w:tab w:val="clear" w:pos="8296"/>
          <w:tab w:val="clear" w:pos="8398"/>
        </w:tabs>
        <w:spacing w:line="600" w:lineRule="exact"/>
        <w:ind w:firstLine="0" w:firstLineChars="0"/>
        <w:rPr>
          <w:rFonts w:hint="eastAsia" w:ascii="宋体" w:eastAsia="宋体" w:cs="Times New Roman"/>
          <w:bCs w:val="0"/>
          <w:color w:val="auto"/>
          <w:sz w:val="28"/>
          <w:szCs w:val="28"/>
          <w:highlight w:val="none"/>
        </w:rPr>
      </w:pPr>
      <w:r>
        <w:rPr>
          <w:rFonts w:hint="eastAsia" w:ascii="宋体" w:eastAsia="宋体"/>
          <w:color w:val="auto"/>
          <w:sz w:val="28"/>
          <w:szCs w:val="28"/>
          <w:highlight w:val="none"/>
        </w:rPr>
        <w:fldChar w:fldCharType="begin"/>
      </w:r>
      <w:r>
        <w:rPr>
          <w:rStyle w:val="56"/>
          <w:rFonts w:hint="eastAsia" w:ascii="宋体" w:eastAsia="宋体"/>
          <w:color w:val="auto"/>
          <w:sz w:val="28"/>
          <w:szCs w:val="28"/>
          <w:highlight w:val="none"/>
        </w:rPr>
        <w:instrText xml:space="preserve"> </w:instrText>
      </w:r>
      <w:r>
        <w:rPr>
          <w:rFonts w:hint="eastAsia" w:ascii="宋体" w:eastAsia="宋体"/>
          <w:color w:val="auto"/>
          <w:sz w:val="28"/>
          <w:szCs w:val="28"/>
          <w:highlight w:val="none"/>
        </w:rPr>
        <w:instrText xml:space="preserve">HYPERLINK \l "_Toc476436436"</w:instrText>
      </w:r>
      <w:r>
        <w:rPr>
          <w:rStyle w:val="56"/>
          <w:rFonts w:hint="eastAsia" w:ascii="宋体" w:eastAsia="宋体"/>
          <w:color w:val="auto"/>
          <w:sz w:val="28"/>
          <w:szCs w:val="28"/>
          <w:highlight w:val="none"/>
        </w:rPr>
        <w:instrText xml:space="preserve"> </w:instrText>
      </w:r>
      <w:r>
        <w:rPr>
          <w:rFonts w:hint="eastAsia" w:ascii="宋体" w:eastAsia="宋体"/>
          <w:color w:val="auto"/>
          <w:sz w:val="28"/>
          <w:szCs w:val="28"/>
          <w:highlight w:val="none"/>
        </w:rPr>
        <w:fldChar w:fldCharType="separate"/>
      </w:r>
      <w:r>
        <w:rPr>
          <w:rFonts w:hint="eastAsia" w:ascii="宋体" w:eastAsia="宋体"/>
          <w:color w:val="auto"/>
          <w:sz w:val="28"/>
          <w:szCs w:val="28"/>
          <w:highlight w:val="none"/>
        </w:rPr>
        <w:t>第六章　投标文件格式</w:t>
      </w:r>
      <w:r>
        <w:rPr>
          <w:rFonts w:hint="eastAsia" w:ascii="宋体" w:eastAsia="宋体"/>
          <w:color w:val="auto"/>
          <w:sz w:val="28"/>
          <w:szCs w:val="28"/>
          <w:highlight w:val="none"/>
        </w:rPr>
        <w:tab/>
      </w:r>
      <w:r>
        <w:rPr>
          <w:rFonts w:hint="eastAsia" w:ascii="宋体" w:eastAsia="宋体"/>
          <w:color w:val="auto"/>
          <w:sz w:val="28"/>
          <w:szCs w:val="28"/>
          <w:highlight w:val="none"/>
        </w:rPr>
        <w:fldChar w:fldCharType="begin"/>
      </w:r>
      <w:r>
        <w:rPr>
          <w:rFonts w:hint="eastAsia" w:ascii="宋体" w:eastAsia="宋体"/>
          <w:color w:val="auto"/>
          <w:sz w:val="28"/>
          <w:szCs w:val="28"/>
          <w:highlight w:val="none"/>
        </w:rPr>
        <w:instrText xml:space="preserve"> PAGEREF _Toc476436436 \h </w:instrText>
      </w:r>
      <w:r>
        <w:rPr>
          <w:rFonts w:hint="eastAsia" w:ascii="宋体" w:eastAsia="宋体"/>
          <w:color w:val="auto"/>
          <w:sz w:val="28"/>
          <w:szCs w:val="28"/>
          <w:highlight w:val="none"/>
        </w:rPr>
        <w:fldChar w:fldCharType="separate"/>
      </w:r>
      <w:r>
        <w:rPr>
          <w:rFonts w:hint="eastAsia" w:ascii="宋体" w:eastAsia="宋体"/>
          <w:color w:val="auto"/>
          <w:sz w:val="28"/>
          <w:szCs w:val="28"/>
          <w:highlight w:val="none"/>
        </w:rPr>
        <w:t>111</w:t>
      </w:r>
      <w:r>
        <w:rPr>
          <w:rFonts w:hint="eastAsia" w:ascii="宋体" w:eastAsia="宋体"/>
          <w:color w:val="auto"/>
          <w:sz w:val="28"/>
          <w:szCs w:val="28"/>
          <w:highlight w:val="none"/>
        </w:rPr>
        <w:fldChar w:fldCharType="end"/>
      </w:r>
      <w:r>
        <w:rPr>
          <w:rFonts w:hint="eastAsia" w:ascii="宋体" w:eastAsia="宋体"/>
          <w:color w:val="auto"/>
          <w:sz w:val="28"/>
          <w:szCs w:val="28"/>
          <w:highlight w:val="none"/>
        </w:rPr>
        <w:fldChar w:fldCharType="end"/>
      </w:r>
    </w:p>
    <w:p w14:paraId="426B3268">
      <w:pPr>
        <w:shd w:val="clear"/>
        <w:spacing w:line="600" w:lineRule="exact"/>
        <w:rPr>
          <w:rFonts w:hint="eastAsia"/>
          <w:color w:val="auto"/>
          <w:highlight w:val="none"/>
        </w:rPr>
      </w:pPr>
      <w:r>
        <w:rPr>
          <w:color w:val="auto"/>
          <w:highlight w:val="none"/>
        </w:rPr>
        <w:fldChar w:fldCharType="end"/>
      </w:r>
    </w:p>
    <w:p w14:paraId="7B8251B1">
      <w:pPr>
        <w:shd w:val="clear"/>
        <w:rPr>
          <w:rFonts w:hint="eastAsia"/>
          <w:color w:val="auto"/>
          <w:highlight w:val="none"/>
        </w:rPr>
      </w:pPr>
    </w:p>
    <w:p w14:paraId="6DC86799">
      <w:pPr>
        <w:shd w:val="clear"/>
        <w:rPr>
          <w:rFonts w:hint="eastAsia"/>
          <w:color w:val="auto"/>
          <w:highlight w:val="none"/>
        </w:rPr>
      </w:pPr>
    </w:p>
    <w:p w14:paraId="68538DDD">
      <w:pPr>
        <w:shd w:val="clear"/>
        <w:spacing w:line="400" w:lineRule="exact"/>
        <w:jc w:val="center"/>
        <w:rPr>
          <w:rFonts w:hint="eastAsia" w:ascii="宋体"/>
          <w:color w:val="auto"/>
          <w:sz w:val="32"/>
          <w:szCs w:val="32"/>
          <w:highlight w:val="none"/>
        </w:rPr>
        <w:sectPr>
          <w:headerReference r:id="rId5" w:type="default"/>
          <w:footerReference r:id="rId6" w:type="default"/>
          <w:pgSz w:w="11906" w:h="16838"/>
          <w:pgMar w:top="1134" w:right="1312" w:bottom="1134" w:left="1134" w:header="851" w:footer="992" w:gutter="0"/>
          <w:pgBorders>
            <w:top w:val="none" w:sz="0" w:space="0"/>
            <w:left w:val="none" w:sz="0" w:space="0"/>
            <w:bottom w:val="none" w:sz="0" w:space="0"/>
            <w:right w:val="none" w:sz="0" w:space="0"/>
          </w:pgBorders>
          <w:pgNumType w:start="1"/>
          <w:cols w:space="720" w:num="1"/>
          <w:docGrid w:type="linesAndChars" w:linePitch="312" w:charSpace="0"/>
        </w:sectPr>
      </w:pPr>
    </w:p>
    <w:p w14:paraId="608F5960">
      <w:pPr>
        <w:shd w:val="clear"/>
        <w:spacing w:line="400" w:lineRule="exact"/>
        <w:jc w:val="center"/>
        <w:rPr>
          <w:rFonts w:hint="eastAsia" w:ascii="宋体"/>
          <w:color w:val="auto"/>
          <w:sz w:val="32"/>
          <w:szCs w:val="32"/>
          <w:highlight w:val="none"/>
        </w:rPr>
      </w:pPr>
    </w:p>
    <w:p w14:paraId="1BF6BA70">
      <w:pPr>
        <w:shd w:val="clear"/>
        <w:spacing w:line="400" w:lineRule="exact"/>
        <w:jc w:val="center"/>
        <w:rPr>
          <w:rFonts w:hint="eastAsia" w:ascii="宋体"/>
          <w:color w:val="auto"/>
          <w:sz w:val="32"/>
          <w:szCs w:val="32"/>
          <w:highlight w:val="none"/>
        </w:rPr>
      </w:pPr>
    </w:p>
    <w:p w14:paraId="1F080D96">
      <w:pPr>
        <w:shd w:val="clear"/>
        <w:spacing w:line="400" w:lineRule="exact"/>
        <w:jc w:val="center"/>
        <w:rPr>
          <w:rFonts w:hint="eastAsia" w:ascii="宋体"/>
          <w:color w:val="auto"/>
          <w:sz w:val="32"/>
          <w:szCs w:val="32"/>
          <w:highlight w:val="none"/>
        </w:rPr>
      </w:pPr>
    </w:p>
    <w:p w14:paraId="5CDED3A3">
      <w:pPr>
        <w:shd w:val="clear"/>
        <w:spacing w:line="400" w:lineRule="exact"/>
        <w:jc w:val="center"/>
        <w:rPr>
          <w:rFonts w:hint="eastAsia" w:ascii="宋体"/>
          <w:color w:val="auto"/>
          <w:sz w:val="32"/>
          <w:szCs w:val="32"/>
          <w:highlight w:val="none"/>
        </w:rPr>
      </w:pPr>
    </w:p>
    <w:p w14:paraId="55658D78">
      <w:pPr>
        <w:shd w:val="clear"/>
        <w:spacing w:line="400" w:lineRule="exact"/>
        <w:jc w:val="center"/>
        <w:rPr>
          <w:rFonts w:hint="eastAsia" w:ascii="宋体"/>
          <w:color w:val="auto"/>
          <w:sz w:val="32"/>
          <w:szCs w:val="32"/>
          <w:highlight w:val="none"/>
        </w:rPr>
      </w:pPr>
    </w:p>
    <w:p w14:paraId="48202726">
      <w:pPr>
        <w:shd w:val="clear"/>
        <w:spacing w:line="400" w:lineRule="exact"/>
        <w:jc w:val="center"/>
        <w:rPr>
          <w:rFonts w:hint="eastAsia" w:ascii="宋体"/>
          <w:color w:val="auto"/>
          <w:sz w:val="32"/>
          <w:szCs w:val="32"/>
          <w:highlight w:val="none"/>
        </w:rPr>
      </w:pPr>
    </w:p>
    <w:p w14:paraId="5EBF2484">
      <w:pPr>
        <w:shd w:val="clear"/>
        <w:spacing w:line="400" w:lineRule="exact"/>
        <w:jc w:val="center"/>
        <w:rPr>
          <w:rFonts w:hint="eastAsia" w:ascii="宋体"/>
          <w:color w:val="auto"/>
          <w:sz w:val="32"/>
          <w:szCs w:val="32"/>
          <w:highlight w:val="none"/>
        </w:rPr>
      </w:pPr>
    </w:p>
    <w:p w14:paraId="7CB6E700">
      <w:pPr>
        <w:shd w:val="clear"/>
        <w:spacing w:line="400" w:lineRule="exact"/>
        <w:jc w:val="center"/>
        <w:rPr>
          <w:rFonts w:hint="eastAsia" w:ascii="宋体"/>
          <w:color w:val="auto"/>
          <w:sz w:val="32"/>
          <w:szCs w:val="32"/>
          <w:highlight w:val="none"/>
        </w:rPr>
      </w:pPr>
    </w:p>
    <w:p w14:paraId="39D65557">
      <w:pPr>
        <w:shd w:val="clear"/>
        <w:spacing w:line="400" w:lineRule="exact"/>
        <w:jc w:val="center"/>
        <w:rPr>
          <w:rFonts w:hint="eastAsia" w:ascii="宋体"/>
          <w:color w:val="auto"/>
          <w:sz w:val="32"/>
          <w:szCs w:val="32"/>
          <w:highlight w:val="none"/>
        </w:rPr>
      </w:pPr>
    </w:p>
    <w:p w14:paraId="4FB4F795">
      <w:pPr>
        <w:shd w:val="clear"/>
        <w:spacing w:line="400" w:lineRule="exact"/>
        <w:jc w:val="center"/>
        <w:rPr>
          <w:rFonts w:hint="eastAsia" w:ascii="宋体"/>
          <w:color w:val="auto"/>
          <w:sz w:val="32"/>
          <w:szCs w:val="32"/>
          <w:highlight w:val="none"/>
        </w:rPr>
      </w:pPr>
    </w:p>
    <w:p w14:paraId="1F6D4B91">
      <w:pPr>
        <w:shd w:val="clear"/>
        <w:spacing w:line="400" w:lineRule="exact"/>
        <w:jc w:val="center"/>
        <w:rPr>
          <w:rFonts w:hint="eastAsia" w:ascii="宋体"/>
          <w:color w:val="auto"/>
          <w:sz w:val="32"/>
          <w:szCs w:val="32"/>
          <w:highlight w:val="none"/>
        </w:rPr>
      </w:pPr>
    </w:p>
    <w:p w14:paraId="2CCF00E6">
      <w:pPr>
        <w:shd w:val="clear"/>
        <w:spacing w:line="400" w:lineRule="exact"/>
        <w:jc w:val="center"/>
        <w:rPr>
          <w:rFonts w:hint="eastAsia" w:ascii="宋体"/>
          <w:color w:val="auto"/>
          <w:sz w:val="32"/>
          <w:szCs w:val="32"/>
          <w:highlight w:val="none"/>
        </w:rPr>
      </w:pPr>
    </w:p>
    <w:p w14:paraId="110FE363">
      <w:pPr>
        <w:shd w:val="clear"/>
        <w:spacing w:line="400" w:lineRule="exact"/>
        <w:jc w:val="center"/>
        <w:rPr>
          <w:rFonts w:hint="eastAsia" w:ascii="宋体"/>
          <w:color w:val="auto"/>
          <w:sz w:val="32"/>
          <w:szCs w:val="32"/>
          <w:highlight w:val="none"/>
        </w:rPr>
      </w:pPr>
    </w:p>
    <w:p w14:paraId="53038397">
      <w:pPr>
        <w:shd w:val="clear"/>
        <w:spacing w:line="400" w:lineRule="exact"/>
        <w:jc w:val="center"/>
        <w:rPr>
          <w:rFonts w:hint="eastAsia" w:ascii="宋体"/>
          <w:color w:val="auto"/>
          <w:sz w:val="32"/>
          <w:szCs w:val="32"/>
          <w:highlight w:val="none"/>
        </w:rPr>
      </w:pPr>
    </w:p>
    <w:p w14:paraId="2343B2DE">
      <w:pPr>
        <w:shd w:val="clear"/>
        <w:spacing w:line="400" w:lineRule="exact"/>
        <w:jc w:val="center"/>
        <w:rPr>
          <w:rFonts w:hint="eastAsia" w:ascii="宋体"/>
          <w:color w:val="auto"/>
          <w:sz w:val="32"/>
          <w:szCs w:val="32"/>
          <w:highlight w:val="none"/>
        </w:rPr>
      </w:pPr>
    </w:p>
    <w:p w14:paraId="0E27DCF9">
      <w:pPr>
        <w:pStyle w:val="46"/>
        <w:shd w:val="clear"/>
        <w:rPr>
          <w:rFonts w:hint="eastAsia"/>
          <w:color w:val="auto"/>
          <w:sz w:val="44"/>
          <w:szCs w:val="44"/>
          <w:highlight w:val="none"/>
        </w:rPr>
      </w:pPr>
      <w:bookmarkStart w:id="18" w:name="_Toc476436172"/>
      <w:bookmarkStart w:id="19" w:name="_Toc476436431"/>
      <w:r>
        <w:rPr>
          <w:rFonts w:hint="eastAsia"/>
          <w:color w:val="auto"/>
          <w:sz w:val="44"/>
          <w:szCs w:val="44"/>
          <w:highlight w:val="none"/>
        </w:rPr>
        <w:t>第一章  公开招标公告</w:t>
      </w:r>
      <w:bookmarkEnd w:id="18"/>
      <w:bookmarkEnd w:id="19"/>
    </w:p>
    <w:p w14:paraId="2D26CD51">
      <w:pPr>
        <w:shd w:val="clear"/>
        <w:rPr>
          <w:rFonts w:hint="eastAsia"/>
          <w:color w:val="auto"/>
          <w:highlight w:val="none"/>
        </w:rPr>
      </w:pPr>
    </w:p>
    <w:p w14:paraId="0D40E0DB">
      <w:pPr>
        <w:shd w:val="clear"/>
        <w:rPr>
          <w:rFonts w:hint="eastAsia"/>
          <w:color w:val="auto"/>
          <w:highlight w:val="none"/>
        </w:rPr>
      </w:pPr>
    </w:p>
    <w:p w14:paraId="3CFCC90F">
      <w:pPr>
        <w:shd w:val="clear"/>
        <w:jc w:val="center"/>
        <w:rPr>
          <w:rFonts w:hint="eastAsia"/>
          <w:color w:val="auto"/>
          <w:highlight w:val="none"/>
        </w:rPr>
      </w:pPr>
      <w:r>
        <w:rPr>
          <w:color w:val="auto"/>
          <w:highlight w:val="none"/>
        </w:rPr>
        <w:br w:type="page"/>
      </w:r>
    </w:p>
    <w:p w14:paraId="4896A0DA">
      <w:pPr>
        <w:shd w:val="clea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广西国力招标有限公司</w:t>
      </w:r>
    </w:p>
    <w:p w14:paraId="37CF5E5B">
      <w:pPr>
        <w:shd w:val="clea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公开招标公告</w:t>
      </w:r>
    </w:p>
    <w:p w14:paraId="59B0B5E0">
      <w:pPr>
        <w:shd w:val="clear"/>
        <w:rPr>
          <w:rFonts w:ascii="宋体" w:hAnsi="宋体"/>
          <w:color w:val="auto"/>
          <w:highlight w:val="none"/>
        </w:rPr>
      </w:pPr>
    </w:p>
    <w:p w14:paraId="72464683">
      <w:pPr>
        <w:pBdr>
          <w:top w:val="single" w:color="auto" w:sz="4" w:space="1"/>
          <w:left w:val="single" w:color="auto" w:sz="4" w:space="4"/>
          <w:bottom w:val="single" w:color="auto" w:sz="4" w:space="1"/>
          <w:right w:val="single" w:color="auto" w:sz="4" w:space="4"/>
        </w:pBdr>
        <w:shd w:val="clear"/>
        <w:spacing w:line="380" w:lineRule="exact"/>
        <w:rPr>
          <w:rFonts w:ascii="宋体" w:hAnsi="宋体"/>
          <w:color w:val="auto"/>
          <w:szCs w:val="21"/>
          <w:highlight w:val="none"/>
        </w:rPr>
      </w:pPr>
      <w:r>
        <w:rPr>
          <w:rFonts w:hint="eastAsia" w:ascii="宋体" w:hAnsi="宋体"/>
          <w:color w:val="auto"/>
          <w:szCs w:val="21"/>
          <w:highlight w:val="none"/>
        </w:rPr>
        <w:t>项目概况</w:t>
      </w:r>
    </w:p>
    <w:p w14:paraId="29B2D7DA">
      <w:pPr>
        <w:pBdr>
          <w:top w:val="single" w:color="auto" w:sz="4" w:space="1"/>
          <w:left w:val="single" w:color="auto" w:sz="4" w:space="4"/>
          <w:bottom w:val="single" w:color="auto" w:sz="4" w:space="1"/>
          <w:right w:val="single" w:color="auto" w:sz="4" w:space="4"/>
        </w:pBdr>
        <w:shd w:val="clear"/>
        <w:spacing w:line="380" w:lineRule="exact"/>
        <w:ind w:firstLine="420" w:firstLineChars="200"/>
        <w:rPr>
          <w:rFonts w:ascii="宋体" w:hAnsi="宋体"/>
          <w:color w:val="auto"/>
          <w:szCs w:val="21"/>
          <w:highlight w:val="none"/>
        </w:rPr>
      </w:pPr>
      <w:r>
        <w:rPr>
          <w:rFonts w:hint="eastAsia" w:ascii="宋体" w:hAnsi="宋体"/>
          <w:color w:val="auto"/>
          <w:szCs w:val="21"/>
          <w:highlight w:val="none"/>
          <w:u w:val="single"/>
          <w:lang w:eastAsia="zh-CN"/>
        </w:rPr>
        <w:t>广西壮族自治区人工影响天气水资源保障工程-音视频调度及可视调度指挥显示支撑系统</w:t>
      </w:r>
      <w:r>
        <w:rPr>
          <w:rFonts w:hint="eastAsia" w:ascii="宋体" w:hAnsi="宋体"/>
          <w:color w:val="auto"/>
          <w:szCs w:val="21"/>
          <w:highlight w:val="none"/>
        </w:rPr>
        <w:t>招标项目的潜在投标人应在</w:t>
      </w:r>
      <w:r>
        <w:rPr>
          <w:rFonts w:hint="eastAsia" w:ascii="宋体" w:hAnsi="宋体"/>
          <w:color w:val="auto"/>
          <w:szCs w:val="21"/>
          <w:highlight w:val="none"/>
          <w:u w:val="single"/>
        </w:rPr>
        <w:t>广西政府采购云平台（https://www.gcy.zfcg.gxzf.gov.cn）</w:t>
      </w:r>
      <w:r>
        <w:rPr>
          <w:rFonts w:hint="eastAsia" w:ascii="宋体" w:hAnsi="宋体"/>
          <w:color w:val="auto"/>
          <w:szCs w:val="21"/>
          <w:highlight w:val="none"/>
        </w:rPr>
        <w:t>获取招标文件，并于</w:t>
      </w:r>
      <w:r>
        <w:rPr>
          <w:rFonts w:hint="eastAsia" w:ascii="宋体" w:hAnsi="宋体"/>
          <w:color w:val="auto"/>
          <w:szCs w:val="21"/>
          <w:highlight w:val="none"/>
          <w:u w:val="single"/>
          <w:lang w:eastAsia="zh-CN"/>
        </w:rPr>
        <w:t>2026</w:t>
      </w:r>
      <w:r>
        <w:rPr>
          <w:rFonts w:ascii="宋体" w:hAnsi="宋体"/>
          <w:color w:val="auto"/>
          <w:szCs w:val="21"/>
          <w:highlight w:val="none"/>
          <w:u w:val="single"/>
        </w:rPr>
        <w:t>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点</w:t>
      </w:r>
      <w:r>
        <w:rPr>
          <w:rFonts w:hint="eastAsia" w:ascii="宋体" w:hAnsi="宋体"/>
          <w:bCs/>
          <w:color w:val="auto"/>
          <w:szCs w:val="21"/>
          <w:highlight w:val="none"/>
          <w:u w:val="single"/>
          <w:lang w:val="en-US" w:eastAsia="zh-CN"/>
        </w:rPr>
        <w:t>30</w:t>
      </w:r>
      <w:r>
        <w:rPr>
          <w:rFonts w:hint="eastAsia" w:ascii="宋体" w:hAnsi="宋体"/>
          <w:bCs/>
          <w:color w:val="auto"/>
          <w:szCs w:val="21"/>
          <w:highlight w:val="none"/>
          <w:u w:val="single"/>
        </w:rPr>
        <w:t>分（</w:t>
      </w:r>
      <w:r>
        <w:rPr>
          <w:rFonts w:hint="eastAsia" w:ascii="宋体" w:hAnsi="宋体"/>
          <w:bCs/>
          <w:color w:val="auto"/>
          <w:szCs w:val="21"/>
          <w:highlight w:val="none"/>
        </w:rPr>
        <w:t>北京时间）前递交投标</w:t>
      </w:r>
      <w:r>
        <w:rPr>
          <w:rFonts w:ascii="宋体" w:hAnsi="宋体"/>
          <w:bCs/>
          <w:color w:val="auto"/>
          <w:szCs w:val="21"/>
          <w:highlight w:val="none"/>
        </w:rPr>
        <w:t>文件</w:t>
      </w:r>
      <w:r>
        <w:rPr>
          <w:rFonts w:hint="eastAsia" w:ascii="宋体" w:hAnsi="宋体"/>
          <w:color w:val="auto"/>
          <w:szCs w:val="21"/>
          <w:highlight w:val="none"/>
        </w:rPr>
        <w:t>。</w:t>
      </w:r>
    </w:p>
    <w:p w14:paraId="34ECDD75">
      <w:pPr>
        <w:shd w:val="clear"/>
        <w:spacing w:line="380" w:lineRule="exact"/>
        <w:rPr>
          <w:rFonts w:ascii="宋体" w:hAnsi="宋体"/>
          <w:color w:val="auto"/>
          <w:szCs w:val="21"/>
          <w:highlight w:val="none"/>
        </w:rPr>
      </w:pPr>
    </w:p>
    <w:p w14:paraId="6D3A4D30">
      <w:pPr>
        <w:keepNext w:val="0"/>
        <w:keepLines w:val="0"/>
        <w:pageBreakBefore w:val="0"/>
        <w:shd w:val="clear"/>
        <w:kinsoku/>
        <w:wordWrap w:val="0"/>
        <w:overflowPunct/>
        <w:topLinePunct w:val="0"/>
        <w:autoSpaceDE/>
        <w:autoSpaceDN/>
        <w:bidi w:val="0"/>
        <w:adjustRightInd/>
        <w:snapToGrid/>
        <w:spacing w:line="400" w:lineRule="exact"/>
        <w:ind w:left="0" w:leftChars="0" w:right="0"/>
        <w:textAlignment w:val="auto"/>
        <w:rPr>
          <w:rFonts w:hint="eastAsia" w:ascii="宋体" w:hAnsi="宋体" w:eastAsia="宋体" w:cs="宋体"/>
          <w:b/>
          <w:color w:val="auto"/>
          <w:highlight w:val="none"/>
        </w:rPr>
      </w:pPr>
      <w:bookmarkStart w:id="20" w:name="_Toc28359079"/>
      <w:bookmarkStart w:id="21" w:name="_Toc35393790"/>
      <w:bookmarkStart w:id="22" w:name="_Toc28359002"/>
      <w:bookmarkStart w:id="23" w:name="_Toc35393621"/>
      <w:bookmarkStart w:id="24" w:name="_Hlk24379207"/>
      <w:r>
        <w:rPr>
          <w:rFonts w:hint="eastAsia" w:ascii="宋体" w:hAnsi="宋体" w:eastAsia="宋体" w:cs="宋体"/>
          <w:b/>
          <w:color w:val="auto"/>
          <w:highlight w:val="none"/>
        </w:rPr>
        <w:t>一、项目基本情况</w:t>
      </w:r>
      <w:bookmarkEnd w:id="20"/>
      <w:bookmarkEnd w:id="21"/>
      <w:bookmarkEnd w:id="22"/>
      <w:bookmarkEnd w:id="23"/>
    </w:p>
    <w:bookmarkEnd w:id="24"/>
    <w:p w14:paraId="3EC71D7B">
      <w:pPr>
        <w:keepNext w:val="0"/>
        <w:keepLines w:val="0"/>
        <w:pageBreakBefore w:val="0"/>
        <w:widowControl/>
        <w:shd w:val="clear"/>
        <w:kinsoku/>
        <w:wordWrap w:val="0"/>
        <w:overflowPunct/>
        <w:topLinePunct w:val="0"/>
        <w:autoSpaceDE/>
        <w:autoSpaceDN/>
        <w:bidi w:val="0"/>
        <w:adjustRightInd/>
        <w:snapToGrid/>
        <w:spacing w:line="400" w:lineRule="exact"/>
        <w:ind w:left="0" w:leftChars="0" w:right="0"/>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项目编号：</w:t>
      </w:r>
      <w:r>
        <w:rPr>
          <w:rFonts w:hint="eastAsia" w:ascii="宋体" w:hAnsi="宋体" w:cs="宋体"/>
          <w:color w:val="auto"/>
          <w:kern w:val="0"/>
          <w:szCs w:val="21"/>
          <w:highlight w:val="none"/>
          <w:lang w:eastAsia="zh-CN"/>
        </w:rPr>
        <w:t>GXZC2026-G1-002561-GLZB</w:t>
      </w:r>
    </w:p>
    <w:p w14:paraId="1EAD45C2">
      <w:pPr>
        <w:keepNext w:val="0"/>
        <w:keepLines w:val="0"/>
        <w:pageBreakBefore w:val="0"/>
        <w:widowControl/>
        <w:shd w:val="clear"/>
        <w:kinsoku/>
        <w:wordWrap w:val="0"/>
        <w:overflowPunct/>
        <w:topLinePunct w:val="0"/>
        <w:autoSpaceDE/>
        <w:autoSpaceDN/>
        <w:bidi w:val="0"/>
        <w:adjustRightInd/>
        <w:snapToGrid/>
        <w:spacing w:line="400" w:lineRule="exact"/>
        <w:ind w:left="0" w:leftChars="0" w:right="0"/>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项目名称：</w:t>
      </w:r>
      <w:r>
        <w:rPr>
          <w:rFonts w:hint="eastAsia" w:ascii="宋体" w:hAnsi="宋体" w:cs="宋体"/>
          <w:color w:val="auto"/>
          <w:kern w:val="0"/>
          <w:szCs w:val="21"/>
          <w:highlight w:val="none"/>
          <w:lang w:eastAsia="zh-CN"/>
        </w:rPr>
        <w:t>广西壮族自治区人工影响天气水资源保障工程-音视频调度及可视调度指挥显示支撑系统</w:t>
      </w:r>
    </w:p>
    <w:p w14:paraId="377ACB89">
      <w:pPr>
        <w:keepNext w:val="0"/>
        <w:keepLines w:val="0"/>
        <w:pageBreakBefore w:val="0"/>
        <w:widowControl/>
        <w:shd w:val="clear"/>
        <w:kinsoku/>
        <w:wordWrap w:val="0"/>
        <w:overflowPunct/>
        <w:topLinePunct w:val="0"/>
        <w:autoSpaceDE/>
        <w:autoSpaceDN/>
        <w:bidi w:val="0"/>
        <w:adjustRightInd/>
        <w:snapToGrid/>
        <w:spacing w:line="400" w:lineRule="exact"/>
        <w:ind w:left="0" w:leftChars="0" w:right="0"/>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预算总金额（元）：</w:t>
      </w:r>
      <w:r>
        <w:rPr>
          <w:rFonts w:hint="eastAsia" w:ascii="宋体" w:hAnsi="宋体" w:eastAsia="宋体" w:cs="宋体"/>
          <w:i w:val="0"/>
          <w:iCs w:val="0"/>
          <w:caps w:val="0"/>
          <w:color w:val="auto"/>
          <w:spacing w:val="0"/>
          <w:kern w:val="0"/>
          <w:sz w:val="21"/>
          <w:szCs w:val="21"/>
          <w:highlight w:val="none"/>
          <w:shd w:val="clear"/>
        </w:rPr>
        <w:t>31,557,100.00</w:t>
      </w:r>
    </w:p>
    <w:p w14:paraId="7D6931F7">
      <w:pPr>
        <w:keepNext w:val="0"/>
        <w:keepLines w:val="0"/>
        <w:pageBreakBefore w:val="0"/>
        <w:widowControl/>
        <w:shd w:val="clear"/>
        <w:kinsoku/>
        <w:wordWrap w:val="0"/>
        <w:overflowPunct/>
        <w:topLinePunct w:val="0"/>
        <w:autoSpaceDE/>
        <w:autoSpaceDN/>
        <w:bidi w:val="0"/>
        <w:adjustRightInd/>
        <w:snapToGrid/>
        <w:spacing w:line="400" w:lineRule="exact"/>
        <w:ind w:left="0" w:leftChars="0" w:right="0"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采购需求：</w:t>
      </w:r>
    </w:p>
    <w:p w14:paraId="6C022586">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数量：</w:t>
      </w:r>
      <w:r>
        <w:rPr>
          <w:rFonts w:hint="eastAsia" w:ascii="宋体" w:hAnsi="宋体" w:cs="宋体"/>
          <w:color w:val="auto"/>
          <w:highlight w:val="none"/>
          <w:lang w:val="en-US" w:eastAsia="zh-CN"/>
        </w:rPr>
        <w:t>1</w:t>
      </w:r>
    </w:p>
    <w:p w14:paraId="0AD078D0">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预算金额（元）：</w:t>
      </w:r>
      <w:r>
        <w:rPr>
          <w:rFonts w:hint="eastAsia" w:ascii="宋体" w:hAnsi="宋体" w:eastAsia="宋体" w:cs="宋体"/>
          <w:i w:val="0"/>
          <w:iCs w:val="0"/>
          <w:caps w:val="0"/>
          <w:color w:val="auto"/>
          <w:spacing w:val="0"/>
          <w:kern w:val="0"/>
          <w:sz w:val="21"/>
          <w:szCs w:val="21"/>
          <w:highlight w:val="none"/>
          <w:shd w:val="clear"/>
        </w:rPr>
        <w:t>31,557,100.00</w:t>
      </w:r>
    </w:p>
    <w:p w14:paraId="6FD2FDE8">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简要规格描述或项目基本概况介绍、用途：</w:t>
      </w:r>
      <w:r>
        <w:rPr>
          <w:rFonts w:hint="eastAsia" w:ascii="宋体" w:hAnsi="宋体" w:eastAsia="宋体" w:cs="宋体"/>
          <w:bCs/>
          <w:color w:val="auto"/>
          <w:kern w:val="0"/>
          <w:szCs w:val="21"/>
          <w:highlight w:val="none"/>
        </w:rPr>
        <w:t>建设音视频调度及可视调度指挥显示支撑系统，包括</w:t>
      </w:r>
      <w:r>
        <w:rPr>
          <w:rFonts w:hint="eastAsia" w:ascii="宋体" w:hAnsi="宋体" w:eastAsia="宋体" w:cs="宋体"/>
          <w:color w:val="auto"/>
          <w:sz w:val="21"/>
          <w:szCs w:val="21"/>
          <w:highlight w:val="none"/>
        </w:rPr>
        <w:t>区级音视频调度服务系统</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市级音视频调度服务系统</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县级音视频调度服务系统</w:t>
      </w:r>
      <w:r>
        <w:rPr>
          <w:rFonts w:hint="eastAsia" w:ascii="宋体" w:hAnsi="宋体" w:cs="宋体"/>
          <w:color w:val="auto"/>
          <w:sz w:val="21"/>
          <w:szCs w:val="21"/>
          <w:highlight w:val="none"/>
          <w:lang w:val="en-US" w:eastAsia="zh-CN"/>
        </w:rPr>
        <w:t>等</w:t>
      </w:r>
      <w:r>
        <w:rPr>
          <w:rFonts w:hint="eastAsia" w:ascii="宋体" w:hAnsi="宋体" w:eastAsia="宋体" w:cs="宋体"/>
          <w:bCs/>
          <w:color w:val="auto"/>
          <w:kern w:val="0"/>
          <w:szCs w:val="21"/>
          <w:highlight w:val="none"/>
        </w:rPr>
        <w:t>。如需进一步了解详细内容，详见招标文件。</w:t>
      </w:r>
    </w:p>
    <w:p w14:paraId="326C73E3">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最高限价：</w:t>
      </w:r>
      <w:r>
        <w:rPr>
          <w:rFonts w:hint="default" w:ascii="宋体" w:hAnsi="宋体" w:cs="宋体"/>
          <w:color w:val="auto"/>
          <w:highlight w:val="none"/>
          <w:lang w:val="en-US" w:eastAsia="zh-CN"/>
        </w:rPr>
        <w:t>31,557,100.00</w:t>
      </w:r>
      <w:r>
        <w:rPr>
          <w:rFonts w:hint="eastAsia" w:ascii="宋体" w:hAnsi="宋体" w:eastAsia="宋体" w:cs="宋体"/>
          <w:color w:val="auto"/>
          <w:highlight w:val="none"/>
          <w:lang w:val="en-US" w:eastAsia="zh-CN"/>
        </w:rPr>
        <w:t>元</w:t>
      </w:r>
    </w:p>
    <w:p w14:paraId="690E6904">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合同履约期限：详见第二章招标项目采购需求。</w:t>
      </w:r>
    </w:p>
    <w:p w14:paraId="209E594F">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本标项（否）接受联合体投标</w:t>
      </w:r>
    </w:p>
    <w:p w14:paraId="0A13BE99">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备注：本项目为线上电子招标项目，有意向参与本项目的供应商应当做好参与全流程电子招投标交易的充分准备。</w:t>
      </w:r>
    </w:p>
    <w:p w14:paraId="5EC4F9F7">
      <w:pPr>
        <w:keepNext w:val="0"/>
        <w:keepLines w:val="0"/>
        <w:pageBreakBefore w:val="0"/>
        <w:shd w:val="clear"/>
        <w:kinsoku/>
        <w:wordWrap w:val="0"/>
        <w:overflowPunct/>
        <w:topLinePunct w:val="0"/>
        <w:autoSpaceDE/>
        <w:autoSpaceDN/>
        <w:bidi w:val="0"/>
        <w:adjustRightInd/>
        <w:snapToGrid/>
        <w:spacing w:line="400" w:lineRule="exact"/>
        <w:ind w:left="0" w:leftChars="0" w:right="0"/>
        <w:textAlignment w:val="auto"/>
        <w:rPr>
          <w:rFonts w:hint="eastAsia" w:ascii="宋体" w:hAnsi="宋体" w:eastAsia="宋体" w:cs="宋体"/>
          <w:b/>
          <w:color w:val="auto"/>
          <w:highlight w:val="none"/>
        </w:rPr>
      </w:pPr>
      <w:bookmarkStart w:id="25" w:name="_Toc35393791"/>
      <w:bookmarkStart w:id="26" w:name="_Toc28359003"/>
      <w:bookmarkStart w:id="27" w:name="_Toc35393622"/>
      <w:bookmarkStart w:id="28" w:name="_Toc28359080"/>
      <w:r>
        <w:rPr>
          <w:rFonts w:hint="eastAsia" w:ascii="宋体" w:hAnsi="宋体" w:eastAsia="宋体" w:cs="宋体"/>
          <w:b/>
          <w:color w:val="auto"/>
          <w:highlight w:val="none"/>
        </w:rPr>
        <w:t>二、申请人的资格要求：</w:t>
      </w:r>
      <w:bookmarkEnd w:id="25"/>
      <w:bookmarkEnd w:id="26"/>
      <w:bookmarkEnd w:id="27"/>
      <w:bookmarkEnd w:id="28"/>
    </w:p>
    <w:p w14:paraId="706A7E55">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1.满足《中华人民共和国政府采购法》第二十二条规定；</w:t>
      </w:r>
    </w:p>
    <w:p w14:paraId="13CDC7F9">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bookmarkStart w:id="29" w:name="_Toc28359004"/>
      <w:bookmarkStart w:id="30" w:name="_Toc28359081"/>
      <w:r>
        <w:rPr>
          <w:rFonts w:hint="eastAsia" w:ascii="宋体" w:hAnsi="宋体" w:eastAsia="宋体" w:cs="宋体"/>
          <w:color w:val="auto"/>
          <w:highlight w:val="none"/>
        </w:rPr>
        <w:t>2.落实政府采购政策需满足的资格要求：无；</w:t>
      </w:r>
    </w:p>
    <w:p w14:paraId="1A74D34C">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i/>
          <w:iCs/>
          <w:color w:val="auto"/>
          <w:highlight w:val="none"/>
          <w:u w:val="single"/>
        </w:rPr>
      </w:pPr>
      <w:r>
        <w:rPr>
          <w:rFonts w:hint="eastAsia" w:ascii="宋体" w:hAnsi="宋体" w:eastAsia="宋体" w:cs="宋体"/>
          <w:color w:val="auto"/>
          <w:highlight w:val="none"/>
        </w:rPr>
        <w:t>3.本项目的特定资格要求：</w:t>
      </w:r>
      <w:r>
        <w:rPr>
          <w:rFonts w:hint="eastAsia" w:ascii="宋体" w:hAnsi="宋体" w:cs="Times New Roman"/>
          <w:color w:val="auto"/>
          <w:highlight w:val="none"/>
          <w:lang w:val="en-US" w:eastAsia="zh-CN"/>
        </w:rPr>
        <w:t>无</w:t>
      </w:r>
      <w:r>
        <w:rPr>
          <w:rFonts w:hint="eastAsia" w:ascii="宋体" w:hAnsi="宋体" w:eastAsia="宋体" w:cs="宋体"/>
          <w:color w:val="auto"/>
          <w:highlight w:val="none"/>
        </w:rPr>
        <w:t>。</w:t>
      </w:r>
    </w:p>
    <w:bookmarkEnd w:id="29"/>
    <w:bookmarkEnd w:id="30"/>
    <w:p w14:paraId="3AFCF259">
      <w:pPr>
        <w:keepNext w:val="0"/>
        <w:keepLines w:val="0"/>
        <w:pageBreakBefore w:val="0"/>
        <w:shd w:val="clear"/>
        <w:kinsoku/>
        <w:wordWrap w:val="0"/>
        <w:overflowPunct/>
        <w:topLinePunct w:val="0"/>
        <w:autoSpaceDE/>
        <w:autoSpaceDN/>
        <w:bidi w:val="0"/>
        <w:adjustRightInd/>
        <w:snapToGrid/>
        <w:spacing w:line="400" w:lineRule="exact"/>
        <w:ind w:left="0" w:leftChars="0" w:right="0"/>
        <w:textAlignment w:val="auto"/>
        <w:rPr>
          <w:rFonts w:hint="eastAsia" w:ascii="宋体" w:hAnsi="宋体" w:eastAsia="宋体" w:cs="宋体"/>
          <w:b/>
          <w:color w:val="auto"/>
          <w:highlight w:val="none"/>
        </w:rPr>
      </w:pPr>
      <w:bookmarkStart w:id="31" w:name="_Toc35393792"/>
      <w:bookmarkStart w:id="32" w:name="_Toc35393623"/>
      <w:r>
        <w:rPr>
          <w:rFonts w:hint="eastAsia" w:ascii="宋体" w:hAnsi="宋体" w:eastAsia="宋体" w:cs="宋体"/>
          <w:b/>
          <w:color w:val="auto"/>
          <w:highlight w:val="none"/>
        </w:rPr>
        <w:t>三、获取招标文件</w:t>
      </w:r>
      <w:bookmarkEnd w:id="31"/>
      <w:bookmarkEnd w:id="32"/>
    </w:p>
    <w:p w14:paraId="11750E46">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u w:val="none"/>
        </w:rPr>
        <w:t>时间：</w:t>
      </w:r>
      <w:r>
        <w:rPr>
          <w:rFonts w:hint="eastAsia" w:ascii="宋体" w:hAnsi="宋体" w:eastAsia="宋体" w:cs="宋体"/>
          <w:color w:val="auto"/>
          <w:highlight w:val="none"/>
          <w:u w:val="none"/>
          <w:lang w:eastAsia="zh-CN"/>
        </w:rPr>
        <w:t>2026</w:t>
      </w:r>
      <w:r>
        <w:rPr>
          <w:rFonts w:hint="eastAsia" w:ascii="宋体" w:hAnsi="宋体" w:eastAsia="宋体" w:cs="宋体"/>
          <w:color w:val="auto"/>
          <w:highlight w:val="none"/>
          <w:u w:val="none"/>
        </w:rPr>
        <w:t>年</w:t>
      </w:r>
      <w:r>
        <w:rPr>
          <w:rFonts w:hint="eastAsia" w:ascii="宋体" w:hAnsi="宋体" w:cs="宋体"/>
          <w:color w:val="auto"/>
          <w:highlight w:val="none"/>
          <w:u w:val="none"/>
          <w:lang w:val="en-US" w:eastAsia="zh-CN"/>
        </w:rPr>
        <w:t>8</w:t>
      </w:r>
      <w:r>
        <w:rPr>
          <w:rFonts w:hint="eastAsia" w:ascii="宋体" w:hAnsi="宋体" w:eastAsia="宋体" w:cs="宋体"/>
          <w:color w:val="auto"/>
          <w:highlight w:val="none"/>
          <w:u w:val="none"/>
        </w:rPr>
        <w:t>月</w:t>
      </w:r>
      <w:r>
        <w:rPr>
          <w:rFonts w:hint="eastAsia" w:ascii="宋体" w:hAnsi="宋体" w:cs="宋体"/>
          <w:color w:val="auto"/>
          <w:highlight w:val="none"/>
          <w:u w:val="none"/>
          <w:lang w:val="en-US" w:eastAsia="zh-CN"/>
        </w:rPr>
        <w:t>17</w:t>
      </w:r>
      <w:r>
        <w:rPr>
          <w:rFonts w:hint="eastAsia" w:ascii="宋体" w:hAnsi="宋体" w:eastAsia="宋体" w:cs="宋体"/>
          <w:color w:val="auto"/>
          <w:highlight w:val="none"/>
          <w:u w:val="none"/>
        </w:rPr>
        <w:t>日至</w:t>
      </w:r>
      <w:r>
        <w:rPr>
          <w:rFonts w:hint="eastAsia" w:ascii="宋体" w:hAnsi="宋体" w:eastAsia="宋体" w:cs="宋体"/>
          <w:color w:val="auto"/>
          <w:highlight w:val="none"/>
          <w:u w:val="none"/>
          <w:lang w:eastAsia="zh-CN"/>
        </w:rPr>
        <w:t>2026</w:t>
      </w:r>
      <w:r>
        <w:rPr>
          <w:rFonts w:hint="eastAsia" w:ascii="宋体" w:hAnsi="宋体" w:eastAsia="宋体" w:cs="宋体"/>
          <w:color w:val="auto"/>
          <w:highlight w:val="none"/>
          <w:u w:val="none"/>
        </w:rPr>
        <w:t>年</w:t>
      </w:r>
      <w:r>
        <w:rPr>
          <w:rFonts w:hint="eastAsia" w:ascii="宋体" w:hAnsi="宋体" w:cs="宋体"/>
          <w:color w:val="auto"/>
          <w:highlight w:val="none"/>
          <w:u w:val="none"/>
          <w:lang w:val="en-US" w:eastAsia="zh-CN"/>
        </w:rPr>
        <w:t>8</w:t>
      </w:r>
      <w:r>
        <w:rPr>
          <w:rFonts w:hint="eastAsia" w:ascii="宋体" w:hAnsi="宋体" w:eastAsia="宋体" w:cs="宋体"/>
          <w:color w:val="auto"/>
          <w:highlight w:val="none"/>
          <w:u w:val="none"/>
        </w:rPr>
        <w:t>月</w:t>
      </w:r>
      <w:r>
        <w:rPr>
          <w:rFonts w:hint="eastAsia" w:ascii="宋体" w:hAnsi="宋体" w:cs="宋体"/>
          <w:color w:val="auto"/>
          <w:highlight w:val="none"/>
          <w:u w:val="none"/>
          <w:lang w:val="en-US" w:eastAsia="zh-CN"/>
        </w:rPr>
        <w:t>24</w:t>
      </w:r>
      <w:r>
        <w:rPr>
          <w:rFonts w:hint="eastAsia" w:ascii="宋体" w:hAnsi="宋体" w:eastAsia="宋体" w:cs="宋体"/>
          <w:color w:val="auto"/>
          <w:highlight w:val="none"/>
          <w:u w:val="none"/>
        </w:rPr>
        <w:t>日，每天上午8时30分至</w:t>
      </w:r>
      <w:r>
        <w:rPr>
          <w:rFonts w:hint="eastAsia" w:ascii="宋体" w:hAnsi="宋体" w:cs="宋体"/>
          <w:color w:val="auto"/>
          <w:highlight w:val="none"/>
          <w:u w:val="none"/>
          <w:lang w:val="en-US" w:eastAsia="zh-CN"/>
        </w:rPr>
        <w:t>12</w:t>
      </w:r>
      <w:r>
        <w:rPr>
          <w:rFonts w:hint="eastAsia" w:ascii="宋体" w:hAnsi="宋体" w:eastAsia="宋体" w:cs="宋体"/>
          <w:color w:val="auto"/>
          <w:highlight w:val="none"/>
          <w:u w:val="none"/>
        </w:rPr>
        <w:t>时</w:t>
      </w:r>
      <w:r>
        <w:rPr>
          <w:rFonts w:hint="eastAsia" w:ascii="宋体" w:hAnsi="宋体" w:cs="宋体"/>
          <w:color w:val="auto"/>
          <w:highlight w:val="none"/>
          <w:u w:val="none"/>
          <w:lang w:val="en-US" w:eastAsia="zh-CN"/>
        </w:rPr>
        <w:t>00</w:t>
      </w:r>
      <w:r>
        <w:rPr>
          <w:rFonts w:hint="eastAsia" w:ascii="宋体" w:hAnsi="宋体" w:eastAsia="宋体" w:cs="宋体"/>
          <w:color w:val="auto"/>
          <w:highlight w:val="none"/>
          <w:u w:val="none"/>
        </w:rPr>
        <w:t>分，下午12时00分至18时00分（北京时间，法定节假日除外）</w:t>
      </w:r>
    </w:p>
    <w:p w14:paraId="13FCC746">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地点（网址）：广西政府采购云平台（</w:t>
      </w:r>
      <w:r>
        <w:rPr>
          <w:rFonts w:hint="eastAsia" w:ascii="宋体" w:hAnsi="宋体" w:eastAsia="宋体" w:cs="宋体"/>
          <w:color w:val="auto"/>
          <w:highlight w:val="none"/>
          <w:lang w:eastAsia="zh-CN"/>
        </w:rPr>
        <w:t>https://www.gcy.zfcg.gxzf.gov.cn</w:t>
      </w:r>
      <w:r>
        <w:rPr>
          <w:rFonts w:hint="eastAsia" w:ascii="宋体" w:hAnsi="宋体" w:eastAsia="宋体" w:cs="宋体"/>
          <w:color w:val="auto"/>
          <w:highlight w:val="none"/>
        </w:rPr>
        <w:t>）</w:t>
      </w:r>
    </w:p>
    <w:p w14:paraId="3020333B">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方式：请登录广西政府采购云平台（</w:t>
      </w:r>
      <w:r>
        <w:rPr>
          <w:rFonts w:hint="eastAsia" w:ascii="宋体" w:hAnsi="宋体" w:eastAsia="宋体" w:cs="宋体"/>
          <w:color w:val="auto"/>
          <w:highlight w:val="none"/>
          <w:lang w:eastAsia="zh-CN"/>
        </w:rPr>
        <w:t>https://www.gcy.zfcg.gxzf.gov.cn</w:t>
      </w:r>
      <w:r>
        <w:rPr>
          <w:rFonts w:hint="eastAsia" w:ascii="宋体" w:hAnsi="宋体" w:eastAsia="宋体" w:cs="宋体"/>
          <w:color w:val="auto"/>
          <w:highlight w:val="none"/>
        </w:rPr>
        <w:t>）进行报名并获取采购文件；未注册的供应商可在广西政府采购云平台完成注册后再行报名。如在操作过程中遇到问题或需技术支持，请致电广西政府采购云平台客服热线：95763。提示：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493CBF03">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售价（元）：</w:t>
      </w:r>
      <w:r>
        <w:rPr>
          <w:rFonts w:hint="eastAsia" w:ascii="宋体" w:hAnsi="宋体" w:eastAsia="宋体" w:cs="宋体"/>
          <w:color w:val="auto"/>
          <w:highlight w:val="none"/>
        </w:rPr>
        <w:t>0</w:t>
      </w:r>
    </w:p>
    <w:p w14:paraId="75F7C665">
      <w:pPr>
        <w:keepNext w:val="0"/>
        <w:keepLines w:val="0"/>
        <w:pageBreakBefore w:val="0"/>
        <w:shd w:val="clear"/>
        <w:kinsoku/>
        <w:wordWrap w:val="0"/>
        <w:overflowPunct/>
        <w:topLinePunct w:val="0"/>
        <w:autoSpaceDE/>
        <w:autoSpaceDN/>
        <w:bidi w:val="0"/>
        <w:adjustRightInd/>
        <w:snapToGrid/>
        <w:spacing w:line="400" w:lineRule="exact"/>
        <w:ind w:left="0" w:leftChars="0" w:right="0"/>
        <w:textAlignment w:val="auto"/>
        <w:rPr>
          <w:rFonts w:hint="eastAsia" w:ascii="宋体" w:hAnsi="宋体" w:eastAsia="宋体" w:cs="宋体"/>
          <w:b/>
          <w:color w:val="auto"/>
          <w:highlight w:val="none"/>
        </w:rPr>
      </w:pPr>
      <w:bookmarkStart w:id="33" w:name="_Toc28359082"/>
      <w:bookmarkStart w:id="34" w:name="_Toc28359005"/>
      <w:bookmarkStart w:id="35" w:name="_Toc35393793"/>
      <w:bookmarkStart w:id="36" w:name="_Toc35393624"/>
      <w:r>
        <w:rPr>
          <w:rFonts w:hint="eastAsia" w:ascii="宋体" w:hAnsi="宋体" w:eastAsia="宋体" w:cs="宋体"/>
          <w:b/>
          <w:color w:val="auto"/>
          <w:highlight w:val="none"/>
        </w:rPr>
        <w:t>四、提交投标文件</w:t>
      </w:r>
      <w:bookmarkEnd w:id="33"/>
      <w:bookmarkEnd w:id="34"/>
      <w:r>
        <w:rPr>
          <w:rFonts w:hint="eastAsia" w:ascii="宋体" w:hAnsi="宋体" w:eastAsia="宋体" w:cs="宋体"/>
          <w:b/>
          <w:color w:val="auto"/>
          <w:highlight w:val="none"/>
        </w:rPr>
        <w:t>截止时间、开标时间和地点</w:t>
      </w:r>
      <w:bookmarkEnd w:id="35"/>
      <w:bookmarkEnd w:id="36"/>
    </w:p>
    <w:p w14:paraId="1D6A39BE">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提交投标文件截止时间：</w:t>
      </w:r>
      <w:r>
        <w:rPr>
          <w:rFonts w:hint="eastAsia" w:ascii="宋体" w:hAnsi="宋体" w:eastAsia="宋体" w:cs="宋体"/>
          <w:bCs/>
          <w:color w:val="auto"/>
          <w:highlight w:val="none"/>
          <w:lang w:eastAsia="zh-CN"/>
        </w:rPr>
        <w:t>2026</w:t>
      </w:r>
      <w:r>
        <w:rPr>
          <w:rFonts w:hint="eastAsia" w:ascii="宋体" w:hAnsi="宋体" w:eastAsia="宋体" w:cs="宋体"/>
          <w:bCs/>
          <w:color w:val="auto"/>
          <w:highlight w:val="none"/>
        </w:rPr>
        <w:t>年</w:t>
      </w:r>
      <w:r>
        <w:rPr>
          <w:rFonts w:hint="eastAsia" w:ascii="宋体" w:hAnsi="宋体" w:cs="宋体"/>
          <w:bCs/>
          <w:color w:val="auto"/>
          <w:highlight w:val="none"/>
          <w:lang w:val="en-US" w:eastAsia="zh-CN"/>
        </w:rPr>
        <w:t>9</w:t>
      </w:r>
      <w:r>
        <w:rPr>
          <w:rFonts w:hint="eastAsia" w:ascii="宋体" w:hAnsi="宋体" w:eastAsia="宋体" w:cs="宋体"/>
          <w:bCs/>
          <w:color w:val="auto"/>
          <w:highlight w:val="none"/>
        </w:rPr>
        <w:t>月</w:t>
      </w:r>
      <w:r>
        <w:rPr>
          <w:rFonts w:hint="eastAsia" w:ascii="宋体" w:hAnsi="宋体" w:cs="宋体"/>
          <w:bCs/>
          <w:color w:val="auto"/>
          <w:highlight w:val="none"/>
          <w:lang w:val="en-US" w:eastAsia="zh-CN"/>
        </w:rPr>
        <w:t>7</w:t>
      </w:r>
      <w:r>
        <w:rPr>
          <w:rFonts w:hint="eastAsia" w:ascii="宋体" w:hAnsi="宋体" w:eastAsia="宋体" w:cs="宋体"/>
          <w:bCs/>
          <w:color w:val="auto"/>
          <w:highlight w:val="none"/>
        </w:rPr>
        <w:t>日 09:30（北京时间）</w:t>
      </w:r>
    </w:p>
    <w:p w14:paraId="0187011B">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投标地点（网址）：广西政府采购云平台（</w:t>
      </w:r>
      <w:r>
        <w:rPr>
          <w:rFonts w:hint="eastAsia" w:ascii="宋体" w:hAnsi="宋体" w:eastAsia="宋体" w:cs="宋体"/>
          <w:bCs/>
          <w:color w:val="auto"/>
          <w:highlight w:val="none"/>
          <w:lang w:eastAsia="zh-CN"/>
        </w:rPr>
        <w:t>https://www.gcy.zfcg.gxzf.gov.cn</w:t>
      </w:r>
      <w:r>
        <w:rPr>
          <w:rFonts w:hint="eastAsia" w:ascii="宋体" w:hAnsi="宋体" w:eastAsia="宋体" w:cs="宋体"/>
          <w:bCs/>
          <w:color w:val="auto"/>
          <w:highlight w:val="none"/>
        </w:rPr>
        <w:t>）（</w:t>
      </w:r>
      <w:r>
        <w:rPr>
          <w:rFonts w:hint="eastAsia" w:ascii="宋体" w:hAnsi="宋体" w:eastAsia="宋体" w:cs="宋体"/>
          <w:color w:val="auto"/>
          <w:szCs w:val="21"/>
          <w:highlight w:val="none"/>
        </w:rPr>
        <w:t>本项目为全流程电子化项目，供</w:t>
      </w:r>
      <w:r>
        <w:rPr>
          <w:rFonts w:hint="eastAsia" w:ascii="宋体" w:hAnsi="宋体" w:eastAsia="宋体" w:cs="宋体"/>
          <w:bCs/>
          <w:color w:val="auto"/>
          <w:highlight w:val="none"/>
        </w:rPr>
        <w:t>应商应派法定代表人或委托代理人准时在线出席电子开评标会议，随时关注开评标进度，如在开评标过程中有电子询标，应在规定的时间内对电子询标函进行澄清回复。）</w:t>
      </w:r>
    </w:p>
    <w:p w14:paraId="74E5B309">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开标时间：</w:t>
      </w:r>
      <w:r>
        <w:rPr>
          <w:rFonts w:hint="eastAsia" w:ascii="宋体" w:hAnsi="宋体" w:eastAsia="宋体" w:cs="宋体"/>
          <w:bCs/>
          <w:color w:val="auto"/>
          <w:highlight w:val="none"/>
          <w:lang w:eastAsia="zh-CN"/>
        </w:rPr>
        <w:t>2026</w:t>
      </w:r>
      <w:r>
        <w:rPr>
          <w:rFonts w:hint="eastAsia" w:ascii="宋体" w:hAnsi="宋体" w:eastAsia="宋体" w:cs="宋体"/>
          <w:bCs/>
          <w:color w:val="auto"/>
          <w:highlight w:val="none"/>
        </w:rPr>
        <w:t>年</w:t>
      </w:r>
      <w:r>
        <w:rPr>
          <w:rFonts w:hint="eastAsia" w:ascii="宋体" w:hAnsi="宋体" w:cs="宋体"/>
          <w:bCs/>
          <w:color w:val="auto"/>
          <w:highlight w:val="none"/>
          <w:lang w:val="en-US" w:eastAsia="zh-CN"/>
        </w:rPr>
        <w:t>9</w:t>
      </w:r>
      <w:r>
        <w:rPr>
          <w:rFonts w:hint="eastAsia" w:ascii="宋体" w:hAnsi="宋体" w:eastAsia="宋体" w:cs="宋体"/>
          <w:bCs/>
          <w:color w:val="auto"/>
          <w:highlight w:val="none"/>
        </w:rPr>
        <w:t>月</w:t>
      </w:r>
      <w:r>
        <w:rPr>
          <w:rFonts w:hint="eastAsia" w:ascii="宋体" w:hAnsi="宋体" w:cs="宋体"/>
          <w:bCs/>
          <w:color w:val="auto"/>
          <w:highlight w:val="none"/>
          <w:lang w:val="en-US" w:eastAsia="zh-CN"/>
        </w:rPr>
        <w:t>7</w:t>
      </w:r>
      <w:r>
        <w:rPr>
          <w:rFonts w:hint="eastAsia" w:ascii="宋体" w:hAnsi="宋体" w:eastAsia="宋体" w:cs="宋体"/>
          <w:bCs/>
          <w:color w:val="auto"/>
          <w:highlight w:val="none"/>
        </w:rPr>
        <w:t>日 09:30（北京时间）</w:t>
      </w:r>
    </w:p>
    <w:p w14:paraId="541832F3">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开标地点：广西政府采购云平台电子开标大厅</w:t>
      </w:r>
    </w:p>
    <w:p w14:paraId="1E757828">
      <w:pPr>
        <w:keepNext w:val="0"/>
        <w:keepLines w:val="0"/>
        <w:pageBreakBefore w:val="0"/>
        <w:shd w:val="clear"/>
        <w:kinsoku/>
        <w:wordWrap w:val="0"/>
        <w:overflowPunct/>
        <w:topLinePunct w:val="0"/>
        <w:autoSpaceDE/>
        <w:autoSpaceDN/>
        <w:bidi w:val="0"/>
        <w:adjustRightInd/>
        <w:snapToGrid/>
        <w:spacing w:line="400" w:lineRule="exact"/>
        <w:ind w:left="0" w:leftChars="0" w:right="0"/>
        <w:textAlignment w:val="auto"/>
        <w:rPr>
          <w:rFonts w:hint="eastAsia" w:ascii="宋体" w:hAnsi="宋体" w:eastAsia="宋体" w:cs="宋体"/>
          <w:b/>
          <w:color w:val="auto"/>
          <w:highlight w:val="none"/>
        </w:rPr>
      </w:pPr>
      <w:bookmarkStart w:id="37" w:name="_Toc28359007"/>
      <w:bookmarkStart w:id="38" w:name="_Toc35393625"/>
      <w:bookmarkStart w:id="39" w:name="_Toc28359084"/>
      <w:bookmarkStart w:id="40" w:name="_Toc35393794"/>
      <w:r>
        <w:rPr>
          <w:rFonts w:hint="eastAsia" w:ascii="宋体" w:hAnsi="宋体" w:eastAsia="宋体" w:cs="宋体"/>
          <w:b/>
          <w:color w:val="auto"/>
          <w:highlight w:val="none"/>
        </w:rPr>
        <w:t>五、公告期限</w:t>
      </w:r>
      <w:bookmarkEnd w:id="37"/>
      <w:bookmarkEnd w:id="38"/>
      <w:bookmarkEnd w:id="39"/>
      <w:bookmarkEnd w:id="40"/>
    </w:p>
    <w:p w14:paraId="28DAF0E8">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自本公告发布之日起5个工作日。</w:t>
      </w:r>
    </w:p>
    <w:p w14:paraId="3DA5CBFB">
      <w:pPr>
        <w:keepNext w:val="0"/>
        <w:keepLines w:val="0"/>
        <w:pageBreakBefore w:val="0"/>
        <w:shd w:val="clear"/>
        <w:kinsoku/>
        <w:wordWrap w:val="0"/>
        <w:overflowPunct/>
        <w:topLinePunct w:val="0"/>
        <w:autoSpaceDE/>
        <w:autoSpaceDN/>
        <w:bidi w:val="0"/>
        <w:adjustRightInd/>
        <w:snapToGrid/>
        <w:spacing w:line="400" w:lineRule="exact"/>
        <w:ind w:left="0" w:leftChars="0" w:right="0"/>
        <w:textAlignment w:val="auto"/>
        <w:rPr>
          <w:rFonts w:hint="eastAsia" w:ascii="宋体" w:hAnsi="宋体" w:eastAsia="宋体" w:cs="宋体"/>
          <w:b/>
          <w:color w:val="auto"/>
          <w:highlight w:val="none"/>
        </w:rPr>
      </w:pPr>
      <w:bookmarkStart w:id="41" w:name="_Toc35393795"/>
      <w:bookmarkStart w:id="42" w:name="_Toc35393626"/>
      <w:r>
        <w:rPr>
          <w:rFonts w:hint="eastAsia" w:ascii="宋体" w:hAnsi="宋体" w:eastAsia="宋体" w:cs="宋体"/>
          <w:b/>
          <w:color w:val="auto"/>
          <w:highlight w:val="none"/>
        </w:rPr>
        <w:t>六、其他补充事宜</w:t>
      </w:r>
      <w:bookmarkEnd w:id="41"/>
      <w:bookmarkEnd w:id="42"/>
    </w:p>
    <w:p w14:paraId="19B5ED70">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1.</w:t>
      </w:r>
      <w:r>
        <w:rPr>
          <w:rFonts w:hint="eastAsia" w:ascii="宋体" w:hAnsi="宋体" w:eastAsia="宋体" w:cs="宋体"/>
          <w:bCs/>
          <w:color w:val="auto"/>
          <w:szCs w:val="21"/>
          <w:highlight w:val="none"/>
        </w:rPr>
        <w:t>投标保证金</w:t>
      </w:r>
      <w:r>
        <w:rPr>
          <w:rFonts w:hint="eastAsia" w:ascii="宋体" w:hAnsi="宋体" w:eastAsia="宋体" w:cs="宋体"/>
          <w:color w:val="auto"/>
          <w:szCs w:val="21"/>
          <w:highlight w:val="none"/>
        </w:rPr>
        <w:t>（人民币）：</w:t>
      </w:r>
      <w:r>
        <w:rPr>
          <w:rFonts w:hint="default" w:ascii="宋体" w:hAnsi="宋体" w:eastAsia="宋体" w:cs="宋体"/>
          <w:color w:val="auto"/>
          <w:szCs w:val="21"/>
          <w:highlight w:val="none"/>
          <w:lang w:val="en-US"/>
        </w:rPr>
        <w:t>310000</w:t>
      </w:r>
      <w:r>
        <w:rPr>
          <w:rFonts w:hint="eastAsia" w:ascii="宋体" w:hAnsi="宋体" w:eastAsia="宋体" w:cs="宋体"/>
          <w:bCs/>
          <w:color w:val="auto"/>
          <w:highlight w:val="none"/>
        </w:rPr>
        <w:t>元</w:t>
      </w:r>
      <w:r>
        <w:rPr>
          <w:rFonts w:hint="eastAsia" w:ascii="宋体" w:hAnsi="宋体" w:eastAsia="宋体" w:cs="宋体"/>
          <w:color w:val="auto"/>
          <w:szCs w:val="21"/>
          <w:highlight w:val="none"/>
        </w:rPr>
        <w:t>。</w:t>
      </w:r>
      <w:r>
        <w:rPr>
          <w:rFonts w:hint="eastAsia" w:ascii="宋体" w:hAnsi="宋体" w:eastAsia="宋体" w:cs="宋体"/>
          <w:color w:val="auto"/>
          <w:highlight w:val="none"/>
        </w:rPr>
        <w:t>（必须足额交纳）</w:t>
      </w:r>
    </w:p>
    <w:p w14:paraId="7B537ECB">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（1）投标保证金的交纳方式：支票、汇票、本票、网上银行或者银行、保险机构出具的保函等非现金形式。</w:t>
      </w:r>
    </w:p>
    <w:p w14:paraId="34688E62">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（2）采用银行转账方式的，投标人应于提交投标文件截止时间前将投标保证金交至以下账户：</w:t>
      </w:r>
    </w:p>
    <w:p w14:paraId="2F1974BE">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开户名称：广西国力招标有限公司</w:t>
      </w:r>
    </w:p>
    <w:p w14:paraId="2FE28E2D">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开户银行：广西北部湾银行金凯支行（网银支付可选广西北部湾银行江南支行）</w:t>
      </w:r>
    </w:p>
    <w:p w14:paraId="099E2D70">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银行账号：800109057455558</w:t>
      </w:r>
    </w:p>
    <w:p w14:paraId="15D16EA7">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银行行号：313611002043</w:t>
      </w:r>
    </w:p>
    <w:p w14:paraId="3ADC66AB">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（3）采用支票、汇票、本票或者保函等形式的，投标人应于提交投标文件截止时间前递交单独密封的支票、汇票、本票或者保函原件（电子保函除外）至我公司财务部。</w:t>
      </w:r>
      <w:r>
        <w:rPr>
          <w:rFonts w:hint="eastAsia" w:ascii="宋体" w:hAnsi="宋体" w:eastAsia="宋体" w:cs="宋体"/>
          <w:b/>
          <w:bCs/>
          <w:color w:val="auto"/>
          <w:highlight w:val="none"/>
        </w:rPr>
        <w:t>（财务部联系方式：地址：广西南宁市白沙大道53号松宇时代13楼；电话：0771-4915100、4915200）</w:t>
      </w:r>
    </w:p>
    <w:p w14:paraId="77D51304">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2.本项目需要落实的政府采购政策</w:t>
      </w:r>
    </w:p>
    <w:p w14:paraId="5EA1D6D5">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14:paraId="116F8DDB">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3.网上公告媒体查询</w:t>
      </w:r>
    </w:p>
    <w:p w14:paraId="6E25FEC5">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中国政府采购网（www.ccgp.gov.cn）、广西壮族自治区政府采购网（zfcg.gxzf.gov.cn）、广西壮族自治区公共资源交易中心网（gxggzy.gxzf.gov.cn）。</w:t>
      </w:r>
    </w:p>
    <w:p w14:paraId="31F6AA57">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4.其他注意事项</w:t>
      </w:r>
    </w:p>
    <w:p w14:paraId="66C300AA">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 </w:t>
      </w:r>
    </w:p>
    <w:p w14:paraId="6190630C">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（2）供应商应及时熟悉掌握电子标系统操作指南（见广西政府采购云平台电子卖场首页右上角—服务中心—帮助中心—项目采购）。 </w:t>
      </w:r>
    </w:p>
    <w:p w14:paraId="2822710F">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（3）供应商应及时完成CA申领和绑定（见广西壮族自治区政府采购网—办事服务—下载专区-政采云CA证书办理操作指南） </w:t>
      </w:r>
    </w:p>
    <w:p w14:paraId="24372B70">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（4）供应商通过广西政府采购云平台投标客户端软件制作投标文件，广西政府采购云平台投标客户端软件请供应商自行前往下载并安装（见广西壮族自治区政府采购网—办事服务—下载专区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广西壮族自治区全流程电子招投标项目管理系统</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 xml:space="preserve">供应商客户端）。 </w:t>
      </w:r>
    </w:p>
    <w:p w14:paraId="1E3905B4">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（5）因未注册入库、未办理CA数字证书、CA证书故障、操作不当等原因造成无法投标或投标失败等后果由供应商自行承担。 </w:t>
      </w:r>
    </w:p>
    <w:p w14:paraId="09A721EB">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公司开启投标文件；供应商超过解密时限的，系统默认自动放弃。</w:t>
      </w:r>
    </w:p>
    <w:p w14:paraId="422A63F1">
      <w:pPr>
        <w:keepNext w:val="0"/>
        <w:keepLines w:val="0"/>
        <w:pageBreakBefore w:val="0"/>
        <w:shd w:val="clear"/>
        <w:kinsoku/>
        <w:wordWrap w:val="0"/>
        <w:overflowPunct/>
        <w:topLinePunct w:val="0"/>
        <w:autoSpaceDE/>
        <w:autoSpaceDN/>
        <w:bidi w:val="0"/>
        <w:adjustRightInd/>
        <w:snapToGrid/>
        <w:spacing w:line="400" w:lineRule="exact"/>
        <w:ind w:left="0" w:leftChars="0" w:right="0"/>
        <w:textAlignment w:val="auto"/>
        <w:rPr>
          <w:rFonts w:hint="eastAsia" w:ascii="宋体" w:hAnsi="宋体" w:eastAsia="宋体" w:cs="宋体"/>
          <w:b/>
          <w:color w:val="auto"/>
          <w:highlight w:val="none"/>
        </w:rPr>
      </w:pPr>
      <w:bookmarkStart w:id="43" w:name="_Toc28359008"/>
      <w:bookmarkStart w:id="44" w:name="_Toc35393627"/>
      <w:bookmarkStart w:id="45" w:name="_Toc28359085"/>
      <w:bookmarkStart w:id="46" w:name="_Toc35393796"/>
      <w:r>
        <w:rPr>
          <w:rFonts w:hint="eastAsia" w:ascii="宋体" w:hAnsi="宋体" w:eastAsia="宋体" w:cs="宋体"/>
          <w:b/>
          <w:color w:val="auto"/>
          <w:highlight w:val="none"/>
        </w:rPr>
        <w:t>七、对本次招标提出询问，请按以下方式联系</w:t>
      </w:r>
      <w:bookmarkEnd w:id="43"/>
      <w:bookmarkEnd w:id="44"/>
      <w:bookmarkEnd w:id="45"/>
      <w:bookmarkEnd w:id="46"/>
    </w:p>
    <w:p w14:paraId="145C5DE4">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1.采购人信息</w:t>
      </w:r>
    </w:p>
    <w:p w14:paraId="1FE0F515">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名    称：</w:t>
      </w:r>
      <w:r>
        <w:rPr>
          <w:rFonts w:hint="eastAsia" w:ascii="宋体" w:hAnsi="宋体" w:cs="宋体"/>
          <w:color w:val="auto"/>
          <w:highlight w:val="none"/>
          <w:lang w:eastAsia="zh-CN"/>
        </w:rPr>
        <w:t>广西壮族自治区人工影响天气办公室</w:t>
      </w:r>
    </w:p>
    <w:p w14:paraId="3A528C97">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地    址：广西南宁市江南区吴圩镇永安路16号</w:t>
      </w:r>
    </w:p>
    <w:p w14:paraId="1DAAABB6">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项目联系人：</w:t>
      </w:r>
      <w:r>
        <w:rPr>
          <w:rFonts w:hint="eastAsia" w:ascii="宋体" w:hAnsi="宋体" w:cs="宋体"/>
          <w:color w:val="auto"/>
          <w:kern w:val="0"/>
          <w:szCs w:val="21"/>
          <w:highlight w:val="none"/>
          <w:lang w:val="en-US" w:eastAsia="zh-CN"/>
        </w:rPr>
        <w:t>庞业</w:t>
      </w:r>
    </w:p>
    <w:p w14:paraId="1A6E6B30">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default"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rPr>
        <w:t>项目联系方式：0771-</w:t>
      </w:r>
      <w:r>
        <w:rPr>
          <w:rFonts w:hint="eastAsia" w:ascii="宋体" w:hAnsi="宋体" w:cs="宋体"/>
          <w:color w:val="auto"/>
          <w:kern w:val="0"/>
          <w:szCs w:val="21"/>
          <w:highlight w:val="none"/>
          <w:lang w:val="en-US" w:eastAsia="zh-CN"/>
        </w:rPr>
        <w:t>4208034</w:t>
      </w:r>
    </w:p>
    <w:p w14:paraId="47955B16">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p>
    <w:p w14:paraId="0992B6BA">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2.采购代理机构信息</w:t>
      </w:r>
    </w:p>
    <w:p w14:paraId="797A0E78">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名    称：广西国力招标有限公司</w:t>
      </w:r>
    </w:p>
    <w:p w14:paraId="6F4BEF19">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地    址：广西南宁市白沙大道53号松宇时代13楼</w:t>
      </w:r>
    </w:p>
    <w:p w14:paraId="05841F69">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项目联系人：</w:t>
      </w:r>
      <w:r>
        <w:rPr>
          <w:rFonts w:hint="eastAsia" w:ascii="宋体" w:hAnsi="宋体" w:cs="宋体"/>
          <w:color w:val="auto"/>
          <w:highlight w:val="none"/>
          <w:lang w:val="en-US" w:eastAsia="zh-CN"/>
        </w:rPr>
        <w:t>覃阳、</w:t>
      </w:r>
      <w:r>
        <w:rPr>
          <w:rFonts w:hint="eastAsia" w:ascii="宋体" w:hAnsi="宋体" w:eastAsia="宋体" w:cs="宋体"/>
          <w:color w:val="auto"/>
          <w:highlight w:val="none"/>
        </w:rPr>
        <w:t>何云飞</w:t>
      </w:r>
    </w:p>
    <w:p w14:paraId="36FD6DB2">
      <w:pPr>
        <w:keepNext w:val="0"/>
        <w:keepLines w:val="0"/>
        <w:pageBreakBefore w:val="0"/>
        <w:shd w:val="clear"/>
        <w:kinsoku/>
        <w:wordWrap w:val="0"/>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项目联系方式：0771-4915558</w:t>
      </w:r>
    </w:p>
    <w:p w14:paraId="607501CD">
      <w:pPr>
        <w:keepNext w:val="0"/>
        <w:keepLines w:val="0"/>
        <w:pageBreakBefore w:val="0"/>
        <w:shd w:val="clear"/>
        <w:kinsoku/>
        <w:wordWrap/>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u w:val="single"/>
        </w:rPr>
      </w:pPr>
    </w:p>
    <w:p w14:paraId="1053EDE0">
      <w:pPr>
        <w:keepNext w:val="0"/>
        <w:keepLines w:val="0"/>
        <w:pageBreakBefore w:val="0"/>
        <w:shd w:val="clear"/>
        <w:kinsoku/>
        <w:wordWrap/>
        <w:overflowPunct/>
        <w:topLinePunct w:val="0"/>
        <w:autoSpaceDE/>
        <w:autoSpaceDN/>
        <w:bidi w:val="0"/>
        <w:adjustRightInd/>
        <w:snapToGrid/>
        <w:spacing w:line="400" w:lineRule="exact"/>
        <w:ind w:left="0" w:leftChars="0" w:right="0" w:firstLine="420" w:firstLineChars="200"/>
        <w:textAlignment w:val="auto"/>
        <w:rPr>
          <w:rFonts w:hint="eastAsia" w:ascii="宋体" w:hAnsi="宋体" w:eastAsia="宋体" w:cs="宋体"/>
          <w:color w:val="auto"/>
          <w:highlight w:val="none"/>
          <w:u w:val="single"/>
        </w:rPr>
      </w:pPr>
    </w:p>
    <w:p w14:paraId="6ABBF36C">
      <w:pPr>
        <w:keepNext w:val="0"/>
        <w:keepLines w:val="0"/>
        <w:pageBreakBefore w:val="0"/>
        <w:shd w:val="clear"/>
        <w:kinsoku/>
        <w:wordWrap/>
        <w:overflowPunct/>
        <w:topLinePunct w:val="0"/>
        <w:autoSpaceDE/>
        <w:autoSpaceDN/>
        <w:bidi w:val="0"/>
        <w:adjustRightInd/>
        <w:snapToGrid/>
        <w:spacing w:line="400" w:lineRule="exact"/>
        <w:ind w:left="0" w:leftChars="0" w:right="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广西国力招标有限公司</w:t>
      </w:r>
    </w:p>
    <w:p w14:paraId="7545E625">
      <w:pPr>
        <w:keepNext w:val="0"/>
        <w:keepLines w:val="0"/>
        <w:pageBreakBefore w:val="0"/>
        <w:shd w:val="clear"/>
        <w:kinsoku/>
        <w:wordWrap/>
        <w:overflowPunct/>
        <w:topLinePunct w:val="0"/>
        <w:autoSpaceDE/>
        <w:autoSpaceDN/>
        <w:bidi w:val="0"/>
        <w:adjustRightInd/>
        <w:snapToGrid/>
        <w:spacing w:line="400" w:lineRule="exact"/>
        <w:ind w:left="0" w:leftChars="0" w:right="0" w:firstLine="420" w:firstLineChars="200"/>
        <w:jc w:val="righ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lang w:eastAsia="zh-CN"/>
        </w:rPr>
        <w:t>2026</w:t>
      </w:r>
      <w:r>
        <w:rPr>
          <w:rFonts w:hint="eastAsia" w:ascii="宋体" w:hAnsi="宋体" w:eastAsia="宋体" w:cs="宋体"/>
          <w:color w:val="auto"/>
          <w:highlight w:val="none"/>
        </w:rPr>
        <w:t>年</w:t>
      </w:r>
      <w:r>
        <w:rPr>
          <w:rFonts w:hint="eastAsia" w:ascii="宋体" w:hAnsi="宋体" w:cs="宋体"/>
          <w:color w:val="auto"/>
          <w:highlight w:val="none"/>
          <w:lang w:val="en-US" w:eastAsia="zh-CN"/>
        </w:rPr>
        <w:t>8</w:t>
      </w:r>
      <w:r>
        <w:rPr>
          <w:rFonts w:hint="eastAsia" w:ascii="宋体" w:hAnsi="宋体" w:eastAsia="宋体" w:cs="宋体"/>
          <w:color w:val="auto"/>
          <w:highlight w:val="none"/>
        </w:rPr>
        <w:t>月</w:t>
      </w:r>
      <w:r>
        <w:rPr>
          <w:rFonts w:hint="eastAsia" w:ascii="宋体" w:hAnsi="宋体" w:cs="宋体"/>
          <w:color w:val="auto"/>
          <w:highlight w:val="none"/>
          <w:lang w:val="en-US" w:eastAsia="zh-CN"/>
        </w:rPr>
        <w:t>17</w:t>
      </w:r>
      <w:r>
        <w:rPr>
          <w:rFonts w:hint="eastAsia" w:ascii="宋体" w:hAnsi="宋体" w:eastAsia="宋体" w:cs="宋体"/>
          <w:color w:val="auto"/>
          <w:highlight w:val="none"/>
        </w:rPr>
        <w:t>日</w:t>
      </w:r>
    </w:p>
    <w:p w14:paraId="7B8569B5">
      <w:pPr>
        <w:shd w:val="clear"/>
        <w:jc w:val="center"/>
        <w:rPr>
          <w:rFonts w:hint="eastAsia" w:ascii="宋体" w:hAnsi="宋体"/>
          <w:color w:val="auto"/>
          <w:highlight w:val="none"/>
        </w:rPr>
      </w:pPr>
      <w:r>
        <w:rPr>
          <w:rFonts w:hint="eastAsia" w:ascii="宋体" w:hAnsi="宋体"/>
          <w:color w:val="auto"/>
          <w:highlight w:val="none"/>
        </w:rPr>
        <w:t xml:space="preserve"> </w:t>
      </w:r>
    </w:p>
    <w:p w14:paraId="469F1DD3">
      <w:pPr>
        <w:shd w:val="clear"/>
        <w:spacing w:line="400" w:lineRule="exact"/>
        <w:jc w:val="center"/>
        <w:rPr>
          <w:rFonts w:hint="eastAsia" w:ascii="宋体"/>
          <w:color w:val="auto"/>
          <w:sz w:val="32"/>
          <w:szCs w:val="32"/>
          <w:highlight w:val="none"/>
        </w:rPr>
      </w:pPr>
      <w:r>
        <w:rPr>
          <w:rFonts w:hint="eastAsia" w:ascii="宋体"/>
          <w:color w:val="auto"/>
          <w:sz w:val="32"/>
          <w:szCs w:val="32"/>
          <w:highlight w:val="none"/>
        </w:rPr>
        <w:br w:type="page"/>
      </w:r>
    </w:p>
    <w:p w14:paraId="54935616">
      <w:pPr>
        <w:shd w:val="clear"/>
        <w:spacing w:line="400" w:lineRule="exact"/>
        <w:jc w:val="center"/>
        <w:rPr>
          <w:rFonts w:hint="eastAsia" w:ascii="宋体"/>
          <w:color w:val="auto"/>
          <w:sz w:val="32"/>
          <w:szCs w:val="32"/>
          <w:highlight w:val="none"/>
        </w:rPr>
      </w:pPr>
    </w:p>
    <w:p w14:paraId="280AE8A9">
      <w:pPr>
        <w:shd w:val="clear"/>
        <w:spacing w:line="400" w:lineRule="exact"/>
        <w:jc w:val="center"/>
        <w:rPr>
          <w:rFonts w:hint="eastAsia" w:ascii="宋体"/>
          <w:color w:val="auto"/>
          <w:sz w:val="32"/>
          <w:szCs w:val="32"/>
          <w:highlight w:val="none"/>
        </w:rPr>
      </w:pPr>
    </w:p>
    <w:p w14:paraId="3EF2455E">
      <w:pPr>
        <w:shd w:val="clear"/>
        <w:spacing w:line="400" w:lineRule="exact"/>
        <w:jc w:val="center"/>
        <w:rPr>
          <w:rFonts w:hint="eastAsia" w:ascii="宋体"/>
          <w:color w:val="auto"/>
          <w:sz w:val="32"/>
          <w:szCs w:val="32"/>
          <w:highlight w:val="none"/>
        </w:rPr>
      </w:pPr>
    </w:p>
    <w:p w14:paraId="12DBEAC6">
      <w:pPr>
        <w:shd w:val="clear"/>
        <w:spacing w:line="400" w:lineRule="exact"/>
        <w:jc w:val="center"/>
        <w:rPr>
          <w:rFonts w:hint="eastAsia" w:ascii="宋体"/>
          <w:color w:val="auto"/>
          <w:sz w:val="32"/>
          <w:szCs w:val="32"/>
          <w:highlight w:val="none"/>
        </w:rPr>
      </w:pPr>
    </w:p>
    <w:p w14:paraId="68DB675C">
      <w:pPr>
        <w:shd w:val="clear"/>
        <w:spacing w:line="400" w:lineRule="exact"/>
        <w:jc w:val="center"/>
        <w:rPr>
          <w:rFonts w:hint="eastAsia" w:ascii="宋体"/>
          <w:color w:val="auto"/>
          <w:sz w:val="32"/>
          <w:szCs w:val="32"/>
          <w:highlight w:val="none"/>
        </w:rPr>
      </w:pPr>
    </w:p>
    <w:p w14:paraId="64B01E36">
      <w:pPr>
        <w:shd w:val="clear"/>
        <w:spacing w:line="400" w:lineRule="exact"/>
        <w:jc w:val="center"/>
        <w:rPr>
          <w:rFonts w:hint="eastAsia" w:ascii="宋体"/>
          <w:color w:val="auto"/>
          <w:sz w:val="32"/>
          <w:szCs w:val="32"/>
          <w:highlight w:val="none"/>
        </w:rPr>
      </w:pPr>
    </w:p>
    <w:p w14:paraId="3602C77A">
      <w:pPr>
        <w:shd w:val="clear"/>
        <w:spacing w:line="400" w:lineRule="exact"/>
        <w:jc w:val="center"/>
        <w:rPr>
          <w:rFonts w:hint="eastAsia" w:ascii="宋体"/>
          <w:color w:val="auto"/>
          <w:sz w:val="32"/>
          <w:szCs w:val="32"/>
          <w:highlight w:val="none"/>
        </w:rPr>
      </w:pPr>
    </w:p>
    <w:p w14:paraId="0724369A">
      <w:pPr>
        <w:shd w:val="clear"/>
        <w:spacing w:line="400" w:lineRule="exact"/>
        <w:jc w:val="center"/>
        <w:rPr>
          <w:rFonts w:hint="eastAsia" w:ascii="宋体"/>
          <w:color w:val="auto"/>
          <w:sz w:val="32"/>
          <w:szCs w:val="32"/>
          <w:highlight w:val="none"/>
        </w:rPr>
      </w:pPr>
    </w:p>
    <w:p w14:paraId="4194BC89">
      <w:pPr>
        <w:shd w:val="clear"/>
        <w:spacing w:line="400" w:lineRule="exact"/>
        <w:jc w:val="center"/>
        <w:rPr>
          <w:rFonts w:hint="eastAsia" w:ascii="宋体"/>
          <w:color w:val="auto"/>
          <w:sz w:val="32"/>
          <w:szCs w:val="32"/>
          <w:highlight w:val="none"/>
        </w:rPr>
      </w:pPr>
    </w:p>
    <w:p w14:paraId="52D9005F">
      <w:pPr>
        <w:shd w:val="clear"/>
        <w:spacing w:line="400" w:lineRule="exact"/>
        <w:jc w:val="center"/>
        <w:rPr>
          <w:rFonts w:hint="eastAsia" w:ascii="宋体"/>
          <w:color w:val="auto"/>
          <w:sz w:val="32"/>
          <w:szCs w:val="32"/>
          <w:highlight w:val="none"/>
        </w:rPr>
      </w:pPr>
    </w:p>
    <w:p w14:paraId="2078E663">
      <w:pPr>
        <w:shd w:val="clear"/>
        <w:spacing w:line="400" w:lineRule="exact"/>
        <w:jc w:val="center"/>
        <w:rPr>
          <w:rFonts w:hint="eastAsia" w:ascii="宋体"/>
          <w:color w:val="auto"/>
          <w:sz w:val="32"/>
          <w:szCs w:val="32"/>
          <w:highlight w:val="none"/>
        </w:rPr>
      </w:pPr>
    </w:p>
    <w:p w14:paraId="332507BC">
      <w:pPr>
        <w:shd w:val="clear"/>
        <w:spacing w:line="400" w:lineRule="exact"/>
        <w:rPr>
          <w:rFonts w:hint="eastAsia" w:ascii="宋体"/>
          <w:color w:val="auto"/>
          <w:sz w:val="32"/>
          <w:szCs w:val="32"/>
          <w:highlight w:val="none"/>
        </w:rPr>
      </w:pPr>
    </w:p>
    <w:p w14:paraId="39ED624C">
      <w:pPr>
        <w:pStyle w:val="46"/>
        <w:shd w:val="clear"/>
        <w:rPr>
          <w:rFonts w:hint="eastAsia"/>
          <w:color w:val="auto"/>
          <w:sz w:val="44"/>
          <w:szCs w:val="44"/>
          <w:highlight w:val="none"/>
        </w:rPr>
      </w:pPr>
      <w:bookmarkStart w:id="47" w:name="_Toc476436432"/>
      <w:bookmarkStart w:id="48" w:name="_Toc476436173"/>
      <w:r>
        <w:rPr>
          <w:rFonts w:hint="eastAsia"/>
          <w:color w:val="auto"/>
          <w:sz w:val="44"/>
          <w:szCs w:val="44"/>
          <w:highlight w:val="none"/>
        </w:rPr>
        <w:t>第二章  招标项目采购需求</w:t>
      </w:r>
      <w:bookmarkEnd w:id="47"/>
      <w:bookmarkEnd w:id="48"/>
    </w:p>
    <w:p w14:paraId="2DDB606B">
      <w:pPr>
        <w:shd w:val="clear"/>
        <w:snapToGrid w:val="0"/>
        <w:spacing w:before="156" w:beforeLines="50" w:after="156" w:afterLines="50"/>
        <w:ind w:left="238"/>
        <w:jc w:val="center"/>
        <w:rPr>
          <w:rFonts w:hint="eastAsia" w:ascii="黑体" w:eastAsia="黑体"/>
          <w:color w:val="auto"/>
          <w:sz w:val="32"/>
          <w:szCs w:val="32"/>
          <w:highlight w:val="none"/>
        </w:rPr>
      </w:pPr>
    </w:p>
    <w:p w14:paraId="48F8044C">
      <w:pPr>
        <w:shd w:val="clear"/>
        <w:snapToGrid w:val="0"/>
        <w:spacing w:before="156" w:beforeLines="50" w:after="156" w:afterLines="50"/>
        <w:ind w:left="238"/>
        <w:jc w:val="center"/>
        <w:rPr>
          <w:rFonts w:hint="eastAsia" w:ascii="黑体" w:eastAsia="黑体"/>
          <w:color w:val="auto"/>
          <w:sz w:val="32"/>
          <w:szCs w:val="32"/>
          <w:highlight w:val="none"/>
        </w:rPr>
      </w:pPr>
    </w:p>
    <w:p w14:paraId="47ED6A4D">
      <w:pPr>
        <w:shd w:val="clear"/>
        <w:snapToGrid w:val="0"/>
        <w:spacing w:before="156" w:beforeLines="50" w:after="156" w:afterLines="50"/>
        <w:ind w:left="238"/>
        <w:jc w:val="center"/>
        <w:rPr>
          <w:rFonts w:hint="eastAsia" w:ascii="黑体" w:eastAsia="黑体"/>
          <w:color w:val="auto"/>
          <w:sz w:val="32"/>
          <w:szCs w:val="32"/>
          <w:highlight w:val="none"/>
        </w:rPr>
      </w:pPr>
    </w:p>
    <w:p w14:paraId="53090CCF">
      <w:pPr>
        <w:shd w:val="clear"/>
        <w:snapToGrid w:val="0"/>
        <w:spacing w:before="156" w:beforeLines="50" w:after="156" w:afterLines="50"/>
        <w:ind w:left="238"/>
        <w:jc w:val="center"/>
        <w:rPr>
          <w:rFonts w:hint="eastAsia" w:ascii="黑体" w:eastAsia="黑体"/>
          <w:color w:val="auto"/>
          <w:sz w:val="32"/>
          <w:szCs w:val="32"/>
          <w:highlight w:val="none"/>
        </w:rPr>
      </w:pPr>
    </w:p>
    <w:p w14:paraId="654439EF">
      <w:pPr>
        <w:shd w:val="clear"/>
        <w:snapToGrid w:val="0"/>
        <w:spacing w:before="156" w:beforeLines="50" w:after="156" w:afterLines="50"/>
        <w:ind w:left="238"/>
        <w:jc w:val="center"/>
        <w:rPr>
          <w:rFonts w:hint="eastAsia" w:ascii="黑体" w:eastAsia="黑体"/>
          <w:color w:val="auto"/>
          <w:sz w:val="32"/>
          <w:szCs w:val="32"/>
          <w:highlight w:val="none"/>
        </w:rPr>
      </w:pPr>
    </w:p>
    <w:p w14:paraId="1354F703">
      <w:pPr>
        <w:shd w:val="clear"/>
        <w:snapToGrid w:val="0"/>
        <w:spacing w:before="156" w:beforeLines="50" w:after="156" w:afterLines="50"/>
        <w:ind w:left="238"/>
        <w:jc w:val="center"/>
        <w:rPr>
          <w:rFonts w:hint="eastAsia" w:ascii="黑体" w:eastAsia="黑体"/>
          <w:color w:val="auto"/>
          <w:sz w:val="32"/>
          <w:szCs w:val="32"/>
          <w:highlight w:val="none"/>
        </w:rPr>
      </w:pPr>
    </w:p>
    <w:p w14:paraId="4056CD06">
      <w:pPr>
        <w:shd w:val="clear"/>
        <w:spacing w:line="360" w:lineRule="auto"/>
        <w:jc w:val="center"/>
        <w:rPr>
          <w:rFonts w:hint="eastAsia"/>
          <w:b/>
          <w:color w:val="auto"/>
          <w:sz w:val="32"/>
          <w:szCs w:val="32"/>
          <w:highlight w:val="none"/>
        </w:rPr>
      </w:pPr>
      <w:r>
        <w:rPr>
          <w:rFonts w:hint="eastAsia" w:ascii="仿宋_GB2312" w:eastAsia="仿宋_GB2312"/>
          <w:bCs/>
          <w:color w:val="auto"/>
          <w:highlight w:val="none"/>
        </w:rPr>
        <w:br w:type="page"/>
      </w:r>
      <w:r>
        <w:rPr>
          <w:rFonts w:hint="eastAsia"/>
          <w:b/>
          <w:color w:val="auto"/>
          <w:sz w:val="32"/>
          <w:szCs w:val="32"/>
          <w:highlight w:val="none"/>
        </w:rPr>
        <w:t>招标项目采购需求</w:t>
      </w:r>
    </w:p>
    <w:p w14:paraId="254E3635">
      <w:pPr>
        <w:keepNext w:val="0"/>
        <w:keepLines w:val="0"/>
        <w:pageBreakBefore w:val="0"/>
        <w:widowControl w:val="0"/>
        <w:shd w:val="clear"/>
        <w:kinsoku/>
        <w:wordWrap/>
        <w:overflowPunct/>
        <w:topLinePunct w:val="0"/>
        <w:autoSpaceDE/>
        <w:autoSpaceDN/>
        <w:bidi w:val="0"/>
        <w:adjustRightInd/>
        <w:snapToGrid/>
        <w:spacing w:line="380" w:lineRule="exact"/>
        <w:textAlignment w:val="auto"/>
        <w:rPr>
          <w:rFonts w:hint="eastAsia" w:ascii="宋体"/>
          <w:color w:val="auto"/>
          <w:szCs w:val="21"/>
          <w:highlight w:val="none"/>
        </w:rPr>
      </w:pPr>
      <w:r>
        <w:rPr>
          <w:rFonts w:hint="eastAsia" w:ascii="宋体"/>
          <w:b/>
          <w:color w:val="auto"/>
          <w:szCs w:val="21"/>
          <w:highlight w:val="none"/>
        </w:rPr>
        <w:t>说明：</w:t>
      </w:r>
    </w:p>
    <w:p w14:paraId="2F3938DB">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rPr>
      </w:pPr>
      <w:bookmarkStart w:id="49" w:name="OLE_LINK2"/>
      <w:bookmarkStart w:id="50" w:name="OLE_LINK1"/>
      <w:r>
        <w:rPr>
          <w:rFonts w:hint="eastAsia" w:ascii="宋体" w:hAnsi="宋体" w:eastAsia="宋体" w:cs="宋体"/>
          <w:color w:val="auto"/>
          <w:sz w:val="21"/>
          <w:szCs w:val="21"/>
          <w:highlight w:val="none"/>
        </w:rPr>
        <w:t>1.为落实政府采购政策需满足的要求</w:t>
      </w:r>
      <w:bookmarkEnd w:id="49"/>
      <w:bookmarkEnd w:id="50"/>
    </w:p>
    <w:p w14:paraId="74A7F4DC">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（1）本招标文件所称中小企业必须符合《政府采购促进中小企业发展管理办法》（财库〔2020〕46号）的规定。</w:t>
      </w:r>
    </w:p>
    <w:p w14:paraId="77577153">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eastAsia="宋体" w:cs="宋体"/>
          <w:b/>
          <w:bCs/>
          <w:color w:val="auto"/>
          <w:sz w:val="21"/>
          <w:szCs w:val="21"/>
          <w:highlight w:val="none"/>
        </w:rPr>
        <w:t>否则按无效投标处理</w:t>
      </w:r>
      <w:r>
        <w:rPr>
          <w:rFonts w:hint="eastAsia" w:ascii="宋体" w:hAnsi="宋体" w:eastAsia="宋体" w:cs="宋体"/>
          <w:color w:val="auto"/>
          <w:sz w:val="21"/>
          <w:szCs w:val="21"/>
          <w:highlight w:val="none"/>
        </w:rPr>
        <w:t>。如本项目包含的货物属于品目清单内非标注“★”的产品时，应优先采购，具体详见“第四章 评标方法及评标标准”。</w:t>
      </w:r>
      <w:r>
        <w:rPr>
          <w:rFonts w:hint="eastAsia" w:ascii="宋体" w:hAnsi="宋体" w:eastAsia="宋体" w:cs="宋体"/>
          <w:b w:val="0"/>
          <w:bCs w:val="0"/>
          <w:color w:val="auto"/>
          <w:sz w:val="21"/>
          <w:szCs w:val="21"/>
          <w:highlight w:val="none"/>
        </w:rPr>
        <w:t>根据财库〔2019〕9号及财库〔2019〕19号文件规定，若采购货物属于以上品目清单的产品时，投标人的投标货物必须使用政府强制采购的节能产品，投标人必须在投标文件中提供由国家确定的认证机构出具的处于有效期之内的节能产品认证证书复印件（加盖投标人公章），否则相应投标无效。</w:t>
      </w:r>
    </w:p>
    <w:p w14:paraId="3DE87C9A">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本国产品标准适用于货物，包括政府采购货物项目和服务项目中涉及的货物。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0411F0D">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（4）根据《关于调整网络安全专用产品安全管理有关事项的公告》（2023第1号）规定，本项目采购需求中的产品如果包括《网络关键设备和网络安全专用产品目录</w:t>
      </w:r>
      <w:r>
        <w:rPr>
          <w:rFonts w:hint="eastAsia" w:ascii="宋体" w:hAnsi="宋体" w:eastAsia="宋体" w:cs="宋体"/>
          <w:color w:val="auto"/>
          <w:sz w:val="21"/>
          <w:szCs w:val="21"/>
          <w:highlight w:val="none"/>
          <w:lang w:eastAsia="zh-CN"/>
        </w:rPr>
        <w:t>》中</w:t>
      </w:r>
      <w:r>
        <w:rPr>
          <w:rFonts w:hint="eastAsia" w:ascii="宋体" w:hAnsi="宋体" w:eastAsia="宋体" w:cs="宋体"/>
          <w:color w:val="auto"/>
          <w:sz w:val="21"/>
          <w:szCs w:val="21"/>
          <w:highlight w:val="none"/>
        </w:rPr>
        <w:t>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rFonts w:hint="eastAsia" w:ascii="宋体" w:hAnsi="宋体" w:eastAsia="宋体" w:cs="宋体"/>
          <w:b/>
          <w:color w:val="auto"/>
          <w:sz w:val="21"/>
          <w:szCs w:val="21"/>
          <w:highlight w:val="none"/>
        </w:rPr>
        <w:t>不在《网络关键设备和网络安全专用产品安全认证和安全检测结果》中或不在有效期内或未提供有效的《计算机信息系统安全专用产品销售许可证》的，按无效投标处理</w:t>
      </w:r>
      <w:r>
        <w:rPr>
          <w:rFonts w:hint="eastAsia" w:ascii="宋体" w:hAnsi="宋体" w:eastAsia="宋体" w:cs="宋体"/>
          <w:color w:val="auto"/>
          <w:sz w:val="21"/>
          <w:szCs w:val="21"/>
          <w:highlight w:val="none"/>
        </w:rPr>
        <w:t>。如属于《网络关键设备和网络安全专用产品目录》中“二、网络安全专用产品”内“产品类别”</w:t>
      </w:r>
      <w:r>
        <w:rPr>
          <w:rFonts w:hint="eastAsia" w:ascii="宋体" w:hAnsi="宋体" w:eastAsia="宋体" w:cs="宋体"/>
          <w:color w:val="auto"/>
          <w:sz w:val="21"/>
          <w:szCs w:val="21"/>
          <w:highlight w:val="none"/>
          <w:lang w:eastAsia="zh-CN"/>
        </w:rPr>
        <w:t>中</w:t>
      </w:r>
      <w:r>
        <w:rPr>
          <w:rFonts w:hint="eastAsia" w:ascii="宋体" w:hAnsi="宋体" w:eastAsia="宋体" w:cs="宋体"/>
          <w:color w:val="auto"/>
          <w:sz w:val="21"/>
          <w:szCs w:val="21"/>
          <w:highlight w:val="none"/>
        </w:rPr>
        <w:t>所描述的产品，但不属于所列“产品描述”情形的，应提供相应的说明及证明材料。</w:t>
      </w:r>
    </w:p>
    <w:p w14:paraId="5AFB19DB">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2.“实质性要求”是指招标文件中已经指明不满足则投标无效的条款，或者不能负偏离的条款，或者采购需求中带“▲”的条款。</w:t>
      </w:r>
      <w:r>
        <w:rPr>
          <w:rFonts w:hint="eastAsia" w:ascii="宋体" w:hAnsi="宋体" w:eastAsia="宋体" w:cs="宋体"/>
          <w:b/>
          <w:color w:val="auto"/>
          <w:sz w:val="21"/>
          <w:szCs w:val="21"/>
          <w:highlight w:val="none"/>
        </w:rPr>
        <w:t>重要参数要求是指采购需求中带“</w:t>
      </w:r>
      <w:r>
        <w:rPr>
          <w:rFonts w:hint="eastAsia" w:ascii="宋体" w:hAnsi="宋体" w:cs="宋体"/>
          <w:color w:val="auto"/>
          <w:kern w:val="0"/>
          <w:sz w:val="21"/>
          <w:szCs w:val="21"/>
          <w:highlight w:val="none"/>
          <w:lang w:eastAsia="zh-CN" w:bidi="ar"/>
        </w:rPr>
        <w:t>■</w:t>
      </w:r>
      <w:r>
        <w:rPr>
          <w:rFonts w:hint="eastAsia" w:ascii="宋体" w:hAnsi="宋体" w:cs="宋体"/>
          <w:b/>
          <w:bCs/>
          <w:color w:val="auto"/>
          <w:kern w:val="0"/>
          <w:sz w:val="21"/>
          <w:szCs w:val="21"/>
          <w:highlight w:val="none"/>
          <w:lang w:eastAsia="zh-CN" w:bidi="ar"/>
        </w:rPr>
        <w:t>”</w:t>
      </w:r>
      <w:r>
        <w:rPr>
          <w:rFonts w:hint="eastAsia" w:ascii="宋体" w:hAnsi="宋体" w:eastAsia="宋体" w:cs="宋体"/>
          <w:b/>
          <w:color w:val="auto"/>
          <w:sz w:val="21"/>
          <w:szCs w:val="21"/>
          <w:highlight w:val="none"/>
        </w:rPr>
        <w:t>“●”的条款，作为评分内容；无标识则表示为一般技术参数要求，重要参数要求和一般技术参数要求如响应为负偏离，不会导致投标被否决。</w:t>
      </w:r>
    </w:p>
    <w:p w14:paraId="5F8E4AC8">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01262C6F">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投标人应根据自身实际情况如实响应招标文件，对招标文件提出的要求和条件作出明确响应，</w:t>
      </w:r>
      <w:r>
        <w:rPr>
          <w:rFonts w:hint="eastAsia" w:ascii="宋体" w:hAnsi="宋体" w:eastAsia="宋体" w:cs="宋体"/>
          <w:b/>
          <w:bCs/>
          <w:color w:val="auto"/>
          <w:sz w:val="21"/>
          <w:szCs w:val="21"/>
          <w:highlight w:val="none"/>
        </w:rPr>
        <w:t>否则将作无效响应处理</w:t>
      </w:r>
      <w:r>
        <w:rPr>
          <w:rFonts w:hint="eastAsia" w:ascii="宋体" w:hAnsi="宋体" w:eastAsia="宋体" w:cs="宋体"/>
          <w:color w:val="auto"/>
          <w:sz w:val="21"/>
          <w:szCs w:val="21"/>
          <w:highlight w:val="none"/>
        </w:rPr>
        <w:t>。对于重要技术条款或技术参数应当在投标文件中提供技术支持资料，技术支持资料以招标文件中规定的形式为准，</w:t>
      </w:r>
      <w:r>
        <w:rPr>
          <w:rFonts w:hint="eastAsia" w:ascii="宋体" w:hAnsi="宋体" w:eastAsia="宋体" w:cs="宋体"/>
          <w:b/>
          <w:bCs/>
          <w:color w:val="auto"/>
          <w:sz w:val="21"/>
          <w:szCs w:val="21"/>
          <w:highlight w:val="none"/>
        </w:rPr>
        <w:t>否则将视为无效技术支持资料</w:t>
      </w:r>
      <w:r>
        <w:rPr>
          <w:rFonts w:hint="eastAsia" w:ascii="宋体" w:hAnsi="宋体" w:eastAsia="宋体" w:cs="宋体"/>
          <w:color w:val="auto"/>
          <w:sz w:val="21"/>
          <w:szCs w:val="21"/>
          <w:highlight w:val="none"/>
        </w:rPr>
        <w:t>。</w:t>
      </w:r>
    </w:p>
    <w:p w14:paraId="697D22C7">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5.投标人必须自行为其投标产品侵犯他人的知识产权或者专利成果的行为承担相应法律责任。</w:t>
      </w:r>
    </w:p>
    <w:p w14:paraId="02FFF45A">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6.投标人所投标货物或服务如有国家相关标准、行业标准、地方标准或者其他标准、规范要求的，按相关规定执行，若执行标准有修改或更新按最新版本执行。</w:t>
      </w:r>
    </w:p>
    <w:p w14:paraId="2F45828F">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rPr>
        <w:t>根据《关于印发中小企业划型标准规定的通知》（工信部联企业〔2011〕300号），本次采购标的对应的中小企业划分标准所属行业详见下表。</w:t>
      </w:r>
    </w:p>
    <w:p w14:paraId="015BB0E7">
      <w:pPr>
        <w:shd w:val="clear"/>
        <w:spacing w:line="276" w:lineRule="auto"/>
        <w:ind w:firstLine="437"/>
        <w:rPr>
          <w:rFonts w:hint="eastAsia" w:ascii="宋体" w:hAnsi="宋体"/>
          <w:color w:val="auto"/>
          <w:szCs w:val="21"/>
          <w:highlight w:val="none"/>
        </w:rPr>
      </w:pPr>
    </w:p>
    <w:p w14:paraId="19787D6E">
      <w:pPr>
        <w:shd w:val="clear"/>
        <w:spacing w:line="400" w:lineRule="exact"/>
        <w:rPr>
          <w:rFonts w:hint="eastAsia" w:ascii="宋体"/>
          <w:b/>
          <w:color w:val="auto"/>
          <w:sz w:val="32"/>
          <w:szCs w:val="32"/>
          <w:highlight w:val="none"/>
        </w:rPr>
      </w:pPr>
      <w:r>
        <w:rPr>
          <w:rFonts w:hint="eastAsia" w:ascii="宋体" w:hAnsi="宋体" w:eastAsia="宋体" w:cs="宋体"/>
          <w:b/>
          <w:bCs/>
          <w:color w:val="auto"/>
          <w:sz w:val="24"/>
          <w:szCs w:val="24"/>
          <w:highlight w:val="none"/>
        </w:rPr>
        <w:t>本项目采购预算：</w:t>
      </w:r>
      <w:r>
        <w:rPr>
          <w:rFonts w:hint="eastAsia" w:ascii="宋体" w:hAnsi="宋体" w:eastAsia="宋体" w:cs="宋体"/>
          <w:b/>
          <w:bCs/>
          <w:i w:val="0"/>
          <w:iCs w:val="0"/>
          <w:caps w:val="0"/>
          <w:color w:val="auto"/>
          <w:spacing w:val="0"/>
          <w:sz w:val="24"/>
          <w:szCs w:val="24"/>
          <w:highlight w:val="none"/>
          <w:shd w:val="clear" w:fill="FFFFFF"/>
        </w:rPr>
        <w:t>31,557,100.00</w:t>
      </w:r>
      <w:r>
        <w:rPr>
          <w:rFonts w:hint="eastAsia" w:ascii="宋体" w:hAnsi="宋体" w:eastAsia="宋体" w:cs="宋体"/>
          <w:b/>
          <w:bCs/>
          <w:color w:val="auto"/>
          <w:sz w:val="24"/>
          <w:szCs w:val="24"/>
          <w:highlight w:val="none"/>
        </w:rPr>
        <w:t>元</w:t>
      </w:r>
      <w:r>
        <w:rPr>
          <w:rFonts w:hint="eastAsia" w:ascii="宋体" w:hAnsi="宋体"/>
          <w:color w:val="auto"/>
          <w:sz w:val="24"/>
          <w:szCs w:val="24"/>
          <w:highlight w:val="none"/>
        </w:rPr>
        <w:t>（</w:t>
      </w:r>
      <w:r>
        <w:rPr>
          <w:rFonts w:hint="eastAsia" w:ascii="宋体" w:hAnsi="宋体" w:eastAsia="宋体" w:cs="宋体"/>
          <w:color w:val="auto"/>
          <w:sz w:val="21"/>
          <w:szCs w:val="21"/>
          <w:highlight w:val="none"/>
        </w:rPr>
        <w:t>最高限价金额：</w:t>
      </w:r>
      <w:r>
        <w:rPr>
          <w:rFonts w:hint="eastAsia" w:ascii="宋体" w:hAnsi="宋体" w:eastAsia="宋体" w:cs="宋体"/>
          <w:i w:val="0"/>
          <w:iCs w:val="0"/>
          <w:caps w:val="0"/>
          <w:color w:val="auto"/>
          <w:spacing w:val="0"/>
          <w:sz w:val="21"/>
          <w:szCs w:val="21"/>
          <w:highlight w:val="none"/>
          <w:shd w:val="clear" w:fill="FFFFFF"/>
        </w:rPr>
        <w:t>31,557,100.00</w:t>
      </w:r>
      <w:r>
        <w:rPr>
          <w:rFonts w:hint="eastAsia" w:ascii="宋体" w:hAnsi="宋体" w:eastAsia="宋体" w:cs="宋体"/>
          <w:color w:val="auto"/>
          <w:sz w:val="21"/>
          <w:szCs w:val="21"/>
          <w:highlight w:val="none"/>
        </w:rPr>
        <w:t>元</w:t>
      </w:r>
      <w:r>
        <w:rPr>
          <w:rFonts w:hint="eastAsia" w:ascii="宋体" w:hAnsi="宋体"/>
          <w:color w:val="auto"/>
          <w:sz w:val="24"/>
          <w:szCs w:val="24"/>
          <w:highlight w:val="none"/>
        </w:rPr>
        <w:t>）</w:t>
      </w:r>
    </w:p>
    <w:tbl>
      <w:tblPr>
        <w:tblStyle w:val="50"/>
        <w:tblW w:w="10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189"/>
        <w:gridCol w:w="622"/>
        <w:gridCol w:w="491"/>
        <w:gridCol w:w="5615"/>
        <w:gridCol w:w="1132"/>
      </w:tblGrid>
      <w:tr w14:paraId="7A75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7A1A975F">
            <w:pPr>
              <w:keepNext w:val="0"/>
              <w:keepLines w:val="0"/>
              <w:pageBreakBefore w:val="0"/>
              <w:shd w:val="clear"/>
              <w:kinsoku/>
              <w:overflowPunct/>
              <w:topLinePunct w:val="0"/>
              <w:bidi w:val="0"/>
              <w:snapToGrid/>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项号</w:t>
            </w:r>
          </w:p>
        </w:tc>
        <w:tc>
          <w:tcPr>
            <w:tcW w:w="1189" w:type="dxa"/>
            <w:tcBorders>
              <w:top w:val="single" w:color="auto" w:sz="4" w:space="0"/>
              <w:left w:val="single" w:color="auto" w:sz="4" w:space="0"/>
              <w:bottom w:val="single" w:color="auto" w:sz="4" w:space="0"/>
              <w:right w:val="single" w:color="auto" w:sz="4" w:space="0"/>
            </w:tcBorders>
            <w:vAlign w:val="center"/>
          </w:tcPr>
          <w:p w14:paraId="3EFF8187">
            <w:pPr>
              <w:keepNext w:val="0"/>
              <w:keepLines w:val="0"/>
              <w:pageBreakBefore w:val="0"/>
              <w:shd w:val="clear"/>
              <w:kinsoku/>
              <w:overflowPunct/>
              <w:topLinePunct w:val="0"/>
              <w:bidi w:val="0"/>
              <w:snapToGrid/>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货物</w:t>
            </w:r>
          </w:p>
          <w:p w14:paraId="53C4F5FB">
            <w:pPr>
              <w:keepNext w:val="0"/>
              <w:keepLines w:val="0"/>
              <w:pageBreakBefore w:val="0"/>
              <w:shd w:val="clear"/>
              <w:kinsoku/>
              <w:overflowPunct/>
              <w:topLinePunct w:val="0"/>
              <w:bidi w:val="0"/>
              <w:snapToGrid/>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名称</w:t>
            </w:r>
          </w:p>
        </w:tc>
        <w:tc>
          <w:tcPr>
            <w:tcW w:w="622" w:type="dxa"/>
            <w:tcBorders>
              <w:top w:val="single" w:color="auto" w:sz="4" w:space="0"/>
              <w:left w:val="single" w:color="auto" w:sz="4" w:space="0"/>
              <w:bottom w:val="single" w:color="auto" w:sz="4" w:space="0"/>
              <w:right w:val="single" w:color="auto" w:sz="4" w:space="0"/>
            </w:tcBorders>
            <w:vAlign w:val="center"/>
          </w:tcPr>
          <w:p w14:paraId="1DE09DF8">
            <w:pPr>
              <w:keepNext w:val="0"/>
              <w:keepLines w:val="0"/>
              <w:pageBreakBefore w:val="0"/>
              <w:shd w:val="clear"/>
              <w:kinsoku/>
              <w:overflowPunct/>
              <w:topLinePunct w:val="0"/>
              <w:bidi w:val="0"/>
              <w:snapToGrid/>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491" w:type="dxa"/>
            <w:tcBorders>
              <w:top w:val="single" w:color="auto" w:sz="4" w:space="0"/>
              <w:left w:val="single" w:color="auto" w:sz="4" w:space="0"/>
              <w:bottom w:val="single" w:color="auto" w:sz="4" w:space="0"/>
              <w:right w:val="single" w:color="auto" w:sz="4" w:space="0"/>
            </w:tcBorders>
            <w:vAlign w:val="center"/>
          </w:tcPr>
          <w:p w14:paraId="36BBBDDC">
            <w:pPr>
              <w:keepNext w:val="0"/>
              <w:keepLines w:val="0"/>
              <w:pageBreakBefore w:val="0"/>
              <w:shd w:val="clear"/>
              <w:kinsoku/>
              <w:overflowPunct/>
              <w:topLinePunct w:val="0"/>
              <w:bidi w:val="0"/>
              <w:snapToGrid/>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5615" w:type="dxa"/>
            <w:tcBorders>
              <w:top w:val="single" w:color="auto" w:sz="4" w:space="0"/>
              <w:left w:val="single" w:color="auto" w:sz="4" w:space="0"/>
              <w:bottom w:val="single" w:color="auto" w:sz="4" w:space="0"/>
              <w:right w:val="single" w:color="auto" w:sz="4" w:space="0"/>
            </w:tcBorders>
            <w:vAlign w:val="center"/>
          </w:tcPr>
          <w:p w14:paraId="12EB05CF">
            <w:pPr>
              <w:keepNext w:val="0"/>
              <w:keepLines w:val="0"/>
              <w:pageBreakBefore w:val="0"/>
              <w:shd w:val="clear"/>
              <w:kinsoku/>
              <w:overflowPunct/>
              <w:topLinePunct w:val="0"/>
              <w:bidi w:val="0"/>
              <w:snapToGrid/>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技术参数及性能（配置）要求</w:t>
            </w:r>
          </w:p>
        </w:tc>
        <w:tc>
          <w:tcPr>
            <w:tcW w:w="1132" w:type="dxa"/>
            <w:tcBorders>
              <w:top w:val="single" w:color="auto" w:sz="4" w:space="0"/>
              <w:left w:val="single" w:color="auto" w:sz="4" w:space="0"/>
              <w:bottom w:val="single" w:color="auto" w:sz="4" w:space="0"/>
              <w:right w:val="single" w:color="auto" w:sz="4" w:space="0"/>
            </w:tcBorders>
            <w:vAlign w:val="center"/>
          </w:tcPr>
          <w:p w14:paraId="7FEBF244">
            <w:pPr>
              <w:keepNext w:val="0"/>
              <w:keepLines w:val="0"/>
              <w:pageBreakBefore w:val="0"/>
              <w:shd w:val="clear"/>
              <w:kinsoku/>
              <w:overflowPunct/>
              <w:topLinePunct w:val="0"/>
              <w:bidi w:val="0"/>
              <w:snapToGrid/>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中小企业划分标准所属行业名称</w:t>
            </w:r>
          </w:p>
        </w:tc>
      </w:tr>
      <w:tr w14:paraId="3A41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239BB4E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一</w:t>
            </w:r>
          </w:p>
        </w:tc>
        <w:tc>
          <w:tcPr>
            <w:tcW w:w="9049" w:type="dxa"/>
            <w:gridSpan w:val="5"/>
            <w:tcBorders>
              <w:top w:val="single" w:color="auto" w:sz="4" w:space="0"/>
              <w:left w:val="single" w:color="auto" w:sz="4" w:space="0"/>
              <w:bottom w:val="single" w:color="auto" w:sz="4" w:space="0"/>
              <w:right w:val="single" w:color="auto" w:sz="4" w:space="0"/>
            </w:tcBorders>
            <w:vAlign w:val="center"/>
          </w:tcPr>
          <w:p w14:paraId="2CAA0633">
            <w:pPr>
              <w:keepNext w:val="0"/>
              <w:keepLines w:val="0"/>
              <w:pageBreakBefore w:val="0"/>
              <w:widowControl/>
              <w:shd w:val="clear"/>
              <w:kinsoku/>
              <w:overflowPunct/>
              <w:topLinePunct w:val="0"/>
              <w:bidi w:val="0"/>
              <w:adjustRightInd w:val="0"/>
              <w:snapToGrid/>
              <w:spacing w:line="400" w:lineRule="exact"/>
              <w:textAlignment w:val="center"/>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区级</w:t>
            </w:r>
            <w:r>
              <w:rPr>
                <w:rFonts w:hint="eastAsia" w:ascii="宋体" w:hAnsi="宋体" w:cs="宋体"/>
                <w:color w:val="auto"/>
                <w:kern w:val="0"/>
                <w:sz w:val="21"/>
                <w:szCs w:val="21"/>
                <w:highlight w:val="none"/>
                <w:lang w:bidi="zh-CN"/>
              </w:rPr>
              <w:t>音视</w:t>
            </w:r>
            <w:r>
              <w:rPr>
                <w:rFonts w:hint="eastAsia" w:ascii="宋体" w:hAnsi="宋体" w:eastAsia="宋体" w:cs="宋体"/>
                <w:color w:val="auto"/>
                <w:kern w:val="0"/>
                <w:sz w:val="21"/>
                <w:szCs w:val="21"/>
                <w:highlight w:val="none"/>
                <w:lang w:bidi="zh-CN"/>
              </w:rPr>
              <w:t>频调度服务系统</w:t>
            </w:r>
          </w:p>
        </w:tc>
      </w:tr>
      <w:tr w14:paraId="7725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57C3DDC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w:t>
            </w:r>
          </w:p>
        </w:tc>
        <w:tc>
          <w:tcPr>
            <w:tcW w:w="1189" w:type="dxa"/>
            <w:tcBorders>
              <w:top w:val="single" w:color="auto" w:sz="4" w:space="0"/>
              <w:left w:val="single" w:color="auto" w:sz="4" w:space="0"/>
              <w:bottom w:val="single" w:color="auto" w:sz="4" w:space="0"/>
              <w:right w:val="single" w:color="auto" w:sz="4" w:space="0"/>
            </w:tcBorders>
            <w:vAlign w:val="center"/>
          </w:tcPr>
          <w:p w14:paraId="24D85DE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区级</w:t>
            </w:r>
            <w:r>
              <w:rPr>
                <w:rFonts w:hint="eastAsia" w:ascii="宋体" w:hAnsi="宋体" w:eastAsia="宋体" w:cs="宋体"/>
                <w:color w:val="auto"/>
                <w:kern w:val="0"/>
                <w:sz w:val="21"/>
                <w:szCs w:val="21"/>
                <w:highlight w:val="none"/>
                <w:lang w:val="en-US" w:eastAsia="zh-CN" w:bidi="ar"/>
              </w:rPr>
              <w:t>指挥调度视频终端</w:t>
            </w:r>
            <w:r>
              <w:rPr>
                <w:rFonts w:hint="eastAsia" w:ascii="宋体" w:hAnsi="宋体" w:eastAsia="宋体" w:cs="宋体"/>
                <w:color w:val="auto"/>
                <w:kern w:val="0"/>
                <w:sz w:val="21"/>
                <w:szCs w:val="21"/>
                <w:highlight w:val="none"/>
                <w:lang w:bidi="ar"/>
              </w:rPr>
              <w:t>①</w:t>
            </w:r>
          </w:p>
        </w:tc>
        <w:tc>
          <w:tcPr>
            <w:tcW w:w="622" w:type="dxa"/>
            <w:tcBorders>
              <w:top w:val="single" w:color="auto" w:sz="4" w:space="0"/>
              <w:left w:val="single" w:color="auto" w:sz="4" w:space="0"/>
              <w:bottom w:val="single" w:color="auto" w:sz="4" w:space="0"/>
              <w:right w:val="single" w:color="auto" w:sz="4" w:space="0"/>
            </w:tcBorders>
            <w:vAlign w:val="center"/>
          </w:tcPr>
          <w:p w14:paraId="1E13660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491" w:type="dxa"/>
            <w:tcBorders>
              <w:top w:val="single" w:color="auto" w:sz="4" w:space="0"/>
              <w:left w:val="single" w:color="auto" w:sz="4" w:space="0"/>
              <w:bottom w:val="single" w:color="auto" w:sz="4" w:space="0"/>
              <w:right w:val="single" w:color="auto" w:sz="4" w:space="0"/>
            </w:tcBorders>
            <w:vAlign w:val="center"/>
          </w:tcPr>
          <w:p w14:paraId="60302DB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73CA4655">
            <w:pPr>
              <w:keepNext w:val="0"/>
              <w:keepLines w:val="0"/>
              <w:pageBreakBefore w:val="0"/>
              <w:widowControl/>
              <w:shd w:val="clear"/>
              <w:kinsoku/>
              <w:wordWrap w:val="0"/>
              <w:overflowPunct/>
              <w:topLinePunct/>
              <w:autoSpaceDE/>
              <w:autoSpaceDN/>
              <w:bidi w:val="0"/>
              <w:adjustRightInd/>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一、</w:t>
            </w:r>
            <w:r>
              <w:rPr>
                <w:rFonts w:hint="eastAsia" w:ascii="宋体" w:hAnsi="宋体" w:eastAsia="宋体" w:cs="宋体"/>
                <w:color w:val="auto"/>
                <w:kern w:val="0"/>
                <w:sz w:val="21"/>
                <w:szCs w:val="21"/>
                <w:highlight w:val="none"/>
                <w:lang w:val="en-US" w:eastAsia="zh-CN" w:bidi="ar"/>
              </w:rPr>
              <w:t>视频</w:t>
            </w:r>
            <w:r>
              <w:rPr>
                <w:rFonts w:hint="eastAsia" w:ascii="宋体" w:hAnsi="宋体" w:eastAsia="宋体" w:cs="宋体"/>
                <w:color w:val="auto"/>
                <w:kern w:val="0"/>
                <w:sz w:val="21"/>
                <w:szCs w:val="21"/>
                <w:highlight w:val="none"/>
                <w:lang w:eastAsia="zh-CN" w:bidi="ar"/>
              </w:rPr>
              <w:t>终端</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bidi="ar"/>
              </w:rPr>
              <w:t>1）尺寸≥60.75平方米</w:t>
            </w:r>
            <w:r>
              <w:rPr>
                <w:rFonts w:hint="eastAsia" w:ascii="宋体" w:hAnsi="宋体" w:cs="宋体"/>
                <w:b/>
                <w:bCs/>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w:t>
            </w:r>
            <w:r>
              <w:rPr>
                <w:rFonts w:hint="eastAsia" w:ascii="宋体" w:hAnsi="宋体" w:cs="宋体"/>
                <w:b/>
                <w:bCs/>
                <w:color w:val="auto"/>
                <w:kern w:val="0"/>
                <w:sz w:val="21"/>
                <w:szCs w:val="21"/>
                <w:highlight w:val="none"/>
                <w:lang w:val="en-US" w:eastAsia="zh-CN" w:bidi="ar"/>
              </w:rPr>
              <w:t>中</w:t>
            </w:r>
            <w:r>
              <w:rPr>
                <w:rFonts w:hint="eastAsia" w:ascii="宋体" w:hAnsi="宋体" w:eastAsia="宋体" w:cs="宋体"/>
                <w:b/>
                <w:bCs/>
                <w:color w:val="auto"/>
                <w:kern w:val="0"/>
                <w:sz w:val="21"/>
                <w:szCs w:val="21"/>
                <w:highlight w:val="none"/>
                <w:lang w:val="en-US" w:eastAsia="zh-CN" w:bidi="ar"/>
              </w:rPr>
              <w:t>提供</w:t>
            </w:r>
            <w:r>
              <w:rPr>
                <w:rFonts w:hint="eastAsia" w:ascii="宋体" w:hAnsi="宋体" w:cs="宋体"/>
                <w:b/>
                <w:bCs/>
                <w:color w:val="auto"/>
                <w:kern w:val="0"/>
                <w:sz w:val="21"/>
                <w:szCs w:val="21"/>
                <w:highlight w:val="none"/>
                <w:lang w:val="en-US" w:eastAsia="zh-CN" w:bidi="ar"/>
              </w:rPr>
              <w:t>承诺函（格式自拟）作为响应材料</w:t>
            </w:r>
            <w:r>
              <w:rPr>
                <w:rFonts w:hint="eastAsia" w:ascii="宋体" w:hAnsi="宋体" w:cs="宋体"/>
                <w:b/>
                <w:bCs/>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2）单元比例16：9；箱体单元采用压铸铝箱体，一体压铸成型，全金属自然散热结构，全密封无风扇，屏体表面防护IP65、防静电；</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3）亮度≥600cd/㎡，对比度≥4000:1；</w:t>
            </w:r>
          </w:p>
          <w:p w14:paraId="28B8FA37">
            <w:pPr>
              <w:keepNext w:val="0"/>
              <w:keepLines w:val="0"/>
              <w:pageBreakBefore w:val="0"/>
              <w:widowControl/>
              <w:shd w:val="clear"/>
              <w:kinsoku/>
              <w:wordWrap w:val="0"/>
              <w:overflowPunct/>
              <w:topLinePunct/>
              <w:autoSpaceDE/>
              <w:autoSpaceDN/>
              <w:bidi w:val="0"/>
              <w:adjustRightInd/>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sz w:val="21"/>
                <w:szCs w:val="21"/>
                <w:highlight w:val="none"/>
              </w:rPr>
              <w:t>4）像素密度≥</w:t>
            </w:r>
            <w:r>
              <w:rPr>
                <w:rFonts w:hint="eastAsia" w:ascii="宋体" w:hAnsi="宋体" w:eastAsia="宋体" w:cs="宋体"/>
                <w:color w:val="auto"/>
                <w:sz w:val="21"/>
                <w:szCs w:val="21"/>
                <w:highlight w:val="none"/>
                <w:lang w:val="en-US" w:eastAsia="zh-CN"/>
              </w:rPr>
              <w:t>64</w:t>
            </w:r>
            <w:r>
              <w:rPr>
                <w:rFonts w:hint="eastAsia" w:ascii="宋体" w:hAnsi="宋体" w:eastAsia="宋体" w:cs="宋体"/>
                <w:color w:val="auto"/>
                <w:sz w:val="21"/>
                <w:szCs w:val="21"/>
                <w:highlight w:val="none"/>
              </w:rPr>
              <w:t>0000点/㎡（物理实像素，非插值补偿）</w:t>
            </w:r>
            <w:r>
              <w:rPr>
                <w:rFonts w:hint="eastAsia" w:ascii="宋体" w:hAnsi="宋体" w:eastAsia="宋体" w:cs="宋体"/>
                <w:color w:val="auto"/>
                <w:kern w:val="0"/>
                <w:sz w:val="21"/>
                <w:szCs w:val="21"/>
                <w:highlight w:val="none"/>
                <w:lang w:bidi="ar"/>
              </w:rPr>
              <w:t>；采用 RGB 三基色实像素成像，不</w:t>
            </w:r>
            <w:r>
              <w:rPr>
                <w:rFonts w:hint="eastAsia" w:ascii="宋体" w:hAnsi="宋体" w:cs="宋体"/>
                <w:color w:val="auto"/>
                <w:kern w:val="0"/>
                <w:sz w:val="21"/>
                <w:szCs w:val="21"/>
                <w:highlight w:val="none"/>
                <w:lang w:val="en-US" w:eastAsia="zh-CN" w:bidi="ar"/>
              </w:rPr>
              <w:t>接受</w:t>
            </w:r>
            <w:r>
              <w:rPr>
                <w:rFonts w:hint="eastAsia" w:ascii="宋体" w:hAnsi="宋体" w:eastAsia="宋体" w:cs="宋体"/>
                <w:color w:val="auto"/>
                <w:kern w:val="0"/>
                <w:sz w:val="21"/>
                <w:szCs w:val="21"/>
                <w:highlight w:val="none"/>
                <w:lang w:bidi="ar"/>
              </w:rPr>
              <w:t>虚拟像素、动态像素补偿等插值提升分辨率的方式；像素单元采用一体化密封封装结构，无外露引脚与支架，发光单元与基板采用无引线焊接工艺，表面平整无缝隙，具备防尘、防磕碰、防静电能力。</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5）视角：水平≥178°，垂直≥178°；</w:t>
            </w:r>
          </w:p>
          <w:p w14:paraId="07E40B1F">
            <w:pPr>
              <w:keepNext w:val="0"/>
              <w:keepLines w:val="0"/>
              <w:pageBreakBefore w:val="0"/>
              <w:widowControl/>
              <w:shd w:val="clear"/>
              <w:kinsoku/>
              <w:wordWrap w:val="0"/>
              <w:overflowPunct/>
              <w:topLinePunct/>
              <w:autoSpaceDE/>
              <w:autoSpaceDN/>
              <w:bidi w:val="0"/>
              <w:adjustRightInd/>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6）平均无故障时间≥20万小时；单元模组均可在1分钟内完成维护；</w:t>
            </w:r>
          </w:p>
          <w:p w14:paraId="3BECD741">
            <w:pPr>
              <w:keepNext w:val="0"/>
              <w:keepLines w:val="0"/>
              <w:pageBreakBefore w:val="0"/>
              <w:widowControl/>
              <w:shd w:val="clear"/>
              <w:kinsoku/>
              <w:wordWrap w:val="0"/>
              <w:overflowPunct/>
              <w:topLinePunct/>
              <w:autoSpaceDE/>
              <w:autoSpaceDN/>
              <w:bidi w:val="0"/>
              <w:adjustRightInd/>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7）维护方式：支持完全前维护方式；模组/电源/接收卡可全部进行正面维护与更换，支持热插拔</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8）响应时间≤8ms；</w:t>
            </w:r>
          </w:p>
          <w:p w14:paraId="7F18CE6D">
            <w:pPr>
              <w:keepNext w:val="0"/>
              <w:keepLines w:val="0"/>
              <w:pageBreakBefore w:val="0"/>
              <w:widowControl/>
              <w:shd w:val="clear"/>
              <w:kinsoku/>
              <w:wordWrap w:val="0"/>
              <w:overflowPunct/>
              <w:topLinePunct/>
              <w:autoSpaceDE/>
              <w:autoSpaceDN/>
              <w:bidi w:val="0"/>
              <w:adjustRightInd/>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9）带有智能节能功能和智能带电黑屏节能功能；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10）支持7×24小时不间断运行。</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二、视频处理器：</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1）整机采用模块化配置，插卡式结构，基于 FPGA 系统架构；</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2）支持市面HDMI、DVI、DP、VGA、CVBS、SDI 和 IP 输入接口；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3）支持 10bit 视频源输入和处理，支持 4K 高清视频输入和输出；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4）显示系统采用分布式驱动架构，支持双发送链路冗余备份，主备链路可无缝切换；显示模组、电源模块、分布式驱动单元均可正面维护与更换，支持热插拔，无需进入屏体后方操作。</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三、控制软件：</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支持同步显示播图片、文字和视频文件；支持多种播放格式；支持多画面分割；可通过软件调整</w:t>
            </w:r>
            <w:r>
              <w:rPr>
                <w:rFonts w:hint="eastAsia" w:ascii="宋体" w:hAnsi="宋体" w:eastAsia="宋体" w:cs="宋体"/>
                <w:color w:val="auto"/>
                <w:kern w:val="0"/>
                <w:sz w:val="21"/>
                <w:szCs w:val="21"/>
                <w:highlight w:val="none"/>
                <w:lang w:eastAsia="zh-CN" w:bidi="ar"/>
              </w:rPr>
              <w:t>视频会议终端</w:t>
            </w:r>
            <w:r>
              <w:rPr>
                <w:rFonts w:hint="eastAsia" w:ascii="宋体" w:hAnsi="宋体" w:eastAsia="宋体" w:cs="宋体"/>
                <w:color w:val="auto"/>
                <w:kern w:val="0"/>
                <w:sz w:val="21"/>
                <w:szCs w:val="21"/>
                <w:highlight w:val="none"/>
                <w:lang w:bidi="ar"/>
              </w:rPr>
              <w:t>的亮度、对比度、色彩等功能。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四、其他配套设施：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1）屏体安装支架及包边：采用国标材料制作，定制四方柱整体结构装置，拆装方便；可实现精确调节，显示模组之间的缝隙均匀，防锈防氧化处理。屏体包边采用不锈钢定制；</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2）屏体配电控制箱：专用PLC配电箱，支持远程控制，功率根据屏体实际面积计算，满足屏体最大功率供电需求；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3）辅助材料：包含屏体内部连线、网线、电源线、连接构件、磁铁等。</w:t>
            </w:r>
          </w:p>
          <w:p w14:paraId="0BBE2D0B">
            <w:pPr>
              <w:keepNext w:val="0"/>
              <w:keepLines w:val="0"/>
              <w:pageBreakBefore w:val="0"/>
              <w:widowControl/>
              <w:shd w:val="clear"/>
              <w:kinsoku/>
              <w:wordWrap w:val="0"/>
              <w:overflowPunct/>
              <w:topLinePunct/>
              <w:autoSpaceDE/>
              <w:autoSpaceDN/>
              <w:bidi w:val="0"/>
              <w:adjustRightInd/>
              <w:snapToGrid/>
              <w:spacing w:line="400" w:lineRule="exact"/>
              <w:jc w:val="left"/>
              <w:textAlignment w:val="center"/>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lang w:bidi="ar"/>
              </w:rPr>
              <w:t>五、</w:t>
            </w:r>
            <w:r>
              <w:rPr>
                <w:rFonts w:hint="eastAsia" w:ascii="宋体" w:hAnsi="宋体" w:eastAsia="宋体" w:cs="宋体"/>
                <w:b/>
                <w:bCs/>
                <w:color w:val="auto"/>
                <w:sz w:val="21"/>
                <w:szCs w:val="21"/>
                <w:highlight w:val="none"/>
              </w:rPr>
              <w:t>维护巡检</w:t>
            </w:r>
          </w:p>
          <w:p w14:paraId="31E82012">
            <w:pPr>
              <w:keepNext w:val="0"/>
              <w:keepLines w:val="0"/>
              <w:pageBreakBefore w:val="0"/>
              <w:shd w:val="clear"/>
              <w:kinsoku/>
              <w:wordWrap w:val="0"/>
              <w:overflowPunct/>
              <w:topLinePunct/>
              <w:autoSpaceDE/>
              <w:autoSpaceDN/>
              <w:bidi w:val="0"/>
              <w:adjustRightInd/>
              <w:snapToGrid/>
              <w:spacing w:line="400" w:lineRule="exact"/>
              <w:rPr>
                <w:rFonts w:hint="eastAsia" w:ascii="宋体" w:hAnsi="宋体" w:eastAsia="宋体" w:cs="宋体"/>
                <w:color w:val="auto"/>
                <w:kern w:val="0"/>
                <w:sz w:val="21"/>
                <w:szCs w:val="21"/>
                <w:highlight w:val="none"/>
                <w:lang w:eastAsia="zh-CN" w:bidi="zh-CN"/>
              </w:rPr>
            </w:pPr>
            <w:r>
              <w:rPr>
                <w:rFonts w:hint="eastAsia" w:ascii="宋体" w:hAnsi="宋体" w:eastAsia="宋体" w:cs="宋体"/>
                <w:color w:val="auto"/>
                <w:sz w:val="21"/>
                <w:szCs w:val="21"/>
                <w:highlight w:val="none"/>
              </w:rPr>
              <w:t>含5年以上原厂</w:t>
            </w:r>
            <w:r>
              <w:rPr>
                <w:rFonts w:hint="eastAsia" w:ascii="宋体" w:hAnsi="宋体" w:eastAsia="宋体" w:cs="宋体"/>
                <w:color w:val="auto"/>
                <w:sz w:val="21"/>
                <w:szCs w:val="21"/>
                <w:highlight w:val="none"/>
                <w:lang w:val="en-US" w:eastAsia="zh-CN"/>
              </w:rPr>
              <w:t>质保</w:t>
            </w:r>
            <w:r>
              <w:rPr>
                <w:rFonts w:hint="eastAsia" w:ascii="宋体" w:hAnsi="宋体" w:eastAsia="宋体" w:cs="宋体"/>
                <w:color w:val="auto"/>
                <w:sz w:val="21"/>
                <w:szCs w:val="21"/>
                <w:highlight w:val="none"/>
              </w:rPr>
              <w:t>及配件更换，提供半年一次现场巡检。</w:t>
            </w:r>
          </w:p>
        </w:tc>
        <w:tc>
          <w:tcPr>
            <w:tcW w:w="1132" w:type="dxa"/>
            <w:tcBorders>
              <w:top w:val="single" w:color="auto" w:sz="4" w:space="0"/>
              <w:left w:val="single" w:color="auto" w:sz="4" w:space="0"/>
              <w:bottom w:val="single" w:color="auto" w:sz="4" w:space="0"/>
              <w:right w:val="single" w:color="auto" w:sz="4" w:space="0"/>
            </w:tcBorders>
            <w:vAlign w:val="center"/>
          </w:tcPr>
          <w:p w14:paraId="4BABA9C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5F44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00910FB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1.2</w:t>
            </w:r>
          </w:p>
        </w:tc>
        <w:tc>
          <w:tcPr>
            <w:tcW w:w="1189" w:type="dxa"/>
            <w:tcBorders>
              <w:top w:val="single" w:color="auto" w:sz="4" w:space="0"/>
              <w:left w:val="single" w:color="auto" w:sz="4" w:space="0"/>
              <w:bottom w:val="single" w:color="auto" w:sz="4" w:space="0"/>
              <w:right w:val="single" w:color="auto" w:sz="4" w:space="0"/>
            </w:tcBorders>
            <w:vAlign w:val="center"/>
          </w:tcPr>
          <w:p w14:paraId="63BE6C5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区级</w:t>
            </w:r>
            <w:r>
              <w:rPr>
                <w:rFonts w:hint="eastAsia" w:ascii="宋体" w:hAnsi="宋体" w:eastAsia="宋体" w:cs="宋体"/>
                <w:color w:val="auto"/>
                <w:kern w:val="0"/>
                <w:sz w:val="21"/>
                <w:szCs w:val="21"/>
                <w:highlight w:val="none"/>
                <w:lang w:val="en-US" w:eastAsia="zh-CN" w:bidi="ar"/>
              </w:rPr>
              <w:t>指挥调度视频终端</w:t>
            </w:r>
            <w:r>
              <w:rPr>
                <w:rFonts w:hint="eastAsia" w:ascii="宋体" w:hAnsi="宋体" w:eastAsia="宋体" w:cs="宋体"/>
                <w:color w:val="auto"/>
                <w:kern w:val="0"/>
                <w:sz w:val="21"/>
                <w:szCs w:val="21"/>
                <w:highlight w:val="none"/>
                <w:lang w:bidi="ar"/>
              </w:rPr>
              <w:t>②</w:t>
            </w:r>
          </w:p>
        </w:tc>
        <w:tc>
          <w:tcPr>
            <w:tcW w:w="622" w:type="dxa"/>
            <w:tcBorders>
              <w:top w:val="single" w:color="auto" w:sz="4" w:space="0"/>
              <w:left w:val="single" w:color="auto" w:sz="4" w:space="0"/>
              <w:bottom w:val="single" w:color="auto" w:sz="4" w:space="0"/>
              <w:right w:val="single" w:color="auto" w:sz="4" w:space="0"/>
            </w:tcBorders>
            <w:vAlign w:val="center"/>
          </w:tcPr>
          <w:p w14:paraId="60A5EBA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491" w:type="dxa"/>
            <w:tcBorders>
              <w:top w:val="single" w:color="auto" w:sz="4" w:space="0"/>
              <w:left w:val="single" w:color="auto" w:sz="4" w:space="0"/>
              <w:bottom w:val="single" w:color="auto" w:sz="4" w:space="0"/>
              <w:right w:val="single" w:color="auto" w:sz="4" w:space="0"/>
            </w:tcBorders>
            <w:vAlign w:val="center"/>
          </w:tcPr>
          <w:p w14:paraId="31FFCC7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7C5791B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一、</w:t>
            </w:r>
            <w:r>
              <w:rPr>
                <w:rFonts w:hint="eastAsia" w:ascii="宋体" w:hAnsi="宋体" w:eastAsia="宋体" w:cs="宋体"/>
                <w:color w:val="auto"/>
                <w:kern w:val="0"/>
                <w:sz w:val="21"/>
                <w:szCs w:val="21"/>
                <w:highlight w:val="none"/>
                <w:lang w:val="en-US" w:eastAsia="zh-CN" w:bidi="ar"/>
              </w:rPr>
              <w:t>视频</w:t>
            </w:r>
            <w:r>
              <w:rPr>
                <w:rFonts w:hint="eastAsia" w:ascii="宋体" w:hAnsi="宋体" w:eastAsia="宋体" w:cs="宋体"/>
                <w:color w:val="auto"/>
                <w:kern w:val="0"/>
                <w:sz w:val="21"/>
                <w:szCs w:val="21"/>
                <w:highlight w:val="none"/>
                <w:lang w:eastAsia="zh-CN" w:bidi="ar"/>
              </w:rPr>
              <w:t>终端</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bidi="ar"/>
              </w:rPr>
              <w:t>1）尺寸≥32.4平方米</w:t>
            </w:r>
            <w:r>
              <w:rPr>
                <w:rFonts w:hint="eastAsia" w:ascii="宋体" w:hAnsi="宋体" w:cs="宋体"/>
                <w:b/>
                <w:bCs/>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w:t>
            </w:r>
            <w:r>
              <w:rPr>
                <w:rFonts w:hint="eastAsia" w:ascii="宋体" w:hAnsi="宋体" w:cs="宋体"/>
                <w:b/>
                <w:bCs/>
                <w:color w:val="auto"/>
                <w:kern w:val="0"/>
                <w:sz w:val="21"/>
                <w:szCs w:val="21"/>
                <w:highlight w:val="none"/>
                <w:lang w:val="en-US" w:eastAsia="zh-CN" w:bidi="ar"/>
              </w:rPr>
              <w:t>中</w:t>
            </w:r>
            <w:r>
              <w:rPr>
                <w:rFonts w:hint="eastAsia" w:ascii="宋体" w:hAnsi="宋体" w:eastAsia="宋体" w:cs="宋体"/>
                <w:b/>
                <w:bCs/>
                <w:color w:val="auto"/>
                <w:kern w:val="0"/>
                <w:sz w:val="21"/>
                <w:szCs w:val="21"/>
                <w:highlight w:val="none"/>
                <w:lang w:val="en-US" w:eastAsia="zh-CN" w:bidi="ar"/>
              </w:rPr>
              <w:t>提供</w:t>
            </w:r>
            <w:r>
              <w:rPr>
                <w:rFonts w:hint="eastAsia" w:ascii="宋体" w:hAnsi="宋体" w:cs="宋体"/>
                <w:b/>
                <w:bCs/>
                <w:color w:val="auto"/>
                <w:kern w:val="0"/>
                <w:sz w:val="21"/>
                <w:szCs w:val="21"/>
                <w:highlight w:val="none"/>
                <w:lang w:val="en-US" w:eastAsia="zh-CN" w:bidi="ar"/>
              </w:rPr>
              <w:t>承诺函（格式自拟）作为响应材料</w:t>
            </w:r>
            <w:r>
              <w:rPr>
                <w:rFonts w:hint="eastAsia" w:ascii="宋体" w:hAnsi="宋体" w:cs="宋体"/>
                <w:b/>
                <w:bCs/>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2）单元比例16：9；箱体单元</w:t>
            </w:r>
            <w:r>
              <w:rPr>
                <w:rFonts w:hint="eastAsia" w:ascii="宋体" w:hAnsi="宋体" w:eastAsia="宋体" w:cs="宋体"/>
                <w:color w:val="auto"/>
                <w:sz w:val="21"/>
                <w:szCs w:val="21"/>
                <w:highlight w:val="none"/>
              </w:rPr>
              <w:t>采用压铸铝箱体，一体压铸成型，全金属自然散热结构，全密封无风扇，屏体表面防护IP65、防静电；</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3）亮度≥600cd/㎡，对比度≥4000:1；</w:t>
            </w:r>
          </w:p>
          <w:p w14:paraId="168A4771">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sz w:val="21"/>
                <w:szCs w:val="21"/>
                <w:highlight w:val="none"/>
              </w:rPr>
              <w:t>4）像素密度≥</w:t>
            </w:r>
            <w:r>
              <w:rPr>
                <w:rFonts w:hint="eastAsia" w:ascii="宋体" w:hAnsi="宋体" w:eastAsia="宋体" w:cs="宋体"/>
                <w:color w:val="auto"/>
                <w:sz w:val="21"/>
                <w:szCs w:val="21"/>
                <w:highlight w:val="none"/>
                <w:lang w:val="en-US" w:eastAsia="zh-CN"/>
              </w:rPr>
              <w:t>64</w:t>
            </w:r>
            <w:r>
              <w:rPr>
                <w:rFonts w:hint="eastAsia" w:ascii="宋体" w:hAnsi="宋体" w:eastAsia="宋体" w:cs="宋体"/>
                <w:color w:val="auto"/>
                <w:sz w:val="21"/>
                <w:szCs w:val="21"/>
                <w:highlight w:val="none"/>
              </w:rPr>
              <w:t>0000点 /㎡（物理实像素，非插值补偿）</w:t>
            </w:r>
            <w:r>
              <w:rPr>
                <w:rFonts w:hint="eastAsia" w:ascii="宋体" w:hAnsi="宋体" w:eastAsia="宋体" w:cs="宋体"/>
                <w:color w:val="auto"/>
                <w:kern w:val="0"/>
                <w:sz w:val="21"/>
                <w:szCs w:val="21"/>
                <w:highlight w:val="none"/>
                <w:lang w:bidi="ar"/>
              </w:rPr>
              <w:t>；采用 RGB 三基色实像素成像，不</w:t>
            </w:r>
            <w:r>
              <w:rPr>
                <w:rFonts w:hint="eastAsia" w:ascii="宋体" w:hAnsi="宋体" w:cs="宋体"/>
                <w:color w:val="auto"/>
                <w:kern w:val="0"/>
                <w:sz w:val="21"/>
                <w:szCs w:val="21"/>
                <w:highlight w:val="none"/>
                <w:lang w:val="en-US" w:eastAsia="zh-CN" w:bidi="ar"/>
              </w:rPr>
              <w:t>接受</w:t>
            </w:r>
            <w:r>
              <w:rPr>
                <w:rFonts w:hint="eastAsia" w:ascii="宋体" w:hAnsi="宋体" w:eastAsia="宋体" w:cs="宋体"/>
                <w:color w:val="auto"/>
                <w:kern w:val="0"/>
                <w:sz w:val="21"/>
                <w:szCs w:val="21"/>
                <w:highlight w:val="none"/>
                <w:lang w:bidi="ar"/>
              </w:rPr>
              <w:t>虚拟像素、动态像素补偿等插值提升分辨率的方式；像素单元采用一体化密封封装结构，无外露引脚与支架，发光单元与基板采用无引线焊接工艺，表面平整无缝隙，具备防尘、防磕碰、防静电能力。</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5）视角：水平≥178°，垂直≥178°；</w:t>
            </w:r>
          </w:p>
          <w:p w14:paraId="16587BB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6）平均无故障时间≥20万小时；单元模组均可在1分钟内完成维护。</w:t>
            </w:r>
          </w:p>
          <w:p w14:paraId="78D03AEB">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7）维护方式：支持完全前维护方式；模组/电源/接收卡可全部进行正面维护与更换，支持热插拔</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8）响应时间≤8ms；</w:t>
            </w:r>
          </w:p>
          <w:p w14:paraId="62249BB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9）带有智能节能功能和智能带电黑屏节能功能；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10）支持7×24小时不间断运行。</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二、视频处理器：</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1）整机采用模块化配置，插卡式结构，基于 FPGA 系统架构；</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2）支持市面HDMI、DVI、DP、VGA、CVBS、SDI 和 IP 输入接口；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3）支持 10bit 视频源输入和处理，支持 4K 高清视频输入和输出；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4）显示系统采用分布式驱动架构，支持双发送链路冗余备份，主备链路可无缝切换；显示模组、电源模块、分布式驱动单元均可正面维护与更换，支持热插拔，无需进入屏体后方操作。</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三、控制软件：</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支持同步显示播图片、文字和视频文件；支持多种播放格式；支持多画面分割；可通过软件调整</w:t>
            </w:r>
            <w:r>
              <w:rPr>
                <w:rFonts w:hint="eastAsia" w:ascii="宋体" w:hAnsi="宋体" w:eastAsia="宋体" w:cs="宋体"/>
                <w:color w:val="auto"/>
                <w:kern w:val="0"/>
                <w:sz w:val="21"/>
                <w:szCs w:val="21"/>
                <w:highlight w:val="none"/>
                <w:lang w:eastAsia="zh-CN" w:bidi="ar"/>
              </w:rPr>
              <w:t>视频会议终端</w:t>
            </w:r>
            <w:r>
              <w:rPr>
                <w:rFonts w:hint="eastAsia" w:ascii="宋体" w:hAnsi="宋体" w:eastAsia="宋体" w:cs="宋体"/>
                <w:color w:val="auto"/>
                <w:kern w:val="0"/>
                <w:sz w:val="21"/>
                <w:szCs w:val="21"/>
                <w:highlight w:val="none"/>
                <w:lang w:bidi="ar"/>
              </w:rPr>
              <w:t>的亮度、对比度、色彩等功能；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四、其他配套设施：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1）屏体安装支架及包边：采用国标材料制作，定制四方柱整体结构装置，拆装方便；可实现精确调节，显示模组之间的缝隙均匀，防锈防氧化处理。屏体包边采用不锈钢定制；</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2）屏体配电控制箱：专用PLC配电箱，支持远程控制，功率根据屏体实际面积计算，满足屏体最大功率供电需求；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3）辅助材料：包含屏体内部连线、网线、电源线、连接构件、磁铁等；</w:t>
            </w:r>
          </w:p>
          <w:p w14:paraId="2AD71D67">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lang w:bidi="ar"/>
              </w:rPr>
              <w:t>五、</w:t>
            </w:r>
            <w:r>
              <w:rPr>
                <w:rFonts w:hint="eastAsia" w:ascii="宋体" w:hAnsi="宋体" w:eastAsia="宋体" w:cs="宋体"/>
                <w:b/>
                <w:bCs/>
                <w:color w:val="auto"/>
                <w:sz w:val="21"/>
                <w:szCs w:val="21"/>
                <w:highlight w:val="none"/>
              </w:rPr>
              <w:t>维护巡检</w:t>
            </w:r>
          </w:p>
          <w:p w14:paraId="6C695988">
            <w:pPr>
              <w:keepNext w:val="0"/>
              <w:keepLines w:val="0"/>
              <w:pageBreakBefore w:val="0"/>
              <w:widowControl/>
              <w:shd w:val="clear"/>
              <w:kinsoku/>
              <w:overflowPunct/>
              <w:topLinePunct w:val="0"/>
              <w:bidi w:val="0"/>
              <w:snapToGrid/>
              <w:spacing w:line="400" w:lineRule="exact"/>
              <w:textAlignment w:val="center"/>
              <w:rPr>
                <w:rFonts w:hint="eastAsia" w:ascii="宋体" w:hAnsi="宋体" w:eastAsia="宋体" w:cs="宋体"/>
                <w:color w:val="auto"/>
                <w:kern w:val="0"/>
                <w:sz w:val="21"/>
                <w:szCs w:val="21"/>
                <w:highlight w:val="none"/>
                <w:lang w:bidi="zh-CN"/>
              </w:rPr>
            </w:pPr>
            <w:r>
              <w:rPr>
                <w:rFonts w:hint="eastAsia" w:ascii="宋体" w:hAnsi="宋体" w:eastAsia="宋体" w:cs="宋体"/>
                <w:color w:val="auto"/>
                <w:sz w:val="21"/>
                <w:szCs w:val="21"/>
                <w:highlight w:val="none"/>
              </w:rPr>
              <w:t>含5年以上原厂</w:t>
            </w:r>
            <w:r>
              <w:rPr>
                <w:rFonts w:hint="eastAsia" w:ascii="宋体" w:hAnsi="宋体" w:eastAsia="宋体" w:cs="宋体"/>
                <w:color w:val="auto"/>
                <w:sz w:val="21"/>
                <w:szCs w:val="21"/>
                <w:highlight w:val="none"/>
                <w:lang w:val="en-US" w:eastAsia="zh-CN"/>
              </w:rPr>
              <w:t>质保</w:t>
            </w:r>
            <w:r>
              <w:rPr>
                <w:rFonts w:hint="eastAsia" w:ascii="宋体" w:hAnsi="宋体" w:eastAsia="宋体" w:cs="宋体"/>
                <w:color w:val="auto"/>
                <w:sz w:val="21"/>
                <w:szCs w:val="21"/>
                <w:highlight w:val="none"/>
              </w:rPr>
              <w:t>及配件更换，提供半年一次现场巡检。</w:t>
            </w:r>
          </w:p>
        </w:tc>
        <w:tc>
          <w:tcPr>
            <w:tcW w:w="1132" w:type="dxa"/>
            <w:tcBorders>
              <w:top w:val="single" w:color="auto" w:sz="4" w:space="0"/>
              <w:left w:val="single" w:color="auto" w:sz="4" w:space="0"/>
              <w:bottom w:val="single" w:color="auto" w:sz="4" w:space="0"/>
              <w:right w:val="single" w:color="auto" w:sz="4" w:space="0"/>
            </w:tcBorders>
            <w:vAlign w:val="center"/>
          </w:tcPr>
          <w:p w14:paraId="5C0B6BD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50E1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5E2E608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1.3</w:t>
            </w:r>
          </w:p>
        </w:tc>
        <w:tc>
          <w:tcPr>
            <w:tcW w:w="1189" w:type="dxa"/>
            <w:tcBorders>
              <w:top w:val="single" w:color="auto" w:sz="4" w:space="0"/>
              <w:left w:val="single" w:color="auto" w:sz="4" w:space="0"/>
              <w:bottom w:val="single" w:color="auto" w:sz="4" w:space="0"/>
              <w:right w:val="single" w:color="auto" w:sz="4" w:space="0"/>
            </w:tcBorders>
            <w:vAlign w:val="center"/>
          </w:tcPr>
          <w:p w14:paraId="173968AF">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音视频存储管理软件</w:t>
            </w:r>
          </w:p>
        </w:tc>
        <w:tc>
          <w:tcPr>
            <w:tcW w:w="622" w:type="dxa"/>
            <w:tcBorders>
              <w:top w:val="single" w:color="auto" w:sz="4" w:space="0"/>
              <w:left w:val="single" w:color="auto" w:sz="4" w:space="0"/>
              <w:bottom w:val="single" w:color="auto" w:sz="4" w:space="0"/>
              <w:right w:val="single" w:color="auto" w:sz="4" w:space="0"/>
            </w:tcBorders>
            <w:vAlign w:val="center"/>
          </w:tcPr>
          <w:p w14:paraId="7AD7191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491" w:type="dxa"/>
            <w:tcBorders>
              <w:top w:val="single" w:color="auto" w:sz="4" w:space="0"/>
              <w:left w:val="single" w:color="auto" w:sz="4" w:space="0"/>
              <w:bottom w:val="single" w:color="auto" w:sz="4" w:space="0"/>
              <w:right w:val="single" w:color="auto" w:sz="4" w:space="0"/>
            </w:tcBorders>
            <w:vAlign w:val="center"/>
          </w:tcPr>
          <w:p w14:paraId="4C87823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2D9E0BB5">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p>
          <w:p w14:paraId="0A249EC4">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系统软件，分别部署在自治区级内外网音视频管理服务器上。</w:t>
            </w:r>
          </w:p>
          <w:p w14:paraId="6D4B392C">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总体支撑服务能力：需实现对自治区、市、县各级的多域跨网视频资源、界面资源、远程交互端、用户进行统一管理和指挥调度。包括但不限于：用户管理、权限管理、资源调度管理、远程交互管理、并发服务管理等。</w:t>
            </w:r>
          </w:p>
          <w:p w14:paraId="01E25167">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（2）安全审计管理。需用于管控各类接入的使用端和界面资源，通过加密认证、安全隔离和三员审批等安全机制，提供各类后台支撑服务，适用于多域跨网资源安全调度场景。</w:t>
            </w:r>
          </w:p>
          <w:p w14:paraId="13D16093">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2.功能要求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（1）终端安全认证接入：需具备加密机制和设备认证机制，实现对各级多域跨网资源的安全接入管理。</w:t>
            </w:r>
          </w:p>
          <w:p w14:paraId="17DEF968">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（2）终端使用管理：需支持对调度端进行调取查看、增加、删除、修改等操作，并对接入的调度端实施监控记录、预警停用等严格管控。</w:t>
            </w:r>
          </w:p>
          <w:p w14:paraId="59722760">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（3）组织架构管理：需支持对自治区、市、县各级设置组织架构及实施对应的分级管理，可对级别名称、部门名称、部门级别等信息进行按需调整。</w:t>
            </w:r>
          </w:p>
          <w:p w14:paraId="63A8B1EA">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（4）用户级别管理：需支持设置组织架构下的多种角色用户，并为不同角色用户分配不同的权限等级，如：系统管理员、安全管理员、安全审计员等。</w:t>
            </w:r>
          </w:p>
          <w:p w14:paraId="33FAA35F">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（5）使用权限管理：需支持按照不同级别不同角色的用户分配不同的多域跨网资源使用权限，并确保各用户均可自主按需管控所属资源</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在投标文件“招标项目采购需求中要求提供的材料等”提供所投产品涉及</w:t>
            </w:r>
            <w:r>
              <w:rPr>
                <w:rFonts w:hint="eastAsia" w:ascii="宋体" w:hAnsi="宋体" w:eastAsia="宋体" w:cs="宋体"/>
                <w:b/>
                <w:bCs/>
                <w:color w:val="auto"/>
                <w:kern w:val="0"/>
                <w:sz w:val="21"/>
                <w:szCs w:val="21"/>
                <w:highlight w:val="none"/>
                <w:lang w:bidi="ar"/>
              </w:rPr>
              <w:t>权限管理</w:t>
            </w:r>
            <w:r>
              <w:rPr>
                <w:rFonts w:hint="eastAsia" w:ascii="宋体" w:hAnsi="宋体" w:eastAsia="宋体" w:cs="宋体"/>
                <w:b/>
                <w:bCs/>
                <w:color w:val="auto"/>
                <w:kern w:val="0"/>
                <w:sz w:val="21"/>
                <w:szCs w:val="21"/>
                <w:highlight w:val="none"/>
                <w:lang w:val="en-US" w:eastAsia="zh-CN" w:bidi="ar"/>
              </w:rPr>
              <w:t>技术的</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复印件</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并附相关说明材料佐证其技术方案满足</w:t>
            </w:r>
            <w:r>
              <w:rPr>
                <w:rFonts w:hint="eastAsia" w:ascii="宋体" w:hAnsi="宋体" w:eastAsia="宋体" w:cs="宋体"/>
                <w:b/>
                <w:bCs/>
                <w:color w:val="auto"/>
                <w:kern w:val="0"/>
                <w:sz w:val="21"/>
                <w:szCs w:val="21"/>
                <w:highlight w:val="none"/>
                <w:lang w:bidi="ar"/>
              </w:rPr>
              <w:t>上述</w:t>
            </w: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类型包括</w:t>
            </w:r>
            <w:r>
              <w:rPr>
                <w:rFonts w:hint="eastAsia" w:ascii="宋体" w:hAnsi="宋体" w:eastAsia="宋体" w:cs="宋体"/>
                <w:b/>
                <w:bCs/>
                <w:color w:val="auto"/>
                <w:kern w:val="0"/>
                <w:sz w:val="21"/>
                <w:szCs w:val="21"/>
                <w:highlight w:val="none"/>
                <w:lang w:bidi="ar"/>
              </w:rPr>
              <w:t>发明专利</w:t>
            </w:r>
            <w:r>
              <w:rPr>
                <w:rFonts w:hint="eastAsia" w:ascii="宋体" w:hAnsi="宋体" w:eastAsia="宋体" w:cs="宋体"/>
                <w:b/>
                <w:bCs/>
                <w:color w:val="auto"/>
                <w:kern w:val="0"/>
                <w:sz w:val="21"/>
                <w:szCs w:val="21"/>
                <w:highlight w:val="none"/>
                <w:lang w:val="en-US" w:eastAsia="zh-CN" w:bidi="ar"/>
              </w:rPr>
              <w:t>或软件著作权</w:t>
            </w:r>
            <w:r>
              <w:rPr>
                <w:rFonts w:hint="eastAsia" w:ascii="宋体" w:hAnsi="宋体" w:eastAsia="宋体" w:cs="宋体"/>
                <w:b/>
                <w:bCs/>
                <w:color w:val="auto"/>
                <w:kern w:val="0"/>
                <w:sz w:val="21"/>
                <w:szCs w:val="21"/>
                <w:highlight w:val="none"/>
                <w:lang w:bidi="ar"/>
              </w:rPr>
              <w:t>等</w:t>
            </w:r>
            <w:r>
              <w:rPr>
                <w:rFonts w:hint="eastAsia" w:ascii="宋体" w:hAnsi="宋体" w:eastAsia="宋体" w:cs="宋体"/>
                <w:b/>
                <w:bCs/>
                <w:color w:val="auto"/>
                <w:kern w:val="0"/>
                <w:sz w:val="21"/>
                <w:szCs w:val="21"/>
                <w:highlight w:val="none"/>
                <w:lang w:val="en-US" w:eastAsia="zh-CN" w:bidi="ar"/>
              </w:rPr>
              <w:t>。</w:t>
            </w:r>
            <w:r>
              <w:rPr>
                <w:rFonts w:hint="eastAsia" w:ascii="宋体" w:hAnsi="宋体" w:eastAsia="宋体" w:cs="宋体"/>
                <w:b/>
                <w:bCs/>
                <w:color w:val="auto"/>
                <w:kern w:val="0"/>
                <w:sz w:val="21"/>
                <w:szCs w:val="21"/>
                <w:highlight w:val="none"/>
                <w:lang w:bidi="ar"/>
              </w:rPr>
              <w:t>）</w:t>
            </w:r>
            <w:r>
              <w:rPr>
                <w:rFonts w:hint="eastAsia" w:ascii="宋体" w:hAnsi="宋体" w:eastAsia="宋体" w:cs="宋体"/>
                <w:color w:val="auto"/>
                <w:kern w:val="0"/>
                <w:sz w:val="21"/>
                <w:szCs w:val="21"/>
                <w:highlight w:val="none"/>
                <w:lang w:bidi="ar"/>
              </w:rPr>
              <w:t>需具备多层级组织架构设置与分级权限管理功能，可自定义不同角色用户对各类多域跨网信号源界面的调取查看权限、操作控制权限和使用角色权限。</w:t>
            </w:r>
          </w:p>
          <w:p w14:paraId="652ADC27">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（6）账户登录管理：需支持不同用户在不同的调度端登录，同步更新个性化的账户信息设置，确保用户的多域跨网资源列表、使用权限、使用记录跟随账户切换。</w:t>
            </w:r>
          </w:p>
          <w:p w14:paraId="795C55F0">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并发调度支撑服务：需支持对所有接入的多域跨网资源及调度端进行高效调度，实现多用户实时并发访问使用。需具备通过本地物理视频接口和IP网络接口实现音视频资源接入访问的能力；需具备视频会议资源接入能力，兼容现有自治区市县气象部门已建设的视频会商系统，支持双流；需具备接口对接服务能力，支持通过API接口或内嵌web控件方式实现与第三方系统/平台的对接调用。</w:t>
            </w:r>
          </w:p>
          <w:p w14:paraId="57EB9007">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（8）高效传输支撑服务：需为所有接入的多域跨网资源及调度端提供传输链路优化服务，支持快速适配更佳路由路径，实现音视频信号和控制信号的实时高效传输。</w:t>
            </w:r>
          </w:p>
          <w:p w14:paraId="06CDBC02">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（9）界面独立交互服务：需为调度端并行调取多路界面提供支撑服务，支持多用户对不同信号源窗口及内容进行独立交互操控，互不干扰。</w:t>
            </w:r>
          </w:p>
          <w:p w14:paraId="6C87066B">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界面融合显示服务：需为调度端提供显示布局调整支撑服务，可对其调度的跨网资源进行放大缩小、拖拽改变位置，按需编排多网界面融合布局场景，并能实时同步预览动态画面，建立统一的场景编号以供用户一键调取访问。</w:t>
            </w:r>
          </w:p>
          <w:p w14:paraId="43BEF90E">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11）场景态势联动服务：需为调度端提供场景预案联动支撑服务，支持根据不同任务需要设置多用户协同联动的组合场景，并可一键下发任务指令，各用户自动调取相应的处置场景布局，实现同步的快速跨域联动。</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在投标文件“招标项目采购需求中要求提供的材料等”提供所投产品涉及场景联动技术的</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复印件</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并附相关说明材料佐证其技术方案满足</w:t>
            </w:r>
            <w:r>
              <w:rPr>
                <w:rFonts w:hint="eastAsia" w:ascii="宋体" w:hAnsi="宋体" w:eastAsia="宋体" w:cs="宋体"/>
                <w:b/>
                <w:bCs/>
                <w:color w:val="auto"/>
                <w:kern w:val="0"/>
                <w:sz w:val="21"/>
                <w:szCs w:val="21"/>
                <w:highlight w:val="none"/>
                <w:lang w:bidi="ar"/>
              </w:rPr>
              <w:t>上述</w:t>
            </w: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类型</w:t>
            </w:r>
            <w:r>
              <w:rPr>
                <w:rFonts w:hint="eastAsia" w:ascii="宋体" w:hAnsi="宋体" w:eastAsia="宋体" w:cs="宋体"/>
                <w:b/>
                <w:bCs/>
                <w:color w:val="auto"/>
                <w:kern w:val="0"/>
                <w:sz w:val="21"/>
                <w:szCs w:val="21"/>
                <w:highlight w:val="none"/>
                <w:lang w:bidi="ar"/>
              </w:rPr>
              <w:t>包括发明专利</w:t>
            </w:r>
            <w:r>
              <w:rPr>
                <w:rFonts w:hint="eastAsia" w:ascii="宋体" w:hAnsi="宋体" w:cs="宋体"/>
                <w:b/>
                <w:bCs/>
                <w:color w:val="auto"/>
                <w:kern w:val="0"/>
                <w:sz w:val="21"/>
                <w:szCs w:val="21"/>
                <w:highlight w:val="none"/>
                <w:lang w:eastAsia="zh-CN" w:bidi="ar"/>
              </w:rPr>
              <w:t>或</w:t>
            </w:r>
            <w:r>
              <w:rPr>
                <w:rFonts w:hint="eastAsia" w:ascii="宋体" w:hAnsi="宋体" w:eastAsia="宋体" w:cs="宋体"/>
                <w:b/>
                <w:bCs/>
                <w:color w:val="auto"/>
                <w:kern w:val="0"/>
                <w:sz w:val="21"/>
                <w:szCs w:val="21"/>
                <w:highlight w:val="none"/>
                <w:lang w:val="en-US" w:eastAsia="zh-CN" w:bidi="ar"/>
              </w:rPr>
              <w:t>软件著作权等</w:t>
            </w:r>
            <w:r>
              <w:rPr>
                <w:rFonts w:hint="eastAsia" w:ascii="宋体" w:hAnsi="宋体" w:eastAsia="宋体" w:cs="宋体"/>
                <w:b/>
                <w:bCs/>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bidi="ar"/>
              </w:rPr>
              <w:t>）</w:t>
            </w:r>
          </w:p>
          <w:p w14:paraId="0F3F7A20">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（12）用户协作分享服务：需为多用户多终端之间提供协作分享支撑服务，包括但不限于：单窗口界面、组合界面、标注界面的1对1、1对多、多对多实时分享推送。</w:t>
            </w:r>
          </w:p>
          <w:p w14:paraId="0F344475">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（13）设备运行状态监测：需支持对连接的调度端进行状态检测和统计服务，如：</w:t>
            </w:r>
            <w:r>
              <w:rPr>
                <w:rFonts w:hint="eastAsia" w:ascii="宋体" w:hAnsi="宋体" w:eastAsia="宋体" w:cs="宋体"/>
                <w:color w:val="auto"/>
                <w:kern w:val="0"/>
                <w:sz w:val="21"/>
                <w:szCs w:val="21"/>
                <w:highlight w:val="none"/>
                <w:lang w:bidi="zh-CN"/>
              </w:rPr>
              <w:t>在线状态、受控制状态、网络连接状态</w:t>
            </w:r>
            <w:r>
              <w:rPr>
                <w:rFonts w:hint="eastAsia" w:ascii="宋体" w:hAnsi="宋体" w:eastAsia="宋体" w:cs="宋体"/>
                <w:color w:val="auto"/>
                <w:kern w:val="0"/>
                <w:sz w:val="21"/>
                <w:szCs w:val="21"/>
                <w:highlight w:val="none"/>
                <w:lang w:bidi="ar"/>
              </w:rPr>
              <w:t>等信息，并支持对历史状态信息进行统计和查看。支持对接入系统的各类多域跨网信号源在线状态、受控制状态、网络连接状态、音视频调度设备物理接口状态等进行可视化展示。</w:t>
            </w:r>
          </w:p>
          <w:p w14:paraId="4A8D63C1">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（14）系统在线升级服务：需为连接的调度端提供系统在线升级服务，在后台发布更新升级包后设备可自动更新升级。</w:t>
            </w:r>
          </w:p>
          <w:p w14:paraId="7F061A48">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多域跨网通信支撑服务：需为多域跨网融合通信终端预装的多域跨网融合会商端、多域跨网融合移动端软件版等业务APP软件提供支撑服务。包括但不限于：终端账号注册、安全登录认证、多用户并发访问、音视频信息转发等服务能力。</w:t>
            </w:r>
          </w:p>
          <w:p w14:paraId="3F3D97AA">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16）三员审批。需具备建立基于系统管理员、安全管理员、安全审计员职责分离的权限管控体系功能，实现用户、角色、权限配置的受控调整；权限变更流程遵循发起-审批-监督的三阶闭环：1）系统管理员提交变更申请，2）安全管理员执行合规性审批，3）安全审计员操作结果记录并查看审计日志。</w:t>
            </w:r>
          </w:p>
          <w:p w14:paraId="559D9688">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（17）运维保障。需支持对各类多域跨网信号源资源进行操作运维，具备统计报表、故障告警、日志管理、系统管理等功能。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18）双重审批。需在自治区级的内外网服务器上部署音视频存储管理软件，具备构建安全隔离的双重审批架构；内外网平台均部署独立的三员审批体系功能（系统管理员、安全管理员、安全审计员），实现内网与外网资源的访问管理、角色权限分配及用户等级调整的审批流程标准化管控。</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19）存储复盘。需支持对关键的音视频资源进行保存，提供录像、回放等多媒体服务，支持实时录制，支持通用音视频格式存储，音视频存储文件采用通用格式（MP4、MP3、TS）；需具备多用户实时并发访问及多域跨网视频调取功能，支持同时查看多个多域跨网信号源，单独或统一调整播放进度，并支持多种倍速播放；需具备对回放的视频窗口进行任意布局调整功能。</w:t>
            </w:r>
            <w:r>
              <w:rPr>
                <w:rFonts w:hint="eastAsia" w:ascii="宋体" w:hAnsi="宋体" w:eastAsia="宋体" w:cs="宋体"/>
                <w:b/>
                <w:bCs/>
                <w:color w:val="auto"/>
                <w:kern w:val="0"/>
                <w:sz w:val="21"/>
                <w:szCs w:val="21"/>
                <w:highlight w:val="none"/>
                <w:lang w:bidi="ar"/>
              </w:rPr>
              <w:t>（在投标文件“招标项目采购需求中要求提供的材料等”提供</w:t>
            </w:r>
            <w:r>
              <w:rPr>
                <w:rFonts w:hint="eastAsia" w:ascii="宋体" w:hAnsi="宋体" w:eastAsia="宋体" w:cs="宋体"/>
                <w:b/>
                <w:bCs/>
                <w:color w:val="auto"/>
                <w:kern w:val="0"/>
                <w:sz w:val="21"/>
                <w:szCs w:val="21"/>
                <w:highlight w:val="none"/>
                <w:lang w:val="en-US" w:eastAsia="zh-CN" w:bidi="ar"/>
              </w:rPr>
              <w:t>所投产品涉及存储复盘/回放技术的</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复印件</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并附相关说明材料佐证其技术方案满足</w:t>
            </w:r>
            <w:r>
              <w:rPr>
                <w:rFonts w:hint="eastAsia" w:ascii="宋体" w:hAnsi="宋体" w:eastAsia="宋体" w:cs="宋体"/>
                <w:b/>
                <w:bCs/>
                <w:color w:val="auto"/>
                <w:kern w:val="0"/>
                <w:sz w:val="21"/>
                <w:szCs w:val="21"/>
                <w:highlight w:val="none"/>
                <w:lang w:bidi="ar"/>
              </w:rPr>
              <w:t>上述</w:t>
            </w: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类型</w:t>
            </w:r>
            <w:r>
              <w:rPr>
                <w:rFonts w:hint="eastAsia" w:ascii="宋体" w:hAnsi="宋体" w:eastAsia="宋体" w:cs="宋体"/>
                <w:b/>
                <w:bCs/>
                <w:color w:val="auto"/>
                <w:kern w:val="0"/>
                <w:sz w:val="21"/>
                <w:szCs w:val="21"/>
                <w:highlight w:val="none"/>
                <w:lang w:bidi="ar"/>
              </w:rPr>
              <w:t>包括发明专利</w:t>
            </w:r>
            <w:r>
              <w:rPr>
                <w:rFonts w:hint="eastAsia" w:ascii="宋体" w:hAnsi="宋体" w:cs="宋体"/>
                <w:b/>
                <w:bCs/>
                <w:color w:val="auto"/>
                <w:kern w:val="0"/>
                <w:sz w:val="21"/>
                <w:szCs w:val="21"/>
                <w:highlight w:val="none"/>
                <w:lang w:eastAsia="zh-CN" w:bidi="ar"/>
              </w:rPr>
              <w:t>或</w:t>
            </w:r>
            <w:r>
              <w:rPr>
                <w:rFonts w:hint="eastAsia" w:ascii="宋体" w:hAnsi="宋体" w:eastAsia="宋体" w:cs="宋体"/>
                <w:b/>
                <w:bCs/>
                <w:color w:val="auto"/>
                <w:kern w:val="0"/>
                <w:sz w:val="21"/>
                <w:szCs w:val="21"/>
                <w:highlight w:val="none"/>
                <w:lang w:val="en-US" w:eastAsia="zh-CN" w:bidi="ar"/>
              </w:rPr>
              <w:t>软件著作权等</w:t>
            </w:r>
            <w:r>
              <w:rPr>
                <w:rFonts w:hint="eastAsia" w:ascii="宋体" w:hAnsi="宋体" w:eastAsia="宋体" w:cs="宋体"/>
                <w:b/>
                <w:bCs/>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（20）设备发现与管理。需具备音视频调度设备自动发现、IP分配、批量升级以及自定义配置管理功能。</w:t>
            </w:r>
          </w:p>
          <w:p w14:paraId="1BDCC1B6">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3.性能要求</w:t>
            </w:r>
          </w:p>
          <w:p w14:paraId="3FC260B5">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（1）支持同时登录的调度端设备数量：不低于512个。</w:t>
            </w:r>
          </w:p>
          <w:p w14:paraId="4A4CB915">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（2）支持同时登录的用户数量：不低于512个。</w:t>
            </w:r>
          </w:p>
          <w:p w14:paraId="3647CFEB">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（3）支持创建组织架构层级：不低于9级。</w:t>
            </w:r>
          </w:p>
          <w:p w14:paraId="483FAAE3">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（4）支持设置的角色权限等级：不低于9级。</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（5）支持不低于128个部门设置。</w:t>
            </w:r>
          </w:p>
          <w:p w14:paraId="33C2BBB6">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（6）支持实时录制，基于互联网的历史存储时间≤30天。</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（7）支持同时回放预览的信号源数量≥9个，画面流畅无卡顿和掉帧，帧率≥25fps。</w:t>
            </w:r>
          </w:p>
          <w:p w14:paraId="63119EB2">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4.运行环境</w:t>
            </w:r>
          </w:p>
          <w:p w14:paraId="029BFABB">
            <w:pPr>
              <w:keepNext w:val="0"/>
              <w:keepLines w:val="0"/>
              <w:pageBreakBefore w:val="0"/>
              <w:widowControl/>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（1）需支持安装的操作系统类型包括：Linux、银河麒麟等。</w:t>
            </w:r>
          </w:p>
        </w:tc>
        <w:tc>
          <w:tcPr>
            <w:tcW w:w="1132" w:type="dxa"/>
            <w:tcBorders>
              <w:top w:val="single" w:color="auto" w:sz="4" w:space="0"/>
              <w:left w:val="single" w:color="auto" w:sz="4" w:space="0"/>
              <w:bottom w:val="single" w:color="auto" w:sz="4" w:space="0"/>
              <w:right w:val="single" w:color="auto" w:sz="4" w:space="0"/>
            </w:tcBorders>
            <w:vAlign w:val="center"/>
          </w:tcPr>
          <w:p w14:paraId="727EC5C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362F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06610CEF">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1.4</w:t>
            </w:r>
          </w:p>
        </w:tc>
        <w:tc>
          <w:tcPr>
            <w:tcW w:w="1189" w:type="dxa"/>
            <w:tcBorders>
              <w:top w:val="single" w:color="auto" w:sz="4" w:space="0"/>
              <w:left w:val="single" w:color="auto" w:sz="4" w:space="0"/>
              <w:bottom w:val="single" w:color="auto" w:sz="4" w:space="0"/>
              <w:right w:val="single" w:color="auto" w:sz="4" w:space="0"/>
            </w:tcBorders>
            <w:vAlign w:val="center"/>
          </w:tcPr>
          <w:p w14:paraId="34A35A5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多域跨网融合支撑平台</w:t>
            </w:r>
          </w:p>
        </w:tc>
        <w:tc>
          <w:tcPr>
            <w:tcW w:w="622" w:type="dxa"/>
            <w:tcBorders>
              <w:top w:val="single" w:color="auto" w:sz="4" w:space="0"/>
              <w:left w:val="single" w:color="auto" w:sz="4" w:space="0"/>
              <w:bottom w:val="single" w:color="auto" w:sz="4" w:space="0"/>
              <w:right w:val="single" w:color="auto" w:sz="4" w:space="0"/>
            </w:tcBorders>
            <w:vAlign w:val="center"/>
          </w:tcPr>
          <w:p w14:paraId="57F64F3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w:t>
            </w:r>
          </w:p>
        </w:tc>
        <w:tc>
          <w:tcPr>
            <w:tcW w:w="491" w:type="dxa"/>
            <w:tcBorders>
              <w:top w:val="single" w:color="auto" w:sz="4" w:space="0"/>
              <w:left w:val="single" w:color="auto" w:sz="4" w:space="0"/>
              <w:bottom w:val="single" w:color="auto" w:sz="4" w:space="0"/>
              <w:right w:val="single" w:color="auto" w:sz="4" w:space="0"/>
            </w:tcBorders>
            <w:vAlign w:val="center"/>
          </w:tcPr>
          <w:p w14:paraId="5698AED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57EF4D8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（1）总体支撑管控能力：需实现对本级接入的多域跨网资源调度端、用户的统一管理和调度。包括但不限于：用户管理、权限管理、资源调度管理、系统运行管理、设备在线管理、网络稳定性管理等。</w:t>
            </w:r>
          </w:p>
          <w:p w14:paraId="016A4881">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sz w:val="21"/>
                <w:szCs w:val="21"/>
                <w:highlight w:val="none"/>
                <w:lang w:bidi="ar"/>
              </w:rPr>
              <w:t>（2）安全隔离设计</w:t>
            </w:r>
            <w:r>
              <w:rPr>
                <w:rFonts w:hint="eastAsia" w:ascii="宋体" w:hAnsi="宋体" w:eastAsia="宋体" w:cs="宋体"/>
                <w:color w:val="auto"/>
                <w:kern w:val="0"/>
                <w:sz w:val="21"/>
                <w:szCs w:val="21"/>
                <w:highlight w:val="none"/>
                <w:lang w:bidi="ar"/>
              </w:rPr>
              <w:t>。需采用内置单向物理隔离器件，或具备反向物理阻断能力的硬件架构，满足音视频信号与控制信号单向传输。</w:t>
            </w:r>
            <w:r>
              <w:rPr>
                <w:rFonts w:hint="eastAsia" w:ascii="宋体" w:hAnsi="宋体" w:eastAsia="宋体" w:cs="宋体"/>
                <w:color w:val="auto"/>
                <w:sz w:val="21"/>
                <w:szCs w:val="21"/>
                <w:highlight w:val="none"/>
                <w:lang w:bidi="ar"/>
              </w:rPr>
              <w:t>视频信号和控制信号在汇聚后，应在物理层保持安全隔离状态</w:t>
            </w:r>
            <w:r>
              <w:rPr>
                <w:rFonts w:hint="eastAsia" w:ascii="宋体" w:hAnsi="宋体" w:eastAsia="宋体" w:cs="宋体"/>
                <w:color w:val="auto"/>
                <w:kern w:val="0"/>
                <w:sz w:val="21"/>
                <w:szCs w:val="21"/>
                <w:highlight w:val="none"/>
                <w:lang w:bidi="ar"/>
              </w:rPr>
              <w:t>，确保高密级网络无法向低密级网络泄露信息。</w:t>
            </w:r>
            <w:r>
              <w:rPr>
                <w:rFonts w:hint="eastAsia" w:ascii="宋体" w:hAnsi="宋体" w:eastAsia="宋体" w:cs="宋体"/>
                <w:b/>
                <w:bCs/>
                <w:color w:val="auto"/>
                <w:kern w:val="0"/>
                <w:sz w:val="21"/>
                <w:szCs w:val="21"/>
                <w:highlight w:val="none"/>
                <w:lang w:bidi="ar"/>
              </w:rPr>
              <w:t>（在投标文件“招标项目采购需求中要求提供的材料等”提供</w:t>
            </w:r>
            <w:r>
              <w:rPr>
                <w:rFonts w:hint="eastAsia" w:ascii="宋体" w:hAnsi="宋体" w:eastAsia="宋体" w:cs="宋体"/>
                <w:b/>
                <w:bCs/>
                <w:color w:val="auto"/>
                <w:kern w:val="0"/>
                <w:sz w:val="21"/>
                <w:szCs w:val="21"/>
                <w:highlight w:val="none"/>
                <w:lang w:val="en-US" w:eastAsia="zh-CN" w:bidi="ar"/>
              </w:rPr>
              <w:t>所投产品涉及单向传输或物理隔离技术的</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复印件</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并附相关说明材料佐证其技术方案满足</w:t>
            </w:r>
            <w:r>
              <w:rPr>
                <w:rFonts w:hint="eastAsia" w:ascii="宋体" w:hAnsi="宋体" w:eastAsia="宋体" w:cs="宋体"/>
                <w:b/>
                <w:bCs/>
                <w:color w:val="auto"/>
                <w:kern w:val="0"/>
                <w:sz w:val="21"/>
                <w:szCs w:val="21"/>
                <w:highlight w:val="none"/>
                <w:lang w:bidi="ar"/>
              </w:rPr>
              <w:t>上述</w:t>
            </w: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cs="宋体"/>
                <w:b/>
                <w:bCs/>
                <w:color w:val="auto"/>
                <w:kern w:val="0"/>
                <w:sz w:val="21"/>
                <w:szCs w:val="21"/>
                <w:highlight w:val="none"/>
                <w:lang w:val="en-US" w:eastAsia="zh-CN" w:bidi="ar"/>
              </w:rPr>
              <w:t>知识产权证书</w:t>
            </w:r>
            <w:r>
              <w:rPr>
                <w:rFonts w:hint="eastAsia" w:ascii="宋体" w:hAnsi="宋体" w:eastAsia="宋体" w:cs="宋体"/>
                <w:b/>
                <w:bCs/>
                <w:color w:val="auto"/>
                <w:kern w:val="0"/>
                <w:sz w:val="21"/>
                <w:szCs w:val="21"/>
                <w:highlight w:val="none"/>
                <w:lang w:bidi="ar"/>
              </w:rPr>
              <w:t>类型包括发明专利</w:t>
            </w:r>
            <w:r>
              <w:rPr>
                <w:rFonts w:hint="eastAsia" w:ascii="宋体" w:hAnsi="宋体" w:cs="宋体"/>
                <w:b/>
                <w:bCs/>
                <w:color w:val="auto"/>
                <w:kern w:val="0"/>
                <w:sz w:val="21"/>
                <w:szCs w:val="21"/>
                <w:highlight w:val="none"/>
                <w:lang w:eastAsia="zh-CN" w:bidi="ar"/>
              </w:rPr>
              <w:t>或</w:t>
            </w:r>
            <w:r>
              <w:rPr>
                <w:rFonts w:hint="eastAsia" w:ascii="宋体" w:hAnsi="宋体" w:eastAsia="宋体" w:cs="宋体"/>
                <w:b/>
                <w:bCs/>
                <w:color w:val="auto"/>
                <w:kern w:val="0"/>
                <w:sz w:val="21"/>
                <w:szCs w:val="21"/>
                <w:highlight w:val="none"/>
                <w:lang w:bidi="ar"/>
              </w:rPr>
              <w:t>软件著作权等。</w:t>
            </w:r>
            <w:r>
              <w:rPr>
                <w:rFonts w:hint="eastAsia" w:ascii="宋体" w:hAnsi="宋体" w:eastAsia="宋体" w:cs="宋体"/>
                <w:b/>
                <w:bCs/>
                <w:color w:val="auto"/>
                <w:kern w:val="0"/>
                <w:sz w:val="21"/>
                <w:szCs w:val="21"/>
                <w:highlight w:val="none"/>
                <w:lang w:val="en-US" w:eastAsia="zh-CN" w:bidi="ar"/>
              </w:rPr>
              <w:t>同时须提供产品实物结构图、官方技术白皮书、产品说明书、产品彩页等任一有效资料，佐证其符合上述设计要求。</w:t>
            </w:r>
            <w:r>
              <w:rPr>
                <w:rFonts w:hint="eastAsia" w:ascii="宋体" w:hAnsi="宋体" w:cs="宋体"/>
                <w:b/>
                <w:bCs/>
                <w:color w:val="auto"/>
                <w:kern w:val="0"/>
                <w:sz w:val="21"/>
                <w:szCs w:val="21"/>
                <w:highlight w:val="none"/>
                <w:lang w:val="en-US" w:eastAsia="zh-CN" w:bidi="ar"/>
              </w:rPr>
              <w:t>）</w:t>
            </w:r>
          </w:p>
          <w:p w14:paraId="3B75612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主控芯片和系统：需采用国产化主控芯片和嵌入式操作系统。</w:t>
            </w:r>
          </w:p>
          <w:p w14:paraId="5536838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val="en-US" w:eastAsia="zh-CN" w:bidi="ar"/>
              </w:rPr>
              <w:t>3</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需配备满足4K分辨率要求的摄像头1个。</w:t>
            </w:r>
          </w:p>
          <w:p w14:paraId="660DBE8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2.功能要求</w:t>
            </w:r>
          </w:p>
          <w:p w14:paraId="271A4D4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（1）多域跨网资源安全接入：需具备加密机制和身份认证策略，构建安全隔离架构，实现多域跨网信号源的安全接入。</w:t>
            </w:r>
            <w:r>
              <w:rPr>
                <w:rFonts w:hint="eastAsia" w:ascii="宋体" w:hAnsi="宋体" w:eastAsia="宋体" w:cs="宋体"/>
                <w:b/>
                <w:bCs/>
                <w:color w:val="auto"/>
                <w:kern w:val="0"/>
                <w:sz w:val="21"/>
                <w:szCs w:val="21"/>
                <w:highlight w:val="none"/>
                <w:lang w:bidi="ar"/>
              </w:rPr>
              <w:t>（在投标文件“招标项目采购需求中要求提供的材料等”提供</w:t>
            </w:r>
            <w:r>
              <w:rPr>
                <w:rFonts w:hint="eastAsia" w:ascii="宋体" w:hAnsi="宋体" w:eastAsia="宋体" w:cs="宋体"/>
                <w:b/>
                <w:bCs/>
                <w:color w:val="auto"/>
                <w:kern w:val="0"/>
                <w:sz w:val="21"/>
                <w:szCs w:val="21"/>
                <w:highlight w:val="none"/>
                <w:lang w:val="en-US" w:eastAsia="zh-CN" w:bidi="ar"/>
              </w:rPr>
              <w:t>所投产品涉及认证授权或加密技术的</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复印件</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并附相关说明材料佐证其技术方案满足</w:t>
            </w:r>
            <w:r>
              <w:rPr>
                <w:rFonts w:hint="eastAsia" w:ascii="宋体" w:hAnsi="宋体" w:eastAsia="宋体" w:cs="宋体"/>
                <w:b/>
                <w:bCs/>
                <w:color w:val="auto"/>
                <w:kern w:val="0"/>
                <w:sz w:val="21"/>
                <w:szCs w:val="21"/>
                <w:highlight w:val="none"/>
                <w:lang w:bidi="ar"/>
              </w:rPr>
              <w:t>上述</w:t>
            </w: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bidi="ar"/>
              </w:rPr>
              <w:t>类型包括发明专利</w:t>
            </w:r>
            <w:r>
              <w:rPr>
                <w:rFonts w:hint="eastAsia" w:ascii="宋体" w:hAnsi="宋体" w:cs="宋体"/>
                <w:b/>
                <w:bCs/>
                <w:color w:val="auto"/>
                <w:kern w:val="0"/>
                <w:sz w:val="21"/>
                <w:szCs w:val="21"/>
                <w:highlight w:val="none"/>
                <w:lang w:eastAsia="zh-CN" w:bidi="ar"/>
              </w:rPr>
              <w:t>或</w:t>
            </w:r>
            <w:r>
              <w:rPr>
                <w:rFonts w:hint="eastAsia" w:ascii="宋体" w:hAnsi="宋体" w:eastAsia="宋体" w:cs="宋体"/>
                <w:b/>
                <w:bCs/>
                <w:color w:val="auto"/>
                <w:kern w:val="0"/>
                <w:sz w:val="21"/>
                <w:szCs w:val="21"/>
                <w:highlight w:val="none"/>
                <w:lang w:bidi="ar"/>
              </w:rPr>
              <w:t>软件著作权等</w:t>
            </w:r>
            <w:r>
              <w:rPr>
                <w:rFonts w:hint="eastAsia" w:ascii="宋体" w:hAnsi="宋体" w:eastAsia="宋体" w:cs="宋体"/>
                <w:b/>
                <w:bCs/>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bidi="ar"/>
              </w:rPr>
              <w:t>）</w:t>
            </w:r>
          </w:p>
          <w:p w14:paraId="2069CDF1">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（2）多域跨网资源精细管理：需具备精细化的多域跨网资源分配与严格的访问控制机制。资源分配的最小单元为1个信号源，可对资源的显示、控制、分享权限进行精细权限管控。</w:t>
            </w:r>
          </w:p>
          <w:p w14:paraId="6A2B472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多域跨网安全融合使用：需具备多种安全机制，包括：双链路隔离、显示控制分离、单向物理链路传输、隔离部署，保障跨网络多系统安全融合使用，为接入的终端提供跨网信号源实时查看与操控支撑能力。</w:t>
            </w:r>
          </w:p>
          <w:p w14:paraId="632C0F6C">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（4）多域跨网界面资源分享：</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为接入的终端设备提供多域跨网资源推送服务，不同用户可在不同终端之间相互推送多域跨网界面资源。</w:t>
            </w:r>
          </w:p>
          <w:p w14:paraId="212CB3C7">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（5）多域跨网界面协同作业：</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为多域跨网的各级终端和用户之间提供对界面资源的调取、分享、标绘、协同等服务能力。</w:t>
            </w:r>
          </w:p>
          <w:p w14:paraId="0C29EF9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（6）多域跨网态势支撑服务：</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为多域跨网融合态势端软件提供支撑服务。包括但不限于：客户端连接、并发信息处理、信息转发、信息同步等服务能力。</w:t>
            </w:r>
          </w:p>
          <w:p w14:paraId="1AA03AD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（7）多域跨网会商支撑服务：</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为多域跨网融合会商软件客户端提供支撑服务。包括但不限于：客户端登录、会议调度、信息转发等服务能力。</w:t>
            </w:r>
          </w:p>
          <w:p w14:paraId="1BB503C6">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（8）多域跨网远程交互服务：</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为调度端提供指令协议服务和界面协议服务，确保指令和界面资源必须通过安全隔离审核才能转发。</w:t>
            </w:r>
          </w:p>
          <w:p w14:paraId="763A4A01">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（9）多域跨网分级组织管理：</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支持多层级、多部门组织架构设置，实现精细化分组、分权、用户管理，确保用户信息安全防止非法访问。支持不少于9个层级、30个部门的组织架构设置。</w:t>
            </w:r>
          </w:p>
          <w:p w14:paraId="121A1DD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（10）信号源接入类型：</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支持接入台式机、笔记本、平板、手机、摄像头等。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（11）融合显示与独立交互服务。</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具备多域跨网信号源窗口的动态处理功能，可实现窗口的灵活缩放、精准位置调整以及个性化场景布局；</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具备基于角色的访问控制功能，可依据不同用户的权限等级，为其提供对多域跨网信号源窗口内容的独立操作权限，确保各用户操作相互独立、互不干扰。</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（12）协作分享与协同联动服务。</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具备多域跨网信号源界面的实时分享推送服务能力，支持各类界面（单个界面、组合界面、带标注界面）1对1、1对多以及多对多分享推送场景；</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具备多用户协同联动触发组合场景预案的服务能力，可一键下发任务指令，自动联动调取对应的场景布局。</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（13）三员审批与用户角色分配。</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具备多级用户角色分配功能，涵盖管理员、系统运维员、基础操作员等角色类型。三员审批；</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具备基于系统管理员、安全管理员、安全审计员职责分离的权限管控功能，可实现用户、角色、权限配置的受控调整。</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（14）状态显示与运维服务。</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具备可视化展示功能，可对接入系统的各类多域跨网信号源的在线状态、控制状态、网络连接状态等进行呈现；</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具备可视化运维管理功能，能够对各类多域跨网信号源资源进行管理。</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（15）设备发现与管理。</w:t>
            </w:r>
            <w:r>
              <w:rPr>
                <w:rFonts w:hint="eastAsia" w:ascii="宋体" w:hAnsi="宋体" w:eastAsia="宋体" w:cs="宋体"/>
                <w:color w:val="auto"/>
                <w:kern w:val="0"/>
                <w:sz w:val="21"/>
                <w:szCs w:val="21"/>
                <w:highlight w:val="none"/>
                <w:lang w:val="en-US" w:eastAsia="zh-CN" w:bidi="ar"/>
              </w:rPr>
              <w:t>需</w:t>
            </w:r>
            <w:r>
              <w:rPr>
                <w:rFonts w:hint="eastAsia" w:ascii="宋体" w:hAnsi="宋体" w:eastAsia="宋体" w:cs="宋体"/>
                <w:color w:val="auto"/>
                <w:kern w:val="0"/>
                <w:sz w:val="21"/>
                <w:szCs w:val="21"/>
                <w:highlight w:val="none"/>
                <w:lang w:bidi="ar"/>
              </w:rPr>
              <w:t>支持自动发现音视频调度设备，在同交换机网络环境下，无需配置IP即可实现设备扫描发现。针对发现的设备，可进行IP分配、批量升级以及自定义配置管理操作。</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3.性能要求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（1）支持异常行为监测响应时间不大于5秒。</w:t>
            </w:r>
          </w:p>
          <w:p w14:paraId="040D2F65">
            <w:pPr>
              <w:keepNext w:val="0"/>
              <w:keepLines w:val="0"/>
              <w:pageBreakBefore w:val="0"/>
              <w:widowControl/>
              <w:numPr>
                <w:ilvl w:val="0"/>
                <w:numId w:val="0"/>
              </w:numPr>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支持管理本级接入信号数量不低于56路。</w:t>
            </w:r>
          </w:p>
          <w:p w14:paraId="0AB27026">
            <w:pPr>
              <w:keepNext w:val="0"/>
              <w:keepLines w:val="0"/>
              <w:pageBreakBefore w:val="0"/>
              <w:widowControl/>
              <w:numPr>
                <w:ilvl w:val="0"/>
                <w:numId w:val="0"/>
              </w:numPr>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bidi="ar"/>
              </w:rPr>
              <w:t>支持安全接入的不同网络数量不低于4个。</w:t>
            </w:r>
          </w:p>
          <w:p w14:paraId="28C55AF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支持单终端可接入的本地跨网信号源数量不低于4路2K@60Hz。</w:t>
            </w:r>
          </w:p>
          <w:p w14:paraId="34A35136">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bidi="ar"/>
              </w:rPr>
              <w:t>）摄像头要求：①4K感光元件CMOS，②分辨率不低于3840×2160，③低照度，0.2 Lux @(F1.2，AGC ON)④支持自动电子增益功能，亮度自适应⑤支持Type-C接口（正反插设计），标准USB3.0协议，免驱设计，即插即用⑤含支架。</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4.规格要求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（1）固定端口。设备配备≥2个HDMI端口，≥2个USB端口，≥2个10/100/1000Mbps自适应RJ45端口，≥1个SFP光纤端口。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（2）电源接口。设备配备≥2个独立电源接口。</w:t>
            </w:r>
          </w:p>
        </w:tc>
        <w:tc>
          <w:tcPr>
            <w:tcW w:w="1132" w:type="dxa"/>
            <w:tcBorders>
              <w:top w:val="single" w:color="auto" w:sz="4" w:space="0"/>
              <w:left w:val="single" w:color="auto" w:sz="4" w:space="0"/>
              <w:bottom w:val="single" w:color="auto" w:sz="4" w:space="0"/>
              <w:right w:val="single" w:color="auto" w:sz="4" w:space="0"/>
            </w:tcBorders>
            <w:vAlign w:val="center"/>
          </w:tcPr>
          <w:p w14:paraId="0CF9139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5569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694B6EE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w:t>
            </w:r>
          </w:p>
        </w:tc>
        <w:tc>
          <w:tcPr>
            <w:tcW w:w="1189" w:type="dxa"/>
            <w:tcBorders>
              <w:top w:val="single" w:color="auto" w:sz="4" w:space="0"/>
              <w:left w:val="single" w:color="auto" w:sz="4" w:space="0"/>
              <w:bottom w:val="single" w:color="auto" w:sz="4" w:space="0"/>
              <w:right w:val="single" w:color="auto" w:sz="4" w:space="0"/>
            </w:tcBorders>
            <w:vAlign w:val="center"/>
          </w:tcPr>
          <w:p w14:paraId="4680142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多域跨网融合采集端</w:t>
            </w:r>
          </w:p>
        </w:tc>
        <w:tc>
          <w:tcPr>
            <w:tcW w:w="622" w:type="dxa"/>
            <w:tcBorders>
              <w:top w:val="single" w:color="auto" w:sz="4" w:space="0"/>
              <w:left w:val="single" w:color="auto" w:sz="4" w:space="0"/>
              <w:bottom w:val="single" w:color="auto" w:sz="4" w:space="0"/>
              <w:right w:val="single" w:color="auto" w:sz="4" w:space="0"/>
            </w:tcBorders>
            <w:vAlign w:val="center"/>
          </w:tcPr>
          <w:p w14:paraId="1FC8E37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491" w:type="dxa"/>
            <w:tcBorders>
              <w:top w:val="single" w:color="auto" w:sz="4" w:space="0"/>
              <w:left w:val="single" w:color="auto" w:sz="4" w:space="0"/>
              <w:bottom w:val="single" w:color="auto" w:sz="4" w:space="0"/>
              <w:right w:val="single" w:color="auto" w:sz="4" w:space="0"/>
            </w:tcBorders>
            <w:vAlign w:val="center"/>
          </w:tcPr>
          <w:p w14:paraId="7514668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项</w:t>
            </w:r>
          </w:p>
        </w:tc>
        <w:tc>
          <w:tcPr>
            <w:tcW w:w="5615" w:type="dxa"/>
            <w:tcBorders>
              <w:top w:val="single" w:color="auto" w:sz="4" w:space="0"/>
              <w:left w:val="single" w:color="auto" w:sz="4" w:space="0"/>
              <w:bottom w:val="single" w:color="auto" w:sz="4" w:space="0"/>
              <w:right w:val="single" w:color="auto" w:sz="4" w:space="0"/>
            </w:tcBorders>
          </w:tcPr>
          <w:p w14:paraId="416FD33D">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一、多域跨网融合采集端硬件版（20套）</w:t>
            </w:r>
          </w:p>
          <w:p w14:paraId="425A56FE">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（1）需具备对本地各类信号源的音视频信号采集编码功能，并具备安全隔离功能，确保不同网络的视频信号接入时依然保持各网络间的安全隔离状态。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（2）双传输链路隔离：需严格区分音视频链路和控制信号链路，具备严格的单向隔离机制，并确保高密网无法向低密网传输任何信息。</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在投标文件“招标项目采购需求中要求提供的材料等”提供所投产品涉及单向或双单向传输链路技术的</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复印件</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并附相关说明材料佐证其技术方案满足</w:t>
            </w:r>
            <w:r>
              <w:rPr>
                <w:rFonts w:hint="eastAsia" w:ascii="宋体" w:hAnsi="宋体" w:eastAsia="宋体" w:cs="宋体"/>
                <w:b/>
                <w:bCs/>
                <w:color w:val="auto"/>
                <w:kern w:val="0"/>
                <w:sz w:val="21"/>
                <w:szCs w:val="21"/>
                <w:highlight w:val="none"/>
                <w:lang w:bidi="ar"/>
              </w:rPr>
              <w:t>上述</w:t>
            </w:r>
            <w:r>
              <w:rPr>
                <w:rFonts w:hint="eastAsia" w:ascii="宋体" w:hAnsi="宋体" w:eastAsia="宋体" w:cs="宋体"/>
                <w:b/>
                <w:bCs/>
                <w:color w:val="auto"/>
                <w:kern w:val="0"/>
                <w:sz w:val="21"/>
                <w:szCs w:val="21"/>
                <w:highlight w:val="none"/>
                <w:lang w:val="en-US" w:eastAsia="zh-CN" w:bidi="ar"/>
              </w:rPr>
              <w:t>总体要求；</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bidi="ar"/>
              </w:rPr>
              <w:t>类型包括发明专利</w:t>
            </w:r>
            <w:r>
              <w:rPr>
                <w:rFonts w:hint="eastAsia" w:ascii="宋体" w:hAnsi="宋体" w:cs="宋体"/>
                <w:b/>
                <w:bCs/>
                <w:color w:val="auto"/>
                <w:kern w:val="0"/>
                <w:sz w:val="21"/>
                <w:szCs w:val="21"/>
                <w:highlight w:val="none"/>
                <w:lang w:eastAsia="zh-CN" w:bidi="ar"/>
              </w:rPr>
              <w:t>或</w:t>
            </w:r>
            <w:r>
              <w:rPr>
                <w:rFonts w:hint="eastAsia" w:ascii="宋体" w:hAnsi="宋体" w:eastAsia="宋体" w:cs="宋体"/>
                <w:b/>
                <w:bCs/>
                <w:color w:val="auto"/>
                <w:kern w:val="0"/>
                <w:sz w:val="21"/>
                <w:szCs w:val="21"/>
                <w:highlight w:val="none"/>
                <w:lang w:bidi="ar"/>
              </w:rPr>
              <w:t>软件著作权等</w:t>
            </w:r>
            <w:r>
              <w:rPr>
                <w:rFonts w:hint="eastAsia" w:ascii="宋体" w:hAnsi="宋体" w:eastAsia="宋体" w:cs="宋体"/>
                <w:b/>
                <w:bCs/>
                <w:color w:val="auto"/>
                <w:kern w:val="0"/>
                <w:sz w:val="21"/>
                <w:szCs w:val="21"/>
                <w:highlight w:val="none"/>
                <w:lang w:val="en-US" w:eastAsia="zh-CN" w:bidi="ar"/>
              </w:rPr>
              <w:t>。</w:t>
            </w:r>
            <w:r>
              <w:rPr>
                <w:rFonts w:hint="eastAsia" w:ascii="宋体" w:hAnsi="宋体" w:eastAsia="宋体" w:cs="宋体"/>
                <w:b/>
                <w:bCs/>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（3）主控芯片和系统：需采用国产化主控芯片和嵌入式操作系统。</w:t>
            </w:r>
          </w:p>
          <w:p w14:paraId="5CE905F7">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2.功能要求</w:t>
            </w:r>
          </w:p>
          <w:p w14:paraId="2F51E694">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光传输低延迟使用：需具备视频光传编码，支持本地跨网界面画质无损传输。能够通过专用光通信链路实现跨网音视频流的无压缩实时传输、超低延迟体验、原画质呈现的使用效果。需兼容各类音视频信号源，能够实现无损远传且切换迅速，音视频信号实时流畅查看与精准操控。</w:t>
            </w:r>
          </w:p>
          <w:p w14:paraId="2DB9B242">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2）单向安全隔离传输：需具备控制信号和音视频信号物理单向传输特性，实现音视频和控制信号的单向不可逆传输。音视频链路与控制链路均采用内置单向物理隔离器件，物理层面阻断反向数据传输，确保本地音视频资源及控制信号能够按照指定方向进行单向发送。</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在投标文件“招标项目采购需求中要求提供的材料等”提供所投产品涉及单向发送技术的</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复印件</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并附相关说明材料佐证其技术方案满足</w:t>
            </w:r>
            <w:r>
              <w:rPr>
                <w:rFonts w:hint="eastAsia" w:ascii="宋体" w:hAnsi="宋体" w:eastAsia="宋体" w:cs="宋体"/>
                <w:b/>
                <w:bCs/>
                <w:color w:val="auto"/>
                <w:kern w:val="0"/>
                <w:sz w:val="21"/>
                <w:szCs w:val="21"/>
                <w:highlight w:val="none"/>
                <w:lang w:bidi="ar"/>
              </w:rPr>
              <w:t>上述</w:t>
            </w: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bidi="ar"/>
              </w:rPr>
              <w:t>类型包括发明专利</w:t>
            </w:r>
            <w:r>
              <w:rPr>
                <w:rFonts w:hint="eastAsia" w:ascii="宋体" w:hAnsi="宋体" w:cs="宋体"/>
                <w:b/>
                <w:bCs/>
                <w:color w:val="auto"/>
                <w:kern w:val="0"/>
                <w:sz w:val="21"/>
                <w:szCs w:val="21"/>
                <w:highlight w:val="none"/>
                <w:lang w:eastAsia="zh-CN" w:bidi="ar"/>
              </w:rPr>
              <w:t>或</w:t>
            </w:r>
            <w:r>
              <w:rPr>
                <w:rFonts w:hint="eastAsia" w:ascii="宋体" w:hAnsi="宋体" w:eastAsia="宋体" w:cs="宋体"/>
                <w:b/>
                <w:bCs/>
                <w:color w:val="auto"/>
                <w:kern w:val="0"/>
                <w:sz w:val="21"/>
                <w:szCs w:val="21"/>
                <w:highlight w:val="none"/>
                <w:lang w:bidi="ar"/>
              </w:rPr>
              <w:t>软件著作权等</w:t>
            </w:r>
            <w:r>
              <w:rPr>
                <w:rFonts w:hint="eastAsia" w:ascii="宋体" w:hAnsi="宋体" w:eastAsia="宋体" w:cs="宋体"/>
                <w:b/>
                <w:bCs/>
                <w:color w:val="auto"/>
                <w:kern w:val="0"/>
                <w:sz w:val="21"/>
                <w:szCs w:val="21"/>
                <w:highlight w:val="none"/>
                <w:lang w:val="en-US" w:eastAsia="zh-CN" w:bidi="ar"/>
              </w:rPr>
              <w:t>。同时须提供产品实物结构图、官方技术白皮书、产品说明书、产品彩页等任一有效资料，佐证其符合上述功能要求。</w:t>
            </w:r>
            <w:r>
              <w:rPr>
                <w:rFonts w:hint="eastAsia" w:ascii="宋体" w:hAnsi="宋体" w:eastAsia="宋体" w:cs="宋体"/>
                <w:b/>
                <w:bCs/>
                <w:color w:val="auto"/>
                <w:kern w:val="0"/>
                <w:sz w:val="21"/>
                <w:szCs w:val="21"/>
                <w:highlight w:val="none"/>
                <w:lang w:bidi="ar"/>
              </w:rPr>
              <w:t>）</w:t>
            </w:r>
          </w:p>
          <w:p w14:paraId="6D258171">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（3）跨网指令安全交互：需支持非网口传输控制信号，通过免驱USB接口实现对信号源的免驱控制，并按照跨网转发服务映射关系，实现对不同网络下多信号源进行安全控制。</w:t>
            </w:r>
          </w:p>
          <w:p w14:paraId="5F857117">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多种编码采集能力：需支持对本地采集的多网界面进行无损光编码和深压缩编码。需支持本地使用无损编码（音频编码格式：PCM格式封装），远程使用有损编码（视频编解码协议：H.264/H.265编码压缩协议；视频传输协议：RTSP实时流传输协议）；支持的协议类型包括H.264、H.264HP、H.265、G.711、G.722、Opus、H.323、SIP等编码格式，视频协议支持RTSP（必须）、RTMP、WebRtc中的一项或多项。</w:t>
            </w:r>
          </w:p>
          <w:p w14:paraId="27CAFBE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信号源接入类型：需支持接入台式机、笔记本、平板、手机、摄像头等。兼容大屏幕、显示器、投影仪、电视、键盘鼠标、触控屏、耳麦、话筒等外设类型。支持接入的信号源操作系统包括Linux、麒麟KylinOS、统信UOS、鸿蒙、Windows、安卓等类型。</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（6）组合场景与场景预案。需具备</w:t>
            </w:r>
            <w:r>
              <w:rPr>
                <w:rFonts w:hint="eastAsia" w:ascii="宋体" w:hAnsi="宋体" w:eastAsia="宋体" w:cs="宋体"/>
                <w:color w:val="auto"/>
                <w:sz w:val="21"/>
                <w:szCs w:val="21"/>
                <w:highlight w:val="none"/>
              </w:rPr>
              <w:t>多网资源的灵活调度与快速组合调用</w:t>
            </w:r>
            <w:r>
              <w:rPr>
                <w:rFonts w:hint="eastAsia" w:ascii="宋体" w:hAnsi="宋体" w:eastAsia="宋体" w:cs="宋体"/>
                <w:color w:val="auto"/>
                <w:kern w:val="0"/>
                <w:sz w:val="21"/>
                <w:szCs w:val="21"/>
                <w:highlight w:val="none"/>
                <w:lang w:bidi="ar"/>
              </w:rPr>
              <w:t>的能力，能够实现多种组合显示效果；需支持以列表形式呈现场景预案，支持实时预览和一键切换，可进行场景组合的保存与预案的管理。</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（7）开窗漫游与窗口设置。需具备</w:t>
            </w:r>
            <w:r>
              <w:rPr>
                <w:rFonts w:hint="eastAsia" w:ascii="宋体" w:hAnsi="宋体" w:eastAsia="宋体" w:cs="宋体"/>
                <w:color w:val="auto"/>
                <w:sz w:val="21"/>
                <w:szCs w:val="21"/>
                <w:highlight w:val="none"/>
              </w:rPr>
              <w:t>自由开启、移动、缩放或关闭任意信号源窗口功能；需具备将关键信号源窗口置顶、移动、缩放等功能。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（8）布局定义与栏目设置。需具备</w:t>
            </w:r>
            <w:r>
              <w:rPr>
                <w:rFonts w:hint="eastAsia" w:ascii="宋体" w:hAnsi="宋体" w:eastAsia="宋体" w:cs="宋体"/>
                <w:color w:val="auto"/>
                <w:sz w:val="21"/>
                <w:szCs w:val="21"/>
                <w:highlight w:val="none"/>
              </w:rPr>
              <w:t>灵活的窗口布局自定义功能，能够对信号源窗口进行拖拽及位置调整，创建可命名的多画面窗口组合场景，亦可进行窗口预览显示；需具备将信号源窗口组合存为预设栏目，并进行快捷调取的功能，支持栏目名称、布局自定义及快捷访问</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（9）动态码率。需</w:t>
            </w:r>
            <w:r>
              <w:rPr>
                <w:rFonts w:hint="eastAsia" w:ascii="宋体" w:hAnsi="宋体" w:eastAsia="宋体" w:cs="宋体"/>
                <w:color w:val="auto"/>
                <w:sz w:val="21"/>
                <w:szCs w:val="21"/>
                <w:highlight w:val="none"/>
              </w:rPr>
              <w:t>具备自动在播放流畅度与画面清晰度之间进行动态调整功能，能够确保在任何网络环境下都能获得流畅与画质兼备的使用体验</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（10）统一画面操控与内容操控。需</w:t>
            </w:r>
            <w:r>
              <w:rPr>
                <w:rFonts w:hint="eastAsia" w:ascii="宋体" w:hAnsi="宋体" w:eastAsia="宋体" w:cs="宋体"/>
                <w:color w:val="auto"/>
                <w:kern w:val="0"/>
                <w:sz w:val="21"/>
                <w:szCs w:val="21"/>
                <w:highlight w:val="none"/>
                <w:lang w:bidi="zh-CN"/>
              </w:rPr>
              <w:t>具备通过一套键盘、鼠标实现跨网络隔离资源的统一操控各类信号源的功能；需具备在一个屏幕上的多个窗口通过键盘、鼠标、触控方式漫游控制已接入的各类信号源内容的功能</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（11）独立交互与多屏交互。需</w:t>
            </w:r>
            <w:r>
              <w:rPr>
                <w:rFonts w:hint="eastAsia" w:ascii="宋体" w:hAnsi="宋体" w:eastAsia="宋体" w:cs="宋体"/>
                <w:color w:val="auto"/>
                <w:sz w:val="21"/>
                <w:szCs w:val="21"/>
                <w:highlight w:val="none"/>
              </w:rPr>
              <w:t>具备多个用户基于各自角色权限，对不同信号源窗口及内容进行独立操控能力，通过隔离机制确保各用户独立操控，互不干扰；需具备光传设备间协同配对功能，支持将多个设备配对组合使用，增加每个席位可用的屏幕数量，组合成为多屏联动使用模式，能够实现一套键鼠对安全隔离网络的音视频资源内容进行无缝漫游操控</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（12）裁剪重组与动态标注。需</w:t>
            </w:r>
            <w:r>
              <w:rPr>
                <w:rFonts w:hint="eastAsia" w:ascii="宋体" w:hAnsi="宋体" w:eastAsia="宋体" w:cs="宋体"/>
                <w:color w:val="auto"/>
                <w:sz w:val="21"/>
                <w:szCs w:val="21"/>
                <w:highlight w:val="none"/>
              </w:rPr>
              <w:t>具备对来自不同网络的音视频资源进行实时显示、自由裁剪与任意组合功能，能够将裁剪后的多个组合关键窗口一键分享给其他用户；需具备在多个音视频组合的画面上进行实时动态编辑标注功能，能够提供丰富的标注工具（线条、箭头、图形、文字等），支持在实时画面上进行自由绘制、编辑与样式调整，生成含图片、文字的动态音视频场景，同时将修改编辑后的结果推送到其他用户</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（13）协同标注与事件联动。需</w:t>
            </w:r>
            <w:r>
              <w:rPr>
                <w:rFonts w:hint="eastAsia" w:ascii="宋体" w:hAnsi="宋体" w:eastAsia="宋体" w:cs="宋体"/>
                <w:color w:val="auto"/>
                <w:sz w:val="21"/>
                <w:szCs w:val="21"/>
                <w:highlight w:val="none"/>
              </w:rPr>
              <w:t>具备多地、多终端、多人动态编辑协同标注功能，能够实现多终端实时并行对视频画面进行同步绘制与标记，所有用户的标注内容可在一个屏幕上作为独立图层实时叠加显示</w:t>
            </w:r>
            <w:r>
              <w:rPr>
                <w:rFonts w:hint="eastAsia" w:ascii="宋体" w:hAnsi="宋体" w:eastAsia="宋体" w:cs="宋体"/>
                <w:color w:val="auto"/>
                <w:kern w:val="0"/>
                <w:sz w:val="21"/>
                <w:szCs w:val="21"/>
                <w:highlight w:val="none"/>
                <w:lang w:bidi="zh-CN"/>
              </w:rPr>
              <w:t>；需具备通过特定事件指令调取预设栏目的功能，能够实现多个用户之间可通过特定事件触发联动，共同处理同一事件下各自关注的多域跨网音视频资源组合画面</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（14）信息上报。需具备将当前设备运行状态、CPU占用率、内存占用率、温度、接口连接状态等信息上报至后台的能力。</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（15）支持协议与网络类型。需采用标准免驱控制协议，在硬件驱动层面实现高度兼容性，同时支持采用符合HID协议的键盘、鼠标、触控指令；支持GB/T 28181协议标准。支持气象宽带网、电子政务网、自组网、互联网、4G/5G、卫星网络等网络环境以及IPv4和IPv6网络协议。</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3.单终端性能要求</w:t>
            </w:r>
          </w:p>
          <w:p w14:paraId="6427F0E6">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（1）安全接入的不同网络来源数量：不低于4个。</w:t>
            </w:r>
          </w:p>
          <w:p w14:paraId="283FE336">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（2）可接入的本地跨网信号源数量：不低于4路2K@60Hz。</w:t>
            </w:r>
          </w:p>
          <w:p w14:paraId="616260DA">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（3）支持接入信号源的分辨率：单路最大4K@60Hz。</w:t>
            </w:r>
          </w:p>
          <w:p w14:paraId="3B097C49">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bidi="ar"/>
              </w:rPr>
              <w:t>（4）支持光传输使用延迟：不高于16.7ms。</w:t>
            </w:r>
            <w:r>
              <w:rPr>
                <w:rFonts w:hint="eastAsia" w:ascii="宋体" w:hAnsi="宋体" w:cs="宋体"/>
                <w:b/>
                <w:bCs/>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w:t>
            </w:r>
            <w:r>
              <w:rPr>
                <w:rFonts w:hint="eastAsia" w:ascii="宋体" w:hAnsi="宋体" w:cs="宋体"/>
                <w:b/>
                <w:bCs/>
                <w:color w:val="auto"/>
                <w:kern w:val="0"/>
                <w:sz w:val="21"/>
                <w:szCs w:val="21"/>
                <w:highlight w:val="none"/>
                <w:lang w:val="en-US" w:eastAsia="zh-CN" w:bidi="ar"/>
              </w:rPr>
              <w:t>中</w:t>
            </w:r>
            <w:r>
              <w:rPr>
                <w:rFonts w:hint="eastAsia" w:ascii="宋体" w:hAnsi="宋体" w:eastAsia="宋体" w:cs="宋体"/>
                <w:b/>
                <w:bCs/>
                <w:color w:val="auto"/>
                <w:kern w:val="0"/>
                <w:sz w:val="21"/>
                <w:szCs w:val="21"/>
                <w:highlight w:val="none"/>
                <w:lang w:val="en-US" w:eastAsia="zh-CN" w:bidi="ar"/>
              </w:rPr>
              <w:t>提供</w:t>
            </w:r>
            <w:r>
              <w:rPr>
                <w:rFonts w:hint="eastAsia" w:ascii="宋体" w:hAnsi="宋体" w:cs="宋体"/>
                <w:b/>
                <w:bCs/>
                <w:color w:val="auto"/>
                <w:kern w:val="0"/>
                <w:sz w:val="21"/>
                <w:szCs w:val="21"/>
                <w:highlight w:val="none"/>
                <w:lang w:val="en-US" w:eastAsia="zh-CN" w:bidi="ar"/>
              </w:rPr>
              <w:t>承诺函（格式自拟）作为响应材料</w:t>
            </w:r>
            <w:r>
              <w:rPr>
                <w:rFonts w:hint="eastAsia" w:ascii="宋体" w:hAnsi="宋体" w:cs="宋体"/>
                <w:b/>
                <w:bCs/>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（5）支持布局样式数量：不低于8种。</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（6）支持裁剪的窗口最小像素：64x64像素。</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（7）支持最大8个资源画面实时预览显示。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（8）支持本地连接的画面显示延迟（有损画质编码）：不高于100毫秒。</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（9）支持视频界面调度的加载显示时间：不高于2秒。</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（10）支持屏幕配对数量：不低于2个。</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4.单终端规格要求：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（1）设备配备≥</w:t>
            </w: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个HDMI端口，≥3个USB端口，≥2个音频3.5mm端口，≥2个10/100/1000Mbps自适应RJ45端口，≥2个SFP光纤端口。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（2）设备配备≥2个独立电源接口。</w:t>
            </w:r>
          </w:p>
          <w:p w14:paraId="2197D1CE">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二、多域跨网融合采集端软件版（10套）</w:t>
            </w:r>
          </w:p>
          <w:p w14:paraId="1217004C">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p>
          <w:p w14:paraId="6D898938">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软件编码采集。需具备软件抓屏、本地音视频信号采集编码、动态码率调节及设备状态自动上报功能，能够适用于席位电脑、平板、手机、电子沙盘、大屏幕等复合信源的编码采集场景，支持以Web浏览器或客户端实现双向沟通交流。</w:t>
            </w:r>
          </w:p>
          <w:p w14:paraId="52DA741E">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2.功能要求</w:t>
            </w:r>
          </w:p>
          <w:p w14:paraId="004FC8B7">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界面采集。需具备屏幕编码采集能力，自适应分辨率生成视频流；需支持自动识别屏幕数量，根据识别屏幕数量显示配置页面；需支持设置屏幕信号或窗口信号名称、主/子码流分辨率、帧率、码率、GOP及编码启停等相关参数；需支持4K、2K、1080P、720P分辨率；需具备动态码率功能，适应网络带宽波动调整；需支持单屏、双屏、三屏、四屏分别开展视频资源采集及编码处理。</w:t>
            </w:r>
          </w:p>
          <w:p w14:paraId="0E8D767F">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（2）内容控制。需具备接收网络控制指令并转换为本地键盘、鼠标及触控控制指令的能力。</w:t>
            </w:r>
          </w:p>
          <w:p w14:paraId="1A4F18D4">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（3）权限管控。需具备客户端受控状态的可视化展示和用户提醒功能。</w:t>
            </w:r>
          </w:p>
          <w:p w14:paraId="0251CD36">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（4）系统监测。需具备自动信息上报的功能，能够将本地设备的CPU、内存、屏幕名称以及码流地址自动上传至后台。</w:t>
            </w:r>
          </w:p>
          <w:p w14:paraId="6D22BC4E">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（5）编码协议与网络环境。需支持的协议类型包括H.264、H.264HP、H.265、G.711、G.722、Opus、H.323、SIP、GB/T 28181协议及PCM编码格式，视频协议需支持RTSP（必须）、RTMP、WebRtc中的一项或多项；需支持在互联网、4G/5G、卫星网络环境下接入进行指挥调度时，仍能够有较好音视频效果。支持IPv4和IPv6协议。</w:t>
            </w:r>
          </w:p>
          <w:p w14:paraId="3B954E4F">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3.性能要求</w:t>
            </w:r>
          </w:p>
          <w:p w14:paraId="108DEF16">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（1）支持采集屏幕数量：不少于3块。</w:t>
            </w:r>
          </w:p>
          <w:p w14:paraId="15EF8596">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（2）支持原生采集编码分辨率：不高于4K，向下兼容2K、1080P、720P等常规分辨率。</w:t>
            </w:r>
          </w:p>
          <w:p w14:paraId="054110F2">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4.运行环境</w:t>
            </w:r>
          </w:p>
          <w:p w14:paraId="5F673B9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（1）需支持的操作系统类型包括：麒麟、统信、鸿蒙、Windows、安卓等。</w:t>
            </w:r>
          </w:p>
          <w:p w14:paraId="51812726">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三、多域跨网融合采集端工作站（12套）</w:t>
            </w:r>
          </w:p>
          <w:p w14:paraId="4691EFE2">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1.性能要求</w:t>
            </w:r>
          </w:p>
          <w:p w14:paraId="1623F42D">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①CPU：8 核16线程及以上，主频2.6GHz及以上；②内存：16GB及以上；③硬盘：256G SSD及以上；④显卡：独立，显存4GB及以上；⑤网卡：千兆及以上。</w:t>
            </w:r>
          </w:p>
          <w:p w14:paraId="4482885C">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2.运行环境</w:t>
            </w:r>
          </w:p>
          <w:p w14:paraId="03D8C6B9">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需支持的操作系统类型包括：麒麟、统信、鸿蒙、Windows等。</w:t>
            </w:r>
          </w:p>
        </w:tc>
        <w:tc>
          <w:tcPr>
            <w:tcW w:w="1132" w:type="dxa"/>
            <w:tcBorders>
              <w:top w:val="single" w:color="auto" w:sz="4" w:space="0"/>
              <w:left w:val="single" w:color="auto" w:sz="4" w:space="0"/>
              <w:bottom w:val="single" w:color="auto" w:sz="4" w:space="0"/>
              <w:right w:val="single" w:color="auto" w:sz="4" w:space="0"/>
            </w:tcBorders>
            <w:vAlign w:val="center"/>
          </w:tcPr>
          <w:p w14:paraId="389ED0F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5032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48D56D9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1.6</w:t>
            </w:r>
          </w:p>
        </w:tc>
        <w:tc>
          <w:tcPr>
            <w:tcW w:w="1189" w:type="dxa"/>
            <w:tcBorders>
              <w:top w:val="single" w:color="auto" w:sz="4" w:space="0"/>
              <w:left w:val="single" w:color="auto" w:sz="4" w:space="0"/>
              <w:bottom w:val="single" w:color="auto" w:sz="4" w:space="0"/>
              <w:right w:val="single" w:color="auto" w:sz="4" w:space="0"/>
            </w:tcBorders>
            <w:vAlign w:val="center"/>
          </w:tcPr>
          <w:p w14:paraId="6640BB4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多域跨网融合远程交互端</w:t>
            </w:r>
          </w:p>
        </w:tc>
        <w:tc>
          <w:tcPr>
            <w:tcW w:w="622" w:type="dxa"/>
            <w:tcBorders>
              <w:top w:val="single" w:color="auto" w:sz="4" w:space="0"/>
              <w:left w:val="single" w:color="auto" w:sz="4" w:space="0"/>
              <w:bottom w:val="single" w:color="auto" w:sz="4" w:space="0"/>
              <w:right w:val="single" w:color="auto" w:sz="4" w:space="0"/>
            </w:tcBorders>
            <w:vAlign w:val="center"/>
          </w:tcPr>
          <w:p w14:paraId="604E4D4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w:t>
            </w:r>
          </w:p>
        </w:tc>
        <w:tc>
          <w:tcPr>
            <w:tcW w:w="491" w:type="dxa"/>
            <w:tcBorders>
              <w:top w:val="single" w:color="auto" w:sz="4" w:space="0"/>
              <w:left w:val="single" w:color="auto" w:sz="4" w:space="0"/>
              <w:bottom w:val="single" w:color="auto" w:sz="4" w:space="0"/>
              <w:right w:val="single" w:color="auto" w:sz="4" w:space="0"/>
            </w:tcBorders>
            <w:vAlign w:val="center"/>
          </w:tcPr>
          <w:p w14:paraId="21637C2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35DDF44A">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（1）单向安全隔离传输，需具备音视频和控制信号的采集、输出、隔离及切换功能。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（2）主控芯片和系统：需采用国产化主控芯片和嵌入式操作系统。</w:t>
            </w:r>
          </w:p>
          <w:p w14:paraId="4DDF674A">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2.功能要求</w:t>
            </w:r>
          </w:p>
          <w:p w14:paraId="42F0BA45">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（1）接入采集编码：需具备对多个本地输入端进行编码采集功能，具备提供给远程用户调取使用能力。需</w:t>
            </w:r>
            <w:r>
              <w:rPr>
                <w:rFonts w:hint="eastAsia" w:ascii="宋体" w:hAnsi="宋体" w:eastAsia="宋体" w:cs="宋体"/>
                <w:color w:val="auto"/>
                <w:kern w:val="0"/>
                <w:sz w:val="21"/>
                <w:szCs w:val="21"/>
                <w:highlight w:val="none"/>
                <w:lang w:bidi="zh-CN"/>
              </w:rPr>
              <w:t>支持H.264、H.265等多种编码格式，编码码率可配置，支持VBR（动态码率）和CBR（固定码率）控制模式。</w:t>
            </w:r>
          </w:p>
          <w:p w14:paraId="2D999B27">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（2）视频单向传输：需支持对本地采集的音视频信号进行单向传输，采用内置单向物理隔离器件或具备同等单向阻断效果的硬件架构，确保音视频信号无法回传。</w:t>
            </w:r>
          </w:p>
          <w:p w14:paraId="168B5300">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（3）控制信号单向传输：需支持对本地输出的控制信号进行单向传输，采用内置单向物理隔离器件或具备同等单向阻断效果的硬件架构，确保控制信号无法回传。</w:t>
            </w:r>
          </w:p>
          <w:p w14:paraId="1943FC9E">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（4）安全审核转发：需支持控制协议和音视频协议的校验传输，确保控制信号和音视频资源必须经过安全隔离审核才能转发。</w:t>
            </w:r>
          </w:p>
          <w:p w14:paraId="0F9E5ABA">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（5）接入界面访问：需支持本地物理视频接口接入和网络界面资源接入，不同类型接入界面可同时使用。</w:t>
            </w:r>
          </w:p>
          <w:p w14:paraId="259EA151">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（6）一屏交互操作：需支持一套本地键盘鼠标、触控屏操控接入的各类多域跨网界面。</w:t>
            </w:r>
          </w:p>
          <w:p w14:paraId="7591DB05">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（7）跨网界面推送：需支持多用户间的跨网远程协同作业，可向不同用户账户分享推送单窗口界面、组合界面、标注界面等。</w:t>
            </w:r>
          </w:p>
          <w:p w14:paraId="18E7F41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跨网编辑标注：需支持对跨网组合界面的灵活标注，且标注过程中界面信息可实时动态显示。标注工具包含线条、箭头、圆形、矩形等形状，支持可对标注粗细、颜色进行调整，并可对标注内容进行二次编辑修改。</w:t>
            </w:r>
          </w:p>
          <w:p w14:paraId="5C110F81">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（9）远程并发调度：需支持将远程界面资源调度到本机使用，本机可作为并发代理服务继续向同级其他终端进行转发，降低远端并发压力。</w:t>
            </w:r>
          </w:p>
          <w:p w14:paraId="63425971">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（10）无中心模式：需支持与后台服务器断开连接后，仍然可以实现安全隔离机制，保持界面调取和使用能力。</w:t>
            </w:r>
          </w:p>
          <w:p w14:paraId="401D096B">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（11）标准免驱控制：需支持硬件驱动级控制，具有高度的兼容性，避免安全防护程序误报警。</w:t>
            </w:r>
          </w:p>
          <w:p w14:paraId="5F820679">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（12）信号源接入类型：需支持接入台式机、笔记本、平板、手机、摄像头等。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控制信号采集。需支持键盘、鼠标、触控屏等设备类，免驱即插即用接入；需具备HID接收解析处理功能，可按HID标准解析键盘、鼠标、触控等HID类设备协议，支持多设备并发采集且无冲突；需支持将HID控制信号转换为网络数据包，按转发规则对网内设备进行内容控制。</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（14）界面输出与网络流输出。需配备独立视频输出接口，支持EDID自动读取与手动配置；需支持RTSP协议输出，可同时输出多路独立编码流，也可合并为多画面流。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（15）解码输出与视频解码。需具备解码输出视频网络流的能力，支持多路通道同时解码，并输出至不同显示输出口；需支持解码符合H.264、H.265标准协议的网络视频流。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（16）控制信号输出。需集成HID设备模拟器，可将接收的控制信号转换为符合标准的免驱输出信号，支持键盘、鼠标、触控类控制信号映射。</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（17）网口隔离。需具备视频信号和控制信号网络接口，</w:t>
            </w:r>
            <w:r>
              <w:rPr>
                <w:rFonts w:hint="eastAsia" w:ascii="宋体" w:hAnsi="宋体" w:eastAsia="宋体" w:cs="宋体"/>
                <w:color w:val="auto"/>
                <w:kern w:val="0"/>
                <w:sz w:val="21"/>
                <w:szCs w:val="21"/>
                <w:highlight w:val="none"/>
                <w:lang w:bidi="zh-CN"/>
              </w:rPr>
              <w:t>并且确保接口之间</w:t>
            </w:r>
            <w:r>
              <w:rPr>
                <w:rFonts w:hint="eastAsia" w:ascii="宋体" w:hAnsi="宋体" w:eastAsia="宋体" w:cs="宋体"/>
                <w:color w:val="auto"/>
                <w:kern w:val="0"/>
                <w:sz w:val="21"/>
                <w:szCs w:val="21"/>
                <w:highlight w:val="none"/>
                <w:lang w:bidi="ar"/>
              </w:rPr>
              <w:t>无通信机制，完全独立隔离。</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18）切换控制。需支持切换当前输出的视频或控制信号通道，用于动态调整需采集和输出的视频信号或控制信号；需具备采集通道独立使用或禁用能力，支持人机交互输出通道与设备控制输出通道一对一映射绑定，或采用具备同等效果的其他等效通道架构，实现多终端采集音视频资源的分流控制。</w:t>
            </w:r>
          </w:p>
          <w:p w14:paraId="26F9F291">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（19）</w:t>
            </w:r>
            <w:r>
              <w:rPr>
                <w:rFonts w:hint="eastAsia" w:ascii="宋体" w:hAnsi="宋体" w:eastAsia="宋体" w:cs="宋体"/>
                <w:color w:val="auto"/>
                <w:kern w:val="0"/>
                <w:sz w:val="21"/>
                <w:szCs w:val="21"/>
                <w:highlight w:val="none"/>
                <w:lang w:bidi="zh-CN"/>
              </w:rPr>
              <w:t>安全隔离。需</w:t>
            </w:r>
            <w:r>
              <w:rPr>
                <w:rFonts w:hint="eastAsia" w:ascii="宋体" w:hAnsi="宋体" w:eastAsia="宋体" w:cs="宋体"/>
                <w:color w:val="auto"/>
                <w:kern w:val="0"/>
                <w:sz w:val="21"/>
                <w:szCs w:val="21"/>
                <w:highlight w:val="none"/>
                <w:lang w:bidi="ar"/>
              </w:rPr>
              <w:t>具备安全隔离机制功能。应满足音视频信号单向传输、控制信号单向传输。视频信号和控制信号在汇聚后，应确保高密级网络无法向低密级网络泄露信息。</w:t>
            </w:r>
          </w:p>
          <w:p w14:paraId="64ABC524">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在投标文件“招标项目采购需求中要求提供的材料等”提供所投产品涉及单向传输或物理隔离技术的</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复印件</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并附相关说明材料佐证其技术方案满足</w:t>
            </w:r>
            <w:r>
              <w:rPr>
                <w:rFonts w:hint="eastAsia" w:ascii="宋体" w:hAnsi="宋体" w:eastAsia="宋体" w:cs="宋体"/>
                <w:b/>
                <w:bCs/>
                <w:color w:val="auto"/>
                <w:kern w:val="0"/>
                <w:sz w:val="21"/>
                <w:szCs w:val="21"/>
                <w:highlight w:val="none"/>
                <w:lang w:bidi="ar"/>
              </w:rPr>
              <w:t>上述</w:t>
            </w: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bidi="ar"/>
              </w:rPr>
              <w:t>类型包括发明专利</w:t>
            </w:r>
            <w:r>
              <w:rPr>
                <w:rFonts w:hint="eastAsia" w:ascii="宋体" w:hAnsi="宋体" w:cs="宋体"/>
                <w:b/>
                <w:bCs/>
                <w:color w:val="auto"/>
                <w:kern w:val="0"/>
                <w:sz w:val="21"/>
                <w:szCs w:val="21"/>
                <w:highlight w:val="none"/>
                <w:lang w:eastAsia="zh-CN" w:bidi="ar"/>
              </w:rPr>
              <w:t>或</w:t>
            </w:r>
            <w:r>
              <w:rPr>
                <w:rFonts w:hint="eastAsia" w:ascii="宋体" w:hAnsi="宋体" w:eastAsia="宋体" w:cs="宋体"/>
                <w:b/>
                <w:bCs/>
                <w:color w:val="auto"/>
                <w:kern w:val="0"/>
                <w:sz w:val="21"/>
                <w:szCs w:val="21"/>
                <w:highlight w:val="none"/>
                <w:lang w:bidi="ar"/>
              </w:rPr>
              <w:t>软件著作权等</w:t>
            </w:r>
            <w:r>
              <w:rPr>
                <w:rFonts w:hint="eastAsia" w:ascii="宋体" w:hAnsi="宋体" w:eastAsia="宋体" w:cs="宋体"/>
                <w:b/>
                <w:bCs/>
                <w:color w:val="auto"/>
                <w:kern w:val="0"/>
                <w:sz w:val="21"/>
                <w:szCs w:val="21"/>
                <w:highlight w:val="none"/>
                <w:lang w:val="en-US" w:eastAsia="zh-CN" w:bidi="ar"/>
              </w:rPr>
              <w:t>。同时须提供产品实物结构图、官方技术白皮书、产品说明书、产品彩页等任一有效资料，佐证其符合上述功能要求。</w:t>
            </w:r>
            <w:r>
              <w:rPr>
                <w:rFonts w:hint="eastAsia" w:ascii="宋体" w:hAnsi="宋体" w:eastAsia="宋体" w:cs="宋体"/>
                <w:b/>
                <w:bCs/>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3.单终端性能要求</w:t>
            </w:r>
          </w:p>
          <w:p w14:paraId="69A731C2">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（1）支持可接入视频接口数量：不低于4路。</w:t>
            </w:r>
          </w:p>
          <w:p w14:paraId="5C5192F4">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（2）支持接入信号源的分辨率：单路最大4K@60Hz。</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（3）支持安全隔离网络数量：不少于4个。</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（4）支持控制信号处理转发时间：不高于50毫秒。</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4.单终端规格要求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设备配备≥2个10/100/1000Mbps自适应RJ45接口。</w:t>
            </w:r>
          </w:p>
        </w:tc>
        <w:tc>
          <w:tcPr>
            <w:tcW w:w="1132" w:type="dxa"/>
            <w:tcBorders>
              <w:top w:val="single" w:color="auto" w:sz="4" w:space="0"/>
              <w:left w:val="single" w:color="auto" w:sz="4" w:space="0"/>
              <w:bottom w:val="single" w:color="auto" w:sz="4" w:space="0"/>
              <w:right w:val="single" w:color="auto" w:sz="4" w:space="0"/>
            </w:tcBorders>
            <w:vAlign w:val="center"/>
          </w:tcPr>
          <w:p w14:paraId="0F75479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44F8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635BAA4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1.7</w:t>
            </w:r>
          </w:p>
        </w:tc>
        <w:tc>
          <w:tcPr>
            <w:tcW w:w="1189" w:type="dxa"/>
            <w:tcBorders>
              <w:top w:val="single" w:color="auto" w:sz="4" w:space="0"/>
              <w:left w:val="single" w:color="auto" w:sz="4" w:space="0"/>
              <w:bottom w:val="single" w:color="auto" w:sz="4" w:space="0"/>
              <w:right w:val="single" w:color="auto" w:sz="4" w:space="0"/>
            </w:tcBorders>
            <w:vAlign w:val="center"/>
          </w:tcPr>
          <w:p w14:paraId="382C13C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多域跨网融合本地交互端</w:t>
            </w:r>
          </w:p>
        </w:tc>
        <w:tc>
          <w:tcPr>
            <w:tcW w:w="622" w:type="dxa"/>
            <w:tcBorders>
              <w:top w:val="single" w:color="auto" w:sz="4" w:space="0"/>
              <w:left w:val="single" w:color="auto" w:sz="4" w:space="0"/>
              <w:bottom w:val="single" w:color="auto" w:sz="4" w:space="0"/>
              <w:right w:val="single" w:color="auto" w:sz="4" w:space="0"/>
            </w:tcBorders>
            <w:vAlign w:val="center"/>
          </w:tcPr>
          <w:p w14:paraId="1E4743C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20</w:t>
            </w:r>
          </w:p>
        </w:tc>
        <w:tc>
          <w:tcPr>
            <w:tcW w:w="491" w:type="dxa"/>
            <w:tcBorders>
              <w:top w:val="single" w:color="auto" w:sz="4" w:space="0"/>
              <w:left w:val="single" w:color="auto" w:sz="4" w:space="0"/>
              <w:bottom w:val="single" w:color="auto" w:sz="4" w:space="0"/>
              <w:right w:val="single" w:color="auto" w:sz="4" w:space="0"/>
            </w:tcBorders>
            <w:vAlign w:val="center"/>
          </w:tcPr>
          <w:p w14:paraId="6FDE625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753443A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（1）光链应用。需采用光链路传输无损视频流，能够通过一套键鼠或触控方式漫游操控多屏多窗口资源，用于各类席位单屏、多屏组合使用，用于作业席位的音视频调取和控制使用。</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2.功能要求</w:t>
            </w:r>
          </w:p>
          <w:p w14:paraId="063CDABC">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（1）光传输低延迟：需支持基于光纤介质的视频信号无压缩传输技术，确保本地终端显示界面画质无损。同时自治区级界面（自治区级指挥中心本地坐席上显示画面）光传输延迟不高于16.7毫秒。</w:t>
            </w:r>
          </w:p>
          <w:p w14:paraId="628EC6C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（2）终端安全配对：需支持与音视频采集终端进行配对使用，为每个本地交互终端绑定其唯一的采集终端，具备硬件级的绑定策略，提高使用安全性。</w:t>
            </w:r>
          </w:p>
          <w:p w14:paraId="068C8BE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（3）多屏拓展使用：需支持多个终端进行配对组合，形成多屏使用模式，实现一</w:t>
            </w:r>
            <w:r>
              <w:rPr>
                <w:rFonts w:hint="eastAsia" w:ascii="宋体" w:hAnsi="宋体" w:eastAsia="宋体" w:cs="宋体"/>
                <w:color w:val="auto"/>
                <w:kern w:val="0"/>
                <w:sz w:val="21"/>
                <w:szCs w:val="21"/>
                <w:highlight w:val="none"/>
                <w:lang w:val="en-US" w:eastAsia="zh-CN" w:bidi="ar"/>
              </w:rPr>
              <w:t>套</w:t>
            </w:r>
            <w:r>
              <w:rPr>
                <w:rFonts w:hint="eastAsia" w:ascii="宋体" w:hAnsi="宋体" w:eastAsia="宋体" w:cs="宋体"/>
                <w:color w:val="auto"/>
                <w:kern w:val="0"/>
                <w:sz w:val="21"/>
                <w:szCs w:val="21"/>
                <w:highlight w:val="none"/>
                <w:lang w:bidi="ar"/>
              </w:rPr>
              <w:t>键鼠漫游控制多个屏幕</w:t>
            </w:r>
            <w:r>
              <w:rPr>
                <w:rFonts w:hint="eastAsia" w:ascii="宋体" w:hAnsi="宋体" w:eastAsia="宋体" w:cs="宋体"/>
                <w:color w:val="auto"/>
                <w:kern w:val="0"/>
                <w:sz w:val="21"/>
                <w:szCs w:val="21"/>
                <w:highlight w:val="none"/>
                <w:lang w:val="en-US" w:eastAsia="zh-CN" w:bidi="ar"/>
              </w:rPr>
              <w:t>上显示</w:t>
            </w:r>
            <w:r>
              <w:rPr>
                <w:rFonts w:hint="eastAsia" w:ascii="宋体" w:hAnsi="宋体" w:eastAsia="宋体" w:cs="宋体"/>
                <w:color w:val="auto"/>
                <w:kern w:val="0"/>
                <w:sz w:val="21"/>
                <w:szCs w:val="21"/>
                <w:highlight w:val="none"/>
                <w:lang w:bidi="ar"/>
              </w:rPr>
              <w:t>的跨域多网界面内容。</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在投标文件“招标项目采购需求中要求提供的材料等”提供所投产品涉及多屏或跨屏交互使用技术的</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复印件</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并附相关说明材料佐证其技术方案满足</w:t>
            </w:r>
            <w:r>
              <w:rPr>
                <w:rFonts w:hint="eastAsia" w:ascii="宋体" w:hAnsi="宋体" w:eastAsia="宋体" w:cs="宋体"/>
                <w:b/>
                <w:bCs/>
                <w:color w:val="auto"/>
                <w:kern w:val="0"/>
                <w:sz w:val="21"/>
                <w:szCs w:val="21"/>
                <w:highlight w:val="none"/>
                <w:lang w:bidi="ar"/>
              </w:rPr>
              <w:t>上述</w:t>
            </w: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bidi="ar"/>
              </w:rPr>
              <w:t>类型包括发明专利</w:t>
            </w:r>
            <w:r>
              <w:rPr>
                <w:rFonts w:hint="eastAsia" w:ascii="宋体" w:hAnsi="宋体" w:cs="宋体"/>
                <w:b/>
                <w:bCs/>
                <w:color w:val="auto"/>
                <w:kern w:val="0"/>
                <w:sz w:val="21"/>
                <w:szCs w:val="21"/>
                <w:highlight w:val="none"/>
                <w:lang w:eastAsia="zh-CN" w:bidi="ar"/>
              </w:rPr>
              <w:t>或</w:t>
            </w:r>
            <w:r>
              <w:rPr>
                <w:rFonts w:hint="eastAsia" w:ascii="宋体" w:hAnsi="宋体" w:eastAsia="宋体" w:cs="宋体"/>
                <w:b/>
                <w:bCs/>
                <w:color w:val="auto"/>
                <w:kern w:val="0"/>
                <w:sz w:val="21"/>
                <w:szCs w:val="21"/>
                <w:highlight w:val="none"/>
                <w:lang w:bidi="ar"/>
              </w:rPr>
              <w:t>软件著作权等</w:t>
            </w:r>
            <w:r>
              <w:rPr>
                <w:rFonts w:hint="eastAsia" w:ascii="宋体" w:hAnsi="宋体" w:eastAsia="宋体" w:cs="宋体"/>
                <w:b/>
                <w:bCs/>
                <w:color w:val="auto"/>
                <w:kern w:val="0"/>
                <w:sz w:val="21"/>
                <w:szCs w:val="21"/>
                <w:highlight w:val="none"/>
                <w:lang w:val="en-US" w:eastAsia="zh-CN" w:bidi="ar"/>
              </w:rPr>
              <w:t>。</w:t>
            </w:r>
            <w:r>
              <w:rPr>
                <w:rFonts w:hint="eastAsia" w:ascii="宋体" w:hAnsi="宋体" w:eastAsia="宋体" w:cs="宋体"/>
                <w:b/>
                <w:bCs/>
                <w:color w:val="auto"/>
                <w:kern w:val="0"/>
                <w:sz w:val="21"/>
                <w:szCs w:val="21"/>
                <w:highlight w:val="none"/>
                <w:lang w:bidi="ar"/>
              </w:rPr>
              <w:t>同时</w:t>
            </w:r>
            <w:r>
              <w:rPr>
                <w:rFonts w:hint="eastAsia" w:ascii="宋体" w:hAnsi="宋体" w:eastAsia="宋体" w:cs="宋体"/>
                <w:b/>
                <w:bCs/>
                <w:color w:val="auto"/>
                <w:kern w:val="0"/>
                <w:sz w:val="21"/>
                <w:szCs w:val="21"/>
                <w:highlight w:val="none"/>
                <w:lang w:val="en-US" w:eastAsia="zh-CN" w:bidi="ar"/>
              </w:rPr>
              <w:t>须</w:t>
            </w:r>
            <w:r>
              <w:rPr>
                <w:rFonts w:hint="eastAsia" w:ascii="宋体" w:hAnsi="宋体" w:eastAsia="宋体" w:cs="宋体"/>
                <w:b/>
                <w:bCs/>
                <w:color w:val="auto"/>
                <w:kern w:val="0"/>
                <w:sz w:val="21"/>
                <w:szCs w:val="21"/>
                <w:highlight w:val="none"/>
                <w:lang w:bidi="ar"/>
              </w:rPr>
              <w:t>提供产品</w:t>
            </w:r>
            <w:r>
              <w:rPr>
                <w:rFonts w:hint="eastAsia" w:ascii="宋体" w:hAnsi="宋体" w:eastAsia="宋体" w:cs="宋体"/>
                <w:b/>
                <w:bCs/>
                <w:color w:val="auto"/>
                <w:kern w:val="0"/>
                <w:sz w:val="21"/>
                <w:szCs w:val="21"/>
                <w:highlight w:val="none"/>
                <w:lang w:val="en-US" w:eastAsia="zh-CN" w:bidi="ar"/>
              </w:rPr>
              <w:t>说明书</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产品</w:t>
            </w:r>
            <w:r>
              <w:rPr>
                <w:rFonts w:hint="eastAsia" w:ascii="宋体" w:hAnsi="宋体" w:eastAsia="宋体" w:cs="宋体"/>
                <w:b/>
                <w:bCs/>
                <w:color w:val="auto"/>
                <w:kern w:val="0"/>
                <w:sz w:val="21"/>
                <w:szCs w:val="21"/>
                <w:highlight w:val="none"/>
                <w:lang w:bidi="ar"/>
              </w:rPr>
              <w:t>技术规格手册、功能测试报告、设备实测资料等</w:t>
            </w:r>
            <w:r>
              <w:rPr>
                <w:rFonts w:hint="eastAsia" w:ascii="宋体" w:hAnsi="宋体" w:eastAsia="宋体" w:cs="宋体"/>
                <w:b/>
                <w:bCs/>
                <w:color w:val="auto"/>
                <w:kern w:val="0"/>
                <w:sz w:val="21"/>
                <w:szCs w:val="21"/>
                <w:highlight w:val="none"/>
                <w:lang w:val="en-US" w:eastAsia="zh-CN" w:bidi="ar"/>
              </w:rPr>
              <w:t>任一</w:t>
            </w:r>
            <w:r>
              <w:rPr>
                <w:rFonts w:hint="eastAsia" w:ascii="宋体" w:hAnsi="宋体" w:eastAsia="宋体" w:cs="宋体"/>
                <w:b/>
                <w:bCs/>
                <w:color w:val="auto"/>
                <w:kern w:val="0"/>
                <w:sz w:val="21"/>
                <w:szCs w:val="21"/>
                <w:highlight w:val="none"/>
                <w:lang w:bidi="ar"/>
              </w:rPr>
              <w:t>有效材料</w:t>
            </w:r>
            <w:r>
              <w:rPr>
                <w:rFonts w:hint="eastAsia" w:ascii="宋体" w:hAnsi="宋体" w:eastAsia="宋体" w:cs="宋体"/>
                <w:b/>
                <w:bCs/>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bidi="ar"/>
              </w:rPr>
              <w:t>佐证</w:t>
            </w:r>
            <w:r>
              <w:rPr>
                <w:rFonts w:hint="eastAsia" w:ascii="宋体" w:hAnsi="宋体" w:eastAsia="宋体" w:cs="宋体"/>
                <w:b/>
                <w:bCs/>
                <w:color w:val="auto"/>
                <w:kern w:val="0"/>
                <w:sz w:val="21"/>
                <w:szCs w:val="21"/>
                <w:highlight w:val="none"/>
                <w:lang w:val="en-US" w:eastAsia="zh-CN" w:bidi="ar"/>
              </w:rPr>
              <w:t>其符合上述功能要求</w:t>
            </w:r>
            <w:r>
              <w:rPr>
                <w:rFonts w:hint="eastAsia" w:ascii="宋体" w:hAnsi="宋体" w:eastAsia="宋体" w:cs="宋体"/>
                <w:b/>
                <w:bCs/>
                <w:color w:val="auto"/>
                <w:kern w:val="0"/>
                <w:sz w:val="21"/>
                <w:szCs w:val="21"/>
                <w:highlight w:val="none"/>
                <w:lang w:bidi="ar"/>
              </w:rPr>
              <w:t>。）</w:t>
            </w:r>
          </w:p>
          <w:p w14:paraId="74182365">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（4）账户登录同步：需支持用户在不同终端登录专有账户后可同步账户内个性化使用信息，确保用户界面资源列表、使用权限、使用记录等跟随账户切换。</w:t>
            </w:r>
          </w:p>
          <w:p w14:paraId="4C98F54E">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（5）界面调取控制：需支持通过一套键盘鼠标、触控屏操控接入的各类多域跨网界面资源。支持键鼠控制、多点触控操作、快捷组合键控制等。</w:t>
            </w:r>
          </w:p>
          <w:p w14:paraId="0B288C55">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（6）界面资源管理：需提供界面资源列表管理功能，支持模糊搜索和快速检索定位，方便用户快速查找所需界面资源。</w:t>
            </w:r>
          </w:p>
          <w:p w14:paraId="770E7E2C">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界面栏自定义：界面栏需支持按需增加、删除、修改，并预设多种布局模式，辅助用户进行布局设置。需具备灵活的布局自定义功能，能够对信号源窗口进行拖拽及位置调整，创建可命名的多画面组合场景，亦可进行窗口预览显示；需具备将信号源窗口组合存为预设栏目，并进行快捷调取的功能，支持栏目快捷访问。</w:t>
            </w:r>
          </w:p>
          <w:p w14:paraId="1476050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跨网界面标注：需支持对跨网组合界面的灵活标注，且标注过程中界面信息可实时动态显示。标注工具包含线条、箭头、圆形、矩形等形状，支持可对标注粗细、颜色进行调整，并可对标注内容进行二次编辑修改。同时将修改编辑后的结果推送到其他用户；须具备多地、多终端、多人动态编辑协同标注功能，能够实现多终端实时并行对视频画面进行同步绘制与标记，所有用户的标注内容可在一个屏幕上作为独立图层实时叠加显示。</w:t>
            </w:r>
          </w:p>
          <w:p w14:paraId="44783FA6">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（9）跨网态势分享：需支持将指定跨网界面单窗口界面、组合界面、标注界面分享给其他用户，接收方可全屏实时展示该分享内容。</w:t>
            </w:r>
          </w:p>
          <w:p w14:paraId="5E54022E">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（10）标准免驱控制：需支持硬件驱动级控制，具有高度的兼容性，避免安全防护程序误报警。</w:t>
            </w:r>
          </w:p>
          <w:p w14:paraId="0E17BFE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（11）光传切换。需具备光接入采集设备兼容多类型视频节点与信号源能力，可实现视频信号无损远传且切换迅速，保障视频信号稳定接入，支持视频信号实时流畅查看与精准操控切换。</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（12）音视频资源调控。需具备通过一套键盘鼠标、触控屏操控接入的各类多域跨网界面资源的功能，支持键鼠控制、多点触控操作和快捷组合键。</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（13）组合场景与场景预案。需具备</w:t>
            </w:r>
            <w:r>
              <w:rPr>
                <w:rFonts w:hint="eastAsia" w:ascii="宋体" w:hAnsi="宋体" w:eastAsia="宋体" w:cs="宋体"/>
                <w:color w:val="auto"/>
                <w:sz w:val="21"/>
                <w:szCs w:val="21"/>
                <w:highlight w:val="none"/>
              </w:rPr>
              <w:t>多网资源的灵活调度与快速组合调用的能力，能够实现多种组合显示效果；需能够实现以列表形式呈现场景预案并实时预览和一键切换，亦可进行场景组合的保存与预案的管理</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（14）开窗漫游与窗口缩放。需</w:t>
            </w:r>
            <w:r>
              <w:rPr>
                <w:rFonts w:hint="eastAsia" w:ascii="宋体" w:hAnsi="宋体" w:eastAsia="宋体" w:cs="宋体"/>
                <w:color w:val="auto"/>
                <w:kern w:val="0"/>
                <w:sz w:val="21"/>
                <w:szCs w:val="21"/>
                <w:highlight w:val="none"/>
                <w:lang w:bidi="zh-CN"/>
              </w:rPr>
              <w:t>具备</w:t>
            </w:r>
            <w:r>
              <w:rPr>
                <w:rFonts w:hint="eastAsia" w:ascii="宋体" w:hAnsi="宋体" w:eastAsia="宋体" w:cs="宋体"/>
                <w:color w:val="auto"/>
                <w:sz w:val="21"/>
                <w:szCs w:val="21"/>
                <w:highlight w:val="none"/>
              </w:rPr>
              <w:t>自由开启、移动、缩放或关闭任意信号源窗口功能；需具备将关键信号源窗口置顶、移动、缩放等功能</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（15）动态码率。需</w:t>
            </w:r>
            <w:r>
              <w:rPr>
                <w:rFonts w:hint="eastAsia" w:ascii="宋体" w:hAnsi="宋体" w:eastAsia="宋体" w:cs="宋体"/>
                <w:color w:val="auto"/>
                <w:sz w:val="21"/>
                <w:szCs w:val="21"/>
                <w:highlight w:val="none"/>
              </w:rPr>
              <w:t>具备自动在播放流畅度与画面清晰度之间进行动态调整功能，能够确保在任何网络环境下都能获得流畅与画质兼备的使用体验</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16）统一画面操控与内容操控。需具备通过一套键盘、鼠标实现跨网络隔离资源统一操控各类信号源的功能；需具备在一个屏幕上的多个窗口通过键盘、鼠标、触控方式漫游控制已接入的各类信号源内容的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（17）独立操控。需具备多个用户基于各自角色权限，对不同信号源窗口及内容进行独立操控能力，通过隔离机制确保各用户独立操控，互不干扰。</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（18）裁剪重组。需具备</w:t>
            </w:r>
            <w:r>
              <w:rPr>
                <w:rFonts w:hint="eastAsia" w:ascii="宋体" w:hAnsi="宋体" w:eastAsia="宋体" w:cs="宋体"/>
                <w:color w:val="auto"/>
                <w:sz w:val="21"/>
                <w:szCs w:val="21"/>
                <w:highlight w:val="none"/>
              </w:rPr>
              <w:t>对来自不同网络的音视频资源进行实时显示、自由裁剪与任意组合功能，能够将裁剪后的多个组合关键窗口一键分享给其他用户</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19）协议与系统类型。需采用标准免驱控制协议，在硬件驱动层面实现高度兼容性，同时支持采用符合HID协议的键盘、鼠标、触控指令；需支持接入的信号源操作系统包括Linux、麒麟KylinOS、统信UOS、鸿蒙、Windows、安卓等类型。</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3.单终端性能要求</w:t>
            </w:r>
          </w:p>
          <w:p w14:paraId="5BC48DB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（1）支持显示输出的分辨率：最大4K@60Hz。</w:t>
            </w:r>
          </w:p>
          <w:p w14:paraId="1F0F9F57">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bidi="ar"/>
              </w:rPr>
              <w:t>（2）支持光传输使用延迟：不高于16.7ms。</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（3）支持单屏同时显示：不低于4个多域跨网信号源窗口。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（4）支持席位显示信号源数量：不低于8个多域跨网信号源画面。</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4.单终端规格要求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（1）设备配备≥2个HDMI端口，≥4个USB端口，≥2个音频3.5mm端口，≥1个10/100/1000Mbps自适应RJ45端口，≥1个SFP+光纤端口。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（2）设备配备≥1个电源接口。</w:t>
            </w:r>
          </w:p>
        </w:tc>
        <w:tc>
          <w:tcPr>
            <w:tcW w:w="1132" w:type="dxa"/>
            <w:tcBorders>
              <w:top w:val="single" w:color="auto" w:sz="4" w:space="0"/>
              <w:left w:val="single" w:color="auto" w:sz="4" w:space="0"/>
              <w:bottom w:val="single" w:color="auto" w:sz="4" w:space="0"/>
              <w:right w:val="single" w:color="auto" w:sz="4" w:space="0"/>
            </w:tcBorders>
            <w:vAlign w:val="center"/>
          </w:tcPr>
          <w:p w14:paraId="2543C90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72A5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244C3AB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1.8</w:t>
            </w:r>
          </w:p>
        </w:tc>
        <w:tc>
          <w:tcPr>
            <w:tcW w:w="1189" w:type="dxa"/>
            <w:tcBorders>
              <w:top w:val="single" w:color="auto" w:sz="4" w:space="0"/>
              <w:left w:val="single" w:color="auto" w:sz="4" w:space="0"/>
              <w:bottom w:val="single" w:color="auto" w:sz="4" w:space="0"/>
              <w:right w:val="single" w:color="auto" w:sz="4" w:space="0"/>
            </w:tcBorders>
            <w:vAlign w:val="center"/>
          </w:tcPr>
          <w:p w14:paraId="558AE6C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多域跨网融合移动端</w:t>
            </w:r>
          </w:p>
        </w:tc>
        <w:tc>
          <w:tcPr>
            <w:tcW w:w="622" w:type="dxa"/>
            <w:tcBorders>
              <w:top w:val="single" w:color="auto" w:sz="4" w:space="0"/>
              <w:left w:val="single" w:color="auto" w:sz="4" w:space="0"/>
              <w:bottom w:val="single" w:color="auto" w:sz="4" w:space="0"/>
              <w:right w:val="single" w:color="auto" w:sz="4" w:space="0"/>
            </w:tcBorders>
            <w:vAlign w:val="center"/>
          </w:tcPr>
          <w:p w14:paraId="5B69B93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491" w:type="dxa"/>
            <w:tcBorders>
              <w:top w:val="single" w:color="auto" w:sz="4" w:space="0"/>
              <w:left w:val="single" w:color="auto" w:sz="4" w:space="0"/>
              <w:bottom w:val="single" w:color="auto" w:sz="4" w:space="0"/>
              <w:right w:val="single" w:color="auto" w:sz="4" w:space="0"/>
            </w:tcBorders>
            <w:vAlign w:val="center"/>
          </w:tcPr>
          <w:p w14:paraId="1080B5A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项</w:t>
            </w:r>
          </w:p>
        </w:tc>
        <w:tc>
          <w:tcPr>
            <w:tcW w:w="5615" w:type="dxa"/>
            <w:tcBorders>
              <w:top w:val="single" w:color="auto" w:sz="4" w:space="0"/>
              <w:left w:val="single" w:color="auto" w:sz="4" w:space="0"/>
              <w:bottom w:val="single" w:color="auto" w:sz="4" w:space="0"/>
              <w:right w:val="single" w:color="auto" w:sz="4" w:space="0"/>
            </w:tcBorders>
          </w:tcPr>
          <w:p w14:paraId="3F13B317">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一、多域跨网融合移动端硬件版（6套）</w:t>
            </w:r>
          </w:p>
          <w:p w14:paraId="00671815">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（1）需具备对本地信号源的音视频信号采集编码功能，能够实现移动和固定席位交互使用，作业席位的界面资源采集和资源调取控制使用。</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（2）主控芯片和系统：需采用国产化主控芯片和嵌入式操作系统。</w:t>
            </w:r>
          </w:p>
          <w:p w14:paraId="1059179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2.功能要求</w:t>
            </w:r>
          </w:p>
          <w:p w14:paraId="39F14B4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（1）本地资源采集使用：需即插即用接入本地各类业务资源输出到屏幕组合展示，并可通过一套键鼠对接入资源进行操作使用。</w:t>
            </w:r>
          </w:p>
          <w:p w14:paraId="30C92DF6">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（2）资源采集编码传输：需支持将采集的本地资源进行编码，供其他终端使用或利用专用通信链路回传至后方指挥中心。</w:t>
            </w:r>
          </w:p>
          <w:p w14:paraId="0D2FC1D6">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（3）多域跨网资源协同：需具备接收指挥中心推送的各类跨网界面资源能力，在移动过程中与指挥中心保持信息同步，亦可将本地采集界面资源推送给指挥中心。</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在投标文件“招标项目采购需求中要求提供的材料等”提供所投产品涉及界面或资源推送技术的</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复印件</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并附相关说明材料佐证其技术方案满足</w:t>
            </w:r>
            <w:r>
              <w:rPr>
                <w:rFonts w:hint="eastAsia" w:ascii="宋体" w:hAnsi="宋体" w:eastAsia="宋体" w:cs="宋体"/>
                <w:b/>
                <w:bCs/>
                <w:color w:val="auto"/>
                <w:kern w:val="0"/>
                <w:sz w:val="21"/>
                <w:szCs w:val="21"/>
                <w:highlight w:val="none"/>
                <w:lang w:bidi="ar"/>
              </w:rPr>
              <w:t>上述</w:t>
            </w: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bidi="ar"/>
              </w:rPr>
              <w:t>类型包括发明专利</w:t>
            </w:r>
            <w:r>
              <w:rPr>
                <w:rFonts w:hint="eastAsia" w:ascii="宋体" w:hAnsi="宋体" w:cs="宋体"/>
                <w:b/>
                <w:bCs/>
                <w:color w:val="auto"/>
                <w:kern w:val="0"/>
                <w:sz w:val="21"/>
                <w:szCs w:val="21"/>
                <w:highlight w:val="none"/>
                <w:lang w:eastAsia="zh-CN" w:bidi="ar"/>
              </w:rPr>
              <w:t>或</w:t>
            </w:r>
            <w:r>
              <w:rPr>
                <w:rFonts w:hint="eastAsia" w:ascii="宋体" w:hAnsi="宋体" w:eastAsia="宋体" w:cs="宋体"/>
                <w:b/>
                <w:bCs/>
                <w:color w:val="auto"/>
                <w:kern w:val="0"/>
                <w:sz w:val="21"/>
                <w:szCs w:val="21"/>
                <w:highlight w:val="none"/>
                <w:lang w:bidi="ar"/>
              </w:rPr>
              <w:t>软件著作权等</w:t>
            </w:r>
            <w:r>
              <w:rPr>
                <w:rFonts w:hint="eastAsia" w:ascii="宋体" w:hAnsi="宋体" w:eastAsia="宋体" w:cs="宋体"/>
                <w:b/>
                <w:bCs/>
                <w:color w:val="auto"/>
                <w:kern w:val="0"/>
                <w:sz w:val="21"/>
                <w:szCs w:val="21"/>
                <w:highlight w:val="none"/>
                <w:lang w:val="en-US" w:eastAsia="zh-CN" w:bidi="ar"/>
              </w:rPr>
              <w:t>。</w:t>
            </w:r>
            <w:r>
              <w:rPr>
                <w:rFonts w:hint="eastAsia" w:ascii="宋体" w:hAnsi="宋体" w:eastAsia="宋体" w:cs="宋体"/>
                <w:b/>
                <w:bCs/>
                <w:color w:val="auto"/>
                <w:kern w:val="0"/>
                <w:sz w:val="21"/>
                <w:szCs w:val="21"/>
                <w:highlight w:val="none"/>
                <w:lang w:bidi="ar"/>
              </w:rPr>
              <w:t>）</w:t>
            </w:r>
          </w:p>
          <w:p w14:paraId="6D07E6F9">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（4）多终端间协同通信：需支持与其他多域跨网融合移动端之间实现1对1音视频协同分享功能。</w:t>
            </w:r>
          </w:p>
          <w:p w14:paraId="676D855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（5）组合界面标注推送：需支持对接入的资源组合界面场景进行标注，并推送至指挥中心或其他多域跨网融合移动端。</w:t>
            </w:r>
          </w:p>
          <w:p w14:paraId="41ABFFE1">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无中心使用模式：需支持在没有后台服务器连接的情况下，自动搜索发现同网络内的其他终端设备，设备之间可建立点对点通信，实现相互之间的界面调取、推送、标绘分享、音视频协同分享功能。在后台服务器意外断连的情况下仍然可以形成多终端协同能力。</w:t>
            </w:r>
          </w:p>
          <w:p w14:paraId="51B1689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信号源接入类型：需支持接入台式机、笔记本、平板、手机、摄像头等。兼容大屏幕、显示器、投影仪、电视、键盘鼠标、触控屏、耳麦、话筒等外设类型。支持接入的信号源操作系统包括Linux、麒麟KylinOS、统信UOS、鸿蒙、Windows、安卓等类型。</w:t>
            </w:r>
          </w:p>
          <w:p w14:paraId="37CB2AB9">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组合场景与场景预案。需具备多网资源的灵活调度与快速组合调用的能力，能够实现多种组合显示效果；需能够实现以列表形式呈现场景预案并实时预览和一键切换，亦可进行场景组合的保存与预案的管理。</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（9）开窗漫游与窗口设置。需具备自由开启、移动、缩放或关闭任意信号源窗口功能；须具备将关键信号源窗口置顶、移动、缩放等功能。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布局定义与栏目设置。需具备灵活的布局自定义功能，能够对信号源窗口进行拖拽及位置调整，创建可命名的多画面组合场景，亦可进行窗口预览显示；需具备将信号源窗口组合存为预设栏目，并进行快捷调取的功能，支持栏目名称、布局自定义以及快捷访问。</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（11）动态码率。需具备自动在播放流畅度与画面清晰度之间进行动态调整功能，能够确保在任何网络环境下都能获得流畅与画质兼备的使用体验。</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（12）内容操控。需具备在一个屏幕上的多个窗口通过键盘、鼠标、触控方式漫游控制已接入的各类信号源内容的功能。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（13）裁剪重组。需具备对来自不同网络的音视频资源进行实时显示、自由裁剪与任意组合功能，能够将裁剪后的多个组合关键窗口一键分享给其他用户。</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动态标注与协同标注。需具备在多个音视频组合的画面上进行实时动态编辑标注功能，能够提供丰富的标注工具（线条、箭头、图形、文字等），支持在实时画面上进行自由绘制、编辑与样式调整，生成含图片、文字的动态音视频场景，同时将修改编辑后的结果推送到其他用户；须具备多地、多终端、多人动态编辑协同标注功能，能够实现多终端实时并行对视频画面进行同步绘制与标记，所有用户的标注内容可在一个屏幕上作为独立图层实时叠加显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（15）支持协议与网络类型。需采用标准免驱控制协议，在硬件驱动层面实现高度兼容性，同时支持采用符合HID协议的键盘、鼠标、触控指令；支持GB/T 28181协议标准。支持的协议类型包括H.264、H.264HP、H.265、G.711、G.722、Opus、H.323、SIP等编码格式，视频协议需支持RTSP（必须）、RTMP、WebRtc中的一项或多项。支持气象宽带网、电子政务网、自组网、互联网、4G/5G、卫星网络等网络环境以及IPv4和IPv6网络协议。</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3.单终端性能要求</w:t>
            </w:r>
          </w:p>
          <w:p w14:paraId="47E0AF30">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（1）支持可接入的资源数量：不低于4路2K@60Hz。</w:t>
            </w:r>
          </w:p>
          <w:p w14:paraId="161EA41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（2）支持接入信号源的分辨率：单路最大4K@60Hz。</w:t>
            </w:r>
          </w:p>
          <w:p w14:paraId="18D8AEA8">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（3）支持单终端同时显示的资源数量：不小于4个。</w:t>
            </w:r>
          </w:p>
          <w:p w14:paraId="65D0EC2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（4）支持布局样式数量：不低于8种。</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（5）支持最大8个资源画面实时预览显示。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4.单终端规格要求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（1）设备配备≥</w:t>
            </w: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个HDMI端口，≥4个USB端口，≥2个音频3.5mm端口，≥1个10/100/1000Mbps自适应RJ45端口。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（2）设备配备≥1个电源接口。</w:t>
            </w:r>
          </w:p>
          <w:p w14:paraId="7ACD8D30">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二、多域跨网融合移动端软件版（4套）</w:t>
            </w:r>
          </w:p>
          <w:p w14:paraId="112395F9">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资源采集操控。需具备统一调取、显示、控制接入资源的能力，包括本地屏幕编码采集、资源融合显示、集中操控、开窗漫游、分享推送、编辑标注等功能，能够适用于席位电脑、电子沙盘、汇报台、笔记本、大屏、机动集成作业系统指挥模组、调度端、作业端等场景。</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2.功能要求</w:t>
            </w:r>
          </w:p>
          <w:p w14:paraId="076A8646">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（1）资源采集编码传输：需支持对本机输出界面进行采集编码，供其他终端使用或利用专用通信链路回传至后方指挥中心。</w:t>
            </w:r>
          </w:p>
          <w:p w14:paraId="495581E4">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（2）远程跨网资源协同：需具备接收指挥中心推送的省、市、县各类跨网界面资源能力，在移动过程中与指挥中心保持信息同步，亦可将本地采集界面资源推送给省、市、县指挥中心。</w:t>
            </w:r>
          </w:p>
          <w:p w14:paraId="2783F0CF">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（3）多终端间协同通信：需支持与其他多域跨网融合移动端之间，实现1对1音视频通话功能。</w:t>
            </w:r>
          </w:p>
          <w:p w14:paraId="08E9032E">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（4）组合界面标注推送：需支持对接入的资源组合界面场景进行标注，并推送至指挥中心或其他多域跨网融合移动端。</w:t>
            </w:r>
          </w:p>
          <w:p w14:paraId="1E450E82">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无中心使用模式：需支持在没有后台服务器连接的情况下，自动搜索发现同网络内的其他终端设备，设备之间可建立点对点通信，实现相互之间的界面调取、推送、标绘分享、音视频通话功能。在后台服务器意外断连的情况下仍然可以形成多终端协同能力。</w:t>
            </w:r>
          </w:p>
          <w:p w14:paraId="4B5990BA">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融合显示。需具备快速接入多网资源能力，可构建资源组合场景，实现多种显示效果；需具备任意开窗显示、窗口关闭、窗口移动、窗口置顶功能；需具备将信号组合界面保存为预设栏目的功能，可快捷调取，栏目支持自定义名称和布局。需支持一键收起和隐藏主页面功能应用按钮、栏目及资源窗口菜单，无遮挡全画面显示资源内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内容控制。需具备通过一套键鼠或触控方式对接入多域跨网音视频资源进行统一操控功能，提供基础键鼠指令映射与快捷组合键功能；须具备在一个屏幕上通过键鼠、触控方式漫游控制已接入的各类信号源的功能；须具备基于角色权限实现多用户对不同信号源窗口及内容的独立操控能力。</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系统类型与多屏使用。需支持信号源操作系统类型包括Windows、Linux、Android、鸿蒙、麒麟KylinOS、统信UOS等；需具备拖拽资源、组合场景和栏目与主窗口分离显示功能，能够实现漫游到任意窗口上独立显示、控制、布局、全屏等操作。</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9）裁剪重组与动态标注。需具备对来自不同网络的音视频资源进行实时显示、自由裁剪与任意组合功能，能够将裁剪后的多个组合关键窗口一键分享给其他用户；需具备在多个音视频组合的画面上进行实时动态编辑标注功能，能够提供丰富的标注工具（线条、箭头、图形、文字等），支持在实时画面上进行自由绘制、编辑与样式调整，生成含图片、文字的动态音视频场景，同时将修改编辑后的结果推送到其他用户。</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在投标文件“招标项目采购需求中要求提供的材料等”提供所投产品涉及裁剪或标注技术的</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复印件</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并附相关说明材料佐证其技术方案满足</w:t>
            </w:r>
            <w:r>
              <w:rPr>
                <w:rFonts w:hint="eastAsia" w:ascii="宋体" w:hAnsi="宋体" w:eastAsia="宋体" w:cs="宋体"/>
                <w:b/>
                <w:bCs/>
                <w:color w:val="auto"/>
                <w:kern w:val="0"/>
                <w:sz w:val="21"/>
                <w:szCs w:val="21"/>
                <w:highlight w:val="none"/>
                <w:lang w:bidi="ar"/>
              </w:rPr>
              <w:t>上述</w:t>
            </w: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bidi="ar"/>
              </w:rPr>
              <w:t>类型包括发明专利</w:t>
            </w:r>
            <w:r>
              <w:rPr>
                <w:rFonts w:hint="eastAsia" w:ascii="宋体" w:hAnsi="宋体" w:cs="宋体"/>
                <w:b/>
                <w:bCs/>
                <w:color w:val="auto"/>
                <w:kern w:val="0"/>
                <w:sz w:val="21"/>
                <w:szCs w:val="21"/>
                <w:highlight w:val="none"/>
                <w:lang w:eastAsia="zh-CN" w:bidi="ar"/>
              </w:rPr>
              <w:t>或</w:t>
            </w:r>
            <w:r>
              <w:rPr>
                <w:rFonts w:hint="eastAsia" w:ascii="宋体" w:hAnsi="宋体" w:eastAsia="宋体" w:cs="宋体"/>
                <w:b/>
                <w:bCs/>
                <w:color w:val="auto"/>
                <w:kern w:val="0"/>
                <w:sz w:val="21"/>
                <w:szCs w:val="21"/>
                <w:highlight w:val="none"/>
                <w:lang w:bidi="ar"/>
              </w:rPr>
              <w:t>软件著作权等</w:t>
            </w:r>
            <w:r>
              <w:rPr>
                <w:rFonts w:hint="eastAsia" w:ascii="宋体" w:hAnsi="宋体" w:eastAsia="宋体" w:cs="宋体"/>
                <w:b/>
                <w:bCs/>
                <w:color w:val="auto"/>
                <w:kern w:val="0"/>
                <w:sz w:val="21"/>
                <w:szCs w:val="21"/>
                <w:highlight w:val="none"/>
                <w:lang w:val="en-US" w:eastAsia="zh-CN" w:bidi="ar"/>
              </w:rPr>
              <w:t>。</w:t>
            </w:r>
            <w:r>
              <w:rPr>
                <w:rFonts w:hint="eastAsia" w:ascii="宋体" w:hAnsi="宋体" w:eastAsia="宋体" w:cs="宋体"/>
                <w:b/>
                <w:bCs/>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多人协同。需具备多人跨域协同编辑标注功能可实时同步展示标绘过程，能够实现对各路视频画面进行协同编辑，允许多人、多终端1对1、1对多在线共同编辑文档及标注，多个终端能实时协同标注多域跨网组合画面广播推送，不同用户的标注内容可在同一屏幕实时叠加显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（11）事件联动。需具备通过特定事件指令调取预设栏目的功能，能够实现多个用户之间可通过特定事件触发联动，共同处理同一事件下各自关注的多域跨网音视频资源组合画面。</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（12）预案轮询。需具备基于同一个时间轴，对各类设定组合场景便捷排列的能力，能够实现对编辑后时间轴的轮询播放能力，可在预设时间点自动调取预设的组合场景。</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（13）告警联动。需支持基于第三方系统生成的告警信息，通过对接方式关联触发预设联动预案，快速调取对应告警相关的音视频资源，并按预设组合场景完成可视化展示，实现告警事件智能化处置响应。</w:t>
            </w:r>
          </w:p>
          <w:p w14:paraId="69182B5F">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指挥端模式。需具备在指挥员一键下达给自治区、市、县三级及移动指挥车、作业端、手机端等时，指挥端一屏管理资源，多个态势屏一键内容切换显示，资源可按需投屏至任意态势屏幕；需具备组合界面快速调取功能，能够实现将不同业务系统形成组合场景，一键调取，并一键推送到任意态势屏幕；需具备信号源缩略显示功能，能够通过滑动操作快速预览所有内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3.单终端性能要求</w:t>
            </w:r>
          </w:p>
          <w:p w14:paraId="41702125">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（1）支持同时显示的资源数量：不小于4个。</w:t>
            </w:r>
          </w:p>
          <w:p w14:paraId="150A2338">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（2）支持布局样式数量：不低于8种。</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（3）支持裁剪的窗口最小分辨率为：64x64像素。</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（4）支持多人协同人数：不低于4人。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（5）支持采集屏幕数量：不少于4块。</w:t>
            </w:r>
          </w:p>
          <w:p w14:paraId="5E1EF29E">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4.运行环境</w:t>
            </w:r>
          </w:p>
          <w:p w14:paraId="12ACF9B5">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（1）需支持安卓、国产麒麟、windows操作系统。</w:t>
            </w:r>
          </w:p>
        </w:tc>
        <w:tc>
          <w:tcPr>
            <w:tcW w:w="1132" w:type="dxa"/>
            <w:tcBorders>
              <w:top w:val="single" w:color="auto" w:sz="4" w:space="0"/>
              <w:left w:val="single" w:color="auto" w:sz="4" w:space="0"/>
              <w:bottom w:val="single" w:color="auto" w:sz="4" w:space="0"/>
              <w:right w:val="single" w:color="auto" w:sz="4" w:space="0"/>
            </w:tcBorders>
            <w:vAlign w:val="center"/>
          </w:tcPr>
          <w:p w14:paraId="3ABEF7E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3C4C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0D7E89C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1.9</w:t>
            </w:r>
          </w:p>
        </w:tc>
        <w:tc>
          <w:tcPr>
            <w:tcW w:w="1189" w:type="dxa"/>
            <w:tcBorders>
              <w:top w:val="single" w:color="auto" w:sz="4" w:space="0"/>
              <w:left w:val="single" w:color="auto" w:sz="4" w:space="0"/>
              <w:bottom w:val="single" w:color="auto" w:sz="4" w:space="0"/>
              <w:right w:val="single" w:color="auto" w:sz="4" w:space="0"/>
            </w:tcBorders>
            <w:vAlign w:val="center"/>
          </w:tcPr>
          <w:p w14:paraId="4802EC2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多域跨网融合态势端</w:t>
            </w:r>
          </w:p>
        </w:tc>
        <w:tc>
          <w:tcPr>
            <w:tcW w:w="622" w:type="dxa"/>
            <w:tcBorders>
              <w:top w:val="single" w:color="auto" w:sz="4" w:space="0"/>
              <w:left w:val="single" w:color="auto" w:sz="4" w:space="0"/>
              <w:bottom w:val="single" w:color="auto" w:sz="4" w:space="0"/>
              <w:right w:val="single" w:color="auto" w:sz="4" w:space="0"/>
            </w:tcBorders>
            <w:vAlign w:val="center"/>
          </w:tcPr>
          <w:p w14:paraId="7ADF617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w:t>
            </w:r>
          </w:p>
        </w:tc>
        <w:tc>
          <w:tcPr>
            <w:tcW w:w="491" w:type="dxa"/>
            <w:tcBorders>
              <w:top w:val="single" w:color="auto" w:sz="4" w:space="0"/>
              <w:left w:val="single" w:color="auto" w:sz="4" w:space="0"/>
              <w:bottom w:val="single" w:color="auto" w:sz="4" w:space="0"/>
              <w:right w:val="single" w:color="auto" w:sz="4" w:space="0"/>
            </w:tcBorders>
            <w:vAlign w:val="center"/>
          </w:tcPr>
          <w:p w14:paraId="03FA84E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656D430E">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（1）大屏幕显示界面资源。需具备整合多网资源显示功能，能够实现自定义配置、资源推送、实时动态标绘及多用户协同，适用于实时显示全域态势。</w:t>
            </w:r>
          </w:p>
          <w:p w14:paraId="2125A00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（2）需配套满足运行最大分辨率为4K@60Hz的工作站。</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2.功能要求</w:t>
            </w:r>
          </w:p>
          <w:p w14:paraId="29FAEBB5">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（1）多域界面展示：需支持将多个多域跨网界面形成组合场景进行统一展示，不同密级的信号源之间安全隔离、互不干扰。</w:t>
            </w:r>
          </w:p>
          <w:p w14:paraId="40FA6F0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（2）多域标绘展示：需支持将多个多域跨网界面的组合场景进行重点信息标注。如：线条、箭头、圆形、矩形等，可支持使用终端对标注信息进行修改并再次推送更新。</w:t>
            </w:r>
          </w:p>
          <w:p w14:paraId="121AC875">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（3）远程分享推送：需支持接收来自本地终端或远程异地终端用户的分享推送。包括组合界面、裁剪界面、标绘界面等。</w:t>
            </w:r>
          </w:p>
          <w:p w14:paraId="254FFF4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（4）态势实时更新：需能够自动获取并更新多域跨网的最新界面，保障态势信息的时效性。自动更新间隔不高于1秒。</w:t>
            </w:r>
          </w:p>
          <w:p w14:paraId="5AB158F5">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5）协同标绘支撑：需支持多个终端对同一多域跨网组合界面进行并行协同标绘，支持不同用户标绘内容进行融合叠加显示，并行协同的用户数量不低于6个。需支持将指定界面窗口、组合界面、标注界面、协同标绘进行态势分享展示、态势接收方可全屏实时展示该分享内容。</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在投标文件“招标项目采购需求中要求提供的材料等”提供所投产品涉及协同标绘技术的</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val="en-US" w:eastAsia="zh-CN" w:bidi="ar"/>
              </w:rPr>
              <w:t>复印件</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并附相关说明材料佐证其技术方案满足</w:t>
            </w:r>
            <w:r>
              <w:rPr>
                <w:rFonts w:hint="eastAsia" w:ascii="宋体" w:hAnsi="宋体" w:eastAsia="宋体" w:cs="宋体"/>
                <w:b/>
                <w:bCs/>
                <w:color w:val="auto"/>
                <w:kern w:val="0"/>
                <w:sz w:val="21"/>
                <w:szCs w:val="21"/>
                <w:highlight w:val="none"/>
                <w:lang w:bidi="ar"/>
              </w:rPr>
              <w:t>上述</w:t>
            </w: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cs="宋体"/>
                <w:b/>
                <w:bCs/>
                <w:color w:val="auto"/>
                <w:kern w:val="0"/>
                <w:sz w:val="21"/>
                <w:szCs w:val="21"/>
                <w:highlight w:val="none"/>
                <w:lang w:eastAsia="zh-CN" w:bidi="ar"/>
              </w:rPr>
              <w:t>知识产权证书</w:t>
            </w:r>
            <w:r>
              <w:rPr>
                <w:rFonts w:hint="eastAsia" w:ascii="宋体" w:hAnsi="宋体" w:eastAsia="宋体" w:cs="宋体"/>
                <w:b/>
                <w:bCs/>
                <w:color w:val="auto"/>
                <w:kern w:val="0"/>
                <w:sz w:val="21"/>
                <w:szCs w:val="21"/>
                <w:highlight w:val="none"/>
                <w:lang w:bidi="ar"/>
              </w:rPr>
              <w:t>类型包括发明专利</w:t>
            </w:r>
            <w:r>
              <w:rPr>
                <w:rFonts w:hint="eastAsia" w:ascii="宋体" w:hAnsi="宋体" w:cs="宋体"/>
                <w:b/>
                <w:bCs/>
                <w:color w:val="auto"/>
                <w:kern w:val="0"/>
                <w:sz w:val="21"/>
                <w:szCs w:val="21"/>
                <w:highlight w:val="none"/>
                <w:lang w:eastAsia="zh-CN" w:bidi="ar"/>
              </w:rPr>
              <w:t>或</w:t>
            </w:r>
            <w:r>
              <w:rPr>
                <w:rFonts w:hint="eastAsia" w:ascii="宋体" w:hAnsi="宋体" w:eastAsia="宋体" w:cs="宋体"/>
                <w:b/>
                <w:bCs/>
                <w:color w:val="auto"/>
                <w:kern w:val="0"/>
                <w:sz w:val="21"/>
                <w:szCs w:val="21"/>
                <w:highlight w:val="none"/>
                <w:lang w:bidi="ar"/>
              </w:rPr>
              <w:t>软件著作权等</w:t>
            </w:r>
            <w:r>
              <w:rPr>
                <w:rFonts w:hint="eastAsia" w:ascii="宋体" w:hAnsi="宋体" w:eastAsia="宋体" w:cs="宋体"/>
                <w:b/>
                <w:bCs/>
                <w:color w:val="auto"/>
                <w:kern w:val="0"/>
                <w:sz w:val="21"/>
                <w:szCs w:val="21"/>
                <w:highlight w:val="none"/>
                <w:lang w:val="en-US" w:eastAsia="zh-CN" w:bidi="ar"/>
              </w:rPr>
              <w:t>。</w:t>
            </w:r>
            <w:r>
              <w:rPr>
                <w:rFonts w:hint="eastAsia" w:ascii="宋体" w:hAnsi="宋体" w:eastAsia="宋体" w:cs="宋体"/>
                <w:b/>
                <w:bCs/>
                <w:color w:val="auto"/>
                <w:kern w:val="0"/>
                <w:sz w:val="21"/>
                <w:szCs w:val="21"/>
                <w:highlight w:val="none"/>
                <w:lang w:bidi="ar"/>
              </w:rPr>
              <w:t>）</w:t>
            </w:r>
          </w:p>
          <w:p w14:paraId="440A53B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（6）轮巡展示。需支持按时间轴或固定周期对组合界面资源自动轮巡展示，能够实现非人工干预，自动运行。</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（7）监控取流与账户同步管理。需支持对符合GB/T 28181的各类视频监控独立取流显示；用户在不同终端登录账户后可同步账户信息，能够确保用户界面资源列表、功能模块、使用权限、使用记录跟随账户切换。</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（8）显示类型。需支持组合界面、裁剪界面、标绘界面、预案联动场景界面等显示类型。</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9）省流机制与告警联动。需支持灵活设置显示超时时间，在监测到态势端显示内容无更新、无操作时，自动停止取流播放，降低带宽占用、节省流量；需支持基于第三方系统生成的告警信息，通过对接方式关联触发预设联动预案，快速调取对应告警相关的音视频资源，并按预设组合场景完成可视化展示，实现告警事件智能化处置响应。</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（10）内容交互与预案锁定。需具备使用一套键盘、鼠标，</w:t>
            </w:r>
            <w:r>
              <w:rPr>
                <w:rFonts w:hint="eastAsia" w:ascii="宋体" w:hAnsi="宋体" w:eastAsia="宋体" w:cs="宋体"/>
                <w:color w:val="auto"/>
                <w:sz w:val="21"/>
                <w:szCs w:val="21"/>
                <w:highlight w:val="none"/>
              </w:rPr>
              <w:t>可自由漫游至大屏幕任意窗口进行内容控制及键鼠输入，能够</w:t>
            </w:r>
            <w:r>
              <w:rPr>
                <w:rFonts w:hint="eastAsia" w:ascii="宋体" w:hAnsi="宋体" w:eastAsia="宋体" w:cs="宋体"/>
                <w:color w:val="auto"/>
                <w:kern w:val="0"/>
                <w:sz w:val="21"/>
                <w:szCs w:val="21"/>
                <w:highlight w:val="none"/>
                <w:lang w:bidi="zh-CN"/>
              </w:rPr>
              <w:t>实现对一个大屏幕任意区域的界面进行窗口漫游交互控制</w:t>
            </w:r>
            <w:r>
              <w:rPr>
                <w:rFonts w:hint="eastAsia" w:ascii="宋体" w:hAnsi="宋体" w:eastAsia="宋体" w:cs="宋体"/>
                <w:color w:val="auto"/>
                <w:kern w:val="0"/>
                <w:sz w:val="21"/>
                <w:szCs w:val="21"/>
                <w:highlight w:val="none"/>
                <w:lang w:bidi="ar"/>
              </w:rPr>
              <w:t>；需</w:t>
            </w:r>
            <w:r>
              <w:rPr>
                <w:rFonts w:hint="eastAsia" w:ascii="宋体" w:hAnsi="宋体" w:eastAsia="宋体" w:cs="宋体"/>
                <w:color w:val="auto"/>
                <w:kern w:val="0"/>
                <w:sz w:val="21"/>
                <w:szCs w:val="21"/>
                <w:highlight w:val="none"/>
                <w:lang w:bidi="zh-CN"/>
              </w:rPr>
              <w:t>具备锁定屏幕显示预案功能，能够根据需要锁定屏幕，防止误操作</w:t>
            </w:r>
            <w:r>
              <w:rPr>
                <w:rFonts w:hint="eastAsia" w:ascii="宋体" w:hAnsi="宋体" w:eastAsia="宋体" w:cs="宋体"/>
                <w:color w:val="auto"/>
                <w:kern w:val="0"/>
                <w:sz w:val="21"/>
                <w:szCs w:val="21"/>
                <w:highlight w:val="none"/>
                <w:lang w:bidi="ar"/>
              </w:rPr>
              <w:t>。</w:t>
            </w:r>
          </w:p>
          <w:p w14:paraId="36F0695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11）实时编辑与预设编辑。需支持将编辑后的结果实时呈现在大屏幕，能够实现编辑修改内容立即生效同步到大屏幕显示，如窗口布局改变、信号源替换后大屏可实时变化；需支持将编辑内容进行缓存预设，进行推送后大屏幕显示当前预设的编辑内容，如预设不同组合窗口和标绘信息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（12）资源加载与资源组合。需支持对本地资源进行导入加载，如图片、视频、音频、文本文件等；需支持对多类资源进行组合显示，如计算机桌面、监控视频、高拍仪界面、文本文件、图片文件、视频文件等。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预设联动与显示预览。需支持预设需要联动的显示场景，形成预案，并关联特定触发事件，能够实现当事件发生时自动联动预设预案场景；需支持对接入的各类资源进行实时预览，如信号源缩略图、组合场景缩略图。</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网格布局与比例设置。需支持对态势显示的网格进行自定义调整，可按照系统预设进行选择，或者按照用户需求进行任意编辑组合成新布局，并支持对这些布局进行管理；需支持对态势界面根据大屏幕实际比例进行参数设置，能够校准当前显示比例，避免大屏幕显示拉伸失真。</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3.性能要求</w:t>
            </w:r>
          </w:p>
          <w:p w14:paraId="663BA49B">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（1）支持同时显示窗口数量：不小于8个。</w:t>
            </w:r>
          </w:p>
          <w:p w14:paraId="22451F29">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（2）支持独立取流的监控路数：不低于128路。</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（3）支持显示的整体最大分辨率为：4K@60Hz。</w:t>
            </w:r>
          </w:p>
          <w:p w14:paraId="7688965C">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（4）工作站要求：①CPU：</w:t>
            </w:r>
            <w:r>
              <w:rPr>
                <w:rFonts w:hint="eastAsia" w:ascii="宋体" w:hAnsi="宋体" w:eastAsia="宋体" w:cs="宋体"/>
                <w:color w:val="auto"/>
                <w:kern w:val="0"/>
                <w:sz w:val="21"/>
                <w:szCs w:val="21"/>
                <w:highlight w:val="none"/>
                <w:lang w:bidi="zh-CN"/>
              </w:rPr>
              <w:t>8核16线程及以上，主频3.0GHz及以上</w:t>
            </w:r>
            <w:r>
              <w:rPr>
                <w:rFonts w:hint="eastAsia" w:ascii="宋体" w:hAnsi="宋体" w:eastAsia="宋体" w:cs="宋体"/>
                <w:color w:val="auto"/>
                <w:kern w:val="0"/>
                <w:sz w:val="21"/>
                <w:szCs w:val="21"/>
                <w:highlight w:val="none"/>
                <w:lang w:bidi="ar"/>
              </w:rPr>
              <w:t>。②内存：32GB及以上。③硬盘：256G SSD及以上。④显卡：</w:t>
            </w:r>
            <w:r>
              <w:rPr>
                <w:rFonts w:hint="eastAsia" w:ascii="宋体" w:hAnsi="宋体" w:eastAsia="宋体" w:cs="宋体"/>
                <w:color w:val="auto"/>
                <w:kern w:val="0"/>
                <w:sz w:val="21"/>
                <w:szCs w:val="21"/>
                <w:highlight w:val="none"/>
                <w:lang w:bidi="zh-CN"/>
              </w:rPr>
              <w:t>GPU显存16GB或以上，支持同时不低于4路4K输出。</w:t>
            </w:r>
            <w:r>
              <w:rPr>
                <w:rFonts w:hint="eastAsia" w:ascii="宋体" w:hAnsi="宋体" w:eastAsia="宋体" w:cs="宋体"/>
                <w:color w:val="auto"/>
                <w:kern w:val="0"/>
                <w:sz w:val="21"/>
                <w:szCs w:val="21"/>
                <w:highlight w:val="none"/>
                <w:lang w:bidi="ar"/>
              </w:rPr>
              <w:t>⑤网卡：千兆及以上。</w:t>
            </w:r>
          </w:p>
        </w:tc>
        <w:tc>
          <w:tcPr>
            <w:tcW w:w="1132" w:type="dxa"/>
            <w:tcBorders>
              <w:top w:val="single" w:color="auto" w:sz="4" w:space="0"/>
              <w:left w:val="single" w:color="auto" w:sz="4" w:space="0"/>
              <w:bottom w:val="single" w:color="auto" w:sz="4" w:space="0"/>
              <w:right w:val="single" w:color="auto" w:sz="4" w:space="0"/>
            </w:tcBorders>
            <w:vAlign w:val="center"/>
          </w:tcPr>
          <w:p w14:paraId="5153E78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3606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6452B43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1.10</w:t>
            </w:r>
          </w:p>
        </w:tc>
        <w:tc>
          <w:tcPr>
            <w:tcW w:w="1189" w:type="dxa"/>
            <w:tcBorders>
              <w:top w:val="single" w:color="auto" w:sz="4" w:space="0"/>
              <w:left w:val="single" w:color="auto" w:sz="4" w:space="0"/>
              <w:bottom w:val="single" w:color="auto" w:sz="4" w:space="0"/>
              <w:right w:val="single" w:color="auto" w:sz="4" w:space="0"/>
            </w:tcBorders>
            <w:vAlign w:val="center"/>
          </w:tcPr>
          <w:p w14:paraId="61B6136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多域跨网融合会商端</w:t>
            </w:r>
          </w:p>
        </w:tc>
        <w:tc>
          <w:tcPr>
            <w:tcW w:w="622" w:type="dxa"/>
            <w:tcBorders>
              <w:top w:val="single" w:color="auto" w:sz="4" w:space="0"/>
              <w:left w:val="single" w:color="auto" w:sz="4" w:space="0"/>
              <w:bottom w:val="single" w:color="auto" w:sz="4" w:space="0"/>
              <w:right w:val="single" w:color="auto" w:sz="4" w:space="0"/>
            </w:tcBorders>
            <w:vAlign w:val="center"/>
          </w:tcPr>
          <w:p w14:paraId="3282DCF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491" w:type="dxa"/>
            <w:tcBorders>
              <w:top w:val="single" w:color="auto" w:sz="4" w:space="0"/>
              <w:left w:val="single" w:color="auto" w:sz="4" w:space="0"/>
              <w:bottom w:val="single" w:color="auto" w:sz="4" w:space="0"/>
              <w:right w:val="single" w:color="auto" w:sz="4" w:space="0"/>
            </w:tcBorders>
            <w:vAlign w:val="center"/>
          </w:tcPr>
          <w:p w14:paraId="39529AF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项</w:t>
            </w:r>
          </w:p>
        </w:tc>
        <w:tc>
          <w:tcPr>
            <w:tcW w:w="5615" w:type="dxa"/>
            <w:tcBorders>
              <w:top w:val="single" w:color="auto" w:sz="4" w:space="0"/>
              <w:left w:val="single" w:color="auto" w:sz="4" w:space="0"/>
              <w:bottom w:val="single" w:color="auto" w:sz="4" w:space="0"/>
              <w:right w:val="single" w:color="auto" w:sz="4" w:space="0"/>
            </w:tcBorders>
          </w:tcPr>
          <w:p w14:paraId="1970D07D">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一、多域跨网融合会商端客户端（12套）</w:t>
            </w:r>
          </w:p>
          <w:p w14:paraId="7413FE69">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（1）多域跨网会议：需支持多地域、多用户共同参与音视频会议，参会人员可共享使用多域跨网融合接入的界面资源。</w:t>
            </w:r>
          </w:p>
          <w:p w14:paraId="6288E2BB">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（2）多源同步传输：需支持多域跨网界面、会议视频画面、语音同步传输。</w:t>
            </w:r>
          </w:p>
          <w:p w14:paraId="44B4CD44">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（3）需配备满足运行最大分辨率为4K@60Hz的</w:t>
            </w:r>
            <w:r>
              <w:rPr>
                <w:rFonts w:hint="eastAsia" w:ascii="宋体" w:hAnsi="宋体" w:eastAsia="宋体" w:cs="宋体"/>
                <w:color w:val="auto"/>
                <w:kern w:val="0"/>
                <w:sz w:val="21"/>
                <w:szCs w:val="21"/>
                <w:highlight w:val="none"/>
                <w:lang w:bidi="ar"/>
              </w:rPr>
              <w:t>画面监视器</w:t>
            </w:r>
            <w:r>
              <w:rPr>
                <w:rFonts w:hint="eastAsia" w:ascii="宋体" w:hAnsi="宋体" w:eastAsia="宋体" w:cs="宋体"/>
                <w:color w:val="auto"/>
                <w:kern w:val="0"/>
                <w:sz w:val="21"/>
                <w:szCs w:val="21"/>
                <w:highlight w:val="none"/>
                <w:lang w:bidi="zh-CN"/>
              </w:rPr>
              <w:t>。</w:t>
            </w:r>
          </w:p>
          <w:p w14:paraId="6A2EA21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2.功能要求</w:t>
            </w:r>
          </w:p>
          <w:p w14:paraId="3809552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（1）界面共享功能：需支持对多域跨网界面进行一屏调度，支持对跨域跨网组合界面场景实时共享，并基于跨网组合界面进行共同研讨，过程中确保跨网界面之间安全隔离，互不干扰。</w:t>
            </w:r>
          </w:p>
          <w:p w14:paraId="2FD5DF8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（2）界面共享方式：需支持多种界面共享方式，包括：软件抓屏共享、本地采集共享、其他终端推送来的界面共享、协同标绘界面共享、本地组合场景共享。</w:t>
            </w:r>
          </w:p>
          <w:p w14:paraId="61CC307B">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（3）账号管理：需具备建立统一账户管理功能，可与后台账户信息进行同步。</w:t>
            </w:r>
          </w:p>
          <w:p w14:paraId="3C08C27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（4）多级组会与多级呼叫。需</w:t>
            </w:r>
            <w:r>
              <w:rPr>
                <w:rFonts w:hint="eastAsia" w:ascii="宋体" w:hAnsi="宋体" w:eastAsia="宋体" w:cs="宋体"/>
                <w:color w:val="auto"/>
                <w:kern w:val="0"/>
                <w:sz w:val="21"/>
                <w:szCs w:val="21"/>
                <w:highlight w:val="none"/>
                <w:lang w:bidi="zh-CN"/>
              </w:rPr>
              <w:t>具备多方实时音视频会议和文本对话功能。采用SIP协议，提供多对多的音视频通信功能。支持语音对讲，可创建多个对讲组，能够实现自由讨论和广播；须支持基于角色权限对各级用户同时在线音视频呼叫，实现内外网资源结合和“端到端”音视频连线；须具备多方协同参与音视频会议功能，能够实现会议画面和会议语音保持实时同步传输</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（5）快速会议与预定会议。需</w:t>
            </w:r>
            <w:r>
              <w:rPr>
                <w:rFonts w:hint="eastAsia" w:ascii="宋体" w:hAnsi="宋体" w:eastAsia="宋体" w:cs="宋体"/>
                <w:color w:val="auto"/>
                <w:kern w:val="0"/>
                <w:sz w:val="21"/>
                <w:szCs w:val="21"/>
                <w:highlight w:val="none"/>
                <w:lang w:bidi="zh-CN"/>
              </w:rPr>
              <w:t>具备会议时长设置功能，可根据需求手动调整为30分钟、1小时、2小时等自定义时长，无需邀请成员。建会人可从组织架构拉取人员并发送邀请；需具备预定参会人员和时间功能，能够实现进入会议后建会人仍可再次邀请其他人员入会</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6）会议列表与查询会议。需支持在会议首页显示相关会议列表，包括自己创建或他人邀请的会议；点击待入会议，展示相关预定会议与快速会议，也可根据会议号查询会议。入会需输入会议密码验证，通过后即时入会，会议号支持一键复制，会议密码在建会时可设置修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会议操作与屏幕共享。需支持多种会议显示模式，如平铺展示、列表模式；支持会议摄像头镜像翻转、静音/非静音操作，且会议中说话人话筒高亮显示；需支持会议中共享屏幕，能够实现会议里的其他成员实时看到共享的屏幕内容并开展会商讨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（8）会议即时消息。需具备在会中多人即时通讯的功能，提供通信对话窗口，支持文字、文件、图片等类型消息。</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9）多级会议权限。需支持细分设置会议权限，可包括主持人和一般参会人权限。主持人拥有最高会议权限，包括开启/结束会议、管理参会人、会议参数设置等；普通参会人入会后，默认有发言、共享内容查看等权限。</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安全共享传输。需支持实时同步传输跨网视频资源、会议画面和音频，能够提供良好沟通体验；需支持对多个不同网络视频资源进行一屏调度，能够实现组合画面场景实时共享，以及基于跨网资源的共同研讨，同时确保跨网资源安全隔离。</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（11）场景化会议部署预设。需具备预设快速会议功能，用户可通过预设参会人群和会议时间一键开会，无需召集参会人，并自动调取预设场景所需的信号源画面，缩短创建会议以及邀请参会的操作时间。</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（12）弱网环境自适应。需具备动态码率功能，支持弱网环境动态码率调整，保证音视频流畅传输。</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（13）编码协议类型。需支持H.323、SIP音视频通信协议。</w:t>
            </w:r>
          </w:p>
          <w:p w14:paraId="22C21B7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（14）多</w:t>
            </w:r>
            <w:r>
              <w:rPr>
                <w:rFonts w:hint="eastAsia" w:ascii="宋体" w:hAnsi="宋体" w:cs="宋体"/>
                <w:color w:val="auto"/>
                <w:kern w:val="0"/>
                <w:sz w:val="21"/>
                <w:szCs w:val="21"/>
                <w:highlight w:val="none"/>
                <w:lang w:val="en-US" w:eastAsia="zh-CN" w:bidi="ar"/>
              </w:rPr>
              <w:t>源</w:t>
            </w:r>
            <w:r>
              <w:rPr>
                <w:rFonts w:hint="eastAsia" w:ascii="宋体" w:hAnsi="宋体" w:eastAsia="宋体" w:cs="宋体"/>
                <w:color w:val="auto"/>
                <w:kern w:val="0"/>
                <w:sz w:val="21"/>
                <w:szCs w:val="21"/>
                <w:highlight w:val="none"/>
                <w:lang w:bidi="ar"/>
              </w:rPr>
              <w:t>会议融合。需具备构建多</w:t>
            </w:r>
            <w:r>
              <w:rPr>
                <w:rFonts w:hint="eastAsia" w:ascii="宋体" w:hAnsi="宋体" w:cs="宋体"/>
                <w:color w:val="auto"/>
                <w:kern w:val="0"/>
                <w:sz w:val="21"/>
                <w:szCs w:val="21"/>
                <w:highlight w:val="none"/>
                <w:lang w:val="en-US" w:eastAsia="zh-CN" w:bidi="ar"/>
              </w:rPr>
              <w:t>源</w:t>
            </w:r>
            <w:r>
              <w:rPr>
                <w:rFonts w:hint="eastAsia" w:ascii="宋体" w:hAnsi="宋体" w:eastAsia="宋体" w:cs="宋体"/>
                <w:color w:val="auto"/>
                <w:kern w:val="0"/>
                <w:sz w:val="21"/>
                <w:szCs w:val="21"/>
                <w:highlight w:val="none"/>
                <w:lang w:bidi="ar"/>
              </w:rPr>
              <w:t>会议融合能力，可接入并邀请第三方视频会议终端及参会方入会，实现多方之间音视频实时交互通信，同时支持会议画面共享与同步观看。</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在投标文件“招标项目采购需求中要求提供的材料等”提供产品说明书</w:t>
            </w:r>
            <w:r>
              <w:rPr>
                <w:rFonts w:hint="eastAsia" w:ascii="宋体" w:hAnsi="宋体" w:eastAsia="宋体" w:cs="宋体"/>
                <w:b/>
                <w:bCs/>
                <w:color w:val="auto"/>
                <w:kern w:val="0"/>
                <w:sz w:val="21"/>
                <w:szCs w:val="21"/>
                <w:highlight w:val="none"/>
                <w:lang w:bidi="ar"/>
              </w:rPr>
              <w:t>、</w:t>
            </w:r>
            <w:r>
              <w:rPr>
                <w:rFonts w:hint="eastAsia" w:ascii="宋体" w:hAnsi="宋体" w:eastAsia="宋体" w:cs="宋体"/>
                <w:b/>
                <w:bCs/>
                <w:color w:val="auto"/>
                <w:kern w:val="0"/>
                <w:sz w:val="21"/>
                <w:szCs w:val="21"/>
                <w:highlight w:val="none"/>
                <w:lang w:val="en-US" w:eastAsia="zh-CN" w:bidi="ar"/>
              </w:rPr>
              <w:t>产品</w:t>
            </w:r>
            <w:r>
              <w:rPr>
                <w:rFonts w:hint="eastAsia" w:ascii="宋体" w:hAnsi="宋体" w:eastAsia="宋体" w:cs="宋体"/>
                <w:b/>
                <w:bCs/>
                <w:color w:val="auto"/>
                <w:kern w:val="0"/>
                <w:sz w:val="21"/>
                <w:szCs w:val="21"/>
                <w:highlight w:val="none"/>
                <w:lang w:bidi="ar"/>
              </w:rPr>
              <w:t>技术规格手册、功能测试报告</w:t>
            </w:r>
            <w:r>
              <w:rPr>
                <w:rFonts w:hint="eastAsia" w:ascii="宋体" w:hAnsi="宋体" w:eastAsia="宋体" w:cs="宋体"/>
                <w:b/>
                <w:bCs/>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val="en-US" w:eastAsia="zh-CN" w:bidi="ar"/>
              </w:rPr>
              <w:t>软件功能截图</w:t>
            </w:r>
            <w:r>
              <w:rPr>
                <w:rFonts w:hint="eastAsia" w:ascii="宋体" w:hAnsi="宋体" w:eastAsia="宋体" w:cs="宋体"/>
                <w:b/>
                <w:bCs/>
                <w:color w:val="auto"/>
                <w:kern w:val="0"/>
                <w:sz w:val="21"/>
                <w:szCs w:val="21"/>
                <w:highlight w:val="none"/>
                <w:lang w:bidi="ar"/>
              </w:rPr>
              <w:t>等</w:t>
            </w:r>
            <w:r>
              <w:rPr>
                <w:rFonts w:hint="eastAsia" w:ascii="宋体" w:hAnsi="宋体" w:eastAsia="宋体" w:cs="宋体"/>
                <w:b/>
                <w:bCs/>
                <w:color w:val="auto"/>
                <w:kern w:val="0"/>
                <w:sz w:val="21"/>
                <w:szCs w:val="21"/>
                <w:highlight w:val="none"/>
                <w:lang w:val="en-US" w:eastAsia="zh-CN" w:bidi="ar"/>
              </w:rPr>
              <w:t>任一</w:t>
            </w:r>
            <w:r>
              <w:rPr>
                <w:rFonts w:hint="eastAsia" w:ascii="宋体" w:hAnsi="宋体" w:eastAsia="宋体" w:cs="宋体"/>
                <w:b/>
                <w:bCs/>
                <w:color w:val="auto"/>
                <w:kern w:val="0"/>
                <w:sz w:val="21"/>
                <w:szCs w:val="21"/>
                <w:highlight w:val="none"/>
                <w:lang w:bidi="ar"/>
              </w:rPr>
              <w:t>有效材料</w:t>
            </w:r>
            <w:r>
              <w:rPr>
                <w:rFonts w:hint="eastAsia" w:ascii="宋体" w:hAnsi="宋体" w:eastAsia="宋体" w:cs="宋体"/>
                <w:b/>
                <w:bCs/>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bidi="ar"/>
              </w:rPr>
              <w:t>佐证</w:t>
            </w:r>
            <w:r>
              <w:rPr>
                <w:rFonts w:hint="eastAsia" w:ascii="宋体" w:hAnsi="宋体" w:eastAsia="宋体" w:cs="宋体"/>
                <w:b/>
                <w:bCs/>
                <w:color w:val="auto"/>
                <w:kern w:val="0"/>
                <w:sz w:val="21"/>
                <w:szCs w:val="21"/>
                <w:highlight w:val="none"/>
                <w:lang w:val="en-US" w:eastAsia="zh-CN" w:bidi="ar"/>
              </w:rPr>
              <w:t>其符合上述功能要求</w:t>
            </w:r>
            <w:r>
              <w:rPr>
                <w:rFonts w:hint="eastAsia" w:ascii="宋体" w:hAnsi="宋体" w:eastAsia="宋体" w:cs="宋体"/>
                <w:b/>
                <w:bCs/>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3.性能要求</w:t>
            </w:r>
          </w:p>
          <w:p w14:paraId="33D7388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（1）支持的视频会议最大参会方数量：不低于32路。</w:t>
            </w:r>
          </w:p>
          <w:p w14:paraId="4B707E9E">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（2）支持的语音会议最大参会方数量：不低于64路。</w:t>
            </w:r>
          </w:p>
          <w:p w14:paraId="3DEA25F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（3）配备无线鹅颈式会议麦克风≥1个。</w:t>
            </w:r>
          </w:p>
          <w:p w14:paraId="378C2DDD">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（4）配备画面监视器≥2个。面板为IPS技术，可视尺寸≥23.8英寸，屏幕比例16:9，分辨率不低于3840×2160，亮度≥280cd/m</w:t>
            </w:r>
            <w:r>
              <w:rPr>
                <w:rFonts w:hint="eastAsia" w:ascii="宋体" w:hAnsi="宋体" w:eastAsia="宋体" w:cs="宋体"/>
                <w:color w:val="auto"/>
                <w:kern w:val="0"/>
                <w:sz w:val="21"/>
                <w:szCs w:val="21"/>
                <w:highlight w:val="none"/>
                <w:vertAlign w:val="superscript"/>
                <w:lang w:bidi="ar"/>
              </w:rPr>
              <w:t>2</w:t>
            </w:r>
            <w:r>
              <w:rPr>
                <w:rFonts w:hint="eastAsia" w:ascii="宋体" w:hAnsi="宋体" w:eastAsia="宋体" w:cs="宋体"/>
                <w:color w:val="auto"/>
                <w:kern w:val="0"/>
                <w:sz w:val="21"/>
                <w:szCs w:val="21"/>
                <w:highlight w:val="none"/>
                <w:lang w:bidi="ar"/>
              </w:rPr>
              <w:t>，接口支持HDMI、DP，3C认证。</w:t>
            </w:r>
          </w:p>
          <w:p w14:paraId="02DAC5F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4.运行环境</w:t>
            </w:r>
          </w:p>
          <w:p w14:paraId="67E3E1FB">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（1）需支持的操作系统类型包括：麒麟、Windows、安卓等。</w:t>
            </w:r>
          </w:p>
          <w:p w14:paraId="7DB6CA31">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二、多域跨网融合会商端管理端（1套）</w:t>
            </w:r>
          </w:p>
          <w:p w14:paraId="1043BDD6">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（1）云视讯服务平台系统软件为视频会议云服务平台基础支撑软件，采用虚拟化形式部署，灵活满足会议室、桌面、移动终端等多场景下的视频通讯要求。</w:t>
            </w:r>
          </w:p>
          <w:p w14:paraId="04D11BF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采用标准云架构SAAS软件，具备数据中心、资源中心、媒体服务等多个业务模块。不同的服务模块可部署在同一服务器上，相同的服务模块也可以部署在多台服务器上，实现多台服务器之间负载均衡，资源动态分配、资源灵活组合，保证即使单台服务器出现故障，业务也正常运行，同时也可以根据各模块的用量按需、平滑扩容；</w:t>
            </w:r>
          </w:p>
          <w:p w14:paraId="378E650C">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（3）系统支持国产化软件适配，兼容国产CPU、操作系统、中间件、数据库、浏览器等。</w:t>
            </w:r>
          </w:p>
          <w:p w14:paraId="567B4E2B">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（4）系统可基于通用服务器或云平台部署，支持KVM、VMWare、阿里云等云虚拟化环境部署。</w:t>
            </w:r>
          </w:p>
          <w:p w14:paraId="608D6D4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（5）支持H.239、BFCP双流协议标准。</w:t>
            </w:r>
          </w:p>
          <w:p w14:paraId="2AB312B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（6）支持1080p60、1080p30、720p60、720p30高清图像格式;支持双流功能</w:t>
            </w:r>
          </w:p>
          <w:p w14:paraId="40BDB1AE">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（7）支持双流带宽智能调整，终端发送双流时，自动降低主流的发送带宽；终端停止双流时，自动升高主流的发送带宽。</w:t>
            </w:r>
          </w:p>
          <w:p w14:paraId="2712BA45">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（8）本次配置不少于100个1080P60fps高清接入能力，云平台支持平滑扩容。</w:t>
            </w:r>
          </w:p>
          <w:p w14:paraId="4212725C">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（9）系统支持RTC协议的会议终端接入，单台服务器至少支持100个转发端口。</w:t>
            </w:r>
          </w:p>
          <w:p w14:paraId="268B5425">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（10）支持配置录播服务模块，支持使用统一账号登录门户系统，支持在会控上显示观看人员的列表，支持邀请正在观看直播的终端加入视频会议中进行互动。本次配置满足300方并发直播用户端口授权。</w:t>
            </w:r>
          </w:p>
          <w:p w14:paraId="48A59D6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（11）支持 XMPP 协议即时通信，提供云虚拟会议室、云地址簿，覆盖文字聊天、多方视频会议、文档共享、快速入会等基础通信与会务功能。基于组织架构分级搭建平台域与用户域，支持跨域资源共享、域间会议信息隔离，可灵活配置多类用户角色与操作权限。包含设备</w:t>
            </w:r>
            <w:bookmarkStart w:id="131" w:name="_GoBack"/>
            <w:bookmarkEnd w:id="131"/>
            <w:r>
              <w:rPr>
                <w:rFonts w:hint="eastAsia" w:ascii="宋体" w:hAnsi="宋体" w:eastAsia="宋体" w:cs="宋体"/>
                <w:color w:val="auto"/>
                <w:kern w:val="0"/>
                <w:sz w:val="21"/>
                <w:szCs w:val="21"/>
                <w:highlight w:val="none"/>
                <w:lang w:bidi="ar"/>
              </w:rPr>
              <w:t>运行状态监控、个人日程与会议全生命周期管理、会议实时操控与音视频预览、录播直播，以及会场 / 资源使用统计报表。</w:t>
            </w:r>
          </w:p>
          <w:p w14:paraId="057F3871">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项目需对原有MCU设备（设备品牌：科达；设备型号：JD10000；版本号：Version:6.1.0.8.1-202208231111）完成系统版本升级，实现原硬件MCU与新建云MCU协议互通、业务互为热备，云端系统故障时可自动切换至硬件MCU保障会议连续运行；充分利旧原有全部音视频资源并纳入云平台统一管控，系统预留扩容能力以适配后续4K终端接入，构建具备冗余容错能力的一体化云视频会议系统。</w:t>
            </w:r>
          </w:p>
          <w:p w14:paraId="7CF2C1F7">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（13）含五年</w:t>
            </w:r>
            <w:r>
              <w:rPr>
                <w:rFonts w:hint="eastAsia" w:ascii="宋体" w:hAnsi="宋体" w:eastAsia="宋体" w:cs="宋体"/>
                <w:color w:val="auto"/>
                <w:kern w:val="0"/>
                <w:sz w:val="21"/>
                <w:szCs w:val="21"/>
                <w:highlight w:val="none"/>
                <w:lang w:val="en-US" w:eastAsia="zh-CN" w:bidi="ar"/>
              </w:rPr>
              <w:t>质保</w:t>
            </w:r>
            <w:r>
              <w:rPr>
                <w:rFonts w:hint="eastAsia" w:ascii="宋体" w:hAnsi="宋体" w:eastAsia="宋体" w:cs="宋体"/>
                <w:color w:val="auto"/>
                <w:kern w:val="0"/>
                <w:sz w:val="21"/>
                <w:szCs w:val="21"/>
                <w:highlight w:val="none"/>
                <w:lang w:bidi="ar"/>
              </w:rPr>
              <w:t>。</w:t>
            </w:r>
          </w:p>
        </w:tc>
        <w:tc>
          <w:tcPr>
            <w:tcW w:w="1132" w:type="dxa"/>
            <w:tcBorders>
              <w:top w:val="single" w:color="auto" w:sz="4" w:space="0"/>
              <w:left w:val="single" w:color="auto" w:sz="4" w:space="0"/>
              <w:bottom w:val="single" w:color="auto" w:sz="4" w:space="0"/>
              <w:right w:val="single" w:color="auto" w:sz="4" w:space="0"/>
            </w:tcBorders>
            <w:vAlign w:val="center"/>
          </w:tcPr>
          <w:p w14:paraId="71C3B4D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79A1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2B8C57C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1.11</w:t>
            </w:r>
          </w:p>
        </w:tc>
        <w:tc>
          <w:tcPr>
            <w:tcW w:w="1189" w:type="dxa"/>
            <w:tcBorders>
              <w:top w:val="single" w:color="auto" w:sz="4" w:space="0"/>
              <w:left w:val="single" w:color="auto" w:sz="4" w:space="0"/>
              <w:bottom w:val="single" w:color="auto" w:sz="4" w:space="0"/>
              <w:right w:val="single" w:color="auto" w:sz="4" w:space="0"/>
            </w:tcBorders>
            <w:vAlign w:val="center"/>
          </w:tcPr>
          <w:p w14:paraId="67E9738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多域跨网融合通信端</w:t>
            </w:r>
          </w:p>
        </w:tc>
        <w:tc>
          <w:tcPr>
            <w:tcW w:w="622" w:type="dxa"/>
            <w:tcBorders>
              <w:top w:val="single" w:color="auto" w:sz="4" w:space="0"/>
              <w:left w:val="single" w:color="auto" w:sz="4" w:space="0"/>
              <w:bottom w:val="single" w:color="auto" w:sz="4" w:space="0"/>
              <w:right w:val="single" w:color="auto" w:sz="4" w:space="0"/>
            </w:tcBorders>
            <w:vAlign w:val="center"/>
          </w:tcPr>
          <w:p w14:paraId="79223A66">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491" w:type="dxa"/>
            <w:tcBorders>
              <w:top w:val="single" w:color="auto" w:sz="4" w:space="0"/>
              <w:left w:val="single" w:color="auto" w:sz="4" w:space="0"/>
              <w:bottom w:val="single" w:color="auto" w:sz="4" w:space="0"/>
              <w:right w:val="single" w:color="auto" w:sz="4" w:space="0"/>
            </w:tcBorders>
            <w:vAlign w:val="center"/>
          </w:tcPr>
          <w:p w14:paraId="16159463">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5615" w:type="dxa"/>
            <w:tcBorders>
              <w:top w:val="single" w:color="auto" w:sz="4" w:space="0"/>
              <w:left w:val="single" w:color="auto" w:sz="4" w:space="0"/>
              <w:bottom w:val="single" w:color="auto" w:sz="4" w:space="0"/>
              <w:right w:val="single" w:color="auto" w:sz="4" w:space="0"/>
            </w:tcBorders>
          </w:tcPr>
          <w:p w14:paraId="33C16141">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b/>
                <w:bCs/>
                <w:color w:val="auto"/>
                <w:kern w:val="0"/>
                <w:sz w:val="21"/>
                <w:szCs w:val="21"/>
                <w:highlight w:val="none"/>
                <w:lang w:bidi="zh-CN"/>
              </w:rPr>
              <w:t>1.总体要求</w:t>
            </w:r>
          </w:p>
          <w:p w14:paraId="3D7759A6">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（1）本设备是适配一体化调度、现场作业场景使用的可视化通信控制终端。</w:t>
            </w:r>
          </w:p>
          <w:p w14:paraId="6B31547D">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b/>
                <w:bCs/>
                <w:color w:val="auto"/>
                <w:kern w:val="0"/>
                <w:sz w:val="21"/>
                <w:szCs w:val="21"/>
                <w:highlight w:val="none"/>
                <w:lang w:bidi="zh-CN"/>
              </w:rPr>
              <w:t>2.功能要求</w:t>
            </w:r>
          </w:p>
          <w:p w14:paraId="52F4A51E">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（1）融合通信调度：需具备与指挥中心进行跨网语音和视频融合通信及可视化调度能力，接受来自指挥中心的语音、视频呼叫及多域跨网界面推送。</w:t>
            </w:r>
          </w:p>
          <w:p w14:paraId="0F7ECF83">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（2）融合态势接收：需接受来自指挥中心或其他端推送的跨网综合态势信息一屏展示。</w:t>
            </w:r>
          </w:p>
          <w:p w14:paraId="4E90EF3B">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（3）态势实时更新：需支持自动更新态势界面，确保与指挥中心或其他端态势同步。</w:t>
            </w:r>
          </w:p>
          <w:p w14:paraId="13B0FBCC">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（4）多方会议接入：需支持多方音视频会议，支持一键快速召开视频或电话会议。</w:t>
            </w:r>
          </w:p>
          <w:p w14:paraId="4E04C629">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（5）快捷群组呼叫：需支持群组语音、视频通信，可快速创建临时群组或加入已有的固定群组。</w:t>
            </w:r>
          </w:p>
          <w:p w14:paraId="0EA3254E">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color w:val="auto"/>
                <w:kern w:val="0"/>
                <w:sz w:val="21"/>
                <w:szCs w:val="21"/>
                <w:highlight w:val="none"/>
                <w:lang w:bidi="zh-CN"/>
              </w:rPr>
              <w:t>3</w:t>
            </w:r>
            <w:r>
              <w:rPr>
                <w:rFonts w:hint="eastAsia" w:ascii="宋体" w:hAnsi="宋体" w:eastAsia="宋体" w:cs="宋体"/>
                <w:b/>
                <w:bCs/>
                <w:color w:val="auto"/>
                <w:kern w:val="0"/>
                <w:sz w:val="21"/>
                <w:szCs w:val="21"/>
                <w:highlight w:val="none"/>
                <w:lang w:bidi="zh-CN"/>
              </w:rPr>
              <w:t>.性能要求</w:t>
            </w:r>
          </w:p>
          <w:p w14:paraId="7743E46B">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（1）态势接收同时显示的界面数量：</w:t>
            </w:r>
            <w:r>
              <w:rPr>
                <w:rFonts w:hint="eastAsia" w:ascii="宋体" w:hAnsi="宋体" w:cs="宋体"/>
                <w:color w:val="auto"/>
                <w:kern w:val="0"/>
                <w:sz w:val="21"/>
                <w:szCs w:val="21"/>
                <w:highlight w:val="none"/>
                <w:lang w:val="en-US" w:bidi="zh-CN"/>
              </w:rPr>
              <w:t>≥</w:t>
            </w:r>
            <w:r>
              <w:rPr>
                <w:rFonts w:hint="eastAsia" w:ascii="宋体" w:hAnsi="宋体" w:eastAsia="宋体" w:cs="宋体"/>
                <w:color w:val="auto"/>
                <w:kern w:val="0"/>
                <w:sz w:val="21"/>
                <w:szCs w:val="21"/>
                <w:highlight w:val="none"/>
                <w:lang w:bidi="zh-CN"/>
              </w:rPr>
              <w:t>4个。</w:t>
            </w:r>
          </w:p>
          <w:p w14:paraId="2AD6B33E">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color w:val="auto"/>
                <w:kern w:val="0"/>
                <w:sz w:val="21"/>
                <w:szCs w:val="21"/>
                <w:highlight w:val="none"/>
                <w:lang w:bidi="zh-CN"/>
              </w:rPr>
              <w:t>4</w:t>
            </w:r>
            <w:r>
              <w:rPr>
                <w:rFonts w:hint="eastAsia" w:ascii="宋体" w:hAnsi="宋体" w:eastAsia="宋体" w:cs="宋体"/>
                <w:b/>
                <w:bCs/>
                <w:color w:val="auto"/>
                <w:kern w:val="0"/>
                <w:sz w:val="21"/>
                <w:szCs w:val="21"/>
                <w:highlight w:val="none"/>
                <w:lang w:bidi="zh-CN"/>
              </w:rPr>
              <w:t>.规格要求</w:t>
            </w:r>
          </w:p>
          <w:p w14:paraId="515DDA5E">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（1）运行内存：RAM≥6GB。</w:t>
            </w:r>
          </w:p>
          <w:p w14:paraId="2E86C3AE">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（2）机身内置存储：ROM≥128GB。</w:t>
            </w:r>
          </w:p>
          <w:p w14:paraId="3037E57D">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（3）操作系统：预装Android 8.0及以上版本操作系统，或鸿蒙操作系统，或具备同等安全、应用兼容能力的移动智能操作系统。操作系统需适配预装多域跨网融合会商端、多域跨网融合移动端软件版等业务APP软件。</w:t>
            </w:r>
          </w:p>
          <w:p w14:paraId="56ADCCAE">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（4）通信制式：4G/5G全网通，支持国内三大运营商网络。</w:t>
            </w:r>
          </w:p>
        </w:tc>
        <w:tc>
          <w:tcPr>
            <w:tcW w:w="1132" w:type="dxa"/>
            <w:tcBorders>
              <w:top w:val="single" w:color="auto" w:sz="4" w:space="0"/>
              <w:left w:val="single" w:color="auto" w:sz="4" w:space="0"/>
              <w:bottom w:val="single" w:color="auto" w:sz="4" w:space="0"/>
              <w:right w:val="single" w:color="auto" w:sz="4" w:space="0"/>
            </w:tcBorders>
            <w:vAlign w:val="center"/>
          </w:tcPr>
          <w:p w14:paraId="0A305EB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工业</w:t>
            </w:r>
          </w:p>
        </w:tc>
      </w:tr>
      <w:tr w14:paraId="75D4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3B0F457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1.12</w:t>
            </w:r>
          </w:p>
        </w:tc>
        <w:tc>
          <w:tcPr>
            <w:tcW w:w="1189" w:type="dxa"/>
            <w:tcBorders>
              <w:top w:val="single" w:color="auto" w:sz="4" w:space="0"/>
              <w:left w:val="single" w:color="auto" w:sz="4" w:space="0"/>
              <w:bottom w:val="single" w:color="auto" w:sz="4" w:space="0"/>
              <w:right w:val="single" w:color="auto" w:sz="4" w:space="0"/>
            </w:tcBorders>
            <w:vAlign w:val="center"/>
          </w:tcPr>
          <w:p w14:paraId="48961C6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辅材辅料</w:t>
            </w:r>
          </w:p>
        </w:tc>
        <w:tc>
          <w:tcPr>
            <w:tcW w:w="622" w:type="dxa"/>
            <w:tcBorders>
              <w:top w:val="single" w:color="auto" w:sz="4" w:space="0"/>
              <w:left w:val="single" w:color="auto" w:sz="4" w:space="0"/>
              <w:bottom w:val="single" w:color="auto" w:sz="4" w:space="0"/>
              <w:right w:val="single" w:color="auto" w:sz="4" w:space="0"/>
            </w:tcBorders>
            <w:vAlign w:val="center"/>
          </w:tcPr>
          <w:p w14:paraId="0710F491">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91" w:type="dxa"/>
            <w:tcBorders>
              <w:top w:val="single" w:color="auto" w:sz="4" w:space="0"/>
              <w:left w:val="single" w:color="auto" w:sz="4" w:space="0"/>
              <w:bottom w:val="single" w:color="auto" w:sz="4" w:space="0"/>
              <w:right w:val="single" w:color="auto" w:sz="4" w:space="0"/>
            </w:tcBorders>
            <w:vAlign w:val="center"/>
          </w:tcPr>
          <w:p w14:paraId="0B6EB199">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批</w:t>
            </w:r>
          </w:p>
        </w:tc>
        <w:tc>
          <w:tcPr>
            <w:tcW w:w="5615" w:type="dxa"/>
            <w:tcBorders>
              <w:top w:val="single" w:color="auto" w:sz="4" w:space="0"/>
              <w:left w:val="single" w:color="auto" w:sz="4" w:space="0"/>
              <w:bottom w:val="single" w:color="auto" w:sz="4" w:space="0"/>
              <w:right w:val="single" w:color="auto" w:sz="4" w:space="0"/>
            </w:tcBorders>
          </w:tcPr>
          <w:p w14:paraId="086F4858">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包含视频线、视频分配器、标签纸、色带、机柜螺丝、扎带等配套耗材，可满足设备安装调试与日常运行需求。</w:t>
            </w:r>
          </w:p>
        </w:tc>
        <w:tc>
          <w:tcPr>
            <w:tcW w:w="1132" w:type="dxa"/>
            <w:tcBorders>
              <w:top w:val="single" w:color="auto" w:sz="4" w:space="0"/>
              <w:left w:val="single" w:color="auto" w:sz="4" w:space="0"/>
              <w:bottom w:val="single" w:color="auto" w:sz="4" w:space="0"/>
              <w:right w:val="single" w:color="auto" w:sz="4" w:space="0"/>
            </w:tcBorders>
            <w:vAlign w:val="center"/>
          </w:tcPr>
          <w:p w14:paraId="249F171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79ED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5780322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二</w:t>
            </w:r>
          </w:p>
        </w:tc>
        <w:tc>
          <w:tcPr>
            <w:tcW w:w="9049" w:type="dxa"/>
            <w:gridSpan w:val="5"/>
            <w:tcBorders>
              <w:top w:val="single" w:color="auto" w:sz="4" w:space="0"/>
              <w:left w:val="single" w:color="auto" w:sz="4" w:space="0"/>
              <w:bottom w:val="single" w:color="auto" w:sz="4" w:space="0"/>
              <w:right w:val="single" w:color="auto" w:sz="4" w:space="0"/>
            </w:tcBorders>
            <w:vAlign w:val="center"/>
          </w:tcPr>
          <w:p w14:paraId="15698B3E">
            <w:pPr>
              <w:keepNext w:val="0"/>
              <w:keepLines w:val="0"/>
              <w:pageBreakBefore w:val="0"/>
              <w:widowControl/>
              <w:shd w:val="clear"/>
              <w:kinsoku/>
              <w:overflowPunct/>
              <w:topLinePunct w:val="0"/>
              <w:bidi w:val="0"/>
              <w:adjustRightInd w:val="0"/>
              <w:snapToGrid/>
              <w:spacing w:line="400" w:lineRule="exact"/>
              <w:jc w:val="left"/>
              <w:textAlignment w:val="center"/>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rPr>
              <w:t>市级</w:t>
            </w:r>
            <w:r>
              <w:rPr>
                <w:rFonts w:hint="eastAsia" w:ascii="宋体" w:hAnsi="宋体" w:cs="宋体"/>
                <w:color w:val="auto"/>
                <w:kern w:val="0"/>
                <w:sz w:val="21"/>
                <w:szCs w:val="21"/>
                <w:highlight w:val="none"/>
                <w:lang w:eastAsia="zh-CN"/>
              </w:rPr>
              <w:t>音视</w:t>
            </w:r>
            <w:r>
              <w:rPr>
                <w:rFonts w:hint="eastAsia" w:ascii="宋体" w:hAnsi="宋体" w:eastAsia="宋体" w:cs="宋体"/>
                <w:color w:val="auto"/>
                <w:kern w:val="0"/>
                <w:sz w:val="21"/>
                <w:szCs w:val="21"/>
                <w:highlight w:val="none"/>
              </w:rPr>
              <w:t>频调度服务系统</w:t>
            </w:r>
          </w:p>
        </w:tc>
      </w:tr>
      <w:tr w14:paraId="784D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34325BC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2.1</w:t>
            </w:r>
          </w:p>
        </w:tc>
        <w:tc>
          <w:tcPr>
            <w:tcW w:w="1189" w:type="dxa"/>
            <w:tcBorders>
              <w:top w:val="single" w:color="auto" w:sz="4" w:space="0"/>
              <w:left w:val="single" w:color="auto" w:sz="4" w:space="0"/>
              <w:bottom w:val="single" w:color="auto" w:sz="4" w:space="0"/>
              <w:right w:val="single" w:color="auto" w:sz="4" w:space="0"/>
            </w:tcBorders>
            <w:vAlign w:val="center"/>
          </w:tcPr>
          <w:p w14:paraId="75F01B1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市级</w:t>
            </w:r>
            <w:r>
              <w:rPr>
                <w:rFonts w:hint="eastAsia" w:ascii="宋体" w:hAnsi="宋体" w:eastAsia="宋体" w:cs="宋体"/>
                <w:color w:val="auto"/>
                <w:kern w:val="0"/>
                <w:sz w:val="21"/>
                <w:szCs w:val="21"/>
                <w:highlight w:val="none"/>
                <w:lang w:val="en-US" w:eastAsia="zh-CN" w:bidi="ar"/>
              </w:rPr>
              <w:t>指挥调度视频终端</w:t>
            </w:r>
          </w:p>
        </w:tc>
        <w:tc>
          <w:tcPr>
            <w:tcW w:w="622" w:type="dxa"/>
            <w:tcBorders>
              <w:top w:val="single" w:color="auto" w:sz="4" w:space="0"/>
              <w:left w:val="single" w:color="auto" w:sz="4" w:space="0"/>
              <w:bottom w:val="single" w:color="auto" w:sz="4" w:space="0"/>
              <w:right w:val="single" w:color="auto" w:sz="4" w:space="0"/>
            </w:tcBorders>
            <w:vAlign w:val="center"/>
          </w:tcPr>
          <w:p w14:paraId="5FA95B0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w:t>
            </w:r>
          </w:p>
        </w:tc>
        <w:tc>
          <w:tcPr>
            <w:tcW w:w="491" w:type="dxa"/>
            <w:tcBorders>
              <w:top w:val="single" w:color="auto" w:sz="4" w:space="0"/>
              <w:left w:val="single" w:color="auto" w:sz="4" w:space="0"/>
              <w:bottom w:val="single" w:color="auto" w:sz="4" w:space="0"/>
              <w:right w:val="single" w:color="auto" w:sz="4" w:space="0"/>
            </w:tcBorders>
            <w:vAlign w:val="center"/>
          </w:tcPr>
          <w:p w14:paraId="2650F50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5C6CF32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一、</w:t>
            </w:r>
            <w:r>
              <w:rPr>
                <w:rFonts w:hint="eastAsia" w:ascii="宋体" w:hAnsi="宋体" w:eastAsia="宋体" w:cs="宋体"/>
                <w:color w:val="auto"/>
                <w:kern w:val="0"/>
                <w:sz w:val="21"/>
                <w:szCs w:val="21"/>
                <w:highlight w:val="none"/>
                <w:lang w:val="en-US" w:eastAsia="zh-CN" w:bidi="ar"/>
              </w:rPr>
              <w:t>视频</w:t>
            </w:r>
            <w:r>
              <w:rPr>
                <w:rFonts w:hint="eastAsia" w:ascii="宋体" w:hAnsi="宋体" w:eastAsia="宋体" w:cs="宋体"/>
                <w:color w:val="auto"/>
                <w:kern w:val="0"/>
                <w:sz w:val="21"/>
                <w:szCs w:val="21"/>
                <w:highlight w:val="none"/>
                <w:lang w:eastAsia="zh-CN" w:bidi="ar"/>
              </w:rPr>
              <w:t>终端</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bidi="ar"/>
              </w:rPr>
              <w:t>1）尺寸≥12.7平方米</w:t>
            </w:r>
            <w:r>
              <w:rPr>
                <w:rFonts w:hint="eastAsia" w:ascii="宋体" w:hAnsi="宋体" w:cs="宋体"/>
                <w:b/>
                <w:bCs/>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w:t>
            </w:r>
            <w:r>
              <w:rPr>
                <w:rFonts w:hint="eastAsia" w:ascii="宋体" w:hAnsi="宋体" w:cs="宋体"/>
                <w:b/>
                <w:bCs/>
                <w:color w:val="auto"/>
                <w:kern w:val="0"/>
                <w:sz w:val="21"/>
                <w:szCs w:val="21"/>
                <w:highlight w:val="none"/>
                <w:lang w:val="en-US" w:eastAsia="zh-CN" w:bidi="ar"/>
              </w:rPr>
              <w:t>中</w:t>
            </w:r>
            <w:r>
              <w:rPr>
                <w:rFonts w:hint="eastAsia" w:ascii="宋体" w:hAnsi="宋体" w:eastAsia="宋体" w:cs="宋体"/>
                <w:b/>
                <w:bCs/>
                <w:color w:val="auto"/>
                <w:kern w:val="0"/>
                <w:sz w:val="21"/>
                <w:szCs w:val="21"/>
                <w:highlight w:val="none"/>
                <w:lang w:val="en-US" w:eastAsia="zh-CN" w:bidi="ar"/>
              </w:rPr>
              <w:t>提供</w:t>
            </w:r>
            <w:r>
              <w:rPr>
                <w:rFonts w:hint="eastAsia" w:ascii="宋体" w:hAnsi="宋体" w:cs="宋体"/>
                <w:b/>
                <w:bCs/>
                <w:color w:val="auto"/>
                <w:kern w:val="0"/>
                <w:sz w:val="21"/>
                <w:szCs w:val="21"/>
                <w:highlight w:val="none"/>
                <w:lang w:val="en-US" w:eastAsia="zh-CN" w:bidi="ar"/>
              </w:rPr>
              <w:t>承诺函（格式自拟）作为响应材料</w:t>
            </w:r>
            <w:r>
              <w:rPr>
                <w:rFonts w:hint="eastAsia" w:ascii="宋体" w:hAnsi="宋体" w:cs="宋体"/>
                <w:b/>
                <w:bCs/>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2）单元比例16：9；箱体单元</w:t>
            </w:r>
            <w:r>
              <w:rPr>
                <w:rFonts w:hint="eastAsia" w:ascii="宋体" w:hAnsi="宋体" w:eastAsia="宋体" w:cs="宋体"/>
                <w:color w:val="auto"/>
                <w:sz w:val="21"/>
                <w:szCs w:val="21"/>
                <w:highlight w:val="none"/>
              </w:rPr>
              <w:t>采用压铸铝箱体，一体压铸成型，全金属自然散热结构，全密封无风扇，屏体表面防护IP65、防静电；</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3）亮度≥600cd/㎡，对比度≥4000:1；</w:t>
            </w:r>
          </w:p>
          <w:p w14:paraId="49985DFC">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sz w:val="21"/>
                <w:szCs w:val="21"/>
                <w:highlight w:val="none"/>
              </w:rPr>
              <w:t>4）像素密度≥</w:t>
            </w:r>
            <w:r>
              <w:rPr>
                <w:rFonts w:hint="eastAsia" w:ascii="宋体" w:hAnsi="宋体" w:eastAsia="宋体" w:cs="宋体"/>
                <w:color w:val="auto"/>
                <w:sz w:val="21"/>
                <w:szCs w:val="21"/>
                <w:highlight w:val="none"/>
                <w:lang w:val="en-US" w:eastAsia="zh-CN"/>
              </w:rPr>
              <w:t>64</w:t>
            </w:r>
            <w:r>
              <w:rPr>
                <w:rFonts w:hint="eastAsia" w:ascii="宋体" w:hAnsi="宋体" w:eastAsia="宋体" w:cs="宋体"/>
                <w:color w:val="auto"/>
                <w:sz w:val="21"/>
                <w:szCs w:val="21"/>
                <w:highlight w:val="none"/>
              </w:rPr>
              <w:t>0000 点 /㎡（物理实像素，非插值补偿）</w:t>
            </w:r>
            <w:r>
              <w:rPr>
                <w:rFonts w:hint="eastAsia" w:ascii="宋体" w:hAnsi="宋体" w:eastAsia="宋体" w:cs="宋体"/>
                <w:color w:val="auto"/>
                <w:kern w:val="0"/>
                <w:sz w:val="21"/>
                <w:szCs w:val="21"/>
                <w:highlight w:val="none"/>
                <w:lang w:bidi="ar"/>
              </w:rPr>
              <w:t>；采用 RGB 三基色实像素成像，不</w:t>
            </w:r>
            <w:r>
              <w:rPr>
                <w:rFonts w:hint="eastAsia" w:ascii="宋体" w:hAnsi="宋体" w:cs="宋体"/>
                <w:color w:val="auto"/>
                <w:kern w:val="0"/>
                <w:sz w:val="21"/>
                <w:szCs w:val="21"/>
                <w:highlight w:val="none"/>
                <w:lang w:val="en-US" w:eastAsia="zh-CN" w:bidi="ar"/>
              </w:rPr>
              <w:t>接受</w:t>
            </w:r>
            <w:r>
              <w:rPr>
                <w:rFonts w:hint="eastAsia" w:ascii="宋体" w:hAnsi="宋体" w:eastAsia="宋体" w:cs="宋体"/>
                <w:color w:val="auto"/>
                <w:kern w:val="0"/>
                <w:sz w:val="21"/>
                <w:szCs w:val="21"/>
                <w:highlight w:val="none"/>
                <w:lang w:bidi="ar"/>
              </w:rPr>
              <w:t>虚拟像素、动态像素补偿等插值提升分辨率的方式；像素单元采用一体化密封封装结构，无外露引脚与支架，发光单元与基板采用无引线焊接工艺，表面平整无缝隙，具备防尘、防磕碰、防静电能力。</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5）视角：水平≥178°，垂直≥178°；</w:t>
            </w:r>
          </w:p>
          <w:p w14:paraId="66C7CCF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6）平均无故障时间≥20万小时；单元模组均可在1分钟内完成维护。</w:t>
            </w:r>
          </w:p>
          <w:p w14:paraId="73EFDA4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7）维护方式：支持完全前维护方式；模组/电源/接收卡可全部进行正面维护与更换，支持热插拔</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8）响应时间≤8ms；</w:t>
            </w:r>
          </w:p>
          <w:p w14:paraId="18B75895">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9）带有智能节能功能和智能带电黑屏节能功能；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10）支持7×24小时不间断运行；</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二、视频处理器：</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1）整机采用模块化配置，插卡式结构，基于 FPGA 系统架构；</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2）支持市面HDMI、DVI、DP、VGA、CVBS、SDI 和 IP 输入接口；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3）支持 10bit 视频源输入和处理，支持 4K 高清视频输入和输出；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4）显示系统采用分布式驱动架构，支持双发送链路冗余备份，主备链路可无缝切换；显示模组、电源模块、分布式驱动单元均可正面维护与更换，支持热插拔，无需进入屏体后方操作。</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三、控制软件：</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支持同步显示播图片、文字和视频文件；支持多种播放格式；支持多画面分割；可通过软件调整</w:t>
            </w:r>
            <w:r>
              <w:rPr>
                <w:rFonts w:hint="eastAsia" w:ascii="宋体" w:hAnsi="宋体" w:eastAsia="宋体" w:cs="宋体"/>
                <w:color w:val="auto"/>
                <w:kern w:val="0"/>
                <w:sz w:val="21"/>
                <w:szCs w:val="21"/>
                <w:highlight w:val="none"/>
                <w:lang w:eastAsia="zh-CN" w:bidi="ar"/>
              </w:rPr>
              <w:t>视频会议终端</w:t>
            </w:r>
            <w:r>
              <w:rPr>
                <w:rFonts w:hint="eastAsia" w:ascii="宋体" w:hAnsi="宋体" w:eastAsia="宋体" w:cs="宋体"/>
                <w:color w:val="auto"/>
                <w:kern w:val="0"/>
                <w:sz w:val="21"/>
                <w:szCs w:val="21"/>
                <w:highlight w:val="none"/>
                <w:lang w:bidi="ar"/>
              </w:rPr>
              <w:t>的亮度、对比度、色彩等功能；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四、其他配套设施：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1）屏体安装支架及包边：采用国标材料制作，定制四方柱整体结构装置，拆装方便；可实现精确调节，显示模组之间的缝隙均匀，防锈防氧化处理。屏体包边采用不锈钢定制；</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2）屏体配电控制箱：专用PLC配电箱，支持远程控制，功率根据屏体实际面积计算，满足屏体最大功率供电需求；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3）辅助材料：包含屏体内部连线、网线、电源线、连接构件、磁铁等；</w:t>
            </w:r>
          </w:p>
          <w:p w14:paraId="5736EE3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w:t>
            </w:r>
            <w:r>
              <w:rPr>
                <w:rFonts w:hint="eastAsia" w:ascii="宋体" w:hAnsi="宋体" w:cs="宋体"/>
                <w:color w:val="auto"/>
                <w:sz w:val="21"/>
                <w:szCs w:val="21"/>
                <w:highlight w:val="none"/>
                <w:lang w:val="en-US" w:eastAsia="zh-CN"/>
              </w:rPr>
              <w:t>、</w:t>
            </w:r>
            <w:r>
              <w:rPr>
                <w:rFonts w:hint="eastAsia" w:ascii="宋体" w:hAnsi="宋体" w:eastAsia="宋体" w:cs="宋体"/>
                <w:b/>
                <w:bCs/>
                <w:color w:val="auto"/>
                <w:sz w:val="21"/>
                <w:szCs w:val="21"/>
                <w:highlight w:val="none"/>
              </w:rPr>
              <w:t>维护巡检</w:t>
            </w:r>
          </w:p>
          <w:p w14:paraId="02E4D205">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sz w:val="21"/>
                <w:szCs w:val="21"/>
                <w:highlight w:val="none"/>
              </w:rPr>
              <w:t>含5年以上原厂</w:t>
            </w:r>
            <w:r>
              <w:rPr>
                <w:rFonts w:hint="eastAsia" w:ascii="宋体" w:hAnsi="宋体" w:eastAsia="宋体" w:cs="宋体"/>
                <w:color w:val="auto"/>
                <w:sz w:val="21"/>
                <w:szCs w:val="21"/>
                <w:highlight w:val="none"/>
                <w:lang w:val="en-US" w:eastAsia="zh-CN"/>
              </w:rPr>
              <w:t>质保</w:t>
            </w:r>
            <w:r>
              <w:rPr>
                <w:rFonts w:hint="eastAsia" w:ascii="宋体" w:hAnsi="宋体" w:eastAsia="宋体" w:cs="宋体"/>
                <w:color w:val="auto"/>
                <w:sz w:val="21"/>
                <w:szCs w:val="21"/>
                <w:highlight w:val="none"/>
              </w:rPr>
              <w:t>及配件更换，提供半年一次现场巡检。</w:t>
            </w:r>
          </w:p>
        </w:tc>
        <w:tc>
          <w:tcPr>
            <w:tcW w:w="1132" w:type="dxa"/>
            <w:tcBorders>
              <w:top w:val="single" w:color="auto" w:sz="4" w:space="0"/>
              <w:left w:val="single" w:color="auto" w:sz="4" w:space="0"/>
              <w:bottom w:val="single" w:color="auto" w:sz="4" w:space="0"/>
              <w:right w:val="single" w:color="auto" w:sz="4" w:space="0"/>
            </w:tcBorders>
            <w:vAlign w:val="center"/>
          </w:tcPr>
          <w:p w14:paraId="6D24A38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254E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3A281D3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2.2</w:t>
            </w:r>
          </w:p>
        </w:tc>
        <w:tc>
          <w:tcPr>
            <w:tcW w:w="1189" w:type="dxa"/>
            <w:tcBorders>
              <w:top w:val="single" w:color="auto" w:sz="4" w:space="0"/>
              <w:left w:val="single" w:color="auto" w:sz="4" w:space="0"/>
              <w:bottom w:val="single" w:color="auto" w:sz="4" w:space="0"/>
              <w:right w:val="single" w:color="auto" w:sz="4" w:space="0"/>
            </w:tcBorders>
            <w:vAlign w:val="center"/>
          </w:tcPr>
          <w:p w14:paraId="5D555D7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多域跨网融合支撑平台</w:t>
            </w:r>
          </w:p>
        </w:tc>
        <w:tc>
          <w:tcPr>
            <w:tcW w:w="622" w:type="dxa"/>
            <w:tcBorders>
              <w:top w:val="single" w:color="auto" w:sz="4" w:space="0"/>
              <w:left w:val="single" w:color="auto" w:sz="4" w:space="0"/>
              <w:bottom w:val="single" w:color="auto" w:sz="4" w:space="0"/>
              <w:right w:val="single" w:color="auto" w:sz="4" w:space="0"/>
            </w:tcBorders>
            <w:vAlign w:val="center"/>
          </w:tcPr>
          <w:p w14:paraId="1CD4737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14</w:t>
            </w:r>
          </w:p>
        </w:tc>
        <w:tc>
          <w:tcPr>
            <w:tcW w:w="491" w:type="dxa"/>
            <w:tcBorders>
              <w:top w:val="single" w:color="auto" w:sz="4" w:space="0"/>
              <w:left w:val="single" w:color="auto" w:sz="4" w:space="0"/>
              <w:bottom w:val="single" w:color="auto" w:sz="4" w:space="0"/>
              <w:right w:val="single" w:color="auto" w:sz="4" w:space="0"/>
            </w:tcBorders>
            <w:vAlign w:val="center"/>
          </w:tcPr>
          <w:p w14:paraId="4A7D5B2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5339C20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（1）总体支撑管控能力：需实现对本级接入的多域跨网资源调度端、用户的统一管理和调度。包括但不限于：用户管理、权限管理、资源调度管理、系统运行管理、设备在线管理、网络稳定性管理等。</w:t>
            </w:r>
          </w:p>
          <w:p w14:paraId="02D0EC96">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2）安全隔离设计。需采用内置单向物理隔离器件，或具备反向物理阻断能力的硬件架构，满足音视频信号与控制信号单向传输。视频信号和控制信号在汇聚后，应在物理层保持安全隔离状态，确保高密级网络无法向低密级网络泄露信息。</w:t>
            </w:r>
          </w:p>
          <w:p w14:paraId="2A9ECBD6">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（3）主控芯片和系统：需采用国产化主控芯片和嵌入式操作系统。</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2.功能要求</w:t>
            </w:r>
          </w:p>
          <w:p w14:paraId="59E6C68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（1）多域跨网资源安全接入：需具备加密机制和身份认证策略，构建安全隔离架构，实现多域跨网信号源的安全接入。</w:t>
            </w:r>
          </w:p>
          <w:p w14:paraId="6BD00B4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（2）多域跨网资源精细管理：需具备精细化的多域跨网资源分配与严格的访问控制机制。资源分配的最小单元为1个信号源，可对资源的显示、控制、分享权限进行精细权限管控。</w:t>
            </w:r>
          </w:p>
          <w:p w14:paraId="395569AB">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多域跨网安全融合使用：需具备多种安全机制，包括：双链路隔离、显示控制分离、单向物理链路传输、隔离部署，保障跨网络多系统安全融合使用，为接入的终端提供跨网信号源实时查看与操控支撑能力。</w:t>
            </w:r>
          </w:p>
          <w:p w14:paraId="2181EDF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（4）多域跨网界面资源分享：需为接入的终端设备提供多域跨网资源推送服务，不同用户可在不同终端之间相互推送多域跨网界面资源。</w:t>
            </w:r>
          </w:p>
          <w:p w14:paraId="445CC3F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（5）多域跨网界面协同作业：需为多域跨网的各级终端和用户之间提供对界面资源的调取、分享、标绘、协同等服务能力。</w:t>
            </w:r>
          </w:p>
          <w:p w14:paraId="512054C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（6）多域跨网态势支撑服务：需为多域跨网融合态势端软件提供支撑服务。包括但不限于：客户端连接、并发信息处理、信息转发、信息同步等服务能力。</w:t>
            </w:r>
          </w:p>
          <w:p w14:paraId="154034B1">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（7）多域跨网会商支撑服务：需为多域跨网融合会商软件客户端提供支撑服务。包括但不限于：客户端登录、会议调度、信息转发等服务能力。</w:t>
            </w:r>
          </w:p>
          <w:p w14:paraId="04A7435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（8）多域跨网远程交互服务：需为调度端提供安全指令协议服务和安全界面协议服务，确保指令和界面资源必须通过安全隔离审核才能转发。</w:t>
            </w:r>
          </w:p>
          <w:p w14:paraId="089F98C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（9）多域跨网分级组织管理：需支持多层级、多部门组织架构设置，实现精细化分组、分权、用户管理，确保用户信息安全防止非法访问。支持不少于9个层级、30个部门的组织架构设置。</w:t>
            </w:r>
          </w:p>
          <w:p w14:paraId="79334A2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（10）信号源接入类型：需支持接入台式机、笔记本、平板、手机、摄像头等。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11）融合显示与独立交互服务。需具备多域跨网信号源窗口的动态处理功能，可实现窗口的灵活缩放、精准位置调整以及个性化场景布局；需具备基于角色的访问控制功能，可依据不同用户的权限等级，为其提供对多域跨网信号源窗口内容的独立操作权限，确保各用户操作相互独立、互不干扰。</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协作分享与协同联动服务。需具备多域跨网信号源界面的实时分享推送服务能力，支持各类界面（单个界面、组合界面、带标注界面）1对1、1对多以及多对多分享推送场景；需具备多用户协同联动触发组合场景预案的服务能力，可一键下发任务指令，自动联动调取对应的场景布局。</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三员审批与用户角色分配。需具备多级用户角色分配功能，涵盖管理员、系统运维员、基础操作员等角色类型。三员审批；需具备基于系统管理员、安全管理员、安全审计员职责分离的权限管控功能，可实现用户、角色、权限配置的受控调整。</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状态显示与运维服务。需具备可视化展示功能，可对接入系统的各类多域跨网信号源的在线状态、控制状态、网络连接状态等进行呈现；需具备可视化运维管理功能，能够对各类多域跨网信号源资源进行管理。</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（15）设备发现与管理。需支持自动发现音视频调度设备，在同交换机网络环境下，无需配置IP即可实现设备扫描发现。针对发现的设备，可进行IP分配、批量升级以及自定义配置管理操作。</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3.性能要求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（1）支持异常行为监测响应时间不大于5秒。</w:t>
            </w:r>
          </w:p>
          <w:p w14:paraId="0F6CE6B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（2）支持管理本级接入信号数量不低于</w:t>
            </w:r>
            <w:r>
              <w:rPr>
                <w:rFonts w:hint="eastAsia" w:ascii="宋体" w:hAnsi="宋体" w:cs="宋体"/>
                <w:color w:val="auto"/>
                <w:kern w:val="0"/>
                <w:sz w:val="21"/>
                <w:szCs w:val="21"/>
                <w:highlight w:val="none"/>
                <w:lang w:val="en-US" w:eastAsia="zh-CN" w:bidi="ar"/>
              </w:rPr>
              <w:t>16</w:t>
            </w:r>
            <w:r>
              <w:rPr>
                <w:rFonts w:hint="eastAsia" w:ascii="宋体" w:hAnsi="宋体" w:eastAsia="宋体" w:cs="宋体"/>
                <w:color w:val="auto"/>
                <w:kern w:val="0"/>
                <w:sz w:val="21"/>
                <w:szCs w:val="21"/>
                <w:highlight w:val="none"/>
                <w:lang w:bidi="ar"/>
              </w:rPr>
              <w:t>路。</w:t>
            </w:r>
          </w:p>
          <w:p w14:paraId="096C7C6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（3）支持安全接入的不同网络数量不低于4个。</w:t>
            </w:r>
          </w:p>
          <w:p w14:paraId="5D8D5DA6">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（4）支持单终端可接入的本地跨网信号源数量不低于4路 2K@60Hz。</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4.规格要求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（1）固定端口。设备配备≥2个HDMI端口，≥2个USB端口，≥2个10/100/1000Mbps自适应RJ45端口，≥1个SFP光纤端口。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（2）电源接口。设备配备≥2个独立电源接口。</w:t>
            </w:r>
          </w:p>
        </w:tc>
        <w:tc>
          <w:tcPr>
            <w:tcW w:w="1132" w:type="dxa"/>
            <w:tcBorders>
              <w:top w:val="single" w:color="auto" w:sz="4" w:space="0"/>
              <w:left w:val="single" w:color="auto" w:sz="4" w:space="0"/>
              <w:bottom w:val="single" w:color="auto" w:sz="4" w:space="0"/>
              <w:right w:val="single" w:color="auto" w:sz="4" w:space="0"/>
            </w:tcBorders>
            <w:vAlign w:val="center"/>
          </w:tcPr>
          <w:p w14:paraId="1CCE7E3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68D0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1CD94F9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2.3</w:t>
            </w:r>
          </w:p>
        </w:tc>
        <w:tc>
          <w:tcPr>
            <w:tcW w:w="1189" w:type="dxa"/>
            <w:tcBorders>
              <w:top w:val="single" w:color="auto" w:sz="4" w:space="0"/>
              <w:left w:val="single" w:color="auto" w:sz="4" w:space="0"/>
              <w:bottom w:val="single" w:color="auto" w:sz="4" w:space="0"/>
              <w:right w:val="single" w:color="auto" w:sz="4" w:space="0"/>
            </w:tcBorders>
            <w:vAlign w:val="center"/>
          </w:tcPr>
          <w:p w14:paraId="02699CF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多域跨网融合远程交互端</w:t>
            </w:r>
          </w:p>
        </w:tc>
        <w:tc>
          <w:tcPr>
            <w:tcW w:w="622" w:type="dxa"/>
            <w:tcBorders>
              <w:top w:val="single" w:color="auto" w:sz="4" w:space="0"/>
              <w:left w:val="single" w:color="auto" w:sz="4" w:space="0"/>
              <w:bottom w:val="single" w:color="auto" w:sz="4" w:space="0"/>
              <w:right w:val="single" w:color="auto" w:sz="4" w:space="0"/>
            </w:tcBorders>
            <w:vAlign w:val="center"/>
          </w:tcPr>
          <w:p w14:paraId="4DA9DDF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28</w:t>
            </w:r>
          </w:p>
        </w:tc>
        <w:tc>
          <w:tcPr>
            <w:tcW w:w="491" w:type="dxa"/>
            <w:tcBorders>
              <w:top w:val="single" w:color="auto" w:sz="4" w:space="0"/>
              <w:left w:val="single" w:color="auto" w:sz="4" w:space="0"/>
              <w:bottom w:val="single" w:color="auto" w:sz="4" w:space="0"/>
              <w:right w:val="single" w:color="auto" w:sz="4" w:space="0"/>
            </w:tcBorders>
            <w:vAlign w:val="center"/>
          </w:tcPr>
          <w:p w14:paraId="5BB1E47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7636A920">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（1）单向安全隔离传输，需具备音视频和控制信号的采集、输出、隔离及切换功能。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（2）主控芯片和系统：需采用国产化主控芯片和嵌入式操作系统。</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2.功能要求</w:t>
            </w:r>
          </w:p>
          <w:p w14:paraId="522716BF">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（1）接入采集编码：需具备对多个本地输入端进行编码采集功能，具备提供给远程用户调取使用能力。需</w:t>
            </w:r>
            <w:r>
              <w:rPr>
                <w:rFonts w:hint="eastAsia" w:ascii="宋体" w:hAnsi="宋体" w:eastAsia="宋体" w:cs="宋体"/>
                <w:color w:val="auto"/>
                <w:kern w:val="0"/>
                <w:sz w:val="21"/>
                <w:szCs w:val="21"/>
                <w:highlight w:val="none"/>
                <w:lang w:bidi="zh-CN"/>
              </w:rPr>
              <w:t>支持H.264、H.265等多种编码格式，编码码率可配置，支持VBR（动态码率）和CBR（固定码率）控制模式。</w:t>
            </w:r>
          </w:p>
          <w:p w14:paraId="3157EFD9">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（2）视频单向传输：需支持对本地采集的音视频信号进行单向传输，采用内置单向物理隔离器件或具备同等单向阻断效果的硬件架构，确保音视频信号无法回传。</w:t>
            </w:r>
          </w:p>
          <w:p w14:paraId="2DE89C74">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（3）控制信号单向传输：需支持对本地输出的控制信号进行单向传输，采用内置单向物理隔离器件或具备同等单向阻断效果的硬件架构，确保控制信号无法回传。</w:t>
            </w:r>
          </w:p>
          <w:p w14:paraId="64032B0F">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（4）安全审核转发：需支持控制协议和音视频协议的校验传输，确保控制信号和音视频资源必须经过安全隔离审核才能转发。</w:t>
            </w:r>
          </w:p>
          <w:p w14:paraId="2DA07181">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（5）接入界面访问：需支持本地物理视频接口接入和网络界面资源接入，不同类型接入界面可同时使用。</w:t>
            </w:r>
          </w:p>
          <w:p w14:paraId="7586B8EE">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（6）一屏交互操作：需支持一套本地键盘鼠标、触控屏操控接入的各类多域跨网界面。</w:t>
            </w:r>
          </w:p>
          <w:p w14:paraId="1AA4C92F">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（7）跨网界面推送：需支持多用户间的跨网远程协同作业，可向不同用户账户分享推送单窗口界面、组合界面、标注界面等。</w:t>
            </w:r>
          </w:p>
          <w:p w14:paraId="0103049E">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跨网编辑标注：需支持对跨网组合界面的灵活标注，且标注过程中界面信息可实时动态显示。标注工具包含线条、箭头、圆形、矩形等形状，支持可对标注粗细、颜色进行调整，并可对标注内容进行二次编辑修改。</w:t>
            </w:r>
          </w:p>
          <w:p w14:paraId="4AAC2810">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（9）远程并发调度：需支持将远程界面资源调度到本机使用，本机可作为并发代理服务继续向同级其他终端进行转发，降低远端并发压力。</w:t>
            </w:r>
          </w:p>
          <w:p w14:paraId="29B34BAB">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（10）无中心模式：需支持与后台服务器断开连接后，仍然可以实现安全隔离机制，保持界面调取和使用能力。</w:t>
            </w:r>
          </w:p>
          <w:p w14:paraId="55E7898B">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（11）标准免驱控制：需支持硬件驱动级控制，具有高度的兼容性，避免安全防护程序误报警。</w:t>
            </w:r>
          </w:p>
          <w:p w14:paraId="26C6892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（12）信号源接入类型：需支持接入台式机、笔记本、平板、手机、摄像头等。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控制信号采集。需支持键盘、鼠标、触控屏等设备类，免驱即插即用接入；需具备HID接收解析处理功能，可按HID标准解析键盘、鼠标、触控等HID类设备协议，支持多设备并发采集且无冲突；需支持将HID控制信号转换为网络数据包，按转发规则对网内设备进行内容控制。</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（14）界面输出与网络流输出。需配备独立视频输出接口，支持EDID自动读取与手动配置；需支持RTSP协议输出，可同时输出多路独立编码流，也可合并为多画面流。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（15）解码输出与视频解码。需具备解码输出视频网络流的能力，支持多路通道同时解码，并输出至不同显示输出口；需支持解码符合H.264、H.265标准协议的网络视频流。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（16）控制信号输出。需集成HID设备模拟器，可将接收的控制信号转换为符合标准的免驱输出信号，支持键盘、鼠标、触控类控制信号映射。</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（17）网口隔离。需具备视频信号和控制信号网络接口，</w:t>
            </w:r>
            <w:r>
              <w:rPr>
                <w:rFonts w:hint="eastAsia" w:ascii="宋体" w:hAnsi="宋体" w:eastAsia="宋体" w:cs="宋体"/>
                <w:color w:val="auto"/>
                <w:kern w:val="0"/>
                <w:sz w:val="21"/>
                <w:szCs w:val="21"/>
                <w:highlight w:val="none"/>
                <w:lang w:bidi="zh-CN"/>
              </w:rPr>
              <w:t>并且确保接口之间</w:t>
            </w:r>
            <w:r>
              <w:rPr>
                <w:rFonts w:hint="eastAsia" w:ascii="宋体" w:hAnsi="宋体" w:eastAsia="宋体" w:cs="宋体"/>
                <w:color w:val="auto"/>
                <w:kern w:val="0"/>
                <w:sz w:val="21"/>
                <w:szCs w:val="21"/>
                <w:highlight w:val="none"/>
                <w:lang w:bidi="ar"/>
              </w:rPr>
              <w:t>无通信机制，完全独立隔离。</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18）切换控制。需支持切换当前输出的视频或控制信号通道，用于动态调整需采集和输出的视频信号或控制信号；需具备采集通道独立使用或禁用能力，支持人机交互输出通道与设备控制输出通道一对一映射绑定，或采用具备同等效果的其他等效通道架构，实现多终端采集音视频资源的分流控制。</w:t>
            </w:r>
          </w:p>
          <w:p w14:paraId="434115AF">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（19）</w:t>
            </w:r>
            <w:r>
              <w:rPr>
                <w:rFonts w:hint="eastAsia" w:ascii="宋体" w:hAnsi="宋体" w:eastAsia="宋体" w:cs="宋体"/>
                <w:color w:val="auto"/>
                <w:kern w:val="0"/>
                <w:sz w:val="21"/>
                <w:szCs w:val="21"/>
                <w:highlight w:val="none"/>
                <w:lang w:bidi="zh-CN"/>
              </w:rPr>
              <w:t>安全隔离。需</w:t>
            </w:r>
            <w:r>
              <w:rPr>
                <w:rFonts w:hint="eastAsia" w:ascii="宋体" w:hAnsi="宋体" w:eastAsia="宋体" w:cs="宋体"/>
                <w:color w:val="auto"/>
                <w:kern w:val="0"/>
                <w:sz w:val="21"/>
                <w:szCs w:val="21"/>
                <w:highlight w:val="none"/>
                <w:lang w:bidi="ar"/>
              </w:rPr>
              <w:t>具备安全隔离机制功能。应满足音视频信号单向传输、控制信号单向传输。视频信号和控制信号在汇聚后，应确保高密级网络无法向低密级网络泄露信息。</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3.单终端性能要求</w:t>
            </w:r>
          </w:p>
          <w:p w14:paraId="5AF8555B">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（1）支持可接入视频接口数量：不低于4路。</w:t>
            </w:r>
          </w:p>
          <w:p w14:paraId="7EFF2CF6">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（2）支持接入信号源的分辨率：单路最大4K@60Hz。</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（3）支持安全隔离网络数量：不少于4个。</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（4）支持控制信号处理转发时间：不高于50毫秒。</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4.单终端规格要求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（1）设备配备≥2个10/100/1000Mbps自适应RJ45接口。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（2）设备配备≥2个独立电源接口。</w:t>
            </w:r>
          </w:p>
        </w:tc>
        <w:tc>
          <w:tcPr>
            <w:tcW w:w="1132" w:type="dxa"/>
            <w:tcBorders>
              <w:top w:val="single" w:color="auto" w:sz="4" w:space="0"/>
              <w:left w:val="single" w:color="auto" w:sz="4" w:space="0"/>
              <w:bottom w:val="single" w:color="auto" w:sz="4" w:space="0"/>
              <w:right w:val="single" w:color="auto" w:sz="4" w:space="0"/>
            </w:tcBorders>
            <w:vAlign w:val="center"/>
          </w:tcPr>
          <w:p w14:paraId="2814A07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551D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04B510D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2.4</w:t>
            </w:r>
          </w:p>
        </w:tc>
        <w:tc>
          <w:tcPr>
            <w:tcW w:w="1189" w:type="dxa"/>
            <w:tcBorders>
              <w:top w:val="single" w:color="auto" w:sz="4" w:space="0"/>
              <w:left w:val="single" w:color="auto" w:sz="4" w:space="0"/>
              <w:bottom w:val="single" w:color="auto" w:sz="4" w:space="0"/>
              <w:right w:val="single" w:color="auto" w:sz="4" w:space="0"/>
            </w:tcBorders>
            <w:vAlign w:val="center"/>
          </w:tcPr>
          <w:p w14:paraId="2B321E7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多域跨网采集控制软件</w:t>
            </w:r>
          </w:p>
        </w:tc>
        <w:tc>
          <w:tcPr>
            <w:tcW w:w="622" w:type="dxa"/>
            <w:tcBorders>
              <w:top w:val="single" w:color="auto" w:sz="4" w:space="0"/>
              <w:left w:val="single" w:color="auto" w:sz="4" w:space="0"/>
              <w:bottom w:val="single" w:color="auto" w:sz="4" w:space="0"/>
              <w:right w:val="single" w:color="auto" w:sz="4" w:space="0"/>
            </w:tcBorders>
            <w:vAlign w:val="center"/>
          </w:tcPr>
          <w:p w14:paraId="2424726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w:t>
            </w:r>
          </w:p>
        </w:tc>
        <w:tc>
          <w:tcPr>
            <w:tcW w:w="491" w:type="dxa"/>
            <w:tcBorders>
              <w:top w:val="single" w:color="auto" w:sz="4" w:space="0"/>
              <w:left w:val="single" w:color="auto" w:sz="4" w:space="0"/>
              <w:bottom w:val="single" w:color="auto" w:sz="4" w:space="0"/>
              <w:right w:val="single" w:color="auto" w:sz="4" w:space="0"/>
            </w:tcBorders>
            <w:vAlign w:val="center"/>
          </w:tcPr>
          <w:p w14:paraId="7669D1E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4EBB02F2">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软件编码采集。需具备软件抓屏、本地音视频信号采集编码、动态码率调节及设备状态自动上报功能，能够适用于席位电脑、平板、手机、电子沙盘、大屏幕等复合信源的编码采集场景，支持以Web浏览器或客户端实现双向沟通交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2.功能要求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（1）界面采集。需具备屏幕编码采集能力，自适应分辨率生成视频流；需支持自动识别屏幕数量，</w:t>
            </w:r>
            <w:r>
              <w:rPr>
                <w:rFonts w:hint="eastAsia" w:ascii="宋体" w:hAnsi="宋体" w:eastAsia="宋体" w:cs="宋体"/>
                <w:color w:val="auto"/>
                <w:kern w:val="0"/>
                <w:sz w:val="21"/>
                <w:szCs w:val="21"/>
                <w:highlight w:val="none"/>
                <w:lang w:bidi="zh-CN"/>
              </w:rPr>
              <w:t>根据识别屏幕数量显示配置页面</w:t>
            </w:r>
            <w:r>
              <w:rPr>
                <w:rFonts w:hint="eastAsia" w:ascii="宋体" w:hAnsi="宋体" w:eastAsia="宋体" w:cs="宋体"/>
                <w:color w:val="auto"/>
                <w:kern w:val="0"/>
                <w:sz w:val="21"/>
                <w:szCs w:val="21"/>
                <w:highlight w:val="none"/>
                <w:lang w:bidi="ar"/>
              </w:rPr>
              <w:t>；需支持设置屏幕信号或窗口信号名称、</w:t>
            </w:r>
            <w:r>
              <w:rPr>
                <w:rFonts w:hint="eastAsia" w:ascii="宋体" w:hAnsi="宋体" w:eastAsia="宋体" w:cs="宋体"/>
                <w:color w:val="auto"/>
                <w:kern w:val="0"/>
                <w:sz w:val="21"/>
                <w:szCs w:val="21"/>
                <w:highlight w:val="none"/>
                <w:lang w:bidi="zh-CN"/>
              </w:rPr>
              <w:t>主/子码流分辨率</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zh-CN"/>
              </w:rPr>
              <w:t>帧率、码率、GOP及编码启停等相关参数；需</w:t>
            </w:r>
            <w:r>
              <w:rPr>
                <w:rFonts w:hint="eastAsia" w:ascii="宋体" w:hAnsi="宋体" w:eastAsia="宋体" w:cs="宋体"/>
                <w:color w:val="auto"/>
                <w:kern w:val="0"/>
                <w:sz w:val="21"/>
                <w:szCs w:val="21"/>
                <w:highlight w:val="none"/>
                <w:lang w:bidi="ar"/>
              </w:rPr>
              <w:t>支持4K、2K、1080P、720P分辨率；需具备动态码率功能，适应网络带宽波动调整；</w:t>
            </w:r>
            <w:r>
              <w:rPr>
                <w:rFonts w:hint="eastAsia" w:ascii="宋体" w:hAnsi="宋体" w:eastAsia="宋体" w:cs="宋体"/>
                <w:color w:val="auto"/>
                <w:sz w:val="21"/>
                <w:szCs w:val="21"/>
                <w:highlight w:val="none"/>
                <w:lang w:bidi="ar"/>
              </w:rPr>
              <w:t>需支持单屏、双屏、三屏、四屏分别开展</w:t>
            </w:r>
            <w:r>
              <w:rPr>
                <w:rFonts w:hint="eastAsia" w:ascii="宋体" w:hAnsi="宋体" w:eastAsia="宋体" w:cs="宋体"/>
                <w:color w:val="auto"/>
                <w:kern w:val="0"/>
                <w:sz w:val="21"/>
                <w:szCs w:val="21"/>
                <w:highlight w:val="none"/>
                <w:lang w:bidi="zh-CN"/>
              </w:rPr>
              <w:t>视频资源</w:t>
            </w:r>
            <w:r>
              <w:rPr>
                <w:rFonts w:hint="eastAsia" w:ascii="宋体" w:hAnsi="宋体" w:eastAsia="宋体" w:cs="宋体"/>
                <w:color w:val="auto"/>
                <w:sz w:val="21"/>
                <w:szCs w:val="21"/>
                <w:highlight w:val="none"/>
                <w:lang w:bidi="ar"/>
              </w:rPr>
              <w:t>采集及编码处理。</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（2）内容控制。需具备接收网络控制指令并转换为本地键盘、鼠标及触控控制指令的能力。</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（3）权限管控。需具备客户端受控状态的可视化展示和用户提醒功能。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（4）系统监测。需具备自动信息上报的功能，能够将本地设备的CPU、内存、屏幕名称以及码流地址自动上传至后台。</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（5）编码协议与网络环境。需支持的协议类型包括H.264、H.264HP、H.265、G.711、G.722、Opus、H.323、SIP、GB/T 28181协议及PCM编码格式，视频协议需支持RTSP（必须）、RTMP、WebRtc中的一项或多项；需支持</w:t>
            </w:r>
            <w:r>
              <w:rPr>
                <w:rFonts w:hint="eastAsia" w:ascii="宋体" w:hAnsi="宋体" w:eastAsia="宋体" w:cs="宋体"/>
                <w:color w:val="auto"/>
                <w:kern w:val="0"/>
                <w:sz w:val="21"/>
                <w:szCs w:val="21"/>
                <w:highlight w:val="none"/>
                <w:lang w:bidi="zh-CN"/>
              </w:rPr>
              <w:t>在互联网、4G/5G、卫星网络环境下接入进行指挥调度时，仍能够有较好音视频效果。支持IPv4和IPv6协议</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3.性能要求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（1）支持采集屏幕数量：不少于3块。</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（2）支持原生采集编码分辨率：不高于4K，向下兼容2K、1080P、720P等常规分辨率。</w:t>
            </w:r>
          </w:p>
          <w:p w14:paraId="531B284B">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4.运行环境</w:t>
            </w:r>
          </w:p>
          <w:p w14:paraId="5A80F76D">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（1）需支持的操作系统类型包括：麒麟、统信、鸿蒙、Windows、安卓等。</w:t>
            </w:r>
          </w:p>
        </w:tc>
        <w:tc>
          <w:tcPr>
            <w:tcW w:w="1132" w:type="dxa"/>
            <w:tcBorders>
              <w:top w:val="single" w:color="auto" w:sz="4" w:space="0"/>
              <w:left w:val="single" w:color="auto" w:sz="4" w:space="0"/>
              <w:bottom w:val="single" w:color="auto" w:sz="4" w:space="0"/>
              <w:right w:val="single" w:color="auto" w:sz="4" w:space="0"/>
            </w:tcBorders>
            <w:vAlign w:val="center"/>
          </w:tcPr>
          <w:p w14:paraId="704311A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776A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67AB310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2.5</w:t>
            </w:r>
          </w:p>
        </w:tc>
        <w:tc>
          <w:tcPr>
            <w:tcW w:w="1189" w:type="dxa"/>
            <w:tcBorders>
              <w:top w:val="single" w:color="auto" w:sz="4" w:space="0"/>
              <w:left w:val="single" w:color="auto" w:sz="4" w:space="0"/>
              <w:bottom w:val="single" w:color="auto" w:sz="4" w:space="0"/>
              <w:right w:val="single" w:color="auto" w:sz="4" w:space="0"/>
            </w:tcBorders>
            <w:vAlign w:val="center"/>
          </w:tcPr>
          <w:p w14:paraId="5A9D46D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多域跨网融合采集使用端</w:t>
            </w:r>
          </w:p>
        </w:tc>
        <w:tc>
          <w:tcPr>
            <w:tcW w:w="622" w:type="dxa"/>
            <w:tcBorders>
              <w:top w:val="single" w:color="auto" w:sz="4" w:space="0"/>
              <w:left w:val="single" w:color="auto" w:sz="4" w:space="0"/>
              <w:bottom w:val="single" w:color="auto" w:sz="4" w:space="0"/>
              <w:right w:val="single" w:color="auto" w:sz="4" w:space="0"/>
            </w:tcBorders>
            <w:vAlign w:val="center"/>
          </w:tcPr>
          <w:p w14:paraId="02E5BB6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70</w:t>
            </w:r>
          </w:p>
        </w:tc>
        <w:tc>
          <w:tcPr>
            <w:tcW w:w="491" w:type="dxa"/>
            <w:tcBorders>
              <w:top w:val="single" w:color="auto" w:sz="4" w:space="0"/>
              <w:left w:val="single" w:color="auto" w:sz="4" w:space="0"/>
              <w:bottom w:val="single" w:color="auto" w:sz="4" w:space="0"/>
              <w:right w:val="single" w:color="auto" w:sz="4" w:space="0"/>
            </w:tcBorders>
            <w:vAlign w:val="center"/>
          </w:tcPr>
          <w:p w14:paraId="4FD8B10F">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2AD53147">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val="en-US" w:eastAsia="zh-CN" w:bidi="ar"/>
              </w:rPr>
              <w:t>1.</w:t>
            </w:r>
            <w:r>
              <w:rPr>
                <w:rFonts w:hint="eastAsia" w:ascii="宋体" w:hAnsi="宋体" w:eastAsia="宋体" w:cs="宋体"/>
                <w:b/>
                <w:bCs/>
                <w:color w:val="auto"/>
                <w:kern w:val="0"/>
                <w:sz w:val="21"/>
                <w:szCs w:val="21"/>
                <w:highlight w:val="none"/>
                <w:lang w:bidi="ar"/>
              </w:rPr>
              <w:t>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（1）需具备对本地各类信号源的音视频信号采集编码功能，并具备安全隔离功能，能够确保不同网络的视频信号接入时依然保持各网络间的安全隔离状态。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（2）双传输链路隔离：需严格区分音视频链路和控制信号链路，具备严格的单向隔离机制，并确保高密网无法向低密网传输任何信息。</w:t>
            </w:r>
          </w:p>
          <w:p w14:paraId="231404DE">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（3）主控芯片和系统：需采用国产化主控芯片和嵌入式操作系统。</w:t>
            </w:r>
          </w:p>
          <w:p w14:paraId="1B36FC94">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（4）</w:t>
            </w:r>
            <w:r>
              <w:rPr>
                <w:rFonts w:hint="eastAsia" w:ascii="宋体" w:hAnsi="宋体" w:eastAsia="宋体" w:cs="宋体"/>
                <w:color w:val="auto"/>
                <w:kern w:val="0"/>
                <w:sz w:val="21"/>
                <w:szCs w:val="21"/>
                <w:highlight w:val="none"/>
                <w:lang w:val="en-US" w:bidi="zh-CN"/>
              </w:rPr>
              <w:t>需</w:t>
            </w:r>
            <w:r>
              <w:rPr>
                <w:rFonts w:hint="eastAsia" w:ascii="宋体" w:hAnsi="宋体" w:eastAsia="宋体" w:cs="宋体"/>
                <w:color w:val="auto"/>
                <w:kern w:val="0"/>
                <w:sz w:val="21"/>
                <w:szCs w:val="21"/>
                <w:highlight w:val="none"/>
                <w:lang w:bidi="zh-CN"/>
              </w:rPr>
              <w:t>配备满足运行最大分辨率为4K@60Hz的</w:t>
            </w:r>
            <w:r>
              <w:rPr>
                <w:rFonts w:hint="eastAsia" w:ascii="宋体" w:hAnsi="宋体" w:eastAsia="宋体" w:cs="宋体"/>
                <w:color w:val="auto"/>
                <w:kern w:val="0"/>
                <w:sz w:val="21"/>
                <w:szCs w:val="21"/>
                <w:highlight w:val="none"/>
                <w:lang w:bidi="ar"/>
              </w:rPr>
              <w:t>画面监视器</w:t>
            </w:r>
            <w:r>
              <w:rPr>
                <w:rFonts w:hint="eastAsia" w:ascii="宋体" w:hAnsi="宋体" w:eastAsia="宋体" w:cs="宋体"/>
                <w:color w:val="auto"/>
                <w:kern w:val="0"/>
                <w:sz w:val="21"/>
                <w:szCs w:val="21"/>
                <w:highlight w:val="none"/>
                <w:lang w:bidi="zh-CN"/>
              </w:rPr>
              <w:t>。</w:t>
            </w:r>
          </w:p>
          <w:p w14:paraId="0A2EE359">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2.功能要求</w:t>
            </w:r>
          </w:p>
          <w:p w14:paraId="5135473B">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（1）单向安全隔离传输：需具备控制信号和音视频信号物理单向传输特性，实现音视频和控制信号的单向不可逆传输。</w:t>
            </w:r>
          </w:p>
          <w:p w14:paraId="31F4A00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（2）跨网指令安全交互：需支持非网口传输控制信号，通过免驱USB接口实现对信号源的免驱控制，并按照跨网转发服务映射关系，实现对不同网络下多信号源进行安全控制。</w:t>
            </w:r>
          </w:p>
          <w:p w14:paraId="795519CE">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（3）账户登录同步：用户需在不同终端登录专有账户后可同步账户内个性化使用信息，确保用户界面资源列表、使用权限、使用记录等跟随账户切换。</w:t>
            </w:r>
          </w:p>
          <w:p w14:paraId="5243FDE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（4）界面调取控制：需支持通过一套键盘鼠标、触控屏操控接入的各类多域跨网界面资源。支持键鼠控制、多点触控操作、快捷组合键控制等。</w:t>
            </w:r>
          </w:p>
          <w:p w14:paraId="74FBAA89">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（5）界面资源管理：需提供界面资源列表管理功能，支持模糊搜索和快速检索定位，方便用户快速查找所需界面资源。</w:t>
            </w:r>
          </w:p>
          <w:p w14:paraId="6194C43B">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（6）界面栏自定义：界面栏需支持按需增加、删除、修改，并预设多种布局模式，辅助用户进行布局设置。需具备将信号源窗口组合存为预设栏目，并进行快捷调取的功能，支持栏目快捷访问。</w:t>
            </w:r>
          </w:p>
          <w:p w14:paraId="28057D3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跨网界面标注：需支持对跨网组合界面的灵活标注，且标注过程中界面信息可实时动态显示。标注工具包含线条、箭头、圆形、矩形等形状，支持可对标注粗细、颜色进行调整，并可对标注内容进行二次编辑修改。生成含图片、文字的动态音视频场景，同时将修改编辑后的结果推送到其他用户。</w:t>
            </w:r>
          </w:p>
          <w:p w14:paraId="7A03070C">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（8）跨网态势分享：需可将指定跨网界面单窗口界面、组合界面、标注界面分享给其他用户，接收方可全屏实时展示该分享内容。</w:t>
            </w:r>
          </w:p>
          <w:p w14:paraId="35EE94D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（9）标准免驱控制：需支持硬件驱动级控制，具有高度的兼容性，避免安全防护程序误报警。同时支持采用符合HID协议的键盘、鼠标、触控指令;</w:t>
            </w:r>
          </w:p>
          <w:p w14:paraId="530B888E">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信号源接入类型：需支持接入台式机、笔记本、平板、手机、摄像头等。接入的信号源操作系统支持Linux、麒麟KylinOS、统信UOS、鸿蒙、Windows、安卓等类型。兼容大屏幕、显示器、投影仪、电视、键盘鼠标、触控屏、耳麦、话筒等外设类型。</w:t>
            </w:r>
          </w:p>
          <w:p w14:paraId="6042730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（11）单向隔离与单向</w:t>
            </w:r>
            <w:r>
              <w:rPr>
                <w:rFonts w:hint="eastAsia" w:ascii="宋体" w:hAnsi="宋体" w:eastAsia="宋体" w:cs="宋体"/>
                <w:color w:val="auto"/>
                <w:kern w:val="0"/>
                <w:sz w:val="21"/>
                <w:szCs w:val="21"/>
                <w:highlight w:val="none"/>
                <w:lang w:bidi="zh-CN"/>
              </w:rPr>
              <w:t>发送。需</w:t>
            </w:r>
            <w:r>
              <w:rPr>
                <w:rFonts w:hint="eastAsia" w:ascii="宋体" w:hAnsi="宋体" w:eastAsia="宋体" w:cs="宋体"/>
                <w:color w:val="auto"/>
                <w:sz w:val="21"/>
                <w:szCs w:val="21"/>
                <w:highlight w:val="none"/>
              </w:rPr>
              <w:t>采用内置单向物理隔离器件，确保音视频链路及控制链路安全单向隔离；需具备本地音视频流及控制信号流单向发送能力，确保音视频流及控制信号流仅能沿指定方向单向发送</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（12）组合场景与场景预案。需</w:t>
            </w:r>
            <w:r>
              <w:rPr>
                <w:rFonts w:hint="eastAsia" w:ascii="宋体" w:hAnsi="宋体" w:eastAsia="宋体" w:cs="宋体"/>
                <w:color w:val="auto"/>
                <w:kern w:val="0"/>
                <w:sz w:val="21"/>
                <w:szCs w:val="21"/>
                <w:highlight w:val="none"/>
                <w:lang w:bidi="zh-CN"/>
              </w:rPr>
              <w:t>具备</w:t>
            </w:r>
            <w:r>
              <w:rPr>
                <w:rFonts w:hint="eastAsia" w:ascii="宋体" w:hAnsi="宋体" w:eastAsia="宋体" w:cs="宋体"/>
                <w:color w:val="auto"/>
                <w:sz w:val="21"/>
                <w:szCs w:val="21"/>
                <w:highlight w:val="none"/>
              </w:rPr>
              <w:t>多网资源的灵活调度与快速组合调用的能力，能够实现多种组合显示效果；需支持以列表形式呈现场景预案并实时预览和一键切换，亦可进行场景组合的保存与预案的管理</w:t>
            </w:r>
            <w:r>
              <w:rPr>
                <w:rFonts w:hint="eastAsia" w:ascii="宋体" w:hAnsi="宋体" w:eastAsia="宋体" w:cs="宋体"/>
                <w:color w:val="auto"/>
                <w:kern w:val="0"/>
                <w:sz w:val="21"/>
                <w:szCs w:val="21"/>
                <w:highlight w:val="none"/>
                <w:lang w:bidi="zh-CN"/>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（13）开窗漫游与窗口设置。需具备</w:t>
            </w:r>
            <w:r>
              <w:rPr>
                <w:rFonts w:hint="eastAsia" w:ascii="宋体" w:hAnsi="宋体" w:eastAsia="宋体" w:cs="宋体"/>
                <w:color w:val="auto"/>
                <w:sz w:val="21"/>
                <w:szCs w:val="21"/>
                <w:highlight w:val="none"/>
              </w:rPr>
              <w:t>自由开启、移动、缩放或关闭任意信号源窗口功能；需具备将关键信号源窗口置顶、移动、缩放等功能</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（14）布局定义。需具备</w:t>
            </w:r>
            <w:r>
              <w:rPr>
                <w:rFonts w:hint="eastAsia" w:ascii="宋体" w:hAnsi="宋体" w:eastAsia="宋体" w:cs="宋体"/>
                <w:color w:val="auto"/>
                <w:sz w:val="21"/>
                <w:szCs w:val="21"/>
                <w:highlight w:val="none"/>
              </w:rPr>
              <w:t>灵活的窗口布局自定义功能，能够对信号源窗口进行拖拽及位置调整，创建可命名的多画面窗口组合场景，亦可进行窗口预览显示</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（15）内容操控。需具备在一个屏幕上的多个窗口通过键盘、鼠标、触控方式对已接入的各类信号源内容进行漫游控制的功能。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（16）独立操控。需具备多个用户基于各自角色权限，对不同信号源窗口及内容进行独立操控的能力，通过隔离机制确保各用户独立操控、互不干扰。</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（17）裁剪重组。需具备</w:t>
            </w:r>
            <w:r>
              <w:rPr>
                <w:rFonts w:hint="eastAsia" w:ascii="宋体" w:hAnsi="宋体" w:eastAsia="宋体" w:cs="宋体"/>
                <w:color w:val="auto"/>
                <w:sz w:val="21"/>
                <w:szCs w:val="21"/>
                <w:highlight w:val="none"/>
              </w:rPr>
              <w:t>对来自不同网络的音视频资源进行实时显示、自由裁剪与任意组合功能，能够将裁剪后的多个组合关键窗口一键分享给其他用户</w:t>
            </w:r>
            <w:r>
              <w:rPr>
                <w:rFonts w:hint="eastAsia" w:ascii="宋体" w:hAnsi="宋体" w:eastAsia="宋体" w:cs="宋体"/>
                <w:color w:val="auto"/>
                <w:kern w:val="0"/>
                <w:sz w:val="21"/>
                <w:szCs w:val="21"/>
                <w:highlight w:val="none"/>
                <w:lang w:bidi="ar"/>
              </w:rPr>
              <w:t>。</w:t>
            </w:r>
          </w:p>
          <w:p w14:paraId="1FCEF94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（18）协同标注与事件联动。需具备</w:t>
            </w:r>
            <w:r>
              <w:rPr>
                <w:rFonts w:hint="eastAsia" w:ascii="宋体" w:hAnsi="宋体" w:eastAsia="宋体" w:cs="宋体"/>
                <w:color w:val="auto"/>
                <w:sz w:val="21"/>
                <w:szCs w:val="21"/>
                <w:highlight w:val="none"/>
              </w:rPr>
              <w:t>多地、多终端、多人动态编辑协同标注功能，能够实现多终端实时并行对视频画面进行同步绘制与标记，所有用户的标注内容可在一个屏幕上作为独立图层实时叠加显示</w:t>
            </w:r>
            <w:r>
              <w:rPr>
                <w:rFonts w:hint="eastAsia" w:ascii="宋体" w:hAnsi="宋体" w:eastAsia="宋体" w:cs="宋体"/>
                <w:color w:val="auto"/>
                <w:kern w:val="0"/>
                <w:sz w:val="21"/>
                <w:szCs w:val="21"/>
                <w:highlight w:val="none"/>
                <w:lang w:bidi="zh-CN"/>
              </w:rPr>
              <w:t>；须具备通过特定事件指令调取预设栏目的功能，能够实现多个用户之间可通过特定事件触发联动，共同处理同一事件下各自关注的多域跨网音视频资源组合画面</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19）视频采集与编码协议。需具备对本地各类信号源的音视频信号进行采集编码的功能，支持视频编解码协议采用H.264/H.265编码压缩协议，视频传输协议采用RTSP实时流传输协议；需支持的协议类型包括H.264、H.264HP、H.265、G.711、G.722、Opus、H.323、SIP等编码格式，视频协议需支持RTSP（必须）、RTMP、WebRtc中的一项或多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（20）信息上报。需具备将当前设备运行状态、CPU占用率、内存占用率、温度、接口连接状态等信息上报至后台的能力。</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（21）协议与网络类型。支持GB/T 28181协议标准。支持气象宽带网、电子政务网、自组网、互联网、4G/5G、卫星网络等网络环境以及IPv4和IPv6网络协议。</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3.单终端性能要求</w:t>
            </w:r>
          </w:p>
          <w:p w14:paraId="6D89F53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（1）支持安全接入的不同网络来源数量：不低于4个。</w:t>
            </w:r>
          </w:p>
          <w:p w14:paraId="1A4C412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（2）支持同时显示的资源数量：不低于4个。</w:t>
            </w:r>
          </w:p>
          <w:p w14:paraId="210C033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（3）支持可接入的本地跨网信号源数量：4路2K@60Hz。</w:t>
            </w:r>
          </w:p>
          <w:p w14:paraId="6C9C39A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（4）支持接入信号源的分辨率：最大4K@60Hz。</w:t>
            </w:r>
          </w:p>
          <w:p w14:paraId="676DAE19">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（5）支持布局样式数量：不低于8种。</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（6）支持裁剪的窗口最小像素：64x64像素。</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（7）支持最大8个资源画面实时预览显示。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（8）支持本地连接的画面显示延迟（有损画质编码）：不高于100毫秒。</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（9）支持视频界面调度的加载显示时间：不高于2秒。</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（10）支持屏幕配对数量：不低于2个。</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4.单终端规格要求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（1）设备配备≥4个HDMI端口，≥3个USB端口，≥2个音频3.5mm端口，≥2个10/100/1000Mbps自适应RJ45端口，≥1个SFP光纤端口。</w:t>
            </w:r>
          </w:p>
          <w:p w14:paraId="7CA95165">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（2）配备画面监视器≥2个。面板为IPS技术，可视尺寸≥23.8英寸，屏幕比例16:9，分辨率不低于3840×2160，亮度≥280cd/m</w:t>
            </w:r>
            <w:r>
              <w:rPr>
                <w:rFonts w:hint="eastAsia" w:ascii="宋体" w:hAnsi="宋体" w:eastAsia="宋体" w:cs="宋体"/>
                <w:color w:val="auto"/>
                <w:kern w:val="0"/>
                <w:sz w:val="21"/>
                <w:szCs w:val="21"/>
                <w:highlight w:val="none"/>
                <w:vertAlign w:val="superscript"/>
                <w:lang w:bidi="ar"/>
              </w:rPr>
              <w:t>2</w:t>
            </w:r>
            <w:r>
              <w:rPr>
                <w:rFonts w:hint="eastAsia" w:ascii="宋体" w:hAnsi="宋体" w:eastAsia="宋体" w:cs="宋体"/>
                <w:color w:val="auto"/>
                <w:kern w:val="0"/>
                <w:sz w:val="21"/>
                <w:szCs w:val="21"/>
                <w:highlight w:val="none"/>
                <w:lang w:bidi="ar"/>
              </w:rPr>
              <w:t>，接口支持HDMI、DP，3C认证。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（3）设备配备≥2个独立电源接口。</w:t>
            </w:r>
          </w:p>
        </w:tc>
        <w:tc>
          <w:tcPr>
            <w:tcW w:w="1132" w:type="dxa"/>
            <w:tcBorders>
              <w:top w:val="single" w:color="auto" w:sz="4" w:space="0"/>
              <w:left w:val="single" w:color="auto" w:sz="4" w:space="0"/>
              <w:bottom w:val="single" w:color="auto" w:sz="4" w:space="0"/>
              <w:right w:val="single" w:color="auto" w:sz="4" w:space="0"/>
            </w:tcBorders>
            <w:vAlign w:val="center"/>
          </w:tcPr>
          <w:p w14:paraId="55E5F5DF">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2CD7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5273D84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2.6</w:t>
            </w:r>
          </w:p>
        </w:tc>
        <w:tc>
          <w:tcPr>
            <w:tcW w:w="1189" w:type="dxa"/>
            <w:tcBorders>
              <w:top w:val="single" w:color="auto" w:sz="4" w:space="0"/>
              <w:left w:val="single" w:color="auto" w:sz="4" w:space="0"/>
              <w:bottom w:val="single" w:color="auto" w:sz="4" w:space="0"/>
              <w:right w:val="single" w:color="auto" w:sz="4" w:space="0"/>
            </w:tcBorders>
            <w:vAlign w:val="center"/>
          </w:tcPr>
          <w:p w14:paraId="4E27D25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多域跨网融合移动端软件版</w:t>
            </w:r>
          </w:p>
        </w:tc>
        <w:tc>
          <w:tcPr>
            <w:tcW w:w="622" w:type="dxa"/>
            <w:tcBorders>
              <w:top w:val="single" w:color="auto" w:sz="4" w:space="0"/>
              <w:left w:val="single" w:color="auto" w:sz="4" w:space="0"/>
              <w:bottom w:val="single" w:color="auto" w:sz="4" w:space="0"/>
              <w:right w:val="single" w:color="auto" w:sz="4" w:space="0"/>
            </w:tcBorders>
            <w:vAlign w:val="center"/>
          </w:tcPr>
          <w:p w14:paraId="49AE63A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w:t>
            </w:r>
          </w:p>
        </w:tc>
        <w:tc>
          <w:tcPr>
            <w:tcW w:w="491" w:type="dxa"/>
            <w:tcBorders>
              <w:top w:val="single" w:color="auto" w:sz="4" w:space="0"/>
              <w:left w:val="single" w:color="auto" w:sz="4" w:space="0"/>
              <w:bottom w:val="single" w:color="auto" w:sz="4" w:space="0"/>
              <w:right w:val="single" w:color="auto" w:sz="4" w:space="0"/>
            </w:tcBorders>
            <w:vAlign w:val="center"/>
          </w:tcPr>
          <w:p w14:paraId="12866C8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3A3D617B">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1.总体要求</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1）资源采集操控。需具备统一调取、显示、控制接入资源的能力，包括本地屏幕编码采集、资源融合显示、集中操控、开窗漫游、分享推送、编辑标注等功能，能够适用于席位电脑、电子沙盘、汇报台、笔记本、大屏、机动集成作业系统指挥模组、调度端、作业端等场景。</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2.功能要求</w:t>
            </w:r>
          </w:p>
          <w:p w14:paraId="1CF84BAE">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（1）资源采集编码传输：需支持对本机输出界面进行采集编码，供其他终端使用或利用专用通信链路回传至后方指挥中心。</w:t>
            </w:r>
          </w:p>
          <w:p w14:paraId="12FD91D0">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（2）远程跨网资源协同：需具备接收指挥中心推送的省、市、县各类跨网界面资源能力，在移动过程中与指挥中心保持信息同步，亦可将本地采集界面资源推送给省、市、县指挥中心。</w:t>
            </w:r>
          </w:p>
          <w:p w14:paraId="5F9B2EF2">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（3）多终端间协同通信：需支持与其他多域跨网融合移动端之间，实现1对1音视频通话功能。</w:t>
            </w:r>
          </w:p>
          <w:p w14:paraId="0C47B301">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（4）组合界面标注推送：需支持对接入的资源组合界面场景进行标注，并推送至指挥中心或其他多域跨网融合移动端。</w:t>
            </w:r>
          </w:p>
          <w:p w14:paraId="4BB8ADA8">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5）无中心使用模式：需支持在没有后台服务器连接的情况下，自动搜索发现同网络内的其他终端设备，设备之间可建立点对点通信，实现相互之间的界面调取、推送、标绘分享、音视频通话功能。在后台服务器意外断连的情况下仍然可以形成多终端协同能力。</w:t>
            </w:r>
          </w:p>
          <w:p w14:paraId="77926354">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6）融合显示。需具备快速接入多网资源能力，可构建资源组合场景，实现多种显示效果；需具备任意开窗显示、窗口关闭、窗口移动、窗口置顶功能；需具备将信号组合界面保存为预设栏目的功能，可快捷调取，栏目支持自定义名称和布局。需支持一键收起和隐藏主页面功能应用按钮、栏目及资源窗口菜单，无遮挡全画面显示资源内容。</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7）内容控制。需具备通过一套键鼠或触控方式对接入多域跨网音视频资源进行统一操控功能，提供基础键鼠指令映射与快捷组合键功能；须具备在一个屏幕上通过键鼠、触控方式漫游控制已接入的各类信号源的功能；须具备基于角色权限实现多用户对不同信号源窗口及内容的独立操控能力。</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8）系统类型与多屏使用。需支持信号源操作系统类型包括Windows、Linux、Android、鸿蒙、麒麟KylinOS、统信UOS等；需具备拖拽资源、组合场景和栏目与主窗口分离显示功能，能够实现漫游到任意窗口上独立显示、控制、布局、全屏等操作。</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9）裁剪重组与动态标注。需具备对来自不同网络的音视频资源进行实时显示、自由裁剪与任意组合功能，能够将裁剪后的多个组合关键窗口一键分享给其他用户；须具备在多个音视频组合的画面上进行实时动态编辑标注功能，能够提供丰富的标注工具（线条、箭头、图形、文字等），支持在实时画面上进行自由绘制、编辑与样式调整，生成含图片、文字的动态音视频场景，同时将修改编辑后的结果推送到其他用户。</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10）多人协同。需具备多人跨域协同编辑标注功能可实时同步展示标绘过程，能够实现对各路视频画面进行协同编辑，允许多人、多终端1对1、1对多在线共同编辑文档及标注，多个终端能实时协同标注多域跨网组合画面广播推送，不同用户的标注内容可在同一屏幕实时叠加显示。</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（11）事件联动。需具备通过特定事件指令调取预设栏目的功能，能够实现多个用户之间可通过特定事件触发联动，共同处理同一事件下各自关注的多域跨网音视频资源组合画面。</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（12）预案轮询。需具备基于同一个时间轴，对各类设定组合场景便捷排列的能力，能够实现对编辑后时间轴的轮询播放能力，可在预设时间点自动调取预设的组合场景。</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（13）告警联动。需支持基于第三方系统生成的告警信息，通过对接方式关联触发预设联动预案，快速调取对应告警相关的音视频资源，并按预设组合场景完成可视化展示，实现告警事件智能化处置响应。</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14）指挥端模式。需具备在指挥员一键下达给自治区、市、县三级及移动指挥车、作业端、手机端等时，指挥端一屏管理资源，多个态势屏一键内容切换显示，资源可按需投屏至任意态势屏幕；需具备组合界面快速调取功能，能够实现将不同业务系统形成组合场景，一键调取，并一键推送到任意态势屏幕；需具备信号源缩略显示功能，能够通过滑动操作快速预览所有内容。</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3.单终端性能要求</w:t>
            </w:r>
          </w:p>
          <w:p w14:paraId="45D42AF7">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（1）支持同时显示的资源数量：不小于4个。</w:t>
            </w:r>
          </w:p>
          <w:p w14:paraId="27F314BC">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（2）支持布局样式数量：不低于8种。</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（3）支持裁剪的窗口最小分辨率为：64x64像素。</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（4）支持多人协同人数：不低于4人。</w:t>
            </w:r>
            <w:r>
              <w:rPr>
                <w:rFonts w:hint="eastAsia" w:ascii="宋体" w:hAnsi="宋体" w:eastAsia="宋体" w:cs="宋体"/>
                <w:color w:val="auto"/>
                <w:kern w:val="0"/>
                <w:sz w:val="21"/>
                <w:szCs w:val="21"/>
                <w:highlight w:val="none"/>
                <w:lang w:bidi="zh-CN"/>
              </w:rPr>
              <w:br w:type="textWrapping"/>
            </w:r>
            <w:r>
              <w:rPr>
                <w:rFonts w:hint="eastAsia" w:ascii="宋体" w:hAnsi="宋体" w:eastAsia="宋体" w:cs="宋体"/>
                <w:color w:val="auto"/>
                <w:kern w:val="0"/>
                <w:sz w:val="21"/>
                <w:szCs w:val="21"/>
                <w:highlight w:val="none"/>
                <w:lang w:bidi="zh-CN"/>
              </w:rPr>
              <w:t>（5）支持采集屏幕数量：不少于4块。</w:t>
            </w:r>
          </w:p>
          <w:p w14:paraId="62DE088C">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4.运行环境</w:t>
            </w:r>
          </w:p>
          <w:p w14:paraId="2E3DE483">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（1）需支持安卓、国产麒麟、windows操作系统。</w:t>
            </w:r>
          </w:p>
        </w:tc>
        <w:tc>
          <w:tcPr>
            <w:tcW w:w="1132" w:type="dxa"/>
            <w:tcBorders>
              <w:top w:val="single" w:color="auto" w:sz="4" w:space="0"/>
              <w:left w:val="single" w:color="auto" w:sz="4" w:space="0"/>
              <w:bottom w:val="single" w:color="auto" w:sz="4" w:space="0"/>
              <w:right w:val="single" w:color="auto" w:sz="4" w:space="0"/>
            </w:tcBorders>
            <w:vAlign w:val="center"/>
          </w:tcPr>
          <w:p w14:paraId="3920D36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2475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56416E8F">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2.7</w:t>
            </w:r>
          </w:p>
        </w:tc>
        <w:tc>
          <w:tcPr>
            <w:tcW w:w="1189" w:type="dxa"/>
            <w:tcBorders>
              <w:top w:val="single" w:color="auto" w:sz="4" w:space="0"/>
              <w:left w:val="single" w:color="auto" w:sz="4" w:space="0"/>
              <w:bottom w:val="single" w:color="auto" w:sz="4" w:space="0"/>
              <w:right w:val="single" w:color="auto" w:sz="4" w:space="0"/>
            </w:tcBorders>
            <w:vAlign w:val="center"/>
          </w:tcPr>
          <w:p w14:paraId="4CC0B67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多域跨网融合态势端</w:t>
            </w:r>
          </w:p>
        </w:tc>
        <w:tc>
          <w:tcPr>
            <w:tcW w:w="622" w:type="dxa"/>
            <w:tcBorders>
              <w:top w:val="single" w:color="auto" w:sz="4" w:space="0"/>
              <w:left w:val="single" w:color="auto" w:sz="4" w:space="0"/>
              <w:bottom w:val="single" w:color="auto" w:sz="4" w:space="0"/>
              <w:right w:val="single" w:color="auto" w:sz="4" w:space="0"/>
            </w:tcBorders>
            <w:vAlign w:val="center"/>
          </w:tcPr>
          <w:p w14:paraId="0729793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w:t>
            </w:r>
          </w:p>
        </w:tc>
        <w:tc>
          <w:tcPr>
            <w:tcW w:w="491" w:type="dxa"/>
            <w:tcBorders>
              <w:top w:val="single" w:color="auto" w:sz="4" w:space="0"/>
              <w:left w:val="single" w:color="auto" w:sz="4" w:space="0"/>
              <w:bottom w:val="single" w:color="auto" w:sz="4" w:space="0"/>
              <w:right w:val="single" w:color="auto" w:sz="4" w:space="0"/>
            </w:tcBorders>
            <w:vAlign w:val="center"/>
          </w:tcPr>
          <w:p w14:paraId="29520D9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7BB85B99">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（1）大屏幕显示界面资源。需具备整合多网资源显示功能，能够实现自定义配置、资源推送、实时动态标绘及多用户协同，适用于实时显示全域态势。</w:t>
            </w:r>
          </w:p>
          <w:p w14:paraId="7C07DDBD">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（2）需配套满足运行最大分辨率为4K@60Hz的工作站。</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2.功能要求</w:t>
            </w:r>
          </w:p>
          <w:p w14:paraId="7E59D4D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（1）多域界面展示：需支持将多个多域跨网界面形成组合场景进行统一展示，不同密级的信号源之间安全隔离、互不干扰。</w:t>
            </w:r>
          </w:p>
          <w:p w14:paraId="6254F7DB">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（2）多域标绘展示：需支持将多个多域跨网界面的组合场景进行重点信息标注。如：线条、箭头、圆形、矩形等，可支持使用终端对标注信息进行修改并再次推送更新。</w:t>
            </w:r>
          </w:p>
          <w:p w14:paraId="049D3D69">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（3）远程分享推送：需支持接收来自本地终端或远程异地终端用户的分享推送。包括组合界面、裁剪界面、标绘界面等。</w:t>
            </w:r>
          </w:p>
          <w:p w14:paraId="3755D92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（4）态势实时更新：需能够自动获取并更新多域跨网的最新界面，保障态势信息的时效性。自动更新间隔不高于1秒。</w:t>
            </w:r>
          </w:p>
          <w:p w14:paraId="0DCAA00D">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协同标绘支撑：需支持多个终端对同一多域跨网组合界面进行并行协同标绘，支持不同用户标绘内容进行融合叠加显示，并行协同的用户数量不低于6个。需支持将指定界面窗口、组合界面、标注界面、协同标绘进行态势分享展示、态势接收方可全屏实时展示该分享内容。</w:t>
            </w:r>
          </w:p>
          <w:p w14:paraId="70803555">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（6）轮巡展示。需支持按时间轴或固定周期对组合界面资源自动轮巡展示，能够实现非人工干预，自动运行。</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（7）监控取流与账户同步管理。需支持对符合GB/T 28181的各类视频监控独立取流显示；用户在不同终端登录账户后可同步账户信息，能够确保用户界面资源列表、功能模块、使用权限、使用记录跟随账户切换。</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（8）显示类型。需支持组合界面、裁剪界面、标绘界面、预案联动场景界面等显示类型。</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9）省流机制与告警联动。需支持灵活设置显示超时时间，在监测到态势端显示内容无更新、无操作时，自动停止取流播放，降低带宽占用、节省流量；需支持基于第三方系统生成的告警信息，通过对接方式关联触发预设联动预案，快速调取对应告警相关的音视频资源，并按预设组合场景完成可视化展示，实现告警事件智能化处置响应。</w:t>
            </w:r>
          </w:p>
          <w:p w14:paraId="756245E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（10）内容交互与预案锁定。需具备使用一套键盘、鼠标，</w:t>
            </w:r>
            <w:r>
              <w:rPr>
                <w:rFonts w:hint="eastAsia" w:ascii="宋体" w:hAnsi="宋体" w:eastAsia="宋体" w:cs="宋体"/>
                <w:color w:val="auto"/>
                <w:sz w:val="21"/>
                <w:szCs w:val="21"/>
                <w:highlight w:val="none"/>
              </w:rPr>
              <w:t>可自由漫游至大屏幕任意窗口进行内容控制及键鼠输入，能够</w:t>
            </w:r>
            <w:r>
              <w:rPr>
                <w:rFonts w:hint="eastAsia" w:ascii="宋体" w:hAnsi="宋体" w:eastAsia="宋体" w:cs="宋体"/>
                <w:color w:val="auto"/>
                <w:kern w:val="0"/>
                <w:sz w:val="21"/>
                <w:szCs w:val="21"/>
                <w:highlight w:val="none"/>
                <w:lang w:bidi="zh-CN"/>
              </w:rPr>
              <w:t>实现对一个大屏幕任意区域的界面进行窗口漫游交互控制</w:t>
            </w:r>
            <w:r>
              <w:rPr>
                <w:rFonts w:hint="eastAsia" w:ascii="宋体" w:hAnsi="宋体" w:eastAsia="宋体" w:cs="宋体"/>
                <w:color w:val="auto"/>
                <w:kern w:val="0"/>
                <w:sz w:val="21"/>
                <w:szCs w:val="21"/>
                <w:highlight w:val="none"/>
                <w:lang w:bidi="ar"/>
              </w:rPr>
              <w:t>；需</w:t>
            </w:r>
            <w:r>
              <w:rPr>
                <w:rFonts w:hint="eastAsia" w:ascii="宋体" w:hAnsi="宋体" w:eastAsia="宋体" w:cs="宋体"/>
                <w:color w:val="auto"/>
                <w:kern w:val="0"/>
                <w:sz w:val="21"/>
                <w:szCs w:val="21"/>
                <w:highlight w:val="none"/>
                <w:lang w:bidi="zh-CN"/>
              </w:rPr>
              <w:t>具备锁定屏幕显示预案功能，能够根据需要锁定屏幕，防止误操作</w:t>
            </w:r>
            <w:r>
              <w:rPr>
                <w:rFonts w:hint="eastAsia" w:ascii="宋体" w:hAnsi="宋体" w:eastAsia="宋体" w:cs="宋体"/>
                <w:color w:val="auto"/>
                <w:kern w:val="0"/>
                <w:sz w:val="21"/>
                <w:szCs w:val="21"/>
                <w:highlight w:val="none"/>
                <w:lang w:bidi="ar"/>
              </w:rPr>
              <w:t>。</w:t>
            </w:r>
          </w:p>
          <w:p w14:paraId="6B11F3A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11）实时编辑与预设编辑。需支持将编辑后的结果实时呈现在大屏幕，能够实现编辑修改内容立即生效同步到大屏幕显示，如窗口布局改变、信号源替换后大屏可实时变化；需支持将编辑内容进行缓存预设，进行推送后大屏幕显示当前预设的编辑内容，如预设不同组合窗口和标绘信息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（12）资源加载与资源组合。需支持对本地资源进行导入加载，如图片、视频、音频、文本文件等；需支持对多类资源进行组合显示，如计算机桌面、监控视频、高拍仪界面、文本文件、图片文件、视频文件等。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预设联动与显示预览。需支持预设需要联动的显示场景，形成预案，并关联特定触发事件，能够实现当事件发生时自动联动预设预案场景；需支持对接入的各类资源进行实时预览，如信号源缩略图、组合场景缩略图。</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网格布局与比例设置。需支持对态势显示的网格进行自定义调整，可按照系统预设进行选择，或者按照用户需求进行任意编辑组合成新布局，并支持对这些布局进行管理；需支持对态势界面根据大屏幕实际比例进行参数设置，能够校准当前显示比例，避免大屏幕显示拉伸失真。</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3.性能要求</w:t>
            </w:r>
          </w:p>
          <w:p w14:paraId="17350B3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（1）支持同时显示窗口数量：不小于8个。</w:t>
            </w:r>
          </w:p>
          <w:p w14:paraId="1D7D179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（2）支持独立取流的监控路数：不低于128路。</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（3）支持显示的整体最大分辨率为：4K@60Hz。</w:t>
            </w:r>
          </w:p>
          <w:p w14:paraId="6E3D0866">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（4）工作站要求：①CPU：</w:t>
            </w:r>
            <w:r>
              <w:rPr>
                <w:rFonts w:hint="eastAsia" w:ascii="宋体" w:hAnsi="宋体" w:eastAsia="宋体" w:cs="宋体"/>
                <w:color w:val="auto"/>
                <w:kern w:val="0"/>
                <w:sz w:val="21"/>
                <w:szCs w:val="21"/>
                <w:highlight w:val="none"/>
                <w:lang w:bidi="zh-CN"/>
              </w:rPr>
              <w:t>8核16线程及以上，主频3.0GHz及以上</w:t>
            </w:r>
            <w:r>
              <w:rPr>
                <w:rFonts w:hint="eastAsia" w:ascii="宋体" w:hAnsi="宋体" w:eastAsia="宋体" w:cs="宋体"/>
                <w:color w:val="auto"/>
                <w:kern w:val="0"/>
                <w:sz w:val="21"/>
                <w:szCs w:val="21"/>
                <w:highlight w:val="none"/>
                <w:lang w:bidi="ar"/>
              </w:rPr>
              <w:t>。②内存：32GB及以上。③硬盘：256G SSD及以上。④显卡：</w:t>
            </w:r>
            <w:r>
              <w:rPr>
                <w:rFonts w:hint="eastAsia" w:ascii="宋体" w:hAnsi="宋体" w:eastAsia="宋体" w:cs="宋体"/>
                <w:color w:val="auto"/>
                <w:kern w:val="0"/>
                <w:sz w:val="21"/>
                <w:szCs w:val="21"/>
                <w:highlight w:val="none"/>
                <w:lang w:bidi="zh-CN"/>
              </w:rPr>
              <w:t>GPU显存16GB或以上，支持同时不低于4路4K输出。</w:t>
            </w:r>
            <w:r>
              <w:rPr>
                <w:rFonts w:hint="eastAsia" w:ascii="宋体" w:hAnsi="宋体" w:eastAsia="宋体" w:cs="宋体"/>
                <w:color w:val="auto"/>
                <w:kern w:val="0"/>
                <w:sz w:val="21"/>
                <w:szCs w:val="21"/>
                <w:highlight w:val="none"/>
                <w:lang w:bidi="ar"/>
              </w:rPr>
              <w:t>⑤网卡：千兆及以上。</w:t>
            </w:r>
          </w:p>
        </w:tc>
        <w:tc>
          <w:tcPr>
            <w:tcW w:w="1132" w:type="dxa"/>
            <w:tcBorders>
              <w:top w:val="single" w:color="auto" w:sz="4" w:space="0"/>
              <w:left w:val="single" w:color="auto" w:sz="4" w:space="0"/>
              <w:bottom w:val="single" w:color="auto" w:sz="4" w:space="0"/>
              <w:right w:val="single" w:color="auto" w:sz="4" w:space="0"/>
            </w:tcBorders>
            <w:vAlign w:val="center"/>
          </w:tcPr>
          <w:p w14:paraId="17B8E0E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72F5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6C65DD1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2.8</w:t>
            </w:r>
          </w:p>
        </w:tc>
        <w:tc>
          <w:tcPr>
            <w:tcW w:w="1189" w:type="dxa"/>
            <w:tcBorders>
              <w:top w:val="single" w:color="auto" w:sz="4" w:space="0"/>
              <w:left w:val="single" w:color="auto" w:sz="4" w:space="0"/>
              <w:bottom w:val="single" w:color="auto" w:sz="4" w:space="0"/>
              <w:right w:val="single" w:color="auto" w:sz="4" w:space="0"/>
            </w:tcBorders>
            <w:vAlign w:val="center"/>
          </w:tcPr>
          <w:p w14:paraId="2331512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多域跨网融合会商端</w:t>
            </w:r>
          </w:p>
        </w:tc>
        <w:tc>
          <w:tcPr>
            <w:tcW w:w="622" w:type="dxa"/>
            <w:tcBorders>
              <w:top w:val="single" w:color="auto" w:sz="4" w:space="0"/>
              <w:left w:val="single" w:color="auto" w:sz="4" w:space="0"/>
              <w:bottom w:val="single" w:color="auto" w:sz="4" w:space="0"/>
              <w:right w:val="single" w:color="auto" w:sz="4" w:space="0"/>
            </w:tcBorders>
            <w:vAlign w:val="center"/>
          </w:tcPr>
          <w:p w14:paraId="0F00C56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42</w:t>
            </w:r>
          </w:p>
        </w:tc>
        <w:tc>
          <w:tcPr>
            <w:tcW w:w="491" w:type="dxa"/>
            <w:tcBorders>
              <w:top w:val="single" w:color="auto" w:sz="4" w:space="0"/>
              <w:left w:val="single" w:color="auto" w:sz="4" w:space="0"/>
              <w:bottom w:val="single" w:color="auto" w:sz="4" w:space="0"/>
              <w:right w:val="single" w:color="auto" w:sz="4" w:space="0"/>
            </w:tcBorders>
            <w:vAlign w:val="center"/>
          </w:tcPr>
          <w:p w14:paraId="1C6D9E7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2B382D9D">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（1）多域跨网会议：需支持多地域、多用户共同参与音视频会议，参会人员可共享使用多域跨网融合接入的界面资源。</w:t>
            </w:r>
          </w:p>
          <w:p w14:paraId="32E5935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（2）多源同步传输：需支持多域跨网界面、会议视频画面、语音同步传输。</w:t>
            </w:r>
          </w:p>
          <w:p w14:paraId="51879B4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2.功能要求</w:t>
            </w:r>
          </w:p>
          <w:p w14:paraId="4FA4F509">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（1）界面共享功能：需支持对多域跨网界面进行一屏调度，支持对跨域跨网组合界面场景实时共享，并基于跨网组合界面进行共同研讨，过程中确保跨网界面之间安全隔离，互不干扰。</w:t>
            </w:r>
          </w:p>
          <w:p w14:paraId="06265BD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（2）界面共享方式：需支持多种界面共享方式，包括：软件抓屏共享、本地采集共享、其他终端推送来的界面共享、协同标绘界面共享、本地组合场景共享。</w:t>
            </w:r>
          </w:p>
          <w:p w14:paraId="1882869E">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（3）账号管理：需具备建立统一账户管理功能，可与后台账户信息进行同步。</w:t>
            </w:r>
          </w:p>
          <w:p w14:paraId="5B7005C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（4）多级组会与多级呼叫。需</w:t>
            </w:r>
            <w:r>
              <w:rPr>
                <w:rFonts w:hint="eastAsia" w:ascii="宋体" w:hAnsi="宋体" w:eastAsia="宋体" w:cs="宋体"/>
                <w:color w:val="auto"/>
                <w:kern w:val="0"/>
                <w:sz w:val="21"/>
                <w:szCs w:val="21"/>
                <w:highlight w:val="none"/>
                <w:lang w:bidi="zh-CN"/>
              </w:rPr>
              <w:t>具备多方实时音视频会议和文本对话功能。采用SIP协议，提供多对多的音视频通信功能。支持语音对讲，可创建多个对讲组，能够实现自由讨论和广播；须支持基于角色权限对各级用户同时在线音视频呼叫，实现内外网资源结合和“端到端”音视频连线；须具备多方协同参与音视频会议功能，能够实现会议画面和会议语音保持实时同步传输</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（5）快速会议与预定会议。需</w:t>
            </w:r>
            <w:r>
              <w:rPr>
                <w:rFonts w:hint="eastAsia" w:ascii="宋体" w:hAnsi="宋体" w:eastAsia="宋体" w:cs="宋体"/>
                <w:color w:val="auto"/>
                <w:kern w:val="0"/>
                <w:sz w:val="21"/>
                <w:szCs w:val="21"/>
                <w:highlight w:val="none"/>
                <w:lang w:bidi="zh-CN"/>
              </w:rPr>
              <w:t>具备会议时长设置功能，可根据需求手动调整为30分钟、1小时、2小时等自定义时长，无需邀请成员。建会人可从组织架构拉取人员并发送邀请；需具备预定参会人员和时间功能，能够实现进入会议后建会人仍可再次邀请其他人员入会</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6）会议列表与查询会议。需支持在会议首页显示相关会议列表，包括自己创建或他人邀请的会议；点击待入会议，展示相关预定会议与快速会议，也可根据会议号查询会议。入会需输入会议密码验证，通过后即时入会，会议号支持一键复制，会议密码在建会时可设置修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会议操作与屏幕共享。需支持多种会议显示模式，如平铺展示、列表模式；支持会议摄像头镜像翻转、静音/非静音操作，且会议中说话人话筒高亮显示；需支持会议中共享屏幕，能够实现会议里的其他成员实时看到共享的屏幕内容并开展会商讨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（8）会议即时消息。需具备在会中多人即时通讯的功能，提供通信对话窗口，支持文字、文件、图片等类型消息。</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9）多级会议权限。需支持细分设置会议权限，可包括主持人和一般参会人权限。主持人拥有最高会议权限，包括开启/结束会议、管理参会人、会议参数设置等；普通参会人入会后，默认有发言、共享内容查看等权限。</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安全共享传输。需支持实时同步传输跨网视频资源、会议画面和音频，能够提供良好沟通体验；需支持对多个不同网络视频资源进行一屏调度，能够实现组合画面场景实时共享，以及基于跨网资源的共同研讨，同时确保跨网资源安全隔离。</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（11）场景化会议部署预设。需具备预设快速会议功能，用户可通过预设参会人群和会议时间一键开会，无需召集参会人，并自动调取预设场景所需的信号源画面，缩短创建会议以及邀请参会的操作时间。</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（12）弱网环境自适应。需具备动态码率功能，支持弱网环境动态码率调整，保证音视频流畅传输。</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（13）编码协议类型。需支持H.323、SIP音视频通信协议。</w:t>
            </w:r>
          </w:p>
          <w:p w14:paraId="0C3BE45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（14）</w:t>
            </w:r>
            <w:r>
              <w:rPr>
                <w:rFonts w:hint="eastAsia" w:ascii="宋体" w:hAnsi="宋体" w:cs="宋体"/>
                <w:color w:val="auto"/>
                <w:kern w:val="0"/>
                <w:sz w:val="21"/>
                <w:szCs w:val="21"/>
                <w:highlight w:val="none"/>
                <w:lang w:eastAsia="zh-CN" w:bidi="ar"/>
              </w:rPr>
              <w:t>多源</w:t>
            </w:r>
            <w:r>
              <w:rPr>
                <w:rFonts w:hint="eastAsia" w:ascii="宋体" w:hAnsi="宋体" w:eastAsia="宋体" w:cs="宋体"/>
                <w:color w:val="auto"/>
                <w:kern w:val="0"/>
                <w:sz w:val="21"/>
                <w:szCs w:val="21"/>
                <w:highlight w:val="none"/>
                <w:lang w:bidi="ar"/>
              </w:rPr>
              <w:t>会议融合。需具备构建</w:t>
            </w:r>
            <w:r>
              <w:rPr>
                <w:rFonts w:hint="eastAsia" w:ascii="宋体" w:hAnsi="宋体" w:cs="宋体"/>
                <w:color w:val="auto"/>
                <w:kern w:val="0"/>
                <w:sz w:val="21"/>
                <w:szCs w:val="21"/>
                <w:highlight w:val="none"/>
                <w:lang w:eastAsia="zh-CN" w:bidi="ar"/>
              </w:rPr>
              <w:t>多源</w:t>
            </w:r>
            <w:r>
              <w:rPr>
                <w:rFonts w:hint="eastAsia" w:ascii="宋体" w:hAnsi="宋体" w:eastAsia="宋体" w:cs="宋体"/>
                <w:color w:val="auto"/>
                <w:kern w:val="0"/>
                <w:sz w:val="21"/>
                <w:szCs w:val="21"/>
                <w:highlight w:val="none"/>
                <w:lang w:bidi="ar"/>
              </w:rPr>
              <w:t>会议融合能力，可接入并邀请第三方视频会议终端及参会方入会，实现多方之间音视频实时交互通信，同时支持会议画面共享与同步观看。</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3.性能要求</w:t>
            </w:r>
          </w:p>
          <w:p w14:paraId="6615FA0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（1）支持的视频会议最大参会方数量：不低于32路。</w:t>
            </w:r>
          </w:p>
          <w:p w14:paraId="48F1A1F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（2）支持的语音会议最大参会方数量：不低于64路。</w:t>
            </w:r>
          </w:p>
          <w:p w14:paraId="0F4EE6D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（3）配备无线鹅颈式会议麦克风≥1个。</w:t>
            </w:r>
          </w:p>
          <w:p w14:paraId="0181C03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4.运行环境</w:t>
            </w:r>
          </w:p>
          <w:p w14:paraId="025F36BC">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（1）需支持的操作系统类型包括：麒麟、Windows、安卓等。</w:t>
            </w:r>
          </w:p>
        </w:tc>
        <w:tc>
          <w:tcPr>
            <w:tcW w:w="1132" w:type="dxa"/>
            <w:tcBorders>
              <w:top w:val="single" w:color="auto" w:sz="4" w:space="0"/>
              <w:left w:val="single" w:color="auto" w:sz="4" w:space="0"/>
              <w:bottom w:val="single" w:color="auto" w:sz="4" w:space="0"/>
              <w:right w:val="single" w:color="auto" w:sz="4" w:space="0"/>
            </w:tcBorders>
            <w:vAlign w:val="center"/>
          </w:tcPr>
          <w:p w14:paraId="5DD3D7F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6F8E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30C1194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2.9</w:t>
            </w:r>
          </w:p>
        </w:tc>
        <w:tc>
          <w:tcPr>
            <w:tcW w:w="1189" w:type="dxa"/>
            <w:tcBorders>
              <w:top w:val="single" w:color="auto" w:sz="4" w:space="0"/>
              <w:left w:val="single" w:color="auto" w:sz="4" w:space="0"/>
              <w:bottom w:val="single" w:color="auto" w:sz="4" w:space="0"/>
              <w:right w:val="single" w:color="auto" w:sz="4" w:space="0"/>
            </w:tcBorders>
            <w:vAlign w:val="center"/>
          </w:tcPr>
          <w:p w14:paraId="4AAD464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多域跨网融合通信端</w:t>
            </w:r>
          </w:p>
        </w:tc>
        <w:tc>
          <w:tcPr>
            <w:tcW w:w="622" w:type="dxa"/>
            <w:tcBorders>
              <w:top w:val="single" w:color="auto" w:sz="4" w:space="0"/>
              <w:left w:val="single" w:color="auto" w:sz="4" w:space="0"/>
              <w:bottom w:val="single" w:color="auto" w:sz="4" w:space="0"/>
              <w:right w:val="single" w:color="auto" w:sz="4" w:space="0"/>
            </w:tcBorders>
            <w:vAlign w:val="center"/>
          </w:tcPr>
          <w:p w14:paraId="7F9B34E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w:t>
            </w:r>
          </w:p>
        </w:tc>
        <w:tc>
          <w:tcPr>
            <w:tcW w:w="491" w:type="dxa"/>
            <w:tcBorders>
              <w:top w:val="single" w:color="auto" w:sz="4" w:space="0"/>
              <w:left w:val="single" w:color="auto" w:sz="4" w:space="0"/>
              <w:bottom w:val="single" w:color="auto" w:sz="4" w:space="0"/>
              <w:right w:val="single" w:color="auto" w:sz="4" w:space="0"/>
            </w:tcBorders>
            <w:vAlign w:val="center"/>
          </w:tcPr>
          <w:p w14:paraId="347D2AA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7C2B9FAF">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b/>
                <w:bCs/>
                <w:color w:val="auto"/>
                <w:kern w:val="0"/>
                <w:sz w:val="21"/>
                <w:szCs w:val="21"/>
                <w:highlight w:val="none"/>
                <w:lang w:bidi="zh-CN"/>
              </w:rPr>
              <w:t>1.总体要求</w:t>
            </w:r>
          </w:p>
          <w:p w14:paraId="3A80E86B">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（1）本设备是适配一体化调度、现场作业场景使用的可视化通信控制终端。</w:t>
            </w:r>
          </w:p>
          <w:p w14:paraId="379E68FC">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b/>
                <w:bCs/>
                <w:color w:val="auto"/>
                <w:kern w:val="0"/>
                <w:sz w:val="21"/>
                <w:szCs w:val="21"/>
                <w:highlight w:val="none"/>
                <w:lang w:bidi="zh-CN"/>
              </w:rPr>
              <w:t>2.功能要求</w:t>
            </w:r>
          </w:p>
          <w:p w14:paraId="4AD5B599">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（1）融合通信调度：需具备与指挥中心进行跨网语音和视频融合通信及可视化调度能力，接受来自指挥中心的语音、视频呼叫及多域跨网界面推送。</w:t>
            </w:r>
          </w:p>
          <w:p w14:paraId="0FFE0417">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（2）融合态势接收：需接受来自指挥中心或其他端推送的跨网综合态势信息一屏展示。</w:t>
            </w:r>
          </w:p>
          <w:p w14:paraId="0B553A11">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（3）态势实时更新：需支持自动更新态势界面，确保与指挥中心或其他端态势同步。</w:t>
            </w:r>
          </w:p>
          <w:p w14:paraId="798B630E">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（4）多方会议接入：需支持多方音视频会议，支持一键快速召开视频或电话会议。</w:t>
            </w:r>
          </w:p>
          <w:p w14:paraId="2EF7D9B7">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（5）快捷群组呼叫：需支持群组语音、视频通信，可快速创建临时群组或加入已有的固定群组。</w:t>
            </w:r>
          </w:p>
          <w:p w14:paraId="7180D24F">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color w:val="auto"/>
                <w:kern w:val="0"/>
                <w:sz w:val="21"/>
                <w:szCs w:val="21"/>
                <w:highlight w:val="none"/>
                <w:lang w:bidi="zh-CN"/>
              </w:rPr>
              <w:t>3</w:t>
            </w:r>
            <w:r>
              <w:rPr>
                <w:rFonts w:hint="eastAsia" w:ascii="宋体" w:hAnsi="宋体" w:eastAsia="宋体" w:cs="宋体"/>
                <w:b/>
                <w:bCs/>
                <w:color w:val="auto"/>
                <w:kern w:val="0"/>
                <w:sz w:val="21"/>
                <w:szCs w:val="21"/>
                <w:highlight w:val="none"/>
                <w:lang w:bidi="zh-CN"/>
              </w:rPr>
              <w:t>.性能要求</w:t>
            </w:r>
          </w:p>
          <w:p w14:paraId="5274EA9B">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（1）态势接收同时显示的界面数量：</w:t>
            </w:r>
            <w:r>
              <w:rPr>
                <w:rFonts w:hint="eastAsia" w:ascii="宋体" w:hAnsi="宋体" w:cs="宋体"/>
                <w:color w:val="auto"/>
                <w:kern w:val="0"/>
                <w:sz w:val="21"/>
                <w:szCs w:val="21"/>
                <w:highlight w:val="none"/>
                <w:lang w:val="en-US" w:bidi="zh-CN"/>
              </w:rPr>
              <w:t>≥</w:t>
            </w:r>
            <w:r>
              <w:rPr>
                <w:rFonts w:hint="eastAsia" w:ascii="宋体" w:hAnsi="宋体" w:eastAsia="宋体" w:cs="宋体"/>
                <w:color w:val="auto"/>
                <w:kern w:val="0"/>
                <w:sz w:val="21"/>
                <w:szCs w:val="21"/>
                <w:highlight w:val="none"/>
                <w:lang w:bidi="zh-CN"/>
              </w:rPr>
              <w:t>4个。</w:t>
            </w:r>
          </w:p>
          <w:p w14:paraId="68773762">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color w:val="auto"/>
                <w:kern w:val="0"/>
                <w:sz w:val="21"/>
                <w:szCs w:val="21"/>
                <w:highlight w:val="none"/>
                <w:lang w:bidi="zh-CN"/>
              </w:rPr>
              <w:t>4</w:t>
            </w:r>
            <w:r>
              <w:rPr>
                <w:rFonts w:hint="eastAsia" w:ascii="宋体" w:hAnsi="宋体" w:eastAsia="宋体" w:cs="宋体"/>
                <w:b/>
                <w:bCs/>
                <w:color w:val="auto"/>
                <w:kern w:val="0"/>
                <w:sz w:val="21"/>
                <w:szCs w:val="21"/>
                <w:highlight w:val="none"/>
                <w:lang w:bidi="zh-CN"/>
              </w:rPr>
              <w:t>.规格要求</w:t>
            </w:r>
          </w:p>
          <w:p w14:paraId="4EF58D7B">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（1）运行内存：RAM≥6GB。</w:t>
            </w:r>
          </w:p>
          <w:p w14:paraId="426078FA">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（2）机身内置存储：ROM≥128GB。</w:t>
            </w:r>
          </w:p>
          <w:p w14:paraId="799F4270">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（3）操作系统：预装Android 8.0及以上版本操作系统，或鸿蒙操作系统，或具备同等安全、应用兼容能力的移动智能操作系统。操作系统需适配预装多域跨网融合会商端、多域跨网融合移动端软件版等业务APP软件。</w:t>
            </w:r>
          </w:p>
          <w:p w14:paraId="49F30CD2">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（4）通信制式：4G/5G全网通，支持国内三大运营商网络。</w:t>
            </w:r>
          </w:p>
        </w:tc>
        <w:tc>
          <w:tcPr>
            <w:tcW w:w="1132" w:type="dxa"/>
            <w:tcBorders>
              <w:top w:val="single" w:color="auto" w:sz="4" w:space="0"/>
              <w:left w:val="single" w:color="auto" w:sz="4" w:space="0"/>
              <w:bottom w:val="single" w:color="auto" w:sz="4" w:space="0"/>
              <w:right w:val="single" w:color="auto" w:sz="4" w:space="0"/>
            </w:tcBorders>
            <w:vAlign w:val="center"/>
          </w:tcPr>
          <w:p w14:paraId="79B5F03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工业</w:t>
            </w:r>
          </w:p>
        </w:tc>
      </w:tr>
      <w:tr w14:paraId="7DEF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18DB6EE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2.10</w:t>
            </w:r>
          </w:p>
        </w:tc>
        <w:tc>
          <w:tcPr>
            <w:tcW w:w="1189" w:type="dxa"/>
            <w:tcBorders>
              <w:top w:val="single" w:color="auto" w:sz="4" w:space="0"/>
              <w:left w:val="single" w:color="auto" w:sz="4" w:space="0"/>
              <w:bottom w:val="single" w:color="auto" w:sz="4" w:space="0"/>
              <w:right w:val="single" w:color="auto" w:sz="4" w:space="0"/>
            </w:tcBorders>
            <w:vAlign w:val="center"/>
          </w:tcPr>
          <w:p w14:paraId="6D09163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辅材辅料</w:t>
            </w:r>
          </w:p>
        </w:tc>
        <w:tc>
          <w:tcPr>
            <w:tcW w:w="622" w:type="dxa"/>
            <w:tcBorders>
              <w:top w:val="single" w:color="auto" w:sz="4" w:space="0"/>
              <w:left w:val="single" w:color="auto" w:sz="4" w:space="0"/>
              <w:bottom w:val="single" w:color="auto" w:sz="4" w:space="0"/>
              <w:right w:val="single" w:color="auto" w:sz="4" w:space="0"/>
            </w:tcBorders>
            <w:vAlign w:val="center"/>
          </w:tcPr>
          <w:p w14:paraId="20DFAB1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491" w:type="dxa"/>
            <w:tcBorders>
              <w:top w:val="single" w:color="auto" w:sz="4" w:space="0"/>
              <w:left w:val="single" w:color="auto" w:sz="4" w:space="0"/>
              <w:bottom w:val="single" w:color="auto" w:sz="4" w:space="0"/>
              <w:right w:val="single" w:color="auto" w:sz="4" w:space="0"/>
            </w:tcBorders>
            <w:vAlign w:val="center"/>
          </w:tcPr>
          <w:p w14:paraId="64A0B71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批</w:t>
            </w:r>
          </w:p>
        </w:tc>
        <w:tc>
          <w:tcPr>
            <w:tcW w:w="5615" w:type="dxa"/>
            <w:tcBorders>
              <w:top w:val="single" w:color="auto" w:sz="4" w:space="0"/>
              <w:left w:val="single" w:color="auto" w:sz="4" w:space="0"/>
              <w:bottom w:val="single" w:color="auto" w:sz="4" w:space="0"/>
              <w:right w:val="single" w:color="auto" w:sz="4" w:space="0"/>
            </w:tcBorders>
          </w:tcPr>
          <w:p w14:paraId="225509E4">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包含视频线、视频分配器、标签纸、色带、机柜螺丝、扎带等配套耗材，可满足设备安装调试与日常运行需求。</w:t>
            </w:r>
          </w:p>
        </w:tc>
        <w:tc>
          <w:tcPr>
            <w:tcW w:w="1132" w:type="dxa"/>
            <w:tcBorders>
              <w:top w:val="single" w:color="auto" w:sz="4" w:space="0"/>
              <w:left w:val="single" w:color="auto" w:sz="4" w:space="0"/>
              <w:bottom w:val="single" w:color="auto" w:sz="4" w:space="0"/>
              <w:right w:val="single" w:color="auto" w:sz="4" w:space="0"/>
            </w:tcBorders>
            <w:vAlign w:val="center"/>
          </w:tcPr>
          <w:p w14:paraId="5CA30EC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2A10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660CCC4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三</w:t>
            </w:r>
          </w:p>
        </w:tc>
        <w:tc>
          <w:tcPr>
            <w:tcW w:w="9049" w:type="dxa"/>
            <w:gridSpan w:val="5"/>
            <w:tcBorders>
              <w:top w:val="single" w:color="auto" w:sz="4" w:space="0"/>
              <w:left w:val="single" w:color="auto" w:sz="4" w:space="0"/>
              <w:bottom w:val="single" w:color="auto" w:sz="4" w:space="0"/>
              <w:right w:val="single" w:color="auto" w:sz="4" w:space="0"/>
            </w:tcBorders>
            <w:vAlign w:val="center"/>
          </w:tcPr>
          <w:p w14:paraId="2450CE7C">
            <w:pPr>
              <w:keepNext w:val="0"/>
              <w:keepLines w:val="0"/>
              <w:pageBreakBefore w:val="0"/>
              <w:widowControl/>
              <w:shd w:val="clear"/>
              <w:kinsoku/>
              <w:overflowPunct/>
              <w:topLinePunct w:val="0"/>
              <w:bidi w:val="0"/>
              <w:adjustRightInd w:val="0"/>
              <w:snapToGrid/>
              <w:spacing w:line="400" w:lineRule="exact"/>
              <w:jc w:val="left"/>
              <w:textAlignment w:val="center"/>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rPr>
              <w:t>县级</w:t>
            </w:r>
            <w:r>
              <w:rPr>
                <w:rFonts w:hint="eastAsia" w:ascii="宋体" w:hAnsi="宋体" w:cs="宋体"/>
                <w:color w:val="auto"/>
                <w:kern w:val="0"/>
                <w:sz w:val="21"/>
                <w:szCs w:val="21"/>
                <w:highlight w:val="none"/>
                <w:lang w:eastAsia="zh-CN"/>
              </w:rPr>
              <w:t>音视</w:t>
            </w:r>
            <w:r>
              <w:rPr>
                <w:rFonts w:hint="eastAsia" w:ascii="宋体" w:hAnsi="宋体" w:eastAsia="宋体" w:cs="宋体"/>
                <w:color w:val="auto"/>
                <w:kern w:val="0"/>
                <w:sz w:val="21"/>
                <w:szCs w:val="21"/>
                <w:highlight w:val="none"/>
              </w:rPr>
              <w:t>频调度服务系统</w:t>
            </w:r>
          </w:p>
        </w:tc>
      </w:tr>
      <w:tr w14:paraId="1739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6B44CD4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3.1</w:t>
            </w:r>
          </w:p>
        </w:tc>
        <w:tc>
          <w:tcPr>
            <w:tcW w:w="1189" w:type="dxa"/>
            <w:tcBorders>
              <w:top w:val="single" w:color="auto" w:sz="4" w:space="0"/>
              <w:left w:val="single" w:color="auto" w:sz="4" w:space="0"/>
              <w:bottom w:val="single" w:color="auto" w:sz="4" w:space="0"/>
              <w:right w:val="single" w:color="auto" w:sz="4" w:space="0"/>
            </w:tcBorders>
            <w:vAlign w:val="center"/>
          </w:tcPr>
          <w:p w14:paraId="716AB80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县级</w:t>
            </w:r>
            <w:r>
              <w:rPr>
                <w:rFonts w:hint="eastAsia" w:ascii="宋体" w:hAnsi="宋体" w:eastAsia="宋体" w:cs="宋体"/>
                <w:color w:val="auto"/>
                <w:kern w:val="0"/>
                <w:sz w:val="21"/>
                <w:szCs w:val="21"/>
                <w:highlight w:val="none"/>
                <w:lang w:val="en-US" w:eastAsia="zh-CN" w:bidi="ar"/>
              </w:rPr>
              <w:t>指挥调度视频终端</w:t>
            </w:r>
          </w:p>
        </w:tc>
        <w:tc>
          <w:tcPr>
            <w:tcW w:w="622" w:type="dxa"/>
            <w:tcBorders>
              <w:top w:val="single" w:color="auto" w:sz="4" w:space="0"/>
              <w:left w:val="single" w:color="auto" w:sz="4" w:space="0"/>
              <w:bottom w:val="single" w:color="auto" w:sz="4" w:space="0"/>
              <w:right w:val="single" w:color="auto" w:sz="4" w:space="0"/>
            </w:tcBorders>
            <w:vAlign w:val="center"/>
          </w:tcPr>
          <w:p w14:paraId="108621A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85</w:t>
            </w:r>
          </w:p>
        </w:tc>
        <w:tc>
          <w:tcPr>
            <w:tcW w:w="491" w:type="dxa"/>
            <w:tcBorders>
              <w:top w:val="single" w:color="auto" w:sz="4" w:space="0"/>
              <w:left w:val="single" w:color="auto" w:sz="4" w:space="0"/>
              <w:bottom w:val="single" w:color="auto" w:sz="4" w:space="0"/>
              <w:right w:val="single" w:color="auto" w:sz="4" w:space="0"/>
            </w:tcBorders>
            <w:vAlign w:val="center"/>
          </w:tcPr>
          <w:p w14:paraId="1F1AE0A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2AA209C8">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视频终端</w:t>
            </w:r>
            <w:r>
              <w:rPr>
                <w:rFonts w:hint="eastAsia" w:ascii="宋体" w:hAnsi="宋体" w:eastAsia="宋体" w:cs="宋体"/>
                <w:color w:val="auto"/>
                <w:sz w:val="21"/>
                <w:szCs w:val="21"/>
                <w:highlight w:val="none"/>
              </w:rPr>
              <w:t>，总尺寸≥98英寸</w:t>
            </w:r>
            <w:r>
              <w:rPr>
                <w:rFonts w:hint="eastAsia" w:ascii="宋体" w:hAnsi="宋体" w:cs="宋体"/>
                <w:b/>
                <w:bCs/>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val="en-US" w:eastAsia="zh-CN" w:bidi="ar"/>
              </w:rPr>
              <w:t>在投标文件“招标项目采购需求中要求提供的材料等”</w:t>
            </w:r>
            <w:r>
              <w:rPr>
                <w:rFonts w:hint="eastAsia" w:ascii="宋体" w:hAnsi="宋体" w:cs="宋体"/>
                <w:b/>
                <w:bCs/>
                <w:color w:val="auto"/>
                <w:kern w:val="0"/>
                <w:sz w:val="21"/>
                <w:szCs w:val="21"/>
                <w:highlight w:val="none"/>
                <w:lang w:val="en-US" w:eastAsia="zh-CN" w:bidi="ar"/>
              </w:rPr>
              <w:t>中</w:t>
            </w:r>
            <w:r>
              <w:rPr>
                <w:rFonts w:hint="eastAsia" w:ascii="宋体" w:hAnsi="宋体" w:eastAsia="宋体" w:cs="宋体"/>
                <w:b/>
                <w:bCs/>
                <w:color w:val="auto"/>
                <w:kern w:val="0"/>
                <w:sz w:val="21"/>
                <w:szCs w:val="21"/>
                <w:highlight w:val="none"/>
                <w:lang w:val="en-US" w:eastAsia="zh-CN" w:bidi="ar"/>
              </w:rPr>
              <w:t>提供</w:t>
            </w:r>
            <w:r>
              <w:rPr>
                <w:rFonts w:hint="eastAsia" w:ascii="宋体" w:hAnsi="宋体" w:cs="宋体"/>
                <w:b/>
                <w:bCs/>
                <w:color w:val="auto"/>
                <w:kern w:val="0"/>
                <w:sz w:val="21"/>
                <w:szCs w:val="21"/>
                <w:highlight w:val="none"/>
                <w:lang w:val="en-US" w:eastAsia="zh-CN" w:bidi="ar"/>
              </w:rPr>
              <w:t>承诺函（格式自拟）作为响应材料</w:t>
            </w:r>
            <w:r>
              <w:rPr>
                <w:rFonts w:hint="eastAsia" w:ascii="宋体" w:hAnsi="宋体" w:cs="宋体"/>
                <w:b/>
                <w:bCs/>
                <w:color w:val="auto"/>
                <w:kern w:val="0"/>
                <w:sz w:val="21"/>
                <w:szCs w:val="21"/>
                <w:highlight w:val="none"/>
                <w:lang w:eastAsia="zh-CN" w:bidi="ar"/>
              </w:rPr>
              <w:t>）</w:t>
            </w:r>
          </w:p>
          <w:p w14:paraId="453A2305">
            <w:pPr>
              <w:keepNext w:val="0"/>
              <w:keepLines w:val="0"/>
              <w:pageBreakBefore w:val="0"/>
              <w:widowControl w:val="0"/>
              <w:shd w:val="clear"/>
              <w:kinsoku/>
              <w:overflowPunct/>
              <w:topLinePunct w:val="0"/>
              <w:bidi w:val="0"/>
              <w:snapToGrid/>
              <w:spacing w:line="400" w:lineRule="exact"/>
              <w:ind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2、屏幕分辨率：超高清4K，分辨率≥3840×2160，刷新率≥60Hz；</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3、接口参数：HDMI输入×2、Touch输入×1、SPDIF×1、USB输入×5、RS232×1、LAN接口×2(其中1路输出)、VGA输入×1、AUDIO IN×1、YPBPR×1、AV IN×1、AV OUT×1、EARPHONE×1、TV×1；</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4、前置接口：USB3.0×3、Touch×1、HDMI输入×1、Type-C×1；</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配备书写软件，支持单点、多点书写，增加笔锋书写效果等，支持白板插入图片，加页，手势板檫，放大，缩小及漫游、扫码分享，任意通道任何界面下可进行批注等功能，支持</w:t>
            </w:r>
            <w:r>
              <w:rPr>
                <w:rFonts w:hint="eastAsia" w:ascii="宋体" w:hAnsi="宋体" w:eastAsia="宋体" w:cs="宋体"/>
                <w:color w:val="auto"/>
                <w:kern w:val="2"/>
                <w:sz w:val="21"/>
                <w:szCs w:val="21"/>
                <w:highlight w:val="none"/>
                <w:lang w:val="en-US" w:eastAsia="zh-CN" w:bidi="ar-SA"/>
              </w:rPr>
              <w:t>多点触控。</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6）操作系统为双系统，即安卓系统和Windows系统，标配（CPU:不低于I5、内存≥8G、存储≥128G）。</w:t>
            </w:r>
          </w:p>
          <w:p w14:paraId="4724DF88">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kern w:val="0"/>
                <w:sz w:val="21"/>
                <w:szCs w:val="21"/>
                <w:highlight w:val="none"/>
              </w:rPr>
              <w:t>内置2.4G&amp;5G双频WiFi模块，支持802.11 b/g/n/ac, 采用多天线设计，大幅提高信号覆盖范围和传输速率，通信距离最高可达30米，支持WiFi上网同时也可自建热点、无线投屏</w:t>
            </w:r>
            <w:r>
              <w:rPr>
                <w:rFonts w:hint="eastAsia" w:ascii="宋体" w:hAnsi="宋体" w:eastAsia="宋体" w:cs="宋体"/>
                <w:color w:val="auto"/>
                <w:sz w:val="21"/>
                <w:szCs w:val="21"/>
                <w:highlight w:val="none"/>
              </w:rPr>
              <w:t>；</w:t>
            </w:r>
          </w:p>
          <w:p w14:paraId="7ABA6362">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kern w:val="0"/>
                <w:sz w:val="21"/>
                <w:szCs w:val="21"/>
                <w:highlight w:val="none"/>
              </w:rPr>
              <w:t>侧边栏按钮、手势唤出小窗口功能；计时器、截屏、童锁、录屏、拍照、触摸感应、智能护眼等方式和触摸 控制开关自由切换；悬浮菜单三指触屏跟随、五指触屏休眠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9、</w:t>
            </w:r>
            <w:r>
              <w:rPr>
                <w:rFonts w:hint="eastAsia" w:ascii="宋体" w:hAnsi="宋体" w:eastAsia="宋体" w:cs="宋体"/>
                <w:color w:val="auto"/>
                <w:kern w:val="0"/>
                <w:sz w:val="21"/>
                <w:szCs w:val="21"/>
                <w:highlight w:val="none"/>
              </w:rPr>
              <w:t>支持密码锁功能，可设置屏幕锁定，锁定后无法操作，需要输入密码解锁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10、亮度≥500 cd/m²；</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11、具有一键黑屏绿色节能功能，产品具备不关闭整机电源的情况下且不通过使用遥控器，可一键关闭或者开启液晶屏背光，实现功耗降低超过80%，通过敲击屏幕重新唤醒屏幕；</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12、包含翻页笔、高清无线投屏器、可移动式落地支架推车。</w:t>
            </w:r>
          </w:p>
          <w:p w14:paraId="06A302BD">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13、配备摄像头，摄像头像素≥4800万，对角视场角≥124° ,支持3D降噪；内置拾音麦克风≥8阵列，具备回声消除、强降噪功能，拾音距离≥15米，拾音角度≥180°</w:t>
            </w:r>
          </w:p>
          <w:p w14:paraId="4ABE22DC">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sz w:val="21"/>
                <w:szCs w:val="21"/>
                <w:highlight w:val="none"/>
              </w:rPr>
              <w:t>14、含5年以上原厂</w:t>
            </w:r>
            <w:r>
              <w:rPr>
                <w:rFonts w:hint="eastAsia" w:ascii="宋体" w:hAnsi="宋体" w:eastAsia="宋体" w:cs="宋体"/>
                <w:color w:val="auto"/>
                <w:sz w:val="21"/>
                <w:szCs w:val="21"/>
                <w:highlight w:val="none"/>
                <w:lang w:val="en-US" w:eastAsia="zh-CN"/>
              </w:rPr>
              <w:t>质保</w:t>
            </w:r>
            <w:r>
              <w:rPr>
                <w:rFonts w:hint="eastAsia" w:ascii="宋体" w:hAnsi="宋体" w:eastAsia="宋体" w:cs="宋体"/>
                <w:color w:val="auto"/>
                <w:sz w:val="21"/>
                <w:szCs w:val="21"/>
                <w:highlight w:val="none"/>
              </w:rPr>
              <w:t>及配件更换。</w:t>
            </w:r>
          </w:p>
        </w:tc>
        <w:tc>
          <w:tcPr>
            <w:tcW w:w="1132" w:type="dxa"/>
            <w:tcBorders>
              <w:top w:val="single" w:color="auto" w:sz="4" w:space="0"/>
              <w:left w:val="single" w:color="auto" w:sz="4" w:space="0"/>
              <w:bottom w:val="single" w:color="auto" w:sz="4" w:space="0"/>
              <w:right w:val="single" w:color="auto" w:sz="4" w:space="0"/>
            </w:tcBorders>
            <w:vAlign w:val="center"/>
          </w:tcPr>
          <w:p w14:paraId="450C8B2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66B1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2362E7B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3.2</w:t>
            </w:r>
          </w:p>
        </w:tc>
        <w:tc>
          <w:tcPr>
            <w:tcW w:w="1189" w:type="dxa"/>
            <w:tcBorders>
              <w:top w:val="single" w:color="auto" w:sz="4" w:space="0"/>
              <w:left w:val="single" w:color="auto" w:sz="4" w:space="0"/>
              <w:bottom w:val="single" w:color="auto" w:sz="4" w:space="0"/>
              <w:right w:val="single" w:color="auto" w:sz="4" w:space="0"/>
            </w:tcBorders>
            <w:vAlign w:val="center"/>
          </w:tcPr>
          <w:p w14:paraId="0F25340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多域跨网融合支撑平台</w:t>
            </w:r>
          </w:p>
        </w:tc>
        <w:tc>
          <w:tcPr>
            <w:tcW w:w="622" w:type="dxa"/>
            <w:tcBorders>
              <w:top w:val="single" w:color="auto" w:sz="4" w:space="0"/>
              <w:left w:val="single" w:color="auto" w:sz="4" w:space="0"/>
              <w:bottom w:val="single" w:color="auto" w:sz="4" w:space="0"/>
              <w:right w:val="single" w:color="auto" w:sz="4" w:space="0"/>
            </w:tcBorders>
            <w:vAlign w:val="center"/>
          </w:tcPr>
          <w:p w14:paraId="760AA37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85</w:t>
            </w:r>
          </w:p>
        </w:tc>
        <w:tc>
          <w:tcPr>
            <w:tcW w:w="491" w:type="dxa"/>
            <w:tcBorders>
              <w:top w:val="single" w:color="auto" w:sz="4" w:space="0"/>
              <w:left w:val="single" w:color="auto" w:sz="4" w:space="0"/>
              <w:bottom w:val="single" w:color="auto" w:sz="4" w:space="0"/>
              <w:right w:val="single" w:color="auto" w:sz="4" w:space="0"/>
            </w:tcBorders>
            <w:vAlign w:val="center"/>
          </w:tcPr>
          <w:p w14:paraId="6EB4514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65664BC1">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（1）总体支撑管控能力：需实现对本级接入的多域跨网资源调度端、用户的统一管理和调度。包括但不限于：用户管理、权限管理、资源调度管理、系统运行管理、设备在线管理、网络稳定性管理等。</w:t>
            </w:r>
          </w:p>
          <w:p w14:paraId="359D9799">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2）安全隔离设计。需采用内置单向物理隔离器件，或具备反向物理阻断能力的硬件架构，满足音视频信号与控制信号单向传输。视频信号和控制信号在汇聚后，应在物理层保持安全隔离状态，确保高密级网络无法向低密级网络泄露信息。</w:t>
            </w:r>
          </w:p>
          <w:p w14:paraId="2C639B1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（3）主控芯片和系统：需采用国产化主控芯片和嵌入式操作系统。</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2.功能要求</w:t>
            </w:r>
          </w:p>
          <w:p w14:paraId="1B14C3BE">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（1）多域跨网资源安全接入：需具备加密机制和身份认证策略，构建安全隔离架构，实现多域跨网信号源的安全接入。</w:t>
            </w:r>
          </w:p>
          <w:p w14:paraId="44D7B50C">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（2）多域跨网资源精细管理：需具备精细化的多域跨网资源分配与严格的访问控制机制。资源分配的最小单元为1个信号源，可对资源的显示、控制、分享权限进行精细权限管控。</w:t>
            </w:r>
          </w:p>
          <w:p w14:paraId="5D7D759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多域跨网安全融合使用：需具备多种安全机制，包括：双链路隔离、显示控制分离、单向物理链路传输、隔离部署，保障跨网络多系统安全融合使用，为接入的终端提供跨网信号源实时查看与操控支撑能力。</w:t>
            </w:r>
          </w:p>
          <w:p w14:paraId="203AF58B">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（4）多域跨网界面资源分享：需为接入的终端设备提供多域跨网资源推送服务，不同用户可在不同终端之间相互推送多域跨网界面资源。</w:t>
            </w:r>
          </w:p>
          <w:p w14:paraId="1F6FB55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（5）多域跨网界面协同作业：需为多域跨网的各级终端和用户之间提供对界面资源的调取、分享、标绘、协同等服务能力。</w:t>
            </w:r>
          </w:p>
          <w:p w14:paraId="02E95FF9">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（6）多域跨网态势支撑服务：需为多域跨网融合态势端软件提供支撑服务。包括但不限于：客户端连接、并发信息处理、信息转发、信息同步等服务能力。</w:t>
            </w:r>
          </w:p>
          <w:p w14:paraId="270A3B41">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（7）多域跨网会商支撑服务：需为多域跨网融合会商软件客户端提供支撑服务。包括但不限于：客户端登录、会议调度、信息转发等服务能力。</w:t>
            </w:r>
          </w:p>
          <w:p w14:paraId="1B80E89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（8）多域跨网远程交互服务：需为调度端提供安全指令协议服务和安全界面协议服务，确保指令和界面资源必须通过安全隔离审核才能转发。</w:t>
            </w:r>
          </w:p>
          <w:p w14:paraId="73D65351">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（9）多域跨网分级组织管理：需支持多层级、多部门组织架构设置，实现精细化分组、分权、用户管理，确保用户信息安全防止非法访问。支持不少于9个层级、30个部门的组织架构设置。</w:t>
            </w:r>
          </w:p>
          <w:p w14:paraId="563704A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（10）信号源接入类型：需支持接入台式机、笔记本、平板、手机、摄像头等。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11）融合显示与独立交互服务。需具备多域跨网信号源窗口的动态处理功能，可实现窗口的灵活缩放、精准位置调整以及个性化场景布局；需具备基于角色的访问控制功能，可依据不同用户的权限等级，为其提供对多域跨网信号源窗口内容的独立操作权限，确保各用户操作相互独立、互不干扰。</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协作分享与协同联动服务。需具备多域跨网信号源界面的实时分享推送服务能力，支持各类界面（单个界面、组合界面、带标注界面）1对1、1对多以及多对多分享推送场景；需具备多用户协同联动触发组合场景预案的服务能力，可一键下发任务指令，自动联动调取对应的场景布局。</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三员审批与用户角色分配。需具备多级用户角色分配功能，涵盖管理员、系统运维员、基础操作员等角色类型。三员审批；需具备基于系统管理员、安全管理员、安全审计员职责分离的权限管控功能，可实现用户、角色、权限配置的受控调整。</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状态显示与运维服务。需具备可视化展示功能，可对接入系统的各类多域跨网信号源的在线状态、控制状态、网络连接状态等进行呈现；需具备可视化运维管理功能，能够对各类多域跨网信号源资源进行管理。</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（15）设备发现与管理。需支持自动发现音视频调度设备，在同交换机网络环境下，无需配置IP即可实现设备扫描发现。针对发现的设备，可进行IP分配、批量升级以及自定义配置管理操作。</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3.性能要求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（1）支持异常行为监测响应时间不大于5秒。</w:t>
            </w:r>
          </w:p>
          <w:p w14:paraId="168FAA3B">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（2）支持管理本级接入信号数量不低于</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bidi="ar"/>
              </w:rPr>
              <w:t>路。</w:t>
            </w:r>
          </w:p>
          <w:p w14:paraId="68601E35">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（3）支持安全接入的不同网络数量不低于4个。</w:t>
            </w:r>
          </w:p>
          <w:p w14:paraId="0F579594">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（4）支持单终端可接入的本地跨网信号源数量不低于4路 2K@60Hz。</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4.规格要求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（1）设备配备≥2个HDMI端口，≥2个USB端口，≥2个10/100/1000Mbps自适应RJ45端口，≥1个SFP光纤端口。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（2）设备配备≥2个独立电源接口。</w:t>
            </w:r>
          </w:p>
        </w:tc>
        <w:tc>
          <w:tcPr>
            <w:tcW w:w="1132" w:type="dxa"/>
            <w:tcBorders>
              <w:top w:val="single" w:color="auto" w:sz="4" w:space="0"/>
              <w:left w:val="single" w:color="auto" w:sz="4" w:space="0"/>
              <w:bottom w:val="single" w:color="auto" w:sz="4" w:space="0"/>
              <w:right w:val="single" w:color="auto" w:sz="4" w:space="0"/>
            </w:tcBorders>
            <w:vAlign w:val="center"/>
          </w:tcPr>
          <w:p w14:paraId="701CF69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0E05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408063A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3.3</w:t>
            </w:r>
          </w:p>
        </w:tc>
        <w:tc>
          <w:tcPr>
            <w:tcW w:w="1189" w:type="dxa"/>
            <w:tcBorders>
              <w:top w:val="single" w:color="auto" w:sz="4" w:space="0"/>
              <w:left w:val="single" w:color="auto" w:sz="4" w:space="0"/>
              <w:bottom w:val="single" w:color="auto" w:sz="4" w:space="0"/>
              <w:right w:val="single" w:color="auto" w:sz="4" w:space="0"/>
            </w:tcBorders>
            <w:vAlign w:val="center"/>
          </w:tcPr>
          <w:p w14:paraId="7E3804C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多域跨网融合远程交互端</w:t>
            </w:r>
          </w:p>
        </w:tc>
        <w:tc>
          <w:tcPr>
            <w:tcW w:w="622" w:type="dxa"/>
            <w:tcBorders>
              <w:top w:val="single" w:color="auto" w:sz="4" w:space="0"/>
              <w:left w:val="single" w:color="auto" w:sz="4" w:space="0"/>
              <w:bottom w:val="single" w:color="auto" w:sz="4" w:space="0"/>
              <w:right w:val="single" w:color="auto" w:sz="4" w:space="0"/>
            </w:tcBorders>
            <w:vAlign w:val="center"/>
          </w:tcPr>
          <w:p w14:paraId="0936E60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85</w:t>
            </w:r>
          </w:p>
        </w:tc>
        <w:tc>
          <w:tcPr>
            <w:tcW w:w="491" w:type="dxa"/>
            <w:tcBorders>
              <w:top w:val="single" w:color="auto" w:sz="4" w:space="0"/>
              <w:left w:val="single" w:color="auto" w:sz="4" w:space="0"/>
              <w:bottom w:val="single" w:color="auto" w:sz="4" w:space="0"/>
              <w:right w:val="single" w:color="auto" w:sz="4" w:space="0"/>
            </w:tcBorders>
            <w:vAlign w:val="center"/>
          </w:tcPr>
          <w:p w14:paraId="6164D3C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7C3274E1">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（1）单向安全隔离传输，需具备音视频和控制信号的采集、输出、隔离及切换功能。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（2）主控芯片和系统：需采用国产化主控芯片和嵌入式操作系统。</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2.功能要求</w:t>
            </w:r>
          </w:p>
          <w:p w14:paraId="3D21B14C">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（1）接入采集编码：需具备对多个本地输入端进行编码采集功能，具备提供给远程用户调取使用能力。需</w:t>
            </w:r>
            <w:r>
              <w:rPr>
                <w:rFonts w:hint="eastAsia" w:ascii="宋体" w:hAnsi="宋体" w:eastAsia="宋体" w:cs="宋体"/>
                <w:color w:val="auto"/>
                <w:kern w:val="0"/>
                <w:sz w:val="21"/>
                <w:szCs w:val="21"/>
                <w:highlight w:val="none"/>
                <w:lang w:bidi="zh-CN"/>
              </w:rPr>
              <w:t>支持H.264、H.265等多种编码格式，编码码率可配置，支持VBR（动态码率）和CBR（固定码率）控制模式。</w:t>
            </w:r>
          </w:p>
          <w:p w14:paraId="08A1BE18">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（2）视频单向传输：需支持对本地采集的音视频信号进行单向传输，采用内置单向物理隔离器件或具备同等单向阻断效果的硬件架构，确保音视频信号无法回传。</w:t>
            </w:r>
          </w:p>
          <w:p w14:paraId="6FCE98E8">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（3）控制信号单向传输：需支持对本地输出的控制信号进行单向传输，采用内置单向物理隔离器件或具备同等单向阻断效果的硬件架构，确保控制信号无法回传。</w:t>
            </w:r>
          </w:p>
          <w:p w14:paraId="178724FE">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（4）安全审核转发：需支持控制协议和音视频协议的校验传输，确保控制信号和音视频资源必须经过安全隔离审核才能转发。</w:t>
            </w:r>
          </w:p>
          <w:p w14:paraId="5E4B6A3E">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（5）接入界面访问：需支持本地物理视频接口接入和网络界面资源接入，不同类型接入界面可同时使用。</w:t>
            </w:r>
          </w:p>
          <w:p w14:paraId="3B024C24">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（6）一屏交互操作：需支持一套本地键盘鼠标、触控屏操控接入的各类多域跨网界面。</w:t>
            </w:r>
          </w:p>
          <w:p w14:paraId="04B3FA4D">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（7）跨网界面推送：需支持多用户间的跨网远程协同作业，可向不同用户账户分享推送单窗口界面、组合界面、标注界面等。</w:t>
            </w:r>
          </w:p>
          <w:p w14:paraId="5A9C2956">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跨网编辑标注：需支持对跨网组合界面的灵活标注，且标注过程中界面信息可实时动态显示。标注工具包含线条、箭头、圆形、矩形等形状，支持可对标注粗细、颜色进行调整，并可对标注内容进行二次编辑修改。</w:t>
            </w:r>
          </w:p>
          <w:p w14:paraId="3ABE18D1">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（9）远程并发调度：需支持将远程界面资源调度到本机使用，本机可作为并发代理服务继续向同级其他终端进行转发，降低远端并发压力。</w:t>
            </w:r>
          </w:p>
          <w:p w14:paraId="352C6214">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（10）无中心模式：需支持与后台服务器断开连接后，仍然可以实现安全隔离机制，保持界面调取和使用能力。</w:t>
            </w:r>
          </w:p>
          <w:p w14:paraId="5D41EAF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（11）标准免驱控制：需支持硬件驱动级控制，具有高度的兼容性，避免安全防护程序误报警。</w:t>
            </w:r>
          </w:p>
          <w:p w14:paraId="776CC05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（12）信号源接入类型：需支持接入台式机、笔记本、平板、手机、摄像头等。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控制信号采集。需支持键盘、鼠标、触控屏等设备类，免驱即插即用接入；需具备HID接收解析处理功能，可按HID标准解析键盘、鼠标、触控等HID类设备协议，支持多设备并发采集且无冲突；需支持将HID控制信号转换为网络数据包，按转发规则对网内设备进行内容控制。</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（14）界面输出与网络流输出。需配备独立视频输出接口，支持EDID自动读取与手动配置；需支持RTSP协议输出，可同时输出多路独立编码流，也可合并为多画面流。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（15）解码输出与视频解码。需具备解码输出视频网络流的能力，支持多路通道同时解码，并输出至不同显示输出口；需支持解码符合H.264、H.265标准协议的网络视频流。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（16）控制信号输出。需集成HID设备模拟器，可将接收的控制信号转换为符合标准的免驱输出信号，支持键盘、鼠标、触控类控制信号映射。</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（17）网口隔离。需具备视频信号和控制信号网络接口，</w:t>
            </w:r>
            <w:r>
              <w:rPr>
                <w:rFonts w:hint="eastAsia" w:ascii="宋体" w:hAnsi="宋体" w:eastAsia="宋体" w:cs="宋体"/>
                <w:color w:val="auto"/>
                <w:kern w:val="0"/>
                <w:sz w:val="21"/>
                <w:szCs w:val="21"/>
                <w:highlight w:val="none"/>
                <w:lang w:bidi="zh-CN"/>
              </w:rPr>
              <w:t>并且确保接口之间</w:t>
            </w:r>
            <w:r>
              <w:rPr>
                <w:rFonts w:hint="eastAsia" w:ascii="宋体" w:hAnsi="宋体" w:eastAsia="宋体" w:cs="宋体"/>
                <w:color w:val="auto"/>
                <w:kern w:val="0"/>
                <w:sz w:val="21"/>
                <w:szCs w:val="21"/>
                <w:highlight w:val="none"/>
                <w:lang w:bidi="ar"/>
              </w:rPr>
              <w:t>无通信机制，完全独立隔离。</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18）切换控制。需支持切换当前输出的视频或控制信号通道，用于动态调整需采集和输出的视频信号或控制信号；需具备采集通道独立使用或禁用能力，支持人机交互输出通道与设备控制输出通道一对一映射绑定，或采用具备同等效果的其他等效通道架构，实现多终端采集音视频资源的分流控制。</w:t>
            </w:r>
          </w:p>
          <w:p w14:paraId="6ABF054B">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（19）</w:t>
            </w:r>
            <w:r>
              <w:rPr>
                <w:rFonts w:hint="eastAsia" w:ascii="宋体" w:hAnsi="宋体" w:eastAsia="宋体" w:cs="宋体"/>
                <w:color w:val="auto"/>
                <w:kern w:val="0"/>
                <w:sz w:val="21"/>
                <w:szCs w:val="21"/>
                <w:highlight w:val="none"/>
                <w:lang w:bidi="zh-CN"/>
              </w:rPr>
              <w:t>安全隔离。需</w:t>
            </w:r>
            <w:r>
              <w:rPr>
                <w:rFonts w:hint="eastAsia" w:ascii="宋体" w:hAnsi="宋体" w:eastAsia="宋体" w:cs="宋体"/>
                <w:color w:val="auto"/>
                <w:kern w:val="0"/>
                <w:sz w:val="21"/>
                <w:szCs w:val="21"/>
                <w:highlight w:val="none"/>
                <w:lang w:bidi="ar"/>
              </w:rPr>
              <w:t>具备安全隔离机制功能。应满足音视频信号单向传输、控制信号单向传输。视频信号和控制信号在汇聚后，应确保高密级网络无法向低密级网络泄露信息。</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3.单终端性能要求</w:t>
            </w:r>
          </w:p>
          <w:p w14:paraId="7A65545C">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（1）支持可接入视频接口数量：不低于4路。</w:t>
            </w:r>
          </w:p>
          <w:p w14:paraId="534EEAD0">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（2）支持接入信号源的分辨率：单路最大4K@60Hz。</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（3）支持安全隔离网络数量：不少于4个。</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（4）支持控制信号处理转发时间：不高于50毫秒。</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4.单终端规格要求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（1）设备配备≥2个10/100/1000Mbps自适应RJ45接口。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（2）设备配备≥2个独立电源接口。</w:t>
            </w:r>
          </w:p>
        </w:tc>
        <w:tc>
          <w:tcPr>
            <w:tcW w:w="1132" w:type="dxa"/>
            <w:tcBorders>
              <w:top w:val="single" w:color="auto" w:sz="4" w:space="0"/>
              <w:left w:val="single" w:color="auto" w:sz="4" w:space="0"/>
              <w:bottom w:val="single" w:color="auto" w:sz="4" w:space="0"/>
              <w:right w:val="single" w:color="auto" w:sz="4" w:space="0"/>
            </w:tcBorders>
            <w:vAlign w:val="center"/>
          </w:tcPr>
          <w:p w14:paraId="05EFD48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1E2A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5F4DDB7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3.4</w:t>
            </w:r>
          </w:p>
        </w:tc>
        <w:tc>
          <w:tcPr>
            <w:tcW w:w="1189" w:type="dxa"/>
            <w:tcBorders>
              <w:top w:val="single" w:color="auto" w:sz="4" w:space="0"/>
              <w:left w:val="single" w:color="auto" w:sz="4" w:space="0"/>
              <w:bottom w:val="single" w:color="auto" w:sz="4" w:space="0"/>
              <w:right w:val="single" w:color="auto" w:sz="4" w:space="0"/>
            </w:tcBorders>
            <w:vAlign w:val="center"/>
          </w:tcPr>
          <w:p w14:paraId="68464E9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多域跨网采集控制软件</w:t>
            </w:r>
          </w:p>
        </w:tc>
        <w:tc>
          <w:tcPr>
            <w:tcW w:w="622" w:type="dxa"/>
            <w:tcBorders>
              <w:top w:val="single" w:color="auto" w:sz="4" w:space="0"/>
              <w:left w:val="single" w:color="auto" w:sz="4" w:space="0"/>
              <w:bottom w:val="single" w:color="auto" w:sz="4" w:space="0"/>
              <w:right w:val="single" w:color="auto" w:sz="4" w:space="0"/>
            </w:tcBorders>
            <w:vAlign w:val="center"/>
          </w:tcPr>
          <w:p w14:paraId="17B964A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85</w:t>
            </w:r>
          </w:p>
        </w:tc>
        <w:tc>
          <w:tcPr>
            <w:tcW w:w="491" w:type="dxa"/>
            <w:tcBorders>
              <w:top w:val="single" w:color="auto" w:sz="4" w:space="0"/>
              <w:left w:val="single" w:color="auto" w:sz="4" w:space="0"/>
              <w:bottom w:val="single" w:color="auto" w:sz="4" w:space="0"/>
              <w:right w:val="single" w:color="auto" w:sz="4" w:space="0"/>
            </w:tcBorders>
            <w:vAlign w:val="center"/>
          </w:tcPr>
          <w:p w14:paraId="0F4EA20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381BC119">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软件编码采集。需具备软件抓屏、本地音视频信号采集编码、动态码率调节及设备状态自动上报功能，能够适用于席位电脑、平板、手机、电子沙盘、大屏幕等复合信源的编码采集场景，支持以Web浏览器或客户端实现双向沟通交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2.功能要求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（1）界面采集。需具备屏幕编码采集能力，自适应分辨率生成视频流；需支持自动识别屏幕数量，</w:t>
            </w:r>
            <w:r>
              <w:rPr>
                <w:rFonts w:hint="eastAsia" w:ascii="宋体" w:hAnsi="宋体" w:eastAsia="宋体" w:cs="宋体"/>
                <w:color w:val="auto"/>
                <w:kern w:val="0"/>
                <w:sz w:val="21"/>
                <w:szCs w:val="21"/>
                <w:highlight w:val="none"/>
                <w:lang w:bidi="zh-CN"/>
              </w:rPr>
              <w:t>根据识别屏幕数量显示配置页面</w:t>
            </w:r>
            <w:r>
              <w:rPr>
                <w:rFonts w:hint="eastAsia" w:ascii="宋体" w:hAnsi="宋体" w:eastAsia="宋体" w:cs="宋体"/>
                <w:color w:val="auto"/>
                <w:kern w:val="0"/>
                <w:sz w:val="21"/>
                <w:szCs w:val="21"/>
                <w:highlight w:val="none"/>
                <w:lang w:bidi="ar"/>
              </w:rPr>
              <w:t>；需支持设置屏幕信号或窗口信号名称、</w:t>
            </w:r>
            <w:r>
              <w:rPr>
                <w:rFonts w:hint="eastAsia" w:ascii="宋体" w:hAnsi="宋体" w:eastAsia="宋体" w:cs="宋体"/>
                <w:color w:val="auto"/>
                <w:kern w:val="0"/>
                <w:sz w:val="21"/>
                <w:szCs w:val="21"/>
                <w:highlight w:val="none"/>
                <w:lang w:bidi="zh-CN"/>
              </w:rPr>
              <w:t>主/子码流分辨率</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zh-CN"/>
              </w:rPr>
              <w:t>帧率、码率、GOP及编码启停等相关参数；需</w:t>
            </w:r>
            <w:r>
              <w:rPr>
                <w:rFonts w:hint="eastAsia" w:ascii="宋体" w:hAnsi="宋体" w:eastAsia="宋体" w:cs="宋体"/>
                <w:color w:val="auto"/>
                <w:kern w:val="0"/>
                <w:sz w:val="21"/>
                <w:szCs w:val="21"/>
                <w:highlight w:val="none"/>
                <w:lang w:bidi="ar"/>
              </w:rPr>
              <w:t>支持4K、2K、1080P、720P分辨率；需具备动态码率功能，适应网络带宽波动调整；</w:t>
            </w:r>
            <w:r>
              <w:rPr>
                <w:rFonts w:hint="eastAsia" w:ascii="宋体" w:hAnsi="宋体" w:eastAsia="宋体" w:cs="宋体"/>
                <w:color w:val="auto"/>
                <w:sz w:val="21"/>
                <w:szCs w:val="21"/>
                <w:highlight w:val="none"/>
                <w:lang w:bidi="ar"/>
              </w:rPr>
              <w:t>需支持单屏、双屏、三屏、四屏分别开展</w:t>
            </w:r>
            <w:r>
              <w:rPr>
                <w:rFonts w:hint="eastAsia" w:ascii="宋体" w:hAnsi="宋体" w:eastAsia="宋体" w:cs="宋体"/>
                <w:color w:val="auto"/>
                <w:kern w:val="0"/>
                <w:sz w:val="21"/>
                <w:szCs w:val="21"/>
                <w:highlight w:val="none"/>
                <w:lang w:bidi="zh-CN"/>
              </w:rPr>
              <w:t>视频资源</w:t>
            </w:r>
            <w:r>
              <w:rPr>
                <w:rFonts w:hint="eastAsia" w:ascii="宋体" w:hAnsi="宋体" w:eastAsia="宋体" w:cs="宋体"/>
                <w:color w:val="auto"/>
                <w:sz w:val="21"/>
                <w:szCs w:val="21"/>
                <w:highlight w:val="none"/>
                <w:lang w:bidi="ar"/>
              </w:rPr>
              <w:t>采集及编码处理。</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（2）内容控制。需具备接收网络控制指令并转换为本地键盘、鼠标及触控控制指令的能力。</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（3）权限管控。需具备客户端受控状态的可视化展示和用户提醒功能。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（4）系统监测。需具备自动信息上报的功能，能够将本地设备的CPU、内存、屏幕名称以及码流地址自动上传至后台。</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（5）编码协议与网络环境。需支持的协议类型包括H.264、H.264HP、H.265、G.711、G.722、Opus、H.323、SIP、GB/T 28181协议及PCM编码格式，视频协议需支持RTSP（必须）、RTMP、WebRtc中的一项或多项；需支持</w:t>
            </w:r>
            <w:r>
              <w:rPr>
                <w:rFonts w:hint="eastAsia" w:ascii="宋体" w:hAnsi="宋体" w:eastAsia="宋体" w:cs="宋体"/>
                <w:color w:val="auto"/>
                <w:kern w:val="0"/>
                <w:sz w:val="21"/>
                <w:szCs w:val="21"/>
                <w:highlight w:val="none"/>
                <w:lang w:bidi="zh-CN"/>
              </w:rPr>
              <w:t>在互联网、4G/5G、卫星网络环境下接入进行指挥调度时，仍能够有较好音视频效果。支持IPv4和IPv6协议</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3.性能要求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（1）支持采集屏幕数量：不少于3块。</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（2）支持原生采集编码分辨率：不高于4K，向下兼容2K、1080P、720P等常规分辨率。</w:t>
            </w:r>
          </w:p>
          <w:p w14:paraId="53078230">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4.运行环境</w:t>
            </w:r>
          </w:p>
          <w:p w14:paraId="69DD7ADF">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（1）需支持的操作系统类型包括：麒麟、统信、鸿蒙、Windows、安卓等。</w:t>
            </w:r>
          </w:p>
        </w:tc>
        <w:tc>
          <w:tcPr>
            <w:tcW w:w="1132" w:type="dxa"/>
            <w:tcBorders>
              <w:top w:val="single" w:color="auto" w:sz="4" w:space="0"/>
              <w:left w:val="single" w:color="auto" w:sz="4" w:space="0"/>
              <w:bottom w:val="single" w:color="auto" w:sz="4" w:space="0"/>
              <w:right w:val="single" w:color="auto" w:sz="4" w:space="0"/>
            </w:tcBorders>
            <w:vAlign w:val="center"/>
          </w:tcPr>
          <w:p w14:paraId="73A3C6B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3DA2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0DE6280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3.5</w:t>
            </w:r>
          </w:p>
        </w:tc>
        <w:tc>
          <w:tcPr>
            <w:tcW w:w="1189" w:type="dxa"/>
            <w:tcBorders>
              <w:top w:val="single" w:color="auto" w:sz="4" w:space="0"/>
              <w:left w:val="single" w:color="auto" w:sz="4" w:space="0"/>
              <w:bottom w:val="single" w:color="auto" w:sz="4" w:space="0"/>
              <w:right w:val="single" w:color="auto" w:sz="4" w:space="0"/>
            </w:tcBorders>
            <w:vAlign w:val="center"/>
          </w:tcPr>
          <w:p w14:paraId="5D00414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多域跨网融合采集使用端</w:t>
            </w:r>
          </w:p>
        </w:tc>
        <w:tc>
          <w:tcPr>
            <w:tcW w:w="622" w:type="dxa"/>
            <w:tcBorders>
              <w:top w:val="single" w:color="auto" w:sz="4" w:space="0"/>
              <w:left w:val="single" w:color="auto" w:sz="4" w:space="0"/>
              <w:bottom w:val="single" w:color="auto" w:sz="4" w:space="0"/>
              <w:right w:val="single" w:color="auto" w:sz="4" w:space="0"/>
            </w:tcBorders>
            <w:vAlign w:val="center"/>
          </w:tcPr>
          <w:p w14:paraId="782E34E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85</w:t>
            </w:r>
          </w:p>
        </w:tc>
        <w:tc>
          <w:tcPr>
            <w:tcW w:w="491" w:type="dxa"/>
            <w:tcBorders>
              <w:top w:val="single" w:color="auto" w:sz="4" w:space="0"/>
              <w:left w:val="single" w:color="auto" w:sz="4" w:space="0"/>
              <w:bottom w:val="single" w:color="auto" w:sz="4" w:space="0"/>
              <w:right w:val="single" w:color="auto" w:sz="4" w:space="0"/>
            </w:tcBorders>
            <w:vAlign w:val="center"/>
          </w:tcPr>
          <w:p w14:paraId="7912016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3262E13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（1）需具备对本地各类信号源的音视频信号采集编码功能，并具备安全隔离功能，能够确保不同网络的视频信号接入时依然保持各网络间的安全隔离状态。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（2）双传输链路隔离：需严格区分音视频链路和控制信号链路，具备严格的单向隔离机制，并确保高密网无法向低密网传输任何信息。</w:t>
            </w:r>
          </w:p>
          <w:p w14:paraId="2C6B9FA7">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（3）主控芯片和系统：需采用国产化主控芯片和嵌入式操作系统。</w:t>
            </w:r>
          </w:p>
          <w:p w14:paraId="788BDCEC">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（4）需配备满足运行最大分辨率为2K@60Hz的</w:t>
            </w:r>
            <w:r>
              <w:rPr>
                <w:rFonts w:hint="eastAsia" w:ascii="宋体" w:hAnsi="宋体" w:eastAsia="宋体" w:cs="宋体"/>
                <w:color w:val="auto"/>
                <w:kern w:val="0"/>
                <w:sz w:val="21"/>
                <w:szCs w:val="21"/>
                <w:highlight w:val="none"/>
                <w:lang w:bidi="ar"/>
              </w:rPr>
              <w:t>画面监视器</w:t>
            </w:r>
            <w:r>
              <w:rPr>
                <w:rFonts w:hint="eastAsia" w:ascii="宋体" w:hAnsi="宋体" w:eastAsia="宋体" w:cs="宋体"/>
                <w:color w:val="auto"/>
                <w:kern w:val="0"/>
                <w:sz w:val="21"/>
                <w:szCs w:val="21"/>
                <w:highlight w:val="none"/>
                <w:lang w:bidi="zh-CN"/>
              </w:rPr>
              <w:t>。</w:t>
            </w:r>
          </w:p>
          <w:p w14:paraId="2C92F652">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2.功能要求</w:t>
            </w:r>
          </w:p>
          <w:p w14:paraId="79B05C8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（1）单向安全隔离：需具备控制信号和音视频信号物理单向传输特性，实现音视频和控制信号的单向不可逆传输。</w:t>
            </w:r>
          </w:p>
          <w:p w14:paraId="7EF42B2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（2）跨网指令交互：需支持非网口传输控制信号，通过免驱USB接口实现对信号源的免驱控制，并按照跨网转发服务映射关系，实现对不同网络下多信号源进行安全控制。</w:t>
            </w:r>
          </w:p>
          <w:p w14:paraId="3D7F5CE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（3）界面调取控制：需支持通过一套键盘鼠标操控接入的各类多域跨网界面资源。支持键鼠控制、快捷组合键控制等。</w:t>
            </w:r>
          </w:p>
          <w:p w14:paraId="054A6987">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（4）界面资源管理：需提供界面资源列表管理功能，支持模糊搜索和快速检索定位，方便用户快速查找所需界面资源。</w:t>
            </w:r>
          </w:p>
          <w:p w14:paraId="709DAE9F">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（5）标准免驱控制：需支持硬件驱动级控制，具有高度的兼容性，避免安全防护程序误报警。同时支持采用符合HID协议的键盘、鼠标、触控指令。</w:t>
            </w:r>
          </w:p>
          <w:p w14:paraId="53973E46">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信号源接入类型：需支持接入台式机、笔记本、平板、手机、摄像头等。支持接入的信号源操作系统包括Linux、麒麟KylinOS、统信UOS、鸿蒙、Windows、安卓等类型。兼容大屏幕、显示器、投影仪、电视、键盘鼠标、触控屏、耳麦、话筒等外设类型。</w:t>
            </w:r>
          </w:p>
          <w:p w14:paraId="10419077">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（7）单向隔离与单向</w:t>
            </w:r>
            <w:r>
              <w:rPr>
                <w:rFonts w:hint="eastAsia" w:ascii="宋体" w:hAnsi="宋体" w:eastAsia="宋体" w:cs="宋体"/>
                <w:color w:val="auto"/>
                <w:kern w:val="0"/>
                <w:sz w:val="21"/>
                <w:szCs w:val="21"/>
                <w:highlight w:val="none"/>
                <w:lang w:bidi="zh-CN"/>
              </w:rPr>
              <w:t>发送。需</w:t>
            </w:r>
            <w:r>
              <w:rPr>
                <w:rFonts w:hint="eastAsia" w:ascii="宋体" w:hAnsi="宋体" w:eastAsia="宋体" w:cs="宋体"/>
                <w:color w:val="auto"/>
                <w:sz w:val="21"/>
                <w:szCs w:val="21"/>
                <w:highlight w:val="none"/>
              </w:rPr>
              <w:t>采用内置单向物理隔离器件，确保音视频链路及控制链路安全单向隔离；需具备本地音视频流及控制信号流单向发送能力，确保音视频流及控制信号流仅能沿指定方向单向发送</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（8）切换显示。需支持对本地接入的多路信号源进行本地切换操作。</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（9）内容控制。需支持多用户同时接入同一设备并使用各自的业务系统，各用户可独立进行显示切换和内容控制操作，操作过程互不影响。</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视频采集。需具备对本地各类信号源的音视频信号进行采集编码的功能，支持视频编解码协议采用H.264/H.265编码压缩协议，视频传输协议采用RTSP实时流传输协议。需支持的协议类型包括H.264、H.264HP、H.265、G.711、G.722、Opus、H.323、SIP等编码格式，视频协议需支持RTSP（必须）、RTMP、WebRtc中的一项或多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（11）支持协议与网络类型。需支持GB/T28181协议标准。支持气象宽带网、电子政务网、自组网、互联网、4G/5G、卫星网络等网络环境的信号源以及IPv4和IPv6网络协议。</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3.单终端性能要求</w:t>
            </w:r>
          </w:p>
          <w:p w14:paraId="6FC82F6D">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（1）支持安全接入的不同网络来源数量：不低于4个。</w:t>
            </w:r>
          </w:p>
          <w:p w14:paraId="1B42E6C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（2）支持可接入的本地跨网信号源数量：不低于8个。</w:t>
            </w:r>
          </w:p>
          <w:p w14:paraId="490DEA0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（3）单屏支持的最大分辨率：不低于2K@60Hz。</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（4）支持同时使用的人数：不少于3个。</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4.单终端规格要求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（1）设备配备≥</w:t>
            </w: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个HDMI端口，≥4个USB端口，≥1个10/100/1000Mbps自适应RJ45端口。</w:t>
            </w:r>
          </w:p>
          <w:p w14:paraId="49C0EC1F">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（2）配备画面监视器≥3个。面板为IPS技术，可视尺寸≥23.8英寸，屏幕比例16:9，分辨率2560×1440，亮度≥280cd/m</w:t>
            </w:r>
            <w:r>
              <w:rPr>
                <w:rFonts w:hint="eastAsia" w:ascii="宋体" w:hAnsi="宋体" w:eastAsia="宋体" w:cs="宋体"/>
                <w:color w:val="auto"/>
                <w:kern w:val="0"/>
                <w:sz w:val="21"/>
                <w:szCs w:val="21"/>
                <w:highlight w:val="none"/>
                <w:vertAlign w:val="superscript"/>
                <w:lang w:bidi="ar"/>
              </w:rPr>
              <w:t>2</w:t>
            </w:r>
            <w:r>
              <w:rPr>
                <w:rFonts w:hint="eastAsia" w:ascii="宋体" w:hAnsi="宋体" w:eastAsia="宋体" w:cs="宋体"/>
                <w:color w:val="auto"/>
                <w:kern w:val="0"/>
                <w:sz w:val="21"/>
                <w:szCs w:val="21"/>
                <w:highlight w:val="none"/>
                <w:lang w:bidi="ar"/>
              </w:rPr>
              <w:t>，接口支持HDMI、DP，3C认证。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（3）设备配备≥2个电源接口。</w:t>
            </w:r>
          </w:p>
        </w:tc>
        <w:tc>
          <w:tcPr>
            <w:tcW w:w="1132" w:type="dxa"/>
            <w:tcBorders>
              <w:top w:val="single" w:color="auto" w:sz="4" w:space="0"/>
              <w:left w:val="single" w:color="auto" w:sz="4" w:space="0"/>
              <w:bottom w:val="single" w:color="auto" w:sz="4" w:space="0"/>
              <w:right w:val="single" w:color="auto" w:sz="4" w:space="0"/>
            </w:tcBorders>
            <w:vAlign w:val="center"/>
          </w:tcPr>
          <w:p w14:paraId="5E63BA1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6612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780A5C4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3.6</w:t>
            </w:r>
          </w:p>
        </w:tc>
        <w:tc>
          <w:tcPr>
            <w:tcW w:w="1189" w:type="dxa"/>
            <w:tcBorders>
              <w:top w:val="single" w:color="auto" w:sz="4" w:space="0"/>
              <w:left w:val="single" w:color="auto" w:sz="4" w:space="0"/>
              <w:bottom w:val="single" w:color="auto" w:sz="4" w:space="0"/>
              <w:right w:val="single" w:color="auto" w:sz="4" w:space="0"/>
            </w:tcBorders>
            <w:vAlign w:val="center"/>
          </w:tcPr>
          <w:p w14:paraId="4AC40D0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多域跨网融合移动端软件版</w:t>
            </w:r>
          </w:p>
        </w:tc>
        <w:tc>
          <w:tcPr>
            <w:tcW w:w="622" w:type="dxa"/>
            <w:tcBorders>
              <w:top w:val="single" w:color="auto" w:sz="4" w:space="0"/>
              <w:left w:val="single" w:color="auto" w:sz="4" w:space="0"/>
              <w:bottom w:val="single" w:color="auto" w:sz="4" w:space="0"/>
              <w:right w:val="single" w:color="auto" w:sz="4" w:space="0"/>
            </w:tcBorders>
            <w:vAlign w:val="center"/>
          </w:tcPr>
          <w:p w14:paraId="7F14CFD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85</w:t>
            </w:r>
          </w:p>
        </w:tc>
        <w:tc>
          <w:tcPr>
            <w:tcW w:w="491" w:type="dxa"/>
            <w:tcBorders>
              <w:top w:val="single" w:color="auto" w:sz="4" w:space="0"/>
              <w:left w:val="single" w:color="auto" w:sz="4" w:space="0"/>
              <w:bottom w:val="single" w:color="auto" w:sz="4" w:space="0"/>
              <w:right w:val="single" w:color="auto" w:sz="4" w:space="0"/>
            </w:tcBorders>
            <w:vAlign w:val="center"/>
          </w:tcPr>
          <w:p w14:paraId="1F4A613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056C4E19">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资源采集操控。需具备统一调取、显示、控制接入资源的能力，包括本地屏幕编码采集、资源融合显示、集中操控、开窗漫游、分享推送、编辑标注等功能，能够适用于席位电脑、电子沙盘、汇报台、笔记本、大屏、机动集成作业系统指挥模组、调度端、作业端等场景。</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2.功能要求</w:t>
            </w:r>
          </w:p>
          <w:p w14:paraId="44AF7E20">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（1）资源采集编码传输：需支持对本机输出界面进行采集编码，供其他终端使用或利用专用通信链路回传至后方指挥中心。</w:t>
            </w:r>
          </w:p>
          <w:p w14:paraId="26E9237F">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（2）远程跨网资源协同：需具备接收指挥中心推送的省、市、县各类跨网界面资源能力，在移动过程中与指挥中心保持信息同步，亦可将本地采集界面资源推送给省、市、县指挥中心。</w:t>
            </w:r>
          </w:p>
          <w:p w14:paraId="4A9E6D0B">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（3）多终端间协同通信：需支持与其他多域跨网融合移动端之间，实现1对1音视频通话功能。</w:t>
            </w:r>
          </w:p>
          <w:p w14:paraId="08E32DA5">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（4）组合界面标注推送：需支持对接入的资源组合界面场景进行标注，并推送至指挥中心或其他多域跨网融合移动端。</w:t>
            </w:r>
          </w:p>
          <w:p w14:paraId="5EEB368A">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无中心使用模式：需支持在没有后台服务器连接的情况下，自动搜索发现同网络内的其他终端设备，设备之间可建立点对点通信，实现相互之间的界面调取、推送、标绘分享、音视频通话功能。在后台服务器意外断连的情况下仍然可以形成多终端协同能力。</w:t>
            </w:r>
          </w:p>
          <w:p w14:paraId="46BD753C">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6）融合显示。需具备快速接入多网资源能力，可构建资源组合场景，实现多种显示效果；需具备任意开窗显示、窗口关闭、窗口移动、窗口置顶功能；需具备将信号组合界面保存为预设栏目的功能，可快捷调取，栏目支持自定义名称和布局。需支持一键收起和隐藏主页面功能应用按钮、栏目及资源窗口菜单，无遮挡全画面显示资源内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（7）内容控制。需具备</w:t>
            </w:r>
            <w:r>
              <w:rPr>
                <w:rFonts w:hint="eastAsia" w:ascii="宋体" w:hAnsi="宋体" w:eastAsia="宋体" w:cs="宋体"/>
                <w:color w:val="auto"/>
                <w:kern w:val="0"/>
                <w:sz w:val="21"/>
                <w:szCs w:val="21"/>
                <w:highlight w:val="none"/>
                <w:lang w:bidi="zh-CN"/>
              </w:rPr>
              <w:t>通过一套键鼠或触控方式对接入多域跨网音视频资源进行统一操控功能，提供基础键鼠指令映射与快捷组合键功能；须具备在一个屏幕上通过键鼠、触控方式漫游控制已接入的各类信号源的功能；须具备基于角色权限实现多用户对不同信号源窗口及内容的独立操控能力</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系统类型与多屏使用。需支持信号源操作系统类型包括Windows、Linux、Android、鸿蒙、麒麟KylinOS、统信UOS等；需具备拖拽资源、组合场景和栏目与主窗口分离显示功能，能够实现漫游到任意窗口上独立显示、控制、布局、全屏等操作。</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（9）裁剪重组与动态标注。需具备</w:t>
            </w:r>
            <w:r>
              <w:rPr>
                <w:rFonts w:hint="eastAsia" w:ascii="宋体" w:hAnsi="宋体" w:eastAsia="宋体" w:cs="宋体"/>
                <w:color w:val="auto"/>
                <w:sz w:val="21"/>
                <w:szCs w:val="21"/>
                <w:highlight w:val="none"/>
              </w:rPr>
              <w:t>对来自不同网络的音视频资源进行实时显示、自由裁剪与任意组合功能，能够将裁剪后的多个组合关键窗口一键分享给其他用户；须具备在多个音视频组合的画面上进行实时动态编辑标注功能，能够提供丰富的标注工具（线条、箭头、图形、文字等），支持在实时画面上进行自由绘制、编辑与样式调整，生成含图片、文字的动态音视频场景，同时将修改编辑后的结果推送到其他用户</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（10）多人协同。需</w:t>
            </w:r>
            <w:r>
              <w:rPr>
                <w:rFonts w:hint="eastAsia" w:ascii="宋体" w:hAnsi="宋体" w:eastAsia="宋体" w:cs="宋体"/>
                <w:color w:val="auto"/>
                <w:kern w:val="0"/>
                <w:sz w:val="21"/>
                <w:szCs w:val="21"/>
                <w:highlight w:val="none"/>
                <w:lang w:bidi="zh-CN"/>
              </w:rPr>
              <w:t>具备多人跨域协同编辑标注功能可实时同步展示标绘过程，能够实现对各路视频画面进行协同编辑，允许多人、多终端1对1、1对多在线共同编辑文档及标注，多个终端能实时协同标注多域跨网组合画面广播推送，不同用户的标注内容可在同一屏幕实时叠加显示</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11）指挥端模式。需具备在指挥员一键下达给自治区、市、县三级及移动指挥车、作业端、手机端等时，指挥端一屏管理资源，多个态势屏一键内容切换显示，资源可按需投屏至任意态势屏幕；需具备组合界面快速调取功能，能够实现将不同业务系统形成组合场景，一键调取，并一键推送到任意态势屏幕；需具备信号源缩略显示功能，能够通过滑动操作快速预览所有内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3.性能要求</w:t>
            </w:r>
          </w:p>
          <w:p w14:paraId="6469EE38">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（1）支持同时显示的资源数量：不小于4个。</w:t>
            </w:r>
          </w:p>
          <w:p w14:paraId="1B1FA833">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（2）支持布局样式数量：不低于8种。</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（3）支持裁剪的窗口最小分辨率为：64x64像素。</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（4）支持多人协同人数：不低于4人。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（5）支持采集屏幕数量：不少于4块。</w:t>
            </w:r>
          </w:p>
          <w:p w14:paraId="4DF0C106">
            <w:pPr>
              <w:keepNext w:val="0"/>
              <w:keepLines w:val="0"/>
              <w:pageBreakBefore w:val="0"/>
              <w:widowControl/>
              <w:shd w:val="clear"/>
              <w:kinsoku/>
              <w:overflowPunct/>
              <w:topLinePunct w:val="0"/>
              <w:bidi w:val="0"/>
              <w:snapToGrid/>
              <w:spacing w:line="400" w:lineRule="exact"/>
              <w:jc w:val="left"/>
              <w:textAlignment w:val="top"/>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4.运行环境</w:t>
            </w:r>
          </w:p>
          <w:p w14:paraId="066C9600">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（1）需支持安卓、国产麒麟、windows操作系统。</w:t>
            </w:r>
          </w:p>
        </w:tc>
        <w:tc>
          <w:tcPr>
            <w:tcW w:w="1132" w:type="dxa"/>
            <w:tcBorders>
              <w:top w:val="single" w:color="auto" w:sz="4" w:space="0"/>
              <w:left w:val="single" w:color="auto" w:sz="4" w:space="0"/>
              <w:bottom w:val="single" w:color="auto" w:sz="4" w:space="0"/>
              <w:right w:val="single" w:color="auto" w:sz="4" w:space="0"/>
            </w:tcBorders>
            <w:vAlign w:val="center"/>
          </w:tcPr>
          <w:p w14:paraId="0DFCC4C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684A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0962C15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3.7</w:t>
            </w:r>
          </w:p>
        </w:tc>
        <w:tc>
          <w:tcPr>
            <w:tcW w:w="1189" w:type="dxa"/>
            <w:tcBorders>
              <w:top w:val="single" w:color="auto" w:sz="4" w:space="0"/>
              <w:left w:val="single" w:color="auto" w:sz="4" w:space="0"/>
              <w:bottom w:val="single" w:color="auto" w:sz="4" w:space="0"/>
              <w:right w:val="single" w:color="auto" w:sz="4" w:space="0"/>
            </w:tcBorders>
            <w:vAlign w:val="center"/>
          </w:tcPr>
          <w:p w14:paraId="37C392D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多域跨网融合态势端</w:t>
            </w:r>
          </w:p>
        </w:tc>
        <w:tc>
          <w:tcPr>
            <w:tcW w:w="622" w:type="dxa"/>
            <w:tcBorders>
              <w:top w:val="single" w:color="auto" w:sz="4" w:space="0"/>
              <w:left w:val="single" w:color="auto" w:sz="4" w:space="0"/>
              <w:bottom w:val="single" w:color="auto" w:sz="4" w:space="0"/>
              <w:right w:val="single" w:color="auto" w:sz="4" w:space="0"/>
            </w:tcBorders>
            <w:vAlign w:val="center"/>
          </w:tcPr>
          <w:p w14:paraId="102C08A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85</w:t>
            </w:r>
          </w:p>
        </w:tc>
        <w:tc>
          <w:tcPr>
            <w:tcW w:w="491" w:type="dxa"/>
            <w:tcBorders>
              <w:top w:val="single" w:color="auto" w:sz="4" w:space="0"/>
              <w:left w:val="single" w:color="auto" w:sz="4" w:space="0"/>
              <w:bottom w:val="single" w:color="auto" w:sz="4" w:space="0"/>
              <w:right w:val="single" w:color="auto" w:sz="4" w:space="0"/>
            </w:tcBorders>
            <w:vAlign w:val="center"/>
          </w:tcPr>
          <w:p w14:paraId="23E3B03F">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723F3F9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（1）清晰显示接入资源。需具备整合多网资源显示功能，能够灵活展示组合场景。适用于大屏及电视，实时准确展示态势，满足不同显示需求。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2.功能要求</w:t>
            </w:r>
          </w:p>
          <w:p w14:paraId="6AA7250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（1）多域界面展示：需支持将多个多域跨网界面形成组合场景进行统一展示，不同密级的信号源之间安全隔离、互不干扰。</w:t>
            </w:r>
          </w:p>
          <w:p w14:paraId="58A53A7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（2）远程分享推送：需支持接收来自本地终端或远程异地终端用户的分享推送。包括组合界面、裁剪界面、标绘界面等。</w:t>
            </w:r>
          </w:p>
          <w:p w14:paraId="78C4E32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（3）态势实时更新：需能够自动获取并更新多域跨网的最新界面，保障态势信息的时效性。自动更新间隔不高于3秒。</w:t>
            </w:r>
          </w:p>
          <w:p w14:paraId="50A8AEF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（4）轮巡展示。需支持按时间轴或固定周期对组合界面资源自动轮巡展示，能够实现非人工干预，自动运行。</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（5）监控取流与账户同步管理。需支持对符合GB/T 28181的各类视频监控独立取流显示；用户在不同终端登录账户后可同步账户信息，能够确保界面资源列表、功能模块、使用权限和使用记录随账户切换。</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6）自定义投屏与画面适应。需支持设置多个投屏/推送显控区域，接收不同用户投屏/推送的资源画面及组合场景，保存为接收预案，支持预案预览、快速调取；需支持特殊布局下组合场景各资源画面变形，无法按16：9正常显示时，支持可选组合场景各窗口画面不变形显示模式。</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（7）编辑模式。需支持用快捷键进入编辑模式，编辑模式下可自定义布局、信号源、场景等。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3.性能要求</w:t>
            </w:r>
          </w:p>
          <w:p w14:paraId="746DEF65">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（1）支持同时显示窗口数量：不小于4个。</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（2）支持独立取流的监控路数：不低于128路。</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（3）支持显示的整体最大分辨率为：4K@60Hz。</w:t>
            </w:r>
          </w:p>
          <w:p w14:paraId="1AD1016E">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4.运行环境</w:t>
            </w:r>
          </w:p>
          <w:p w14:paraId="490A19D1">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（1）需支持的操作系统类型包括Windows、麒麟等。</w:t>
            </w:r>
          </w:p>
        </w:tc>
        <w:tc>
          <w:tcPr>
            <w:tcW w:w="1132" w:type="dxa"/>
            <w:tcBorders>
              <w:top w:val="single" w:color="auto" w:sz="4" w:space="0"/>
              <w:left w:val="single" w:color="auto" w:sz="4" w:space="0"/>
              <w:bottom w:val="single" w:color="auto" w:sz="4" w:space="0"/>
              <w:right w:val="single" w:color="auto" w:sz="4" w:space="0"/>
            </w:tcBorders>
            <w:vAlign w:val="center"/>
          </w:tcPr>
          <w:p w14:paraId="7AFD766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38C5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3FDAE01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3.8</w:t>
            </w:r>
          </w:p>
        </w:tc>
        <w:tc>
          <w:tcPr>
            <w:tcW w:w="1189" w:type="dxa"/>
            <w:tcBorders>
              <w:top w:val="single" w:color="auto" w:sz="4" w:space="0"/>
              <w:left w:val="single" w:color="auto" w:sz="4" w:space="0"/>
              <w:bottom w:val="single" w:color="auto" w:sz="4" w:space="0"/>
              <w:right w:val="single" w:color="auto" w:sz="4" w:space="0"/>
            </w:tcBorders>
            <w:vAlign w:val="center"/>
          </w:tcPr>
          <w:p w14:paraId="34BA6B0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多域跨网融合会商端</w:t>
            </w:r>
          </w:p>
        </w:tc>
        <w:tc>
          <w:tcPr>
            <w:tcW w:w="622" w:type="dxa"/>
            <w:tcBorders>
              <w:top w:val="single" w:color="auto" w:sz="4" w:space="0"/>
              <w:left w:val="single" w:color="auto" w:sz="4" w:space="0"/>
              <w:bottom w:val="single" w:color="auto" w:sz="4" w:space="0"/>
              <w:right w:val="single" w:color="auto" w:sz="4" w:space="0"/>
            </w:tcBorders>
            <w:vAlign w:val="center"/>
          </w:tcPr>
          <w:p w14:paraId="653099E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85</w:t>
            </w:r>
          </w:p>
        </w:tc>
        <w:tc>
          <w:tcPr>
            <w:tcW w:w="491" w:type="dxa"/>
            <w:tcBorders>
              <w:top w:val="single" w:color="auto" w:sz="4" w:space="0"/>
              <w:left w:val="single" w:color="auto" w:sz="4" w:space="0"/>
              <w:bottom w:val="single" w:color="auto" w:sz="4" w:space="0"/>
              <w:right w:val="single" w:color="auto" w:sz="4" w:space="0"/>
            </w:tcBorders>
            <w:vAlign w:val="center"/>
          </w:tcPr>
          <w:p w14:paraId="4AD4523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31E9C5A3">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1.总体要求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（1）多域跨网会议：需支持多地域、多用户共同参与音视频会议，参会人员可共享使用多域跨网融合接入的界面资源。</w:t>
            </w:r>
          </w:p>
          <w:p w14:paraId="1A5AF73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（2）多源同步传输：需支持多域跨网界面、会议视频画面、语音同步传输。</w:t>
            </w:r>
          </w:p>
          <w:p w14:paraId="04208E1D">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2.功能要求</w:t>
            </w:r>
          </w:p>
          <w:p w14:paraId="5DD39C6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（1）界面共享功能：需支持对多域跨网界面进行一屏调度，支持对跨域跨网组合界面场景实时共享，并基于跨网组合界面进行共同研讨，过程中确保跨网界面之间安全隔离，互不干扰。</w:t>
            </w:r>
          </w:p>
          <w:p w14:paraId="035B9B3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（2）界面共享方式：需支持多种界面共享方式，包括：软件抓屏共享、本地采集共享、其他终端推送来的界面共享、协同标绘界面共享、本地组合场景共享。</w:t>
            </w:r>
          </w:p>
          <w:p w14:paraId="768C2C4A">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（3）账号管理：需具备建立统一账户管理功能，可与后台账户信息进行同步。</w:t>
            </w:r>
          </w:p>
          <w:p w14:paraId="6A57A759">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（4）多级组会与多级呼叫。需</w:t>
            </w:r>
            <w:r>
              <w:rPr>
                <w:rFonts w:hint="eastAsia" w:ascii="宋体" w:hAnsi="宋体" w:eastAsia="宋体" w:cs="宋体"/>
                <w:color w:val="auto"/>
                <w:kern w:val="0"/>
                <w:sz w:val="21"/>
                <w:szCs w:val="21"/>
                <w:highlight w:val="none"/>
                <w:lang w:bidi="zh-CN"/>
              </w:rPr>
              <w:t>具备多方实时音视频会议和文本对话功能。采用SIP协议，提供多对多的音视频通信功能。支持语音对讲，可创建多个对讲组，能够实现自由讨论和广播；须支持基于角色权限对各级用户同时在线音视频呼叫，实现内外网资源结合和“端到端”音视频连线；须具备多方协同参与音视频会议功能，能够实现会议画面和会议语音保持实时同步传输</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（5）快速会议与预定会议。需</w:t>
            </w:r>
            <w:r>
              <w:rPr>
                <w:rFonts w:hint="eastAsia" w:ascii="宋体" w:hAnsi="宋体" w:eastAsia="宋体" w:cs="宋体"/>
                <w:color w:val="auto"/>
                <w:kern w:val="0"/>
                <w:sz w:val="21"/>
                <w:szCs w:val="21"/>
                <w:highlight w:val="none"/>
                <w:lang w:bidi="zh-CN"/>
              </w:rPr>
              <w:t>具备会议时长设置功能，可根据需求手动调整为30分钟、1小时、2小时等自定义时长，无需邀请成员。建会人可从组织架构拉取人员并发送邀请；需具备预定参会人员和时间功能，能够实现进入会议后建会人仍可再次邀请其他人员入会</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6）会议列表与查询会议。需支持在会议首页显示相关会议列表，包括自己创建或他人邀请的会议；点击待入会议，展示相关预定会议与快速会议，也可根据会议号查询会议。入会需输入会议密码验证，通过后即时入会，会议号支持一键复制，会议密码在建会时可设置修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会议操作与屏幕共享。需支持多种会议显示模式，如平铺展示、列表模式；支持会议摄像头镜像翻转、静音/非静音操作，且会议中说话人话筒高亮显示；需支持会议中共享屏幕，能够实现会议里的其他成员实时看到共享的屏幕内容并开展会商讨论。</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（8）会议即时消息。需具备在会中多人即时通讯的功能，提供通信对话窗口，支持文字、文件、图片等类型消息。</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9）多级会议权限。需支持细分设置会议权限，可包括主持人和一般参会人权限。主持人拥有最高会议权限，包括开启/结束会议、管理参会人、会议参数设置等；普通参会人入会后，默认有发言、共享内容查看等权限。</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安全共享传输。需支持实时同步传输跨网视频资源、会议画面和音频，能够提供良好沟通体验；需支持对多个不同网络视频资源进行一屏调度，能够实现组合画面场景实时共享，以及基于跨网资源的共同研讨，同时确保跨网资源安全隔离。</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（11）场景化会议部署预设。需具备预设快速会议功能，用户可通过预设参会人群和会议时间一键开会，无需召集参会人，并自动调取预设场景所需的信号源画面，缩短创建会议以及邀请参会的操作时间。</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（12）弱网环境自适应。需具备动态码率功能，支持弱网环境动态码率调整，保证音视频流畅传输。</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（13）编码协议类型。需支持H.323、SIP音视频通信协议。</w:t>
            </w:r>
          </w:p>
          <w:p w14:paraId="1BA0A16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（14）</w:t>
            </w:r>
            <w:r>
              <w:rPr>
                <w:rFonts w:hint="eastAsia" w:ascii="宋体" w:hAnsi="宋体" w:cs="宋体"/>
                <w:color w:val="auto"/>
                <w:kern w:val="0"/>
                <w:sz w:val="21"/>
                <w:szCs w:val="21"/>
                <w:highlight w:val="none"/>
                <w:lang w:eastAsia="zh-CN" w:bidi="ar"/>
              </w:rPr>
              <w:t>多源</w:t>
            </w:r>
            <w:r>
              <w:rPr>
                <w:rFonts w:hint="eastAsia" w:ascii="宋体" w:hAnsi="宋体" w:eastAsia="宋体" w:cs="宋体"/>
                <w:color w:val="auto"/>
                <w:kern w:val="0"/>
                <w:sz w:val="21"/>
                <w:szCs w:val="21"/>
                <w:highlight w:val="none"/>
                <w:lang w:bidi="ar"/>
              </w:rPr>
              <w:t>会议融合。需具备构建</w:t>
            </w:r>
            <w:r>
              <w:rPr>
                <w:rFonts w:hint="eastAsia" w:ascii="宋体" w:hAnsi="宋体" w:cs="宋体"/>
                <w:color w:val="auto"/>
                <w:kern w:val="0"/>
                <w:sz w:val="21"/>
                <w:szCs w:val="21"/>
                <w:highlight w:val="none"/>
                <w:lang w:eastAsia="zh-CN" w:bidi="ar"/>
              </w:rPr>
              <w:t>多源</w:t>
            </w:r>
            <w:r>
              <w:rPr>
                <w:rFonts w:hint="eastAsia" w:ascii="宋体" w:hAnsi="宋体" w:eastAsia="宋体" w:cs="宋体"/>
                <w:color w:val="auto"/>
                <w:kern w:val="0"/>
                <w:sz w:val="21"/>
                <w:szCs w:val="21"/>
                <w:highlight w:val="none"/>
                <w:lang w:bidi="ar"/>
              </w:rPr>
              <w:t>会议融合能力，可接入并邀请第三方视频会议终端及参会方入会，实现多方之间音视频实时交互通信，同时支持会议画面共享与同步观看。</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3.性能要求</w:t>
            </w:r>
          </w:p>
          <w:p w14:paraId="7B7AC604">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（1）支持的视频会议最大参会方数量：不低于32路。</w:t>
            </w:r>
          </w:p>
          <w:p w14:paraId="4F354A09">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（2）支持的语音会议最大参会方数量：不低于64路。</w:t>
            </w:r>
          </w:p>
          <w:p w14:paraId="358F2161">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（3）配备无线鹅颈式会议麦克风≥1个。</w:t>
            </w:r>
          </w:p>
          <w:p w14:paraId="6800FAD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4.运行环境</w:t>
            </w:r>
          </w:p>
          <w:p w14:paraId="4C33AB7B">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（1）需支持的操作系统类型包括麒麟、Windows、安卓等。</w:t>
            </w:r>
          </w:p>
        </w:tc>
        <w:tc>
          <w:tcPr>
            <w:tcW w:w="1132" w:type="dxa"/>
            <w:tcBorders>
              <w:top w:val="single" w:color="auto" w:sz="4" w:space="0"/>
              <w:left w:val="single" w:color="auto" w:sz="4" w:space="0"/>
              <w:bottom w:val="single" w:color="auto" w:sz="4" w:space="0"/>
              <w:right w:val="single" w:color="auto" w:sz="4" w:space="0"/>
            </w:tcBorders>
            <w:vAlign w:val="center"/>
          </w:tcPr>
          <w:p w14:paraId="0EBDBF7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7DEF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2EBA521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3.9</w:t>
            </w:r>
          </w:p>
        </w:tc>
        <w:tc>
          <w:tcPr>
            <w:tcW w:w="1189" w:type="dxa"/>
            <w:tcBorders>
              <w:top w:val="single" w:color="auto" w:sz="4" w:space="0"/>
              <w:left w:val="single" w:color="auto" w:sz="4" w:space="0"/>
              <w:bottom w:val="single" w:color="auto" w:sz="4" w:space="0"/>
              <w:right w:val="single" w:color="auto" w:sz="4" w:space="0"/>
            </w:tcBorders>
            <w:vAlign w:val="center"/>
          </w:tcPr>
          <w:p w14:paraId="794E0C7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多域跨网融合通信端</w:t>
            </w:r>
          </w:p>
        </w:tc>
        <w:tc>
          <w:tcPr>
            <w:tcW w:w="622" w:type="dxa"/>
            <w:tcBorders>
              <w:top w:val="single" w:color="auto" w:sz="4" w:space="0"/>
              <w:left w:val="single" w:color="auto" w:sz="4" w:space="0"/>
              <w:bottom w:val="single" w:color="auto" w:sz="4" w:space="0"/>
              <w:right w:val="single" w:color="auto" w:sz="4" w:space="0"/>
            </w:tcBorders>
            <w:vAlign w:val="center"/>
          </w:tcPr>
          <w:p w14:paraId="012A33A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85</w:t>
            </w:r>
          </w:p>
        </w:tc>
        <w:tc>
          <w:tcPr>
            <w:tcW w:w="491" w:type="dxa"/>
            <w:tcBorders>
              <w:top w:val="single" w:color="auto" w:sz="4" w:space="0"/>
              <w:left w:val="single" w:color="auto" w:sz="4" w:space="0"/>
              <w:bottom w:val="single" w:color="auto" w:sz="4" w:space="0"/>
              <w:right w:val="single" w:color="auto" w:sz="4" w:space="0"/>
            </w:tcBorders>
            <w:vAlign w:val="center"/>
          </w:tcPr>
          <w:p w14:paraId="69E0155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5615" w:type="dxa"/>
            <w:tcBorders>
              <w:top w:val="single" w:color="auto" w:sz="4" w:space="0"/>
              <w:left w:val="single" w:color="auto" w:sz="4" w:space="0"/>
              <w:bottom w:val="single" w:color="auto" w:sz="4" w:space="0"/>
              <w:right w:val="single" w:color="auto" w:sz="4" w:space="0"/>
            </w:tcBorders>
          </w:tcPr>
          <w:p w14:paraId="6DCC2830">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b/>
                <w:bCs/>
                <w:color w:val="auto"/>
                <w:kern w:val="0"/>
                <w:sz w:val="21"/>
                <w:szCs w:val="21"/>
                <w:highlight w:val="none"/>
                <w:lang w:bidi="zh-CN"/>
              </w:rPr>
              <w:t>1.总体要求</w:t>
            </w:r>
          </w:p>
          <w:p w14:paraId="2E28B96D">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（1）本设备是适配一体化调度、现场作业场景使用的可视化通信控制终端。</w:t>
            </w:r>
          </w:p>
          <w:p w14:paraId="043C336E">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b/>
                <w:bCs/>
                <w:color w:val="auto"/>
                <w:kern w:val="0"/>
                <w:sz w:val="21"/>
                <w:szCs w:val="21"/>
                <w:highlight w:val="none"/>
                <w:lang w:bidi="zh-CN"/>
              </w:rPr>
              <w:t>2.功能要求</w:t>
            </w:r>
          </w:p>
          <w:p w14:paraId="591148C6">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（1）融合通信调度：需具备与指挥中心进行跨网语音和视频融合通信及可视化调度能力，接受来自指挥中心的语音、视频呼叫及多域跨网界面推送。</w:t>
            </w:r>
          </w:p>
          <w:p w14:paraId="5E709649">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（2）融合态势接收：需接受来自指挥中心或其他端推送的跨网综合态势信息一屏展示。</w:t>
            </w:r>
          </w:p>
          <w:p w14:paraId="209DC2FE">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（3）态势实时更新：需支持自动更新态势界面，确保与指挥中心或其他端态势同步。</w:t>
            </w:r>
          </w:p>
          <w:p w14:paraId="244CDB3B">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（4）多方会议接入：需支持多方音视频会议，支持一键快速召开视频或电话会议。</w:t>
            </w:r>
          </w:p>
          <w:p w14:paraId="3CBFA45E">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（5）快捷群组呼叫：需支持群组语音、视频通信，可快速创建临时群组或加入已有的固定群组。</w:t>
            </w:r>
          </w:p>
          <w:p w14:paraId="434F1A06">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color w:val="auto"/>
                <w:kern w:val="0"/>
                <w:sz w:val="21"/>
                <w:szCs w:val="21"/>
                <w:highlight w:val="none"/>
                <w:lang w:bidi="zh-CN"/>
              </w:rPr>
              <w:t>3</w:t>
            </w:r>
            <w:r>
              <w:rPr>
                <w:rFonts w:hint="eastAsia" w:ascii="宋体" w:hAnsi="宋体" w:eastAsia="宋体" w:cs="宋体"/>
                <w:b/>
                <w:bCs/>
                <w:color w:val="auto"/>
                <w:kern w:val="0"/>
                <w:sz w:val="21"/>
                <w:szCs w:val="21"/>
                <w:highlight w:val="none"/>
                <w:lang w:bidi="zh-CN"/>
              </w:rPr>
              <w:t>.性能要求</w:t>
            </w:r>
          </w:p>
          <w:p w14:paraId="14351A39">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（1）态势接收同时显示的界面数量：4个。</w:t>
            </w:r>
          </w:p>
          <w:p w14:paraId="6150CF1E">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color w:val="auto"/>
                <w:kern w:val="0"/>
                <w:sz w:val="21"/>
                <w:szCs w:val="21"/>
                <w:highlight w:val="none"/>
                <w:lang w:bidi="zh-CN"/>
              </w:rPr>
              <w:t>4</w:t>
            </w:r>
            <w:r>
              <w:rPr>
                <w:rFonts w:hint="eastAsia" w:ascii="宋体" w:hAnsi="宋体" w:eastAsia="宋体" w:cs="宋体"/>
                <w:b/>
                <w:bCs/>
                <w:color w:val="auto"/>
                <w:kern w:val="0"/>
                <w:sz w:val="21"/>
                <w:szCs w:val="21"/>
                <w:highlight w:val="none"/>
                <w:lang w:bidi="zh-CN"/>
              </w:rPr>
              <w:t>.规格要求</w:t>
            </w:r>
          </w:p>
          <w:p w14:paraId="7BC4AB0A">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（1）运行内存：RAM≥6GB。</w:t>
            </w:r>
          </w:p>
          <w:p w14:paraId="6128137A">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（2）机身内置存储：ROM≥128GB。</w:t>
            </w:r>
          </w:p>
          <w:p w14:paraId="4401FC74">
            <w:pPr>
              <w:keepNext w:val="0"/>
              <w:keepLines w:val="0"/>
              <w:pageBreakBefore w:val="0"/>
              <w:widowControl/>
              <w:shd w:val="clear"/>
              <w:kinsoku/>
              <w:overflowPunct/>
              <w:topLinePunct w:val="0"/>
              <w:bidi w:val="0"/>
              <w:snapToGrid/>
              <w:spacing w:line="400" w:lineRule="exact"/>
              <w:jc w:val="lef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（3）操作系统：预装Android 8.0及以上版本操作系统，或鸿蒙操作系统，或具备同等安全、应用兼容能力的移动智能操作系统。操作系统需适配预装多域跨网融合会商端、多域跨网融合移动端软件版等业务APP软件。</w:t>
            </w:r>
          </w:p>
          <w:p w14:paraId="1D4B8864">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zh-CN"/>
              </w:rPr>
              <w:t>（4）通信制式：4G/5G全网通，支持国内三大运营商网络。</w:t>
            </w:r>
          </w:p>
        </w:tc>
        <w:tc>
          <w:tcPr>
            <w:tcW w:w="1132" w:type="dxa"/>
            <w:tcBorders>
              <w:top w:val="single" w:color="auto" w:sz="4" w:space="0"/>
              <w:left w:val="single" w:color="auto" w:sz="4" w:space="0"/>
              <w:bottom w:val="single" w:color="auto" w:sz="4" w:space="0"/>
              <w:right w:val="single" w:color="auto" w:sz="4" w:space="0"/>
            </w:tcBorders>
            <w:vAlign w:val="center"/>
          </w:tcPr>
          <w:p w14:paraId="0292294F">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6397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50" w:type="dxa"/>
            <w:tcBorders>
              <w:top w:val="single" w:color="auto" w:sz="4" w:space="0"/>
              <w:left w:val="single" w:color="auto" w:sz="4" w:space="0"/>
              <w:bottom w:val="single" w:color="auto" w:sz="4" w:space="0"/>
              <w:right w:val="single" w:color="auto" w:sz="4" w:space="0"/>
            </w:tcBorders>
            <w:vAlign w:val="center"/>
          </w:tcPr>
          <w:p w14:paraId="148D51F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3.10</w:t>
            </w:r>
          </w:p>
        </w:tc>
        <w:tc>
          <w:tcPr>
            <w:tcW w:w="1189" w:type="dxa"/>
            <w:tcBorders>
              <w:top w:val="single" w:color="auto" w:sz="4" w:space="0"/>
              <w:left w:val="single" w:color="auto" w:sz="4" w:space="0"/>
              <w:bottom w:val="single" w:color="auto" w:sz="4" w:space="0"/>
              <w:right w:val="single" w:color="auto" w:sz="4" w:space="0"/>
            </w:tcBorders>
            <w:vAlign w:val="center"/>
          </w:tcPr>
          <w:p w14:paraId="4F233A0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辅材辅料</w:t>
            </w:r>
          </w:p>
        </w:tc>
        <w:tc>
          <w:tcPr>
            <w:tcW w:w="622" w:type="dxa"/>
            <w:tcBorders>
              <w:top w:val="single" w:color="auto" w:sz="4" w:space="0"/>
              <w:left w:val="single" w:color="auto" w:sz="4" w:space="0"/>
              <w:bottom w:val="single" w:color="auto" w:sz="4" w:space="0"/>
              <w:right w:val="single" w:color="auto" w:sz="4" w:space="0"/>
            </w:tcBorders>
            <w:vAlign w:val="center"/>
          </w:tcPr>
          <w:p w14:paraId="3C7E82E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491" w:type="dxa"/>
            <w:tcBorders>
              <w:top w:val="single" w:color="auto" w:sz="4" w:space="0"/>
              <w:left w:val="single" w:color="auto" w:sz="4" w:space="0"/>
              <w:bottom w:val="single" w:color="auto" w:sz="4" w:space="0"/>
              <w:right w:val="single" w:color="auto" w:sz="4" w:space="0"/>
            </w:tcBorders>
            <w:vAlign w:val="center"/>
          </w:tcPr>
          <w:p w14:paraId="37AAA37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批</w:t>
            </w:r>
          </w:p>
        </w:tc>
        <w:tc>
          <w:tcPr>
            <w:tcW w:w="5615" w:type="dxa"/>
            <w:tcBorders>
              <w:top w:val="single" w:color="auto" w:sz="4" w:space="0"/>
              <w:left w:val="single" w:color="auto" w:sz="4" w:space="0"/>
              <w:bottom w:val="single" w:color="auto" w:sz="4" w:space="0"/>
              <w:right w:val="single" w:color="auto" w:sz="4" w:space="0"/>
            </w:tcBorders>
          </w:tcPr>
          <w:p w14:paraId="7D9821F8">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lang w:bidi="ar"/>
              </w:rPr>
              <w:t>包含视频线、视频分配器、标签纸、色带、机柜螺丝、扎带等配套耗材，可满足设备安装调试与日常运行需求。</w:t>
            </w:r>
          </w:p>
        </w:tc>
        <w:tc>
          <w:tcPr>
            <w:tcW w:w="1132" w:type="dxa"/>
            <w:tcBorders>
              <w:top w:val="single" w:color="auto" w:sz="4" w:space="0"/>
              <w:left w:val="single" w:color="auto" w:sz="4" w:space="0"/>
              <w:bottom w:val="single" w:color="auto" w:sz="4" w:space="0"/>
              <w:right w:val="single" w:color="auto" w:sz="4" w:space="0"/>
            </w:tcBorders>
            <w:vAlign w:val="center"/>
          </w:tcPr>
          <w:p w14:paraId="52F886F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工业</w:t>
            </w:r>
          </w:p>
        </w:tc>
      </w:tr>
      <w:tr w14:paraId="1E04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399" w:type="dxa"/>
            <w:gridSpan w:val="6"/>
            <w:tcBorders>
              <w:top w:val="single" w:color="auto" w:sz="4" w:space="0"/>
              <w:left w:val="single" w:color="auto" w:sz="4" w:space="0"/>
              <w:bottom w:val="single" w:color="auto" w:sz="4" w:space="0"/>
              <w:right w:val="single" w:color="auto" w:sz="4" w:space="0"/>
            </w:tcBorders>
            <w:vAlign w:val="center"/>
          </w:tcPr>
          <w:p w14:paraId="4CB82895">
            <w:pPr>
              <w:keepNext w:val="0"/>
              <w:keepLines w:val="0"/>
              <w:pageBreakBefore w:val="0"/>
              <w:shd w:val="clear"/>
              <w:kinsoku/>
              <w:overflowPunct/>
              <w:topLinePunct w:val="0"/>
              <w:bidi w:val="0"/>
              <w:snapToGrid/>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技术要求</w:t>
            </w:r>
          </w:p>
        </w:tc>
      </w:tr>
      <w:tr w14:paraId="7E87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399" w:type="dxa"/>
            <w:gridSpan w:val="6"/>
            <w:tcBorders>
              <w:top w:val="single" w:color="auto" w:sz="4" w:space="0"/>
              <w:left w:val="single" w:color="auto" w:sz="4" w:space="0"/>
              <w:bottom w:val="single" w:color="auto" w:sz="4" w:space="0"/>
              <w:right w:val="single" w:color="auto" w:sz="4" w:space="0"/>
            </w:tcBorders>
            <w:vAlign w:val="center"/>
          </w:tcPr>
          <w:p w14:paraId="7E33F24C">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1.需实现的功能、目标及应用场景</w:t>
            </w:r>
          </w:p>
          <w:p w14:paraId="50109A48">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▲（一）建设内容</w:t>
            </w:r>
          </w:p>
          <w:p w14:paraId="13F0E83E">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本项目建成目标要求如下：</w:t>
            </w:r>
          </w:p>
          <w:p w14:paraId="2B51BD16">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本项目是自治区市县一体化人工影响天气作业指挥能力建设。须在自治区级、市级和县级指挥中心部署</w:t>
            </w:r>
            <w:r>
              <w:rPr>
                <w:rFonts w:hint="eastAsia" w:ascii="宋体" w:hAnsi="宋体" w:cs="宋体"/>
                <w:color w:val="auto"/>
                <w:sz w:val="21"/>
                <w:szCs w:val="21"/>
                <w:highlight w:val="none"/>
                <w:lang w:eastAsia="zh-CN"/>
              </w:rPr>
              <w:t>音视</w:t>
            </w:r>
            <w:r>
              <w:rPr>
                <w:rFonts w:hint="eastAsia" w:ascii="宋体" w:hAnsi="宋体" w:eastAsia="宋体" w:cs="宋体"/>
                <w:color w:val="auto"/>
                <w:sz w:val="21"/>
                <w:szCs w:val="21"/>
                <w:highlight w:val="none"/>
              </w:rPr>
              <w:t>频调度系统实现指挥端到作业端的任意“端到端”调度。即自治区、市、县、作业点、作业人员/装备各级节点，任意两点均可调显音视频，并根据实时调度需要即时音频通话或视频连线，同时各级指挥中心具备多域跨网接入指挥端、作业端音视频流的能力，</w:t>
            </w:r>
            <w:r>
              <w:rPr>
                <w:rFonts w:hint="eastAsia" w:ascii="宋体" w:hAnsi="宋体" w:eastAsia="宋体" w:cs="宋体"/>
                <w:color w:val="auto"/>
                <w:sz w:val="21"/>
                <w:szCs w:val="21"/>
                <w:highlight w:val="none"/>
                <w:lang w:eastAsia="zh-CN"/>
              </w:rPr>
              <w:t>人工影响天气</w:t>
            </w:r>
            <w:r>
              <w:rPr>
                <w:rFonts w:hint="eastAsia" w:ascii="宋体" w:hAnsi="宋体" w:eastAsia="宋体" w:cs="宋体"/>
                <w:color w:val="auto"/>
                <w:sz w:val="21"/>
                <w:szCs w:val="21"/>
                <w:highlight w:val="none"/>
              </w:rPr>
              <w:t>指挥人员可以跨域联合、资源共享，对各级指挥中心的各类音视频流进行视频融合、实时显示、裁剪重组、按需编排展示、远程操控、协同编辑、指令下达。</w:t>
            </w:r>
          </w:p>
          <w:p w14:paraId="26FCB4AC">
            <w:pPr>
              <w:keepNext w:val="0"/>
              <w:keepLines w:val="0"/>
              <w:pageBreakBefore w:val="0"/>
              <w:widowControl w:val="0"/>
              <w:shd w:val="clear"/>
              <w:kinsoku/>
              <w:overflowPunct/>
              <w:topLinePunct w:val="0"/>
              <w:bidi w:val="0"/>
              <w:snapToGrid/>
              <w:spacing w:line="400" w:lineRule="exact"/>
              <w:ind w:firstLine="420" w:firstLineChars="200"/>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本项目整体还须具备与上级单位及跨域联通、跨省协同能力。跨网融合通信须采用单向物理链路传输技术，通过音视频线缆、USB/串口线缆连接的方式，将不同网络环境下的音视频信号、控制信号、流媒体进行单向传输，能够安全接入省、市、县、作业端多路音视频资源，支持加密、身份认证及权限访问控制。</w:t>
            </w:r>
          </w:p>
          <w:p w14:paraId="149B3A94">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本项目建设完成并通过验收时，须全面落实下列技术方案与验收指标要求。</w:t>
            </w:r>
          </w:p>
          <w:p w14:paraId="1FC758C0">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实现跨网融合通信，支持气象宽带网、电子政务网、互联网、卫星网络、自组网等多类网络的音视频资源融合通信，同时具备安全隔离机制，可在不同网络视频信号源接入过程中，保持各网络间的安全隔离状态。</w:t>
            </w:r>
          </w:p>
          <w:p w14:paraId="1E770657">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（2）具备多级级联功能，支持分级分权管理，平台级联能力不低于6级，满足国家、区域、省、市、县、作业点/飞机外场六级联动指挥调度需求，上级平台可对本级及下级平台的所有资源进行调度。</w:t>
            </w:r>
          </w:p>
          <w:p w14:paraId="12815C31">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实现跨域联通。具备支撑省-市-县三级指挥中心任意调显其他各级指挥中心及作业端的功能，实现端到端的省-市-县-作业点一体化指挥调度全覆盖，保障省、市、县各级间任意节点均可直接联通。支持省、市、县三级终端与移动指挥车、作业端、手机端开展协同分享，支持各类多域跨网信号源界面、组合界面、标注界面的实时推送协同。</w:t>
            </w:r>
          </w:p>
          <w:p w14:paraId="2F59D808">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（4）实现跨省协同。具备省与省之间多域跨网界面资源安全双向推送与调取功能，支持各类多域跨网信号源界面、组合界面、标注界面的实时推送协同。</w:t>
            </w:r>
          </w:p>
          <w:p w14:paraId="582AE516">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（5）实现端到端实时交互。指挥端、作业端、调度端须具备通过互联网实现“端到端”音视频实时调显与内容远程控制的能力。</w:t>
            </w:r>
          </w:p>
          <w:p w14:paraId="4532CDA7">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自治区级的内外网服务器上部署音视频管理系统软件，具备构建安全隔离的双重审批架构，内外网平台均部署独立的三员审批体系功能（系统管理员、安全管理员、安全审计员），实现内网与外网资源的访问管理、角色权限分配及用户等级调整的审批流程标准化管控。</w:t>
            </w:r>
          </w:p>
          <w:p w14:paraId="5D02B447">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提供统一的服务接口，为天工提供内嵌网页控件调用和API接口调用双模式，提供开发文档和SDK包证明文件，支持二次开发，音视频多域跨网接入、多域调度等服务能够为“天工”调用，为天工实现视频调度、会议调度、语音调度、LBS（基于位置的服务）调度、即时通讯、短信接口调度功能提供对应服务。</w:t>
            </w:r>
          </w:p>
          <w:p w14:paraId="2E79F1C8">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本项目须实现的关键业务效果/指标要求如下：</w:t>
            </w:r>
          </w:p>
          <w:p w14:paraId="3F5620AC">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（1）自治区级关键业务效果指标：自治区级本地并发信号数量不低于56路的能力。自治区级用户席位使用数量不低于10个；每个席位屏幕：不少于2个；单屏最大分辨率：4K@60Hz。视频呼叫连线数量：不低于32</w:t>
            </w:r>
            <w:r>
              <w:rPr>
                <w:rFonts w:hint="eastAsia" w:ascii="宋体" w:hAnsi="宋体" w:cs="宋体"/>
                <w:color w:val="auto"/>
                <w:sz w:val="21"/>
                <w:szCs w:val="21"/>
                <w:highlight w:val="none"/>
                <w:lang w:val="en-US" w:eastAsia="zh-CN"/>
              </w:rPr>
              <w:t>个</w:t>
            </w:r>
            <w:r>
              <w:rPr>
                <w:rFonts w:hint="eastAsia" w:ascii="宋体" w:hAnsi="宋体" w:eastAsia="宋体" w:cs="宋体"/>
                <w:color w:val="auto"/>
                <w:sz w:val="21"/>
                <w:szCs w:val="21"/>
                <w:highlight w:val="none"/>
              </w:rPr>
              <w:t>。语音呼叫连线数量：不低于64</w:t>
            </w:r>
            <w:r>
              <w:rPr>
                <w:rFonts w:hint="eastAsia" w:ascii="宋体" w:hAnsi="宋体" w:cs="宋体"/>
                <w:color w:val="auto"/>
                <w:sz w:val="21"/>
                <w:szCs w:val="21"/>
                <w:highlight w:val="none"/>
                <w:lang w:val="en-US" w:eastAsia="zh-CN"/>
              </w:rPr>
              <w:t>个</w:t>
            </w:r>
            <w:r>
              <w:rPr>
                <w:rFonts w:hint="eastAsia" w:ascii="宋体" w:hAnsi="宋体" w:eastAsia="宋体" w:cs="宋体"/>
                <w:color w:val="auto"/>
                <w:sz w:val="21"/>
                <w:szCs w:val="21"/>
                <w:highlight w:val="none"/>
              </w:rPr>
              <w:t>。</w:t>
            </w:r>
          </w:p>
          <w:p w14:paraId="797BAE11">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（2）市级关键业务效果指标：市级本地并发信号数量：不低于16路的能力。市级用户席位使用数量：不低于5个；每个席位屏幕：不少于2个；单屏最大分辨率：4K@60Hz。视频呼叫连线数量：不低于16</w:t>
            </w:r>
            <w:r>
              <w:rPr>
                <w:rFonts w:hint="eastAsia" w:ascii="宋体" w:hAnsi="宋体" w:cs="宋体"/>
                <w:color w:val="auto"/>
                <w:sz w:val="21"/>
                <w:szCs w:val="21"/>
                <w:highlight w:val="none"/>
                <w:lang w:val="en-US" w:eastAsia="zh-CN"/>
              </w:rPr>
              <w:t>个</w:t>
            </w:r>
            <w:r>
              <w:rPr>
                <w:rFonts w:hint="eastAsia" w:ascii="宋体" w:hAnsi="宋体" w:eastAsia="宋体" w:cs="宋体"/>
                <w:color w:val="auto"/>
                <w:sz w:val="21"/>
                <w:szCs w:val="21"/>
                <w:highlight w:val="none"/>
              </w:rPr>
              <w:t>。语音呼叫连线数量：不低于32</w:t>
            </w:r>
            <w:r>
              <w:rPr>
                <w:rFonts w:hint="eastAsia" w:ascii="宋体" w:hAnsi="宋体" w:cs="宋体"/>
                <w:color w:val="auto"/>
                <w:sz w:val="21"/>
                <w:szCs w:val="21"/>
                <w:highlight w:val="none"/>
                <w:lang w:val="en-US" w:eastAsia="zh-CN"/>
              </w:rPr>
              <w:t>个</w:t>
            </w:r>
            <w:r>
              <w:rPr>
                <w:rFonts w:hint="eastAsia" w:ascii="宋体" w:hAnsi="宋体" w:eastAsia="宋体" w:cs="宋体"/>
                <w:color w:val="auto"/>
                <w:sz w:val="21"/>
                <w:szCs w:val="21"/>
                <w:highlight w:val="none"/>
              </w:rPr>
              <w:t>。</w:t>
            </w:r>
          </w:p>
          <w:p w14:paraId="6EFFF7A4">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（3）县级关键业务效果指标：县级本地并发信号数量：不低于8路的能力。县级用户席位使用数量：不低于3个；每个席位屏幕：不少于1个；单屏最大分辨率：2K@60Hz。视频呼叫连线数量：不低于8</w:t>
            </w:r>
            <w:r>
              <w:rPr>
                <w:rFonts w:hint="eastAsia" w:ascii="宋体" w:hAnsi="宋体" w:cs="宋体"/>
                <w:color w:val="auto"/>
                <w:sz w:val="21"/>
                <w:szCs w:val="21"/>
                <w:highlight w:val="none"/>
                <w:lang w:val="en-US" w:eastAsia="zh-CN"/>
              </w:rPr>
              <w:t>个</w:t>
            </w:r>
            <w:r>
              <w:rPr>
                <w:rFonts w:hint="eastAsia" w:ascii="宋体" w:hAnsi="宋体" w:eastAsia="宋体" w:cs="宋体"/>
                <w:color w:val="auto"/>
                <w:sz w:val="21"/>
                <w:szCs w:val="21"/>
                <w:highlight w:val="none"/>
              </w:rPr>
              <w:t>。语音呼叫连线数量：不低于16</w:t>
            </w:r>
            <w:r>
              <w:rPr>
                <w:rFonts w:hint="eastAsia" w:ascii="宋体" w:hAnsi="宋体" w:cs="宋体"/>
                <w:color w:val="auto"/>
                <w:sz w:val="21"/>
                <w:szCs w:val="21"/>
                <w:highlight w:val="none"/>
                <w:lang w:val="en-US" w:eastAsia="zh-CN"/>
              </w:rPr>
              <w:t>个</w:t>
            </w:r>
            <w:r>
              <w:rPr>
                <w:rFonts w:hint="eastAsia" w:ascii="宋体" w:hAnsi="宋体" w:eastAsia="宋体" w:cs="宋体"/>
                <w:color w:val="auto"/>
                <w:sz w:val="21"/>
                <w:szCs w:val="21"/>
                <w:highlight w:val="none"/>
              </w:rPr>
              <w:t>。</w:t>
            </w:r>
          </w:p>
          <w:p w14:paraId="45E87658">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（4）满足招标文件要求，验收达到合格标准。</w:t>
            </w:r>
          </w:p>
          <w:p w14:paraId="16BEA58C">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建设完成后，系统各项指标均须符合中国气象局专项保障司《省市县音视频调度服务系统技术要求》(气专函〔2025〕2号)技术要求，不会出现整体不达标情况。若存在下列任一不达标情形，视为投标文件虚假响应，采购人有权取消其中标资格或解除合同，由此产生的一切风险与损失由投标人自行承担：</w:t>
            </w:r>
          </w:p>
          <w:p w14:paraId="0B3FAAF1">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跨域联通与跨省协同功能不达标：未满足本技术要求“6.1总体功能指标”中跨域联通、跨省协同2项功能的指标要求，即：系统不得仅通过会商系统实现各级指挥中心的音视频互联，还须接入互联网环境下的作业实景监控系统、</w:t>
            </w:r>
            <w:r>
              <w:rPr>
                <w:rFonts w:hint="eastAsia" w:ascii="宋体" w:hAnsi="宋体" w:eastAsia="宋体" w:cs="宋体"/>
                <w:color w:val="auto"/>
                <w:sz w:val="21"/>
                <w:szCs w:val="21"/>
                <w:highlight w:val="none"/>
                <w:lang w:eastAsia="zh-CN"/>
              </w:rPr>
              <w:t>人工影响天气</w:t>
            </w:r>
            <w:r>
              <w:rPr>
                <w:rFonts w:hint="eastAsia" w:ascii="宋体" w:hAnsi="宋体" w:eastAsia="宋体" w:cs="宋体"/>
                <w:color w:val="auto"/>
                <w:sz w:val="21"/>
                <w:szCs w:val="21"/>
                <w:highlight w:val="none"/>
              </w:rPr>
              <w:t>业务平台等多域跨网音视频流，并保障这些资源实现横向省际邻省互联（遵循本技术要求约定的公用标准，以便保障后续可与邻省、区域、国家级平台实现互联）。</w:t>
            </w:r>
          </w:p>
          <w:p w14:paraId="20489EFF">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跨网融合安全要求不达标：音视频多域跨网采集未具备安全隔离功能，无法确保不同网络的音视频信号源接入时，各网络始终保持安全隔离状态；多域跨网融合调度、本地内容控制、多域跨网控制及资源推送与共享，未严格符合本技术要求“</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.2.4跨网融合通信”中的安全隔离要求。</w:t>
            </w:r>
          </w:p>
          <w:p w14:paraId="6CC2CC22">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（3）端到端实时交互要求不达标：指挥端、作业端、调度端未具备通过互联网实现“端到端”音视频实时调显与内容远程控制的能力。</w:t>
            </w:r>
          </w:p>
          <w:p w14:paraId="0C8D4E4A">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本项目各部分具体测试方法</w:t>
            </w:r>
            <w:r>
              <w:rPr>
                <w:rFonts w:hint="eastAsia" w:ascii="宋体" w:hAnsi="宋体" w:eastAsia="宋体" w:cs="宋体"/>
                <w:b w:val="0"/>
                <w:bCs w:val="0"/>
                <w:color w:val="auto"/>
                <w:sz w:val="21"/>
                <w:szCs w:val="21"/>
                <w:highlight w:val="none"/>
                <w:lang w:val="en-US" w:eastAsia="zh-CN"/>
              </w:rPr>
              <w:t>及测试指标</w:t>
            </w:r>
            <w:r>
              <w:rPr>
                <w:rFonts w:hint="eastAsia" w:ascii="宋体" w:hAnsi="宋体" w:eastAsia="宋体" w:cs="宋体"/>
                <w:b w:val="0"/>
                <w:bCs w:val="0"/>
                <w:color w:val="auto"/>
                <w:sz w:val="21"/>
                <w:szCs w:val="21"/>
                <w:highlight w:val="none"/>
              </w:rPr>
              <w:t>详见本技术要求“7.2测试标准”。</w:t>
            </w:r>
          </w:p>
          <w:p w14:paraId="70A4B2AB">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注：投标人须针对本项目全部建设内容出具加盖本单位公章的专项承诺函进行确认与履约保证，承诺函格式由投标人自行拟定，附在投标文件“招标项目采购需求中要求提供的材料等”中。投标文件未附该承诺函，或承诺函未加盖投标人有效公章的，均认定为未实质性响应招标文件，作无效投标处理。</w:t>
            </w:r>
            <w:r>
              <w:rPr>
                <w:rFonts w:hint="eastAsia" w:ascii="宋体" w:hAnsi="宋体" w:eastAsia="宋体" w:cs="宋体"/>
                <w:color w:val="auto"/>
                <w:sz w:val="21"/>
                <w:szCs w:val="21"/>
                <w:highlight w:val="none"/>
              </w:rPr>
              <w:t>）</w:t>
            </w:r>
          </w:p>
          <w:p w14:paraId="03B24FC4">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（二）建设地址</w:t>
            </w:r>
          </w:p>
          <w:p w14:paraId="4ABC406C">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本项目建设地址清单如下：</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180"/>
              <w:gridCol w:w="2690"/>
              <w:gridCol w:w="4804"/>
            </w:tblGrid>
            <w:tr w14:paraId="727D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tcPr>
                <w:p w14:paraId="4C574422">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180" w:type="dxa"/>
                </w:tcPr>
                <w:p w14:paraId="409E22AA">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所属地市</w:t>
                  </w:r>
                </w:p>
              </w:tc>
              <w:tc>
                <w:tcPr>
                  <w:tcW w:w="2690" w:type="dxa"/>
                </w:tcPr>
                <w:p w14:paraId="6F033111">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tc>
              <w:tc>
                <w:tcPr>
                  <w:tcW w:w="4804" w:type="dxa"/>
                </w:tcPr>
                <w:p w14:paraId="0A9D21DF">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具体位置</w:t>
                  </w:r>
                </w:p>
              </w:tc>
            </w:tr>
            <w:tr w14:paraId="0114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Pr>
                <w:p w14:paraId="20A0FF78">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一、自治区级</w:t>
                  </w:r>
                  <w:r>
                    <w:rPr>
                      <w:rFonts w:hint="eastAsia" w:ascii="宋体" w:hAnsi="宋体" w:cs="宋体"/>
                      <w:color w:val="auto"/>
                      <w:sz w:val="21"/>
                      <w:szCs w:val="21"/>
                      <w:highlight w:val="none"/>
                      <w:lang w:eastAsia="zh-CN"/>
                    </w:rPr>
                    <w:t>音视</w:t>
                  </w:r>
                  <w:r>
                    <w:rPr>
                      <w:rFonts w:hint="eastAsia" w:ascii="宋体" w:hAnsi="宋体" w:eastAsia="宋体" w:cs="宋体"/>
                      <w:color w:val="auto"/>
                      <w:sz w:val="21"/>
                      <w:szCs w:val="21"/>
                      <w:highlight w:val="none"/>
                    </w:rPr>
                    <w:t>频调度服务系统</w:t>
                  </w:r>
                </w:p>
              </w:tc>
            </w:tr>
            <w:tr w14:paraId="30AD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117BF090">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80" w:type="dxa"/>
                  <w:vMerge w:val="restart"/>
                  <w:vAlign w:val="center"/>
                </w:tcPr>
                <w:p w14:paraId="10188131">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2690" w:type="dxa"/>
                  <w:vAlign w:val="center"/>
                </w:tcPr>
                <w:p w14:paraId="53BC957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广西壮族自治区气象局</w:t>
                  </w:r>
                </w:p>
              </w:tc>
              <w:tc>
                <w:tcPr>
                  <w:tcW w:w="4804" w:type="dxa"/>
                  <w:vAlign w:val="center"/>
                </w:tcPr>
                <w:p w14:paraId="73C7B60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南宁市青秀区民族大道81号</w:t>
                  </w:r>
                </w:p>
              </w:tc>
            </w:tr>
            <w:tr w14:paraId="2E6A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67092AAD">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80" w:type="dxa"/>
                  <w:vMerge w:val="continue"/>
                </w:tcPr>
                <w:p w14:paraId="06484722">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p>
              </w:tc>
              <w:tc>
                <w:tcPr>
                  <w:tcW w:w="2690" w:type="dxa"/>
                  <w:vAlign w:val="center"/>
                </w:tcPr>
                <w:p w14:paraId="3C881B8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广西壮族自治区人工影响天气办公室</w:t>
                  </w:r>
                </w:p>
              </w:tc>
              <w:tc>
                <w:tcPr>
                  <w:tcW w:w="4804" w:type="dxa"/>
                  <w:vAlign w:val="center"/>
                </w:tcPr>
                <w:p w14:paraId="4F52B67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南宁市江南区吴圩镇广西人工影响天气基地</w:t>
                  </w:r>
                </w:p>
              </w:tc>
            </w:tr>
            <w:tr w14:paraId="3162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Pr>
                <w:p w14:paraId="5A9CE740">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二、市级</w:t>
                  </w:r>
                  <w:r>
                    <w:rPr>
                      <w:rFonts w:hint="eastAsia" w:ascii="宋体" w:hAnsi="宋体" w:cs="宋体"/>
                      <w:color w:val="auto"/>
                      <w:sz w:val="21"/>
                      <w:szCs w:val="21"/>
                      <w:highlight w:val="none"/>
                      <w:lang w:eastAsia="zh-CN"/>
                    </w:rPr>
                    <w:t>音视</w:t>
                  </w:r>
                  <w:r>
                    <w:rPr>
                      <w:rFonts w:hint="eastAsia" w:ascii="宋体" w:hAnsi="宋体" w:eastAsia="宋体" w:cs="宋体"/>
                      <w:color w:val="auto"/>
                      <w:sz w:val="21"/>
                      <w:szCs w:val="21"/>
                      <w:highlight w:val="none"/>
                    </w:rPr>
                    <w:t>频调度服务系统</w:t>
                  </w:r>
                </w:p>
              </w:tc>
            </w:tr>
            <w:tr w14:paraId="775D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636DA52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1180" w:type="dxa"/>
                  <w:vAlign w:val="center"/>
                </w:tcPr>
                <w:p w14:paraId="5CFC294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南宁市</w:t>
                  </w:r>
                </w:p>
              </w:tc>
              <w:tc>
                <w:tcPr>
                  <w:tcW w:w="2690" w:type="dxa"/>
                  <w:vAlign w:val="center"/>
                </w:tcPr>
                <w:p w14:paraId="08663EF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南宁市气象局</w:t>
                  </w:r>
                </w:p>
              </w:tc>
              <w:tc>
                <w:tcPr>
                  <w:tcW w:w="4804" w:type="dxa"/>
                  <w:vAlign w:val="center"/>
                </w:tcPr>
                <w:p w14:paraId="0588F46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南宁市邕宁区蒲庙镇张村新平坡荡壘岭</w:t>
                  </w:r>
                </w:p>
              </w:tc>
            </w:tr>
            <w:tr w14:paraId="76B6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6E87D8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w:t>
                  </w:r>
                </w:p>
              </w:tc>
              <w:tc>
                <w:tcPr>
                  <w:tcW w:w="1180" w:type="dxa"/>
                  <w:vAlign w:val="center"/>
                </w:tcPr>
                <w:p w14:paraId="3E8E6B1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崇左市</w:t>
                  </w:r>
                </w:p>
              </w:tc>
              <w:tc>
                <w:tcPr>
                  <w:tcW w:w="2690" w:type="dxa"/>
                  <w:vAlign w:val="center"/>
                </w:tcPr>
                <w:p w14:paraId="366621B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崇左市气象局</w:t>
                  </w:r>
                </w:p>
              </w:tc>
              <w:tc>
                <w:tcPr>
                  <w:tcW w:w="4804" w:type="dxa"/>
                  <w:vAlign w:val="center"/>
                </w:tcPr>
                <w:p w14:paraId="54D96ED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崇左市江州区石景林东路17号</w:t>
                  </w:r>
                </w:p>
              </w:tc>
            </w:tr>
            <w:tr w14:paraId="1603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54ECC0B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w:t>
                  </w:r>
                </w:p>
              </w:tc>
              <w:tc>
                <w:tcPr>
                  <w:tcW w:w="1180" w:type="dxa"/>
                  <w:vAlign w:val="center"/>
                </w:tcPr>
                <w:p w14:paraId="172ECA5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柳州市</w:t>
                  </w:r>
                </w:p>
              </w:tc>
              <w:tc>
                <w:tcPr>
                  <w:tcW w:w="2690" w:type="dxa"/>
                  <w:vAlign w:val="center"/>
                </w:tcPr>
                <w:p w14:paraId="063A5A1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柳州市气象局</w:t>
                  </w:r>
                </w:p>
              </w:tc>
              <w:tc>
                <w:tcPr>
                  <w:tcW w:w="4804" w:type="dxa"/>
                  <w:vAlign w:val="center"/>
                </w:tcPr>
                <w:p w14:paraId="2308F14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柳州市庆丰路5号</w:t>
                  </w:r>
                </w:p>
              </w:tc>
            </w:tr>
            <w:tr w14:paraId="0AAF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3167CE0F">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w:t>
                  </w:r>
                </w:p>
              </w:tc>
              <w:tc>
                <w:tcPr>
                  <w:tcW w:w="1180" w:type="dxa"/>
                  <w:vAlign w:val="center"/>
                </w:tcPr>
                <w:p w14:paraId="53CF494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来宾市</w:t>
                  </w:r>
                </w:p>
              </w:tc>
              <w:tc>
                <w:tcPr>
                  <w:tcW w:w="2690" w:type="dxa"/>
                  <w:vAlign w:val="center"/>
                </w:tcPr>
                <w:p w14:paraId="5E82443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来宾市气象局</w:t>
                  </w:r>
                </w:p>
              </w:tc>
              <w:tc>
                <w:tcPr>
                  <w:tcW w:w="4804" w:type="dxa"/>
                  <w:vAlign w:val="center"/>
                </w:tcPr>
                <w:p w14:paraId="35FC117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来宾市兴宾区柳来路661号</w:t>
                  </w:r>
                </w:p>
              </w:tc>
            </w:tr>
            <w:tr w14:paraId="72C5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4F3FF13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5</w:t>
                  </w:r>
                </w:p>
              </w:tc>
              <w:tc>
                <w:tcPr>
                  <w:tcW w:w="1180" w:type="dxa"/>
                  <w:vAlign w:val="center"/>
                </w:tcPr>
                <w:p w14:paraId="02871F7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桂林市</w:t>
                  </w:r>
                </w:p>
              </w:tc>
              <w:tc>
                <w:tcPr>
                  <w:tcW w:w="2690" w:type="dxa"/>
                  <w:vAlign w:val="center"/>
                </w:tcPr>
                <w:p w14:paraId="095DE6F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桂林市气象局</w:t>
                  </w:r>
                </w:p>
              </w:tc>
              <w:tc>
                <w:tcPr>
                  <w:tcW w:w="4804" w:type="dxa"/>
                  <w:vAlign w:val="center"/>
                </w:tcPr>
                <w:p w14:paraId="20AF50F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桂林市中山北路170号</w:t>
                  </w:r>
                </w:p>
              </w:tc>
            </w:tr>
            <w:tr w14:paraId="6FC1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4F8DBDE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6</w:t>
                  </w:r>
                </w:p>
              </w:tc>
              <w:tc>
                <w:tcPr>
                  <w:tcW w:w="1180" w:type="dxa"/>
                  <w:vAlign w:val="center"/>
                </w:tcPr>
                <w:p w14:paraId="377BCA3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梧州市</w:t>
                  </w:r>
                </w:p>
              </w:tc>
              <w:tc>
                <w:tcPr>
                  <w:tcW w:w="2690" w:type="dxa"/>
                  <w:vAlign w:val="center"/>
                </w:tcPr>
                <w:p w14:paraId="37C0A72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梧州市气象局</w:t>
                  </w:r>
                </w:p>
              </w:tc>
              <w:tc>
                <w:tcPr>
                  <w:tcW w:w="4804" w:type="dxa"/>
                  <w:vAlign w:val="center"/>
                </w:tcPr>
                <w:p w14:paraId="4ABF65A0">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梧州市长洲区三龙大道101号</w:t>
                  </w:r>
                </w:p>
              </w:tc>
            </w:tr>
            <w:tr w14:paraId="5972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4ACFDC1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7</w:t>
                  </w:r>
                </w:p>
              </w:tc>
              <w:tc>
                <w:tcPr>
                  <w:tcW w:w="1180" w:type="dxa"/>
                  <w:vAlign w:val="center"/>
                </w:tcPr>
                <w:p w14:paraId="76FC196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贺州市</w:t>
                  </w:r>
                </w:p>
              </w:tc>
              <w:tc>
                <w:tcPr>
                  <w:tcW w:w="2690" w:type="dxa"/>
                  <w:vAlign w:val="center"/>
                </w:tcPr>
                <w:p w14:paraId="1356C04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贺州市气象局</w:t>
                  </w:r>
                </w:p>
              </w:tc>
              <w:tc>
                <w:tcPr>
                  <w:tcW w:w="4804" w:type="dxa"/>
                  <w:vAlign w:val="center"/>
                </w:tcPr>
                <w:p w14:paraId="08C5F43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贺州市城西路10-1号</w:t>
                  </w:r>
                </w:p>
              </w:tc>
            </w:tr>
            <w:tr w14:paraId="45CC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61EEE6D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w:t>
                  </w:r>
                </w:p>
              </w:tc>
              <w:tc>
                <w:tcPr>
                  <w:tcW w:w="1180" w:type="dxa"/>
                  <w:vAlign w:val="center"/>
                </w:tcPr>
                <w:p w14:paraId="7A7C65BF">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玉林市</w:t>
                  </w:r>
                </w:p>
              </w:tc>
              <w:tc>
                <w:tcPr>
                  <w:tcW w:w="2690" w:type="dxa"/>
                  <w:vAlign w:val="center"/>
                </w:tcPr>
                <w:p w14:paraId="6B1A877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玉林市气象局</w:t>
                  </w:r>
                </w:p>
              </w:tc>
              <w:tc>
                <w:tcPr>
                  <w:tcW w:w="4804" w:type="dxa"/>
                  <w:vAlign w:val="center"/>
                </w:tcPr>
                <w:p w14:paraId="173E75F0">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玉林市人民东路169号</w:t>
                  </w:r>
                </w:p>
              </w:tc>
            </w:tr>
            <w:tr w14:paraId="3474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3F31BF7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9</w:t>
                  </w:r>
                </w:p>
              </w:tc>
              <w:tc>
                <w:tcPr>
                  <w:tcW w:w="1180" w:type="dxa"/>
                  <w:vAlign w:val="center"/>
                </w:tcPr>
                <w:p w14:paraId="04D22BF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贵港市</w:t>
                  </w:r>
                </w:p>
              </w:tc>
              <w:tc>
                <w:tcPr>
                  <w:tcW w:w="2690" w:type="dxa"/>
                  <w:vAlign w:val="center"/>
                </w:tcPr>
                <w:p w14:paraId="11195F0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贵港市气象局</w:t>
                  </w:r>
                </w:p>
              </w:tc>
              <w:tc>
                <w:tcPr>
                  <w:tcW w:w="4804" w:type="dxa"/>
                  <w:vAlign w:val="center"/>
                </w:tcPr>
                <w:p w14:paraId="583292C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贵港市金港大道580号</w:t>
                  </w:r>
                </w:p>
              </w:tc>
            </w:tr>
            <w:tr w14:paraId="713C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985D68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10</w:t>
                  </w:r>
                </w:p>
              </w:tc>
              <w:tc>
                <w:tcPr>
                  <w:tcW w:w="1180" w:type="dxa"/>
                  <w:vAlign w:val="center"/>
                </w:tcPr>
                <w:p w14:paraId="5E77DE4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百色市</w:t>
                  </w:r>
                </w:p>
              </w:tc>
              <w:tc>
                <w:tcPr>
                  <w:tcW w:w="2690" w:type="dxa"/>
                  <w:vAlign w:val="center"/>
                </w:tcPr>
                <w:p w14:paraId="5ABF41B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百色市气象局</w:t>
                  </w:r>
                </w:p>
              </w:tc>
              <w:tc>
                <w:tcPr>
                  <w:tcW w:w="4804" w:type="dxa"/>
                  <w:vAlign w:val="center"/>
                </w:tcPr>
                <w:p w14:paraId="0624617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百色市城北二路15号</w:t>
                  </w:r>
                </w:p>
              </w:tc>
            </w:tr>
            <w:tr w14:paraId="32B9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3E37F63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11</w:t>
                  </w:r>
                </w:p>
              </w:tc>
              <w:tc>
                <w:tcPr>
                  <w:tcW w:w="1180" w:type="dxa"/>
                  <w:vAlign w:val="center"/>
                </w:tcPr>
                <w:p w14:paraId="0C006D9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钦州市</w:t>
                  </w:r>
                </w:p>
              </w:tc>
              <w:tc>
                <w:tcPr>
                  <w:tcW w:w="2690" w:type="dxa"/>
                  <w:vAlign w:val="center"/>
                </w:tcPr>
                <w:p w14:paraId="6D869A7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钦州市气象局</w:t>
                  </w:r>
                </w:p>
              </w:tc>
              <w:tc>
                <w:tcPr>
                  <w:tcW w:w="4804" w:type="dxa"/>
                  <w:vAlign w:val="center"/>
                </w:tcPr>
                <w:p w14:paraId="0C6EDBD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钦州市南珠西大街112号</w:t>
                  </w:r>
                </w:p>
              </w:tc>
            </w:tr>
            <w:tr w14:paraId="14E7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FBB6D5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12</w:t>
                  </w:r>
                </w:p>
              </w:tc>
              <w:tc>
                <w:tcPr>
                  <w:tcW w:w="1180" w:type="dxa"/>
                  <w:vAlign w:val="center"/>
                </w:tcPr>
                <w:p w14:paraId="3B8516B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河池市</w:t>
                  </w:r>
                </w:p>
              </w:tc>
              <w:tc>
                <w:tcPr>
                  <w:tcW w:w="2690" w:type="dxa"/>
                  <w:vAlign w:val="center"/>
                </w:tcPr>
                <w:p w14:paraId="4BBE57E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河池市气象局</w:t>
                  </w:r>
                </w:p>
              </w:tc>
              <w:tc>
                <w:tcPr>
                  <w:tcW w:w="4804" w:type="dxa"/>
                  <w:vAlign w:val="center"/>
                </w:tcPr>
                <w:p w14:paraId="2E57973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河池市宜州区庆远镇刘三姐大道245号</w:t>
                  </w:r>
                </w:p>
              </w:tc>
            </w:tr>
            <w:tr w14:paraId="7D72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937E6D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13</w:t>
                  </w:r>
                </w:p>
              </w:tc>
              <w:tc>
                <w:tcPr>
                  <w:tcW w:w="1180" w:type="dxa"/>
                  <w:vAlign w:val="center"/>
                </w:tcPr>
                <w:p w14:paraId="14B1952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北海市</w:t>
                  </w:r>
                </w:p>
              </w:tc>
              <w:tc>
                <w:tcPr>
                  <w:tcW w:w="2690" w:type="dxa"/>
                  <w:vAlign w:val="center"/>
                </w:tcPr>
                <w:p w14:paraId="68BBD36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北海市气象局</w:t>
                  </w:r>
                </w:p>
              </w:tc>
              <w:tc>
                <w:tcPr>
                  <w:tcW w:w="4804" w:type="dxa"/>
                  <w:vAlign w:val="center"/>
                </w:tcPr>
                <w:p w14:paraId="6096B59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北海市合浦县廉州镇南乐街67号</w:t>
                  </w:r>
                </w:p>
              </w:tc>
            </w:tr>
            <w:tr w14:paraId="0BFE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03CE08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14</w:t>
                  </w:r>
                </w:p>
              </w:tc>
              <w:tc>
                <w:tcPr>
                  <w:tcW w:w="1180" w:type="dxa"/>
                  <w:vAlign w:val="center"/>
                </w:tcPr>
                <w:p w14:paraId="7B6028B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防城港市</w:t>
                  </w:r>
                </w:p>
              </w:tc>
              <w:tc>
                <w:tcPr>
                  <w:tcW w:w="2690" w:type="dxa"/>
                  <w:vAlign w:val="center"/>
                </w:tcPr>
                <w:p w14:paraId="617512E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防城港市气象局</w:t>
                  </w:r>
                </w:p>
              </w:tc>
              <w:tc>
                <w:tcPr>
                  <w:tcW w:w="4804" w:type="dxa"/>
                  <w:vAlign w:val="center"/>
                </w:tcPr>
                <w:p w14:paraId="521BEF4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防城港市港口区金花茶大道中段民乐街</w:t>
                  </w:r>
                </w:p>
              </w:tc>
            </w:tr>
            <w:tr w14:paraId="2ED3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Pr>
                <w:p w14:paraId="4CCF8FB7">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三、县级</w:t>
                  </w:r>
                  <w:r>
                    <w:rPr>
                      <w:rFonts w:hint="eastAsia" w:ascii="宋体" w:hAnsi="宋体" w:cs="宋体"/>
                      <w:color w:val="auto"/>
                      <w:sz w:val="21"/>
                      <w:szCs w:val="21"/>
                      <w:highlight w:val="none"/>
                      <w:lang w:eastAsia="zh-CN"/>
                    </w:rPr>
                    <w:t>音视</w:t>
                  </w:r>
                  <w:r>
                    <w:rPr>
                      <w:rFonts w:hint="eastAsia" w:ascii="宋体" w:hAnsi="宋体" w:eastAsia="宋体" w:cs="宋体"/>
                      <w:color w:val="auto"/>
                      <w:sz w:val="21"/>
                      <w:szCs w:val="21"/>
                      <w:highlight w:val="none"/>
                    </w:rPr>
                    <w:t>频调度服务系统（具体供货内容及数量由采购人根据实际需要进行调配）</w:t>
                  </w:r>
                </w:p>
              </w:tc>
            </w:tr>
            <w:tr w14:paraId="2A21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45B99F2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180" w:type="dxa"/>
                  <w:vMerge w:val="restart"/>
                  <w:vAlign w:val="center"/>
                </w:tcPr>
                <w:p w14:paraId="7FA4114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南宁市</w:t>
                  </w:r>
                </w:p>
              </w:tc>
              <w:tc>
                <w:tcPr>
                  <w:tcW w:w="2690" w:type="dxa"/>
                  <w:vAlign w:val="center"/>
                </w:tcPr>
                <w:p w14:paraId="733973D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横州市气象局</w:t>
                  </w:r>
                </w:p>
              </w:tc>
              <w:tc>
                <w:tcPr>
                  <w:tcW w:w="4804" w:type="dxa"/>
                  <w:vAlign w:val="center"/>
                </w:tcPr>
                <w:p w14:paraId="54CBE87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横州市横州镇公园路54号</w:t>
                  </w:r>
                </w:p>
              </w:tc>
            </w:tr>
            <w:tr w14:paraId="0496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BD16D0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180" w:type="dxa"/>
                  <w:vMerge w:val="continue"/>
                  <w:vAlign w:val="center"/>
                </w:tcPr>
                <w:p w14:paraId="2F1FEAF0">
                  <w:pPr>
                    <w:shd w:val="clear"/>
                    <w:jc w:val="center"/>
                    <w:rPr>
                      <w:rFonts w:hint="eastAsia" w:ascii="宋体" w:hAnsi="宋体" w:eastAsia="宋体" w:cs="宋体"/>
                      <w:color w:val="auto"/>
                      <w:sz w:val="21"/>
                      <w:szCs w:val="21"/>
                      <w:highlight w:val="none"/>
                    </w:rPr>
                  </w:pPr>
                </w:p>
              </w:tc>
              <w:tc>
                <w:tcPr>
                  <w:tcW w:w="2690" w:type="dxa"/>
                  <w:vAlign w:val="center"/>
                </w:tcPr>
                <w:p w14:paraId="51CFA8E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宾阳县气象局</w:t>
                  </w:r>
                </w:p>
              </w:tc>
              <w:tc>
                <w:tcPr>
                  <w:tcW w:w="4804" w:type="dxa"/>
                  <w:vAlign w:val="center"/>
                </w:tcPr>
                <w:p w14:paraId="1F859BDE">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宾阳县宾州镇永武街632号宾阳县气象局大院</w:t>
                  </w:r>
                </w:p>
              </w:tc>
            </w:tr>
            <w:tr w14:paraId="130B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5A53664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180" w:type="dxa"/>
                  <w:vMerge w:val="continue"/>
                  <w:vAlign w:val="center"/>
                </w:tcPr>
                <w:p w14:paraId="30BC7AF5">
                  <w:pPr>
                    <w:shd w:val="clear"/>
                    <w:jc w:val="center"/>
                    <w:rPr>
                      <w:rFonts w:hint="eastAsia" w:ascii="宋体" w:hAnsi="宋体" w:eastAsia="宋体" w:cs="宋体"/>
                      <w:color w:val="auto"/>
                      <w:sz w:val="21"/>
                      <w:szCs w:val="21"/>
                      <w:highlight w:val="none"/>
                    </w:rPr>
                  </w:pPr>
                </w:p>
              </w:tc>
              <w:tc>
                <w:tcPr>
                  <w:tcW w:w="2690" w:type="dxa"/>
                  <w:vAlign w:val="center"/>
                </w:tcPr>
                <w:p w14:paraId="769CB724">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马山县气象局</w:t>
                  </w:r>
                </w:p>
              </w:tc>
              <w:tc>
                <w:tcPr>
                  <w:tcW w:w="4804" w:type="dxa"/>
                  <w:vAlign w:val="center"/>
                </w:tcPr>
                <w:p w14:paraId="1303BA4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马山县白山镇合作社区伏塞岭</w:t>
                  </w:r>
                </w:p>
              </w:tc>
            </w:tr>
            <w:tr w14:paraId="4BEB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3AE451E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180" w:type="dxa"/>
                  <w:vMerge w:val="continue"/>
                  <w:vAlign w:val="center"/>
                </w:tcPr>
                <w:p w14:paraId="37EA117A">
                  <w:pPr>
                    <w:shd w:val="clear"/>
                    <w:jc w:val="center"/>
                    <w:rPr>
                      <w:rFonts w:hint="eastAsia" w:ascii="宋体" w:hAnsi="宋体" w:eastAsia="宋体" w:cs="宋体"/>
                      <w:color w:val="auto"/>
                      <w:sz w:val="21"/>
                      <w:szCs w:val="21"/>
                      <w:highlight w:val="none"/>
                    </w:rPr>
                  </w:pPr>
                </w:p>
              </w:tc>
              <w:tc>
                <w:tcPr>
                  <w:tcW w:w="2690" w:type="dxa"/>
                  <w:vAlign w:val="center"/>
                </w:tcPr>
                <w:p w14:paraId="1426B4D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隆安县气象局</w:t>
                  </w:r>
                </w:p>
              </w:tc>
              <w:tc>
                <w:tcPr>
                  <w:tcW w:w="4804" w:type="dxa"/>
                  <w:vAlign w:val="center"/>
                </w:tcPr>
                <w:p w14:paraId="1FCC66C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隆安县城厢镇宝塔村隆安县气象局</w:t>
                  </w:r>
                </w:p>
              </w:tc>
            </w:tr>
            <w:tr w14:paraId="2E8E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6840752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180" w:type="dxa"/>
                  <w:vMerge w:val="continue"/>
                  <w:vAlign w:val="center"/>
                </w:tcPr>
                <w:p w14:paraId="4A1F5AF4">
                  <w:pPr>
                    <w:shd w:val="clear"/>
                    <w:jc w:val="center"/>
                    <w:rPr>
                      <w:rFonts w:hint="eastAsia" w:ascii="宋体" w:hAnsi="宋体" w:eastAsia="宋体" w:cs="宋体"/>
                      <w:color w:val="auto"/>
                      <w:sz w:val="21"/>
                      <w:szCs w:val="21"/>
                      <w:highlight w:val="none"/>
                    </w:rPr>
                  </w:pPr>
                </w:p>
              </w:tc>
              <w:tc>
                <w:tcPr>
                  <w:tcW w:w="2690" w:type="dxa"/>
                  <w:vAlign w:val="center"/>
                </w:tcPr>
                <w:p w14:paraId="71079CE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武鸣区气象局</w:t>
                  </w:r>
                </w:p>
              </w:tc>
              <w:tc>
                <w:tcPr>
                  <w:tcW w:w="4804" w:type="dxa"/>
                  <w:vAlign w:val="center"/>
                </w:tcPr>
                <w:p w14:paraId="092B2FF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南宁市武鸣区城厢镇五岭路70号气象局大院</w:t>
                  </w:r>
                </w:p>
              </w:tc>
            </w:tr>
            <w:tr w14:paraId="7A30B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33B3A6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180" w:type="dxa"/>
                  <w:vMerge w:val="continue"/>
                  <w:vAlign w:val="center"/>
                </w:tcPr>
                <w:p w14:paraId="4C141C3A">
                  <w:pPr>
                    <w:shd w:val="clear"/>
                    <w:jc w:val="center"/>
                    <w:rPr>
                      <w:rFonts w:hint="eastAsia" w:ascii="宋体" w:hAnsi="宋体" w:eastAsia="宋体" w:cs="宋体"/>
                      <w:color w:val="auto"/>
                      <w:sz w:val="21"/>
                      <w:szCs w:val="21"/>
                      <w:highlight w:val="none"/>
                    </w:rPr>
                  </w:pPr>
                </w:p>
              </w:tc>
              <w:tc>
                <w:tcPr>
                  <w:tcW w:w="2690" w:type="dxa"/>
                  <w:vAlign w:val="center"/>
                </w:tcPr>
                <w:p w14:paraId="64B1375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邕宁区气象局</w:t>
                  </w:r>
                </w:p>
              </w:tc>
              <w:tc>
                <w:tcPr>
                  <w:tcW w:w="4804" w:type="dxa"/>
                  <w:vAlign w:val="center"/>
                </w:tcPr>
                <w:p w14:paraId="76A4C6A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南宁市邕宁区步云路92号</w:t>
                  </w:r>
                </w:p>
              </w:tc>
            </w:tr>
            <w:tr w14:paraId="050A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3F37A00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180" w:type="dxa"/>
                  <w:vMerge w:val="continue"/>
                  <w:vAlign w:val="center"/>
                </w:tcPr>
                <w:p w14:paraId="26D876D5">
                  <w:pPr>
                    <w:shd w:val="clear"/>
                    <w:jc w:val="center"/>
                    <w:rPr>
                      <w:rFonts w:hint="eastAsia" w:ascii="宋体" w:hAnsi="宋体" w:eastAsia="宋体" w:cs="宋体"/>
                      <w:color w:val="auto"/>
                      <w:sz w:val="21"/>
                      <w:szCs w:val="21"/>
                      <w:highlight w:val="none"/>
                    </w:rPr>
                  </w:pPr>
                </w:p>
              </w:tc>
              <w:tc>
                <w:tcPr>
                  <w:tcW w:w="2690" w:type="dxa"/>
                  <w:vAlign w:val="center"/>
                </w:tcPr>
                <w:p w14:paraId="58D2E53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上林县气象局</w:t>
                  </w:r>
                </w:p>
              </w:tc>
              <w:tc>
                <w:tcPr>
                  <w:tcW w:w="4804" w:type="dxa"/>
                  <w:vAlign w:val="center"/>
                </w:tcPr>
                <w:p w14:paraId="0E09038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上林县大丰镇环城路气象局</w:t>
                  </w:r>
                </w:p>
              </w:tc>
            </w:tr>
            <w:tr w14:paraId="15CB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104AA7F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180" w:type="dxa"/>
                  <w:vMerge w:val="continue"/>
                  <w:vAlign w:val="center"/>
                </w:tcPr>
                <w:p w14:paraId="32057F59">
                  <w:pPr>
                    <w:shd w:val="clear"/>
                    <w:jc w:val="center"/>
                    <w:rPr>
                      <w:rFonts w:hint="eastAsia" w:ascii="宋体" w:hAnsi="宋体" w:eastAsia="宋体" w:cs="宋体"/>
                      <w:color w:val="auto"/>
                      <w:sz w:val="21"/>
                      <w:szCs w:val="21"/>
                      <w:highlight w:val="none"/>
                    </w:rPr>
                  </w:pPr>
                </w:p>
              </w:tc>
              <w:tc>
                <w:tcPr>
                  <w:tcW w:w="2690" w:type="dxa"/>
                  <w:vAlign w:val="center"/>
                </w:tcPr>
                <w:p w14:paraId="2A75C060">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大明山天坪气象观测站</w:t>
                  </w:r>
                </w:p>
              </w:tc>
              <w:tc>
                <w:tcPr>
                  <w:tcW w:w="4804" w:type="dxa"/>
                  <w:vAlign w:val="center"/>
                </w:tcPr>
                <w:p w14:paraId="0DCE64F4">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武鸣区两江镇大明山天坪气象观测站</w:t>
                  </w:r>
                </w:p>
              </w:tc>
            </w:tr>
            <w:tr w14:paraId="3AB4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59DF256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180" w:type="dxa"/>
                  <w:vMerge w:val="continue"/>
                  <w:vAlign w:val="center"/>
                </w:tcPr>
                <w:p w14:paraId="2B1811C6">
                  <w:pPr>
                    <w:shd w:val="clear"/>
                    <w:jc w:val="center"/>
                    <w:rPr>
                      <w:rFonts w:hint="eastAsia" w:ascii="宋体" w:hAnsi="宋体" w:eastAsia="宋体" w:cs="宋体"/>
                      <w:color w:val="auto"/>
                      <w:sz w:val="21"/>
                      <w:szCs w:val="21"/>
                      <w:highlight w:val="none"/>
                    </w:rPr>
                  </w:pPr>
                </w:p>
              </w:tc>
              <w:tc>
                <w:tcPr>
                  <w:tcW w:w="2690" w:type="dxa"/>
                  <w:vAlign w:val="center"/>
                </w:tcPr>
                <w:p w14:paraId="29C0104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南宁市气象局</w:t>
                  </w:r>
                </w:p>
              </w:tc>
              <w:tc>
                <w:tcPr>
                  <w:tcW w:w="4804" w:type="dxa"/>
                  <w:vAlign w:val="center"/>
                </w:tcPr>
                <w:p w14:paraId="54B5195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南宁市青秀区风岭南路9号</w:t>
                  </w:r>
                </w:p>
              </w:tc>
            </w:tr>
            <w:tr w14:paraId="4359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B295FF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180" w:type="dxa"/>
                  <w:vMerge w:val="restart"/>
                  <w:vAlign w:val="center"/>
                </w:tcPr>
                <w:p w14:paraId="76CF642E">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崇左市</w:t>
                  </w:r>
                </w:p>
              </w:tc>
              <w:tc>
                <w:tcPr>
                  <w:tcW w:w="2690" w:type="dxa"/>
                  <w:vAlign w:val="center"/>
                </w:tcPr>
                <w:p w14:paraId="4691A79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江州区气象局</w:t>
                  </w:r>
                </w:p>
              </w:tc>
              <w:tc>
                <w:tcPr>
                  <w:tcW w:w="4804" w:type="dxa"/>
                  <w:vAlign w:val="center"/>
                </w:tcPr>
                <w:p w14:paraId="20C3380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崇左市江州区江南路39号</w:t>
                  </w:r>
                </w:p>
              </w:tc>
            </w:tr>
            <w:tr w14:paraId="5063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4022B5F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180" w:type="dxa"/>
                  <w:vMerge w:val="continue"/>
                  <w:vAlign w:val="center"/>
                </w:tcPr>
                <w:p w14:paraId="52063967">
                  <w:pPr>
                    <w:shd w:val="clear"/>
                    <w:jc w:val="center"/>
                    <w:rPr>
                      <w:rFonts w:hint="eastAsia" w:ascii="宋体" w:hAnsi="宋体" w:eastAsia="宋体" w:cs="宋体"/>
                      <w:color w:val="auto"/>
                      <w:sz w:val="21"/>
                      <w:szCs w:val="21"/>
                      <w:highlight w:val="none"/>
                    </w:rPr>
                  </w:pPr>
                </w:p>
              </w:tc>
              <w:tc>
                <w:tcPr>
                  <w:tcW w:w="2690" w:type="dxa"/>
                  <w:vAlign w:val="center"/>
                </w:tcPr>
                <w:p w14:paraId="3094B1E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凭祥市气象局</w:t>
                  </w:r>
                </w:p>
              </w:tc>
              <w:tc>
                <w:tcPr>
                  <w:tcW w:w="4804" w:type="dxa"/>
                  <w:vAlign w:val="center"/>
                </w:tcPr>
                <w:p w14:paraId="20307C0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凭祥市南大路1支6号</w:t>
                  </w:r>
                </w:p>
              </w:tc>
            </w:tr>
            <w:tr w14:paraId="0BFB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6C02E90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180" w:type="dxa"/>
                  <w:vMerge w:val="continue"/>
                  <w:vAlign w:val="center"/>
                </w:tcPr>
                <w:p w14:paraId="23436F54">
                  <w:pPr>
                    <w:shd w:val="clear"/>
                    <w:jc w:val="center"/>
                    <w:rPr>
                      <w:rFonts w:hint="eastAsia" w:ascii="宋体" w:hAnsi="宋体" w:eastAsia="宋体" w:cs="宋体"/>
                      <w:color w:val="auto"/>
                      <w:sz w:val="21"/>
                      <w:szCs w:val="21"/>
                      <w:highlight w:val="none"/>
                    </w:rPr>
                  </w:pPr>
                </w:p>
              </w:tc>
              <w:tc>
                <w:tcPr>
                  <w:tcW w:w="2690" w:type="dxa"/>
                  <w:vAlign w:val="center"/>
                </w:tcPr>
                <w:p w14:paraId="14A31C40">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扶绥县气象局</w:t>
                  </w:r>
                </w:p>
              </w:tc>
              <w:tc>
                <w:tcPr>
                  <w:tcW w:w="4804" w:type="dxa"/>
                  <w:vAlign w:val="center"/>
                </w:tcPr>
                <w:p w14:paraId="5EB55D5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扶绥县新宁镇扶南大道410号</w:t>
                  </w:r>
                </w:p>
              </w:tc>
            </w:tr>
            <w:tr w14:paraId="06AF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1DAEE6D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180" w:type="dxa"/>
                  <w:vMerge w:val="continue"/>
                  <w:vAlign w:val="center"/>
                </w:tcPr>
                <w:p w14:paraId="45B8E59E">
                  <w:pPr>
                    <w:shd w:val="clear"/>
                    <w:jc w:val="center"/>
                    <w:rPr>
                      <w:rFonts w:hint="eastAsia" w:ascii="宋体" w:hAnsi="宋体" w:eastAsia="宋体" w:cs="宋体"/>
                      <w:color w:val="auto"/>
                      <w:sz w:val="21"/>
                      <w:szCs w:val="21"/>
                      <w:highlight w:val="none"/>
                    </w:rPr>
                  </w:pPr>
                </w:p>
              </w:tc>
              <w:tc>
                <w:tcPr>
                  <w:tcW w:w="2690" w:type="dxa"/>
                  <w:vAlign w:val="center"/>
                </w:tcPr>
                <w:p w14:paraId="6D4B62D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大新县气象局</w:t>
                  </w:r>
                </w:p>
              </w:tc>
              <w:tc>
                <w:tcPr>
                  <w:tcW w:w="4804" w:type="dxa"/>
                  <w:vAlign w:val="center"/>
                </w:tcPr>
                <w:p w14:paraId="6FE338B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大新县桃城镇养利路442号</w:t>
                  </w:r>
                </w:p>
              </w:tc>
            </w:tr>
            <w:tr w14:paraId="250F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B4B6F1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180" w:type="dxa"/>
                  <w:vMerge w:val="continue"/>
                  <w:vAlign w:val="center"/>
                </w:tcPr>
                <w:p w14:paraId="79FFB12F">
                  <w:pPr>
                    <w:shd w:val="clear"/>
                    <w:jc w:val="center"/>
                    <w:rPr>
                      <w:rFonts w:hint="eastAsia" w:ascii="宋体" w:hAnsi="宋体" w:eastAsia="宋体" w:cs="宋体"/>
                      <w:color w:val="auto"/>
                      <w:sz w:val="21"/>
                      <w:szCs w:val="21"/>
                      <w:highlight w:val="none"/>
                    </w:rPr>
                  </w:pPr>
                </w:p>
              </w:tc>
              <w:tc>
                <w:tcPr>
                  <w:tcW w:w="2690" w:type="dxa"/>
                  <w:vAlign w:val="center"/>
                </w:tcPr>
                <w:p w14:paraId="4E5F701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宁明县气象局</w:t>
                  </w:r>
                </w:p>
              </w:tc>
              <w:tc>
                <w:tcPr>
                  <w:tcW w:w="4804" w:type="dxa"/>
                  <w:vAlign w:val="center"/>
                </w:tcPr>
                <w:p w14:paraId="714B5BD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宁明县城中镇新明路2-1号院气象局大院</w:t>
                  </w:r>
                </w:p>
              </w:tc>
            </w:tr>
            <w:tr w14:paraId="3DCA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05CAC3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180" w:type="dxa"/>
                  <w:vMerge w:val="continue"/>
                  <w:vAlign w:val="center"/>
                </w:tcPr>
                <w:p w14:paraId="20AF7BA7">
                  <w:pPr>
                    <w:shd w:val="clear"/>
                    <w:jc w:val="center"/>
                    <w:rPr>
                      <w:rFonts w:hint="eastAsia" w:ascii="宋体" w:hAnsi="宋体" w:eastAsia="宋体" w:cs="宋体"/>
                      <w:color w:val="auto"/>
                      <w:sz w:val="21"/>
                      <w:szCs w:val="21"/>
                      <w:highlight w:val="none"/>
                    </w:rPr>
                  </w:pPr>
                </w:p>
              </w:tc>
              <w:tc>
                <w:tcPr>
                  <w:tcW w:w="2690" w:type="dxa"/>
                  <w:vAlign w:val="center"/>
                </w:tcPr>
                <w:p w14:paraId="6544147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天等县气象局</w:t>
                  </w:r>
                </w:p>
              </w:tc>
              <w:tc>
                <w:tcPr>
                  <w:tcW w:w="4804" w:type="dxa"/>
                  <w:vAlign w:val="center"/>
                </w:tcPr>
                <w:p w14:paraId="13EDC8B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天等县天等镇天丽路17号</w:t>
                  </w:r>
                </w:p>
              </w:tc>
            </w:tr>
            <w:tr w14:paraId="00E3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AC781B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180" w:type="dxa"/>
                  <w:vMerge w:val="continue"/>
                  <w:vAlign w:val="center"/>
                </w:tcPr>
                <w:p w14:paraId="4437D7B2">
                  <w:pPr>
                    <w:shd w:val="clear"/>
                    <w:jc w:val="center"/>
                    <w:rPr>
                      <w:rFonts w:hint="eastAsia" w:ascii="宋体" w:hAnsi="宋体" w:eastAsia="宋体" w:cs="宋体"/>
                      <w:color w:val="auto"/>
                      <w:sz w:val="21"/>
                      <w:szCs w:val="21"/>
                      <w:highlight w:val="none"/>
                    </w:rPr>
                  </w:pPr>
                </w:p>
              </w:tc>
              <w:tc>
                <w:tcPr>
                  <w:tcW w:w="2690" w:type="dxa"/>
                  <w:vAlign w:val="center"/>
                </w:tcPr>
                <w:p w14:paraId="46661F2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龙州县气象局</w:t>
                  </w:r>
                </w:p>
              </w:tc>
              <w:tc>
                <w:tcPr>
                  <w:tcW w:w="4804" w:type="dxa"/>
                  <w:vAlign w:val="center"/>
                </w:tcPr>
                <w:p w14:paraId="1822C3F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龙州县龙州镇利民街146号</w:t>
                  </w:r>
                </w:p>
              </w:tc>
            </w:tr>
            <w:tr w14:paraId="5F45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AB7A59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180" w:type="dxa"/>
                  <w:vMerge w:val="continue"/>
                  <w:vAlign w:val="center"/>
                </w:tcPr>
                <w:p w14:paraId="72A5DE9F">
                  <w:pPr>
                    <w:shd w:val="clear"/>
                    <w:jc w:val="center"/>
                    <w:rPr>
                      <w:rFonts w:hint="eastAsia" w:ascii="宋体" w:hAnsi="宋体" w:eastAsia="宋体" w:cs="宋体"/>
                      <w:color w:val="auto"/>
                      <w:sz w:val="21"/>
                      <w:szCs w:val="21"/>
                      <w:highlight w:val="none"/>
                    </w:rPr>
                  </w:pPr>
                </w:p>
              </w:tc>
              <w:tc>
                <w:tcPr>
                  <w:tcW w:w="2690" w:type="dxa"/>
                  <w:vAlign w:val="center"/>
                </w:tcPr>
                <w:p w14:paraId="5356352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崇左市气象局</w:t>
                  </w:r>
                </w:p>
              </w:tc>
              <w:tc>
                <w:tcPr>
                  <w:tcW w:w="4804" w:type="dxa"/>
                  <w:vAlign w:val="center"/>
                </w:tcPr>
                <w:p w14:paraId="10F00BC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崇左市江州区石景林东路17号（崇左市气象局）</w:t>
                  </w:r>
                </w:p>
              </w:tc>
            </w:tr>
            <w:tr w14:paraId="12DC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3C00062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180" w:type="dxa"/>
                  <w:vMerge w:val="restart"/>
                  <w:vAlign w:val="center"/>
                </w:tcPr>
                <w:p w14:paraId="144BD0C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贺州市</w:t>
                  </w:r>
                </w:p>
              </w:tc>
              <w:tc>
                <w:tcPr>
                  <w:tcW w:w="2690" w:type="dxa"/>
                  <w:vAlign w:val="center"/>
                </w:tcPr>
                <w:p w14:paraId="729D00B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昭平县气象局</w:t>
                  </w:r>
                </w:p>
              </w:tc>
              <w:tc>
                <w:tcPr>
                  <w:tcW w:w="4804" w:type="dxa"/>
                  <w:vAlign w:val="center"/>
                </w:tcPr>
                <w:p w14:paraId="18042DF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昭平县昭平镇东宁北路47-2号</w:t>
                  </w:r>
                </w:p>
              </w:tc>
            </w:tr>
            <w:tr w14:paraId="2EB6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FFED9BE">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180" w:type="dxa"/>
                  <w:vMerge w:val="continue"/>
                  <w:vAlign w:val="center"/>
                </w:tcPr>
                <w:p w14:paraId="2A80DFA3">
                  <w:pPr>
                    <w:shd w:val="clear"/>
                    <w:jc w:val="center"/>
                    <w:rPr>
                      <w:rFonts w:hint="eastAsia" w:ascii="宋体" w:hAnsi="宋体" w:eastAsia="宋体" w:cs="宋体"/>
                      <w:color w:val="auto"/>
                      <w:sz w:val="21"/>
                      <w:szCs w:val="21"/>
                      <w:highlight w:val="none"/>
                    </w:rPr>
                  </w:pPr>
                </w:p>
              </w:tc>
              <w:tc>
                <w:tcPr>
                  <w:tcW w:w="2690" w:type="dxa"/>
                  <w:vAlign w:val="center"/>
                </w:tcPr>
                <w:p w14:paraId="7635B2B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富川县气象局</w:t>
                  </w:r>
                </w:p>
              </w:tc>
              <w:tc>
                <w:tcPr>
                  <w:tcW w:w="4804" w:type="dxa"/>
                  <w:vAlign w:val="center"/>
                </w:tcPr>
                <w:p w14:paraId="1B0DCE7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富川瑶族自治县富阳镇新建路28号</w:t>
                  </w:r>
                </w:p>
              </w:tc>
            </w:tr>
            <w:tr w14:paraId="4039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BF35EE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180" w:type="dxa"/>
                  <w:vMerge w:val="continue"/>
                  <w:vAlign w:val="center"/>
                </w:tcPr>
                <w:p w14:paraId="23EBDE61">
                  <w:pPr>
                    <w:shd w:val="clear"/>
                    <w:jc w:val="center"/>
                    <w:rPr>
                      <w:rFonts w:hint="eastAsia" w:ascii="宋体" w:hAnsi="宋体" w:eastAsia="宋体" w:cs="宋体"/>
                      <w:color w:val="auto"/>
                      <w:sz w:val="21"/>
                      <w:szCs w:val="21"/>
                      <w:highlight w:val="none"/>
                    </w:rPr>
                  </w:pPr>
                </w:p>
              </w:tc>
              <w:tc>
                <w:tcPr>
                  <w:tcW w:w="2690" w:type="dxa"/>
                  <w:vAlign w:val="center"/>
                </w:tcPr>
                <w:p w14:paraId="079DE4FE">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钟山县气象局</w:t>
                  </w:r>
                </w:p>
              </w:tc>
              <w:tc>
                <w:tcPr>
                  <w:tcW w:w="4804" w:type="dxa"/>
                  <w:vAlign w:val="center"/>
                </w:tcPr>
                <w:p w14:paraId="4A100C7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钟山县钟山镇榕马村十八工岭</w:t>
                  </w:r>
                </w:p>
              </w:tc>
            </w:tr>
            <w:tr w14:paraId="5B6A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42ADB03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180" w:type="dxa"/>
                  <w:vMerge w:val="continue"/>
                  <w:vAlign w:val="center"/>
                </w:tcPr>
                <w:p w14:paraId="053BE010">
                  <w:pPr>
                    <w:shd w:val="clear"/>
                    <w:jc w:val="center"/>
                    <w:rPr>
                      <w:rFonts w:hint="eastAsia" w:ascii="宋体" w:hAnsi="宋体" w:eastAsia="宋体" w:cs="宋体"/>
                      <w:color w:val="auto"/>
                      <w:sz w:val="21"/>
                      <w:szCs w:val="21"/>
                      <w:highlight w:val="none"/>
                    </w:rPr>
                  </w:pPr>
                </w:p>
              </w:tc>
              <w:tc>
                <w:tcPr>
                  <w:tcW w:w="2690" w:type="dxa"/>
                  <w:vAlign w:val="center"/>
                </w:tcPr>
                <w:p w14:paraId="11CE5FA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八步区气象局</w:t>
                  </w:r>
                </w:p>
              </w:tc>
              <w:tc>
                <w:tcPr>
                  <w:tcW w:w="4804" w:type="dxa"/>
                  <w:vAlign w:val="center"/>
                </w:tcPr>
                <w:p w14:paraId="0A0F85E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贺州市城西路10-1号</w:t>
                  </w:r>
                </w:p>
              </w:tc>
            </w:tr>
            <w:tr w14:paraId="2BF8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3C32B134">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180" w:type="dxa"/>
                  <w:vMerge w:val="restart"/>
                  <w:vAlign w:val="center"/>
                </w:tcPr>
                <w:p w14:paraId="40DE01B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贵港市</w:t>
                  </w:r>
                </w:p>
              </w:tc>
              <w:tc>
                <w:tcPr>
                  <w:tcW w:w="2690" w:type="dxa"/>
                  <w:vAlign w:val="center"/>
                </w:tcPr>
                <w:p w14:paraId="37D810E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桂平市气象局</w:t>
                  </w:r>
                </w:p>
              </w:tc>
              <w:tc>
                <w:tcPr>
                  <w:tcW w:w="4804" w:type="dxa"/>
                  <w:vAlign w:val="center"/>
                </w:tcPr>
                <w:p w14:paraId="17C2757E">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桂平市西山镇城东社区503号</w:t>
                  </w:r>
                </w:p>
              </w:tc>
            </w:tr>
            <w:tr w14:paraId="1EF6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6C5614D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180" w:type="dxa"/>
                  <w:vMerge w:val="continue"/>
                  <w:vAlign w:val="center"/>
                </w:tcPr>
                <w:p w14:paraId="65E5E3E7">
                  <w:pPr>
                    <w:shd w:val="clear"/>
                    <w:jc w:val="center"/>
                    <w:rPr>
                      <w:rFonts w:hint="eastAsia" w:ascii="宋体" w:hAnsi="宋体" w:eastAsia="宋体" w:cs="宋体"/>
                      <w:color w:val="auto"/>
                      <w:sz w:val="21"/>
                      <w:szCs w:val="21"/>
                      <w:highlight w:val="none"/>
                    </w:rPr>
                  </w:pPr>
                </w:p>
              </w:tc>
              <w:tc>
                <w:tcPr>
                  <w:tcW w:w="2690" w:type="dxa"/>
                  <w:vAlign w:val="center"/>
                </w:tcPr>
                <w:p w14:paraId="792F49F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平南县气象局</w:t>
                  </w:r>
                </w:p>
              </w:tc>
              <w:tc>
                <w:tcPr>
                  <w:tcW w:w="4804" w:type="dxa"/>
                  <w:vAlign w:val="center"/>
                </w:tcPr>
                <w:p w14:paraId="3B38C50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平南县平南街道龚州大道499-79号</w:t>
                  </w:r>
                </w:p>
              </w:tc>
            </w:tr>
            <w:tr w14:paraId="51B6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D8261F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180" w:type="dxa"/>
                  <w:vMerge w:val="restart"/>
                  <w:vAlign w:val="center"/>
                </w:tcPr>
                <w:p w14:paraId="4EF08A6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河池市</w:t>
                  </w:r>
                </w:p>
              </w:tc>
              <w:tc>
                <w:tcPr>
                  <w:tcW w:w="2690" w:type="dxa"/>
                  <w:vAlign w:val="center"/>
                </w:tcPr>
                <w:p w14:paraId="4AC7D91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凤山县气象局</w:t>
                  </w:r>
                </w:p>
              </w:tc>
              <w:tc>
                <w:tcPr>
                  <w:tcW w:w="4804" w:type="dxa"/>
                  <w:vAlign w:val="center"/>
                </w:tcPr>
                <w:p w14:paraId="49740FC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凤山县凤城镇教育路259号</w:t>
                  </w:r>
                </w:p>
              </w:tc>
            </w:tr>
            <w:tr w14:paraId="58C7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42FBC8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180" w:type="dxa"/>
                  <w:vMerge w:val="continue"/>
                  <w:vAlign w:val="center"/>
                </w:tcPr>
                <w:p w14:paraId="0739BD4A">
                  <w:pPr>
                    <w:shd w:val="clear"/>
                    <w:jc w:val="center"/>
                    <w:rPr>
                      <w:rFonts w:hint="eastAsia" w:ascii="宋体" w:hAnsi="宋体" w:eastAsia="宋体" w:cs="宋体"/>
                      <w:color w:val="auto"/>
                      <w:sz w:val="21"/>
                      <w:szCs w:val="21"/>
                      <w:highlight w:val="none"/>
                    </w:rPr>
                  </w:pPr>
                </w:p>
              </w:tc>
              <w:tc>
                <w:tcPr>
                  <w:tcW w:w="2690" w:type="dxa"/>
                  <w:vAlign w:val="center"/>
                </w:tcPr>
                <w:p w14:paraId="510810B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都安县气象局</w:t>
                  </w:r>
                </w:p>
              </w:tc>
              <w:tc>
                <w:tcPr>
                  <w:tcW w:w="4804" w:type="dxa"/>
                  <w:vAlign w:val="center"/>
                </w:tcPr>
                <w:p w14:paraId="10293A9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都安县澄江镇桑里村板坡屯气象局大院</w:t>
                  </w:r>
                </w:p>
              </w:tc>
            </w:tr>
            <w:tr w14:paraId="57D2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696A53C4">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180" w:type="dxa"/>
                  <w:vMerge w:val="continue"/>
                  <w:vAlign w:val="center"/>
                </w:tcPr>
                <w:p w14:paraId="47E2D919">
                  <w:pPr>
                    <w:shd w:val="clear"/>
                    <w:jc w:val="center"/>
                    <w:rPr>
                      <w:rFonts w:hint="eastAsia" w:ascii="宋体" w:hAnsi="宋体" w:eastAsia="宋体" w:cs="宋体"/>
                      <w:color w:val="auto"/>
                      <w:sz w:val="21"/>
                      <w:szCs w:val="21"/>
                      <w:highlight w:val="none"/>
                    </w:rPr>
                  </w:pPr>
                </w:p>
              </w:tc>
              <w:tc>
                <w:tcPr>
                  <w:tcW w:w="2690" w:type="dxa"/>
                  <w:vAlign w:val="center"/>
                </w:tcPr>
                <w:p w14:paraId="3A606DF4">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宜州区气象局</w:t>
                  </w:r>
                </w:p>
              </w:tc>
              <w:tc>
                <w:tcPr>
                  <w:tcW w:w="4804" w:type="dxa"/>
                  <w:vAlign w:val="center"/>
                </w:tcPr>
                <w:p w14:paraId="5E6C835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河池市宜州区庆远镇龙塘社区龙塘甫长岭</w:t>
                  </w:r>
                </w:p>
              </w:tc>
            </w:tr>
            <w:tr w14:paraId="39DC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6AA9DC6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180" w:type="dxa"/>
                  <w:vMerge w:val="continue"/>
                  <w:vAlign w:val="center"/>
                </w:tcPr>
                <w:p w14:paraId="6BF3A9E2">
                  <w:pPr>
                    <w:shd w:val="clear"/>
                    <w:jc w:val="center"/>
                    <w:rPr>
                      <w:rFonts w:hint="eastAsia" w:ascii="宋体" w:hAnsi="宋体" w:eastAsia="宋体" w:cs="宋体"/>
                      <w:color w:val="auto"/>
                      <w:sz w:val="21"/>
                      <w:szCs w:val="21"/>
                      <w:highlight w:val="none"/>
                    </w:rPr>
                  </w:pPr>
                </w:p>
              </w:tc>
              <w:tc>
                <w:tcPr>
                  <w:tcW w:w="2690" w:type="dxa"/>
                  <w:vAlign w:val="center"/>
                </w:tcPr>
                <w:p w14:paraId="24AAFA6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罗城县气象局</w:t>
                  </w:r>
                </w:p>
              </w:tc>
              <w:tc>
                <w:tcPr>
                  <w:tcW w:w="4804" w:type="dxa"/>
                  <w:vAlign w:val="center"/>
                </w:tcPr>
                <w:p w14:paraId="72BD4A3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罗城县东门镇一平路87号</w:t>
                  </w:r>
                </w:p>
              </w:tc>
            </w:tr>
            <w:tr w14:paraId="5045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A96877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180" w:type="dxa"/>
                  <w:vMerge w:val="continue"/>
                  <w:vAlign w:val="center"/>
                </w:tcPr>
                <w:p w14:paraId="1909DE51">
                  <w:pPr>
                    <w:shd w:val="clear"/>
                    <w:jc w:val="center"/>
                    <w:rPr>
                      <w:rFonts w:hint="eastAsia" w:ascii="宋体" w:hAnsi="宋体" w:eastAsia="宋体" w:cs="宋体"/>
                      <w:color w:val="auto"/>
                      <w:sz w:val="21"/>
                      <w:szCs w:val="21"/>
                      <w:highlight w:val="none"/>
                    </w:rPr>
                  </w:pPr>
                </w:p>
              </w:tc>
              <w:tc>
                <w:tcPr>
                  <w:tcW w:w="2690" w:type="dxa"/>
                  <w:vAlign w:val="center"/>
                </w:tcPr>
                <w:p w14:paraId="035A3A3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东兰县气象局</w:t>
                  </w:r>
                </w:p>
              </w:tc>
              <w:tc>
                <w:tcPr>
                  <w:tcW w:w="4804" w:type="dxa"/>
                  <w:vAlign w:val="center"/>
                </w:tcPr>
                <w:p w14:paraId="1B12689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东兰县东兰镇那亨村</w:t>
                  </w:r>
                </w:p>
              </w:tc>
            </w:tr>
            <w:tr w14:paraId="5EBB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3280183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180" w:type="dxa"/>
                  <w:vMerge w:val="continue"/>
                  <w:vAlign w:val="center"/>
                </w:tcPr>
                <w:p w14:paraId="3D329E48">
                  <w:pPr>
                    <w:shd w:val="clear"/>
                    <w:jc w:val="center"/>
                    <w:rPr>
                      <w:rFonts w:hint="eastAsia" w:ascii="宋体" w:hAnsi="宋体" w:eastAsia="宋体" w:cs="宋体"/>
                      <w:color w:val="auto"/>
                      <w:sz w:val="21"/>
                      <w:szCs w:val="21"/>
                      <w:highlight w:val="none"/>
                    </w:rPr>
                  </w:pPr>
                </w:p>
              </w:tc>
              <w:tc>
                <w:tcPr>
                  <w:tcW w:w="2690" w:type="dxa"/>
                  <w:vAlign w:val="center"/>
                </w:tcPr>
                <w:p w14:paraId="433C484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巴马县气象局</w:t>
                  </w:r>
                </w:p>
              </w:tc>
              <w:tc>
                <w:tcPr>
                  <w:tcW w:w="4804" w:type="dxa"/>
                  <w:vAlign w:val="center"/>
                </w:tcPr>
                <w:p w14:paraId="608BF6CE">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巴马县巴马镇新建路268号</w:t>
                  </w:r>
                </w:p>
              </w:tc>
            </w:tr>
            <w:tr w14:paraId="7492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2BECB7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180" w:type="dxa"/>
                  <w:vMerge w:val="continue"/>
                  <w:vAlign w:val="center"/>
                </w:tcPr>
                <w:p w14:paraId="39423CF9">
                  <w:pPr>
                    <w:shd w:val="clear"/>
                    <w:jc w:val="center"/>
                    <w:rPr>
                      <w:rFonts w:hint="eastAsia" w:ascii="宋体" w:hAnsi="宋体" w:eastAsia="宋体" w:cs="宋体"/>
                      <w:color w:val="auto"/>
                      <w:sz w:val="21"/>
                      <w:szCs w:val="21"/>
                      <w:highlight w:val="none"/>
                    </w:rPr>
                  </w:pPr>
                </w:p>
              </w:tc>
              <w:tc>
                <w:tcPr>
                  <w:tcW w:w="2690" w:type="dxa"/>
                  <w:vAlign w:val="center"/>
                </w:tcPr>
                <w:p w14:paraId="170087F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大化县气象站</w:t>
                  </w:r>
                </w:p>
              </w:tc>
              <w:tc>
                <w:tcPr>
                  <w:tcW w:w="4804" w:type="dxa"/>
                  <w:vAlign w:val="center"/>
                </w:tcPr>
                <w:p w14:paraId="2CAFB06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大化县大化镇新民八巷28号</w:t>
                  </w:r>
                </w:p>
              </w:tc>
            </w:tr>
            <w:tr w14:paraId="4DD5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3226EBC4">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1180" w:type="dxa"/>
                  <w:vMerge w:val="continue"/>
                  <w:vAlign w:val="center"/>
                </w:tcPr>
                <w:p w14:paraId="72035C4C">
                  <w:pPr>
                    <w:shd w:val="clear"/>
                    <w:jc w:val="center"/>
                    <w:rPr>
                      <w:rFonts w:hint="eastAsia" w:ascii="宋体" w:hAnsi="宋体" w:eastAsia="宋体" w:cs="宋体"/>
                      <w:color w:val="auto"/>
                      <w:sz w:val="21"/>
                      <w:szCs w:val="21"/>
                      <w:highlight w:val="none"/>
                    </w:rPr>
                  </w:pPr>
                </w:p>
              </w:tc>
              <w:tc>
                <w:tcPr>
                  <w:tcW w:w="2690" w:type="dxa"/>
                  <w:vAlign w:val="center"/>
                </w:tcPr>
                <w:p w14:paraId="09EFBBF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南丹县气象局</w:t>
                  </w:r>
                </w:p>
              </w:tc>
              <w:tc>
                <w:tcPr>
                  <w:tcW w:w="4804" w:type="dxa"/>
                  <w:vAlign w:val="center"/>
                </w:tcPr>
                <w:p w14:paraId="219B950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南丹县城关镇丹东路八巷3号</w:t>
                  </w:r>
                </w:p>
              </w:tc>
            </w:tr>
            <w:tr w14:paraId="2FD7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ED2BB5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1180" w:type="dxa"/>
                  <w:vMerge w:val="continue"/>
                  <w:vAlign w:val="center"/>
                </w:tcPr>
                <w:p w14:paraId="6E231BF6">
                  <w:pPr>
                    <w:shd w:val="clear"/>
                    <w:jc w:val="center"/>
                    <w:rPr>
                      <w:rFonts w:hint="eastAsia" w:ascii="宋体" w:hAnsi="宋体" w:eastAsia="宋体" w:cs="宋体"/>
                      <w:color w:val="auto"/>
                      <w:sz w:val="21"/>
                      <w:szCs w:val="21"/>
                      <w:highlight w:val="none"/>
                    </w:rPr>
                  </w:pPr>
                </w:p>
              </w:tc>
              <w:tc>
                <w:tcPr>
                  <w:tcW w:w="2690" w:type="dxa"/>
                  <w:vAlign w:val="center"/>
                </w:tcPr>
                <w:p w14:paraId="4893F9D4">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环江县气象局</w:t>
                  </w:r>
                </w:p>
              </w:tc>
              <w:tc>
                <w:tcPr>
                  <w:tcW w:w="4804" w:type="dxa"/>
                  <w:vAlign w:val="center"/>
                </w:tcPr>
                <w:p w14:paraId="38138A4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环江县思恩镇桥东路爱山林场松林坡气象局</w:t>
                  </w:r>
                </w:p>
              </w:tc>
            </w:tr>
            <w:tr w14:paraId="6710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0B342B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1180" w:type="dxa"/>
                  <w:vMerge w:val="continue"/>
                  <w:vAlign w:val="center"/>
                </w:tcPr>
                <w:p w14:paraId="2F8B11EA">
                  <w:pPr>
                    <w:shd w:val="clear"/>
                    <w:jc w:val="center"/>
                    <w:rPr>
                      <w:rFonts w:hint="eastAsia" w:ascii="宋体" w:hAnsi="宋体" w:eastAsia="宋体" w:cs="宋体"/>
                      <w:color w:val="auto"/>
                      <w:sz w:val="21"/>
                      <w:szCs w:val="21"/>
                      <w:highlight w:val="none"/>
                    </w:rPr>
                  </w:pPr>
                </w:p>
              </w:tc>
              <w:tc>
                <w:tcPr>
                  <w:tcW w:w="2690" w:type="dxa"/>
                  <w:vAlign w:val="center"/>
                </w:tcPr>
                <w:p w14:paraId="347B462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天峨县气象局</w:t>
                  </w:r>
                </w:p>
              </w:tc>
              <w:tc>
                <w:tcPr>
                  <w:tcW w:w="4804" w:type="dxa"/>
                  <w:vAlign w:val="center"/>
                </w:tcPr>
                <w:p w14:paraId="4C5ACA7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天峨县六排镇城东路125号</w:t>
                  </w:r>
                </w:p>
              </w:tc>
            </w:tr>
            <w:tr w14:paraId="0081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1A487DFE">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1180" w:type="dxa"/>
                  <w:vMerge w:val="continue"/>
                  <w:vAlign w:val="center"/>
                </w:tcPr>
                <w:p w14:paraId="28F3FC03">
                  <w:pPr>
                    <w:shd w:val="clear"/>
                    <w:jc w:val="center"/>
                    <w:rPr>
                      <w:rFonts w:hint="eastAsia" w:ascii="宋体" w:hAnsi="宋体" w:eastAsia="宋体" w:cs="宋体"/>
                      <w:color w:val="auto"/>
                      <w:sz w:val="21"/>
                      <w:szCs w:val="21"/>
                      <w:highlight w:val="none"/>
                    </w:rPr>
                  </w:pPr>
                </w:p>
              </w:tc>
              <w:tc>
                <w:tcPr>
                  <w:tcW w:w="2690" w:type="dxa"/>
                  <w:vAlign w:val="center"/>
                </w:tcPr>
                <w:p w14:paraId="2E2AFA3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金城江区气象局</w:t>
                  </w:r>
                </w:p>
              </w:tc>
              <w:tc>
                <w:tcPr>
                  <w:tcW w:w="4804" w:type="dxa"/>
                  <w:vAlign w:val="center"/>
                </w:tcPr>
                <w:p w14:paraId="3EF36BC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河池市金城江区西环路218号</w:t>
                  </w:r>
                </w:p>
              </w:tc>
            </w:tr>
            <w:tr w14:paraId="6291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1DE5EBD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1180" w:type="dxa"/>
                  <w:vMerge w:val="restart"/>
                  <w:vAlign w:val="center"/>
                </w:tcPr>
                <w:p w14:paraId="3572983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桂林市</w:t>
                  </w:r>
                </w:p>
              </w:tc>
              <w:tc>
                <w:tcPr>
                  <w:tcW w:w="2690" w:type="dxa"/>
                  <w:vAlign w:val="center"/>
                </w:tcPr>
                <w:p w14:paraId="76E0E05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资源县气象局</w:t>
                  </w:r>
                </w:p>
              </w:tc>
              <w:tc>
                <w:tcPr>
                  <w:tcW w:w="4804" w:type="dxa"/>
                  <w:vAlign w:val="center"/>
                </w:tcPr>
                <w:p w14:paraId="1A2BB1F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资源县资源镇西延南路87号</w:t>
                  </w:r>
                </w:p>
              </w:tc>
            </w:tr>
            <w:tr w14:paraId="49FD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94DF9C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180" w:type="dxa"/>
                  <w:vMerge w:val="continue"/>
                  <w:vAlign w:val="center"/>
                </w:tcPr>
                <w:p w14:paraId="05863DA5">
                  <w:pPr>
                    <w:shd w:val="clear"/>
                    <w:jc w:val="center"/>
                    <w:rPr>
                      <w:rFonts w:hint="eastAsia" w:ascii="宋体" w:hAnsi="宋体" w:eastAsia="宋体" w:cs="宋体"/>
                      <w:color w:val="auto"/>
                      <w:sz w:val="21"/>
                      <w:szCs w:val="21"/>
                      <w:highlight w:val="none"/>
                    </w:rPr>
                  </w:pPr>
                </w:p>
              </w:tc>
              <w:tc>
                <w:tcPr>
                  <w:tcW w:w="2690" w:type="dxa"/>
                  <w:vAlign w:val="center"/>
                </w:tcPr>
                <w:p w14:paraId="78FB4B3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灌阳县气象局</w:t>
                  </w:r>
                </w:p>
              </w:tc>
              <w:tc>
                <w:tcPr>
                  <w:tcW w:w="4804" w:type="dxa"/>
                  <w:vAlign w:val="center"/>
                </w:tcPr>
                <w:p w14:paraId="47A316E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桂林市灌阳县灌江西路52号</w:t>
                  </w:r>
                </w:p>
              </w:tc>
            </w:tr>
            <w:tr w14:paraId="00F3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371B2F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1180" w:type="dxa"/>
                  <w:vMerge w:val="continue"/>
                  <w:vAlign w:val="center"/>
                </w:tcPr>
                <w:p w14:paraId="0660E43D">
                  <w:pPr>
                    <w:shd w:val="clear"/>
                    <w:jc w:val="center"/>
                    <w:rPr>
                      <w:rFonts w:hint="eastAsia" w:ascii="宋体" w:hAnsi="宋体" w:eastAsia="宋体" w:cs="宋体"/>
                      <w:color w:val="auto"/>
                      <w:sz w:val="21"/>
                      <w:szCs w:val="21"/>
                      <w:highlight w:val="none"/>
                    </w:rPr>
                  </w:pPr>
                </w:p>
              </w:tc>
              <w:tc>
                <w:tcPr>
                  <w:tcW w:w="2690" w:type="dxa"/>
                  <w:vAlign w:val="center"/>
                </w:tcPr>
                <w:p w14:paraId="0AB654D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永福县气象局</w:t>
                  </w:r>
                </w:p>
              </w:tc>
              <w:tc>
                <w:tcPr>
                  <w:tcW w:w="4804" w:type="dxa"/>
                  <w:vAlign w:val="center"/>
                </w:tcPr>
                <w:p w14:paraId="226D585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广西永福县向阳路38号</w:t>
                  </w:r>
                </w:p>
              </w:tc>
            </w:tr>
            <w:tr w14:paraId="777F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63377F1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1180" w:type="dxa"/>
                  <w:vMerge w:val="continue"/>
                  <w:vAlign w:val="center"/>
                </w:tcPr>
                <w:p w14:paraId="135AA02F">
                  <w:pPr>
                    <w:shd w:val="clear"/>
                    <w:jc w:val="center"/>
                    <w:rPr>
                      <w:rFonts w:hint="eastAsia" w:ascii="宋体" w:hAnsi="宋体" w:eastAsia="宋体" w:cs="宋体"/>
                      <w:color w:val="auto"/>
                      <w:sz w:val="21"/>
                      <w:szCs w:val="21"/>
                      <w:highlight w:val="none"/>
                    </w:rPr>
                  </w:pPr>
                </w:p>
              </w:tc>
              <w:tc>
                <w:tcPr>
                  <w:tcW w:w="2690" w:type="dxa"/>
                  <w:vAlign w:val="center"/>
                </w:tcPr>
                <w:p w14:paraId="5187F7F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恭城县气象局</w:t>
                  </w:r>
                </w:p>
              </w:tc>
              <w:tc>
                <w:tcPr>
                  <w:tcW w:w="4804" w:type="dxa"/>
                  <w:vAlign w:val="center"/>
                </w:tcPr>
                <w:p w14:paraId="32A0BBE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恭城县恭城镇茶南路二巷2号</w:t>
                  </w:r>
                </w:p>
              </w:tc>
            </w:tr>
            <w:tr w14:paraId="7612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E8F621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1180" w:type="dxa"/>
                  <w:vMerge w:val="continue"/>
                  <w:vAlign w:val="center"/>
                </w:tcPr>
                <w:p w14:paraId="593144BB">
                  <w:pPr>
                    <w:shd w:val="clear"/>
                    <w:jc w:val="center"/>
                    <w:rPr>
                      <w:rFonts w:hint="eastAsia" w:ascii="宋体" w:hAnsi="宋体" w:eastAsia="宋体" w:cs="宋体"/>
                      <w:color w:val="auto"/>
                      <w:sz w:val="21"/>
                      <w:szCs w:val="21"/>
                      <w:highlight w:val="none"/>
                    </w:rPr>
                  </w:pPr>
                </w:p>
              </w:tc>
              <w:tc>
                <w:tcPr>
                  <w:tcW w:w="2690" w:type="dxa"/>
                  <w:vAlign w:val="center"/>
                </w:tcPr>
                <w:p w14:paraId="1F6DD4D0">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荔浦市气象局</w:t>
                  </w:r>
                </w:p>
              </w:tc>
              <w:tc>
                <w:tcPr>
                  <w:tcW w:w="4804" w:type="dxa"/>
                  <w:vAlign w:val="center"/>
                </w:tcPr>
                <w:p w14:paraId="09B25FDE">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桂林市荔浦市荔平路121号</w:t>
                  </w:r>
                </w:p>
              </w:tc>
            </w:tr>
            <w:tr w14:paraId="1921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38BD75AE">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1180" w:type="dxa"/>
                  <w:vMerge w:val="continue"/>
                  <w:vAlign w:val="center"/>
                </w:tcPr>
                <w:p w14:paraId="756B2BDF">
                  <w:pPr>
                    <w:shd w:val="clear"/>
                    <w:jc w:val="center"/>
                    <w:rPr>
                      <w:rFonts w:hint="eastAsia" w:ascii="宋体" w:hAnsi="宋体" w:eastAsia="宋体" w:cs="宋体"/>
                      <w:color w:val="auto"/>
                      <w:sz w:val="21"/>
                      <w:szCs w:val="21"/>
                      <w:highlight w:val="none"/>
                    </w:rPr>
                  </w:pPr>
                </w:p>
              </w:tc>
              <w:tc>
                <w:tcPr>
                  <w:tcW w:w="2690" w:type="dxa"/>
                  <w:vAlign w:val="center"/>
                </w:tcPr>
                <w:p w14:paraId="49EE593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龙胜县气象局</w:t>
                  </w:r>
                </w:p>
              </w:tc>
              <w:tc>
                <w:tcPr>
                  <w:tcW w:w="4804" w:type="dxa"/>
                  <w:vAlign w:val="center"/>
                </w:tcPr>
                <w:p w14:paraId="33944AB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龙胜县龙胜镇兴龙西路龙舌巷2号</w:t>
                  </w:r>
                </w:p>
              </w:tc>
            </w:tr>
            <w:tr w14:paraId="4515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781C2A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1180" w:type="dxa"/>
                  <w:vMerge w:val="continue"/>
                  <w:vAlign w:val="center"/>
                </w:tcPr>
                <w:p w14:paraId="452DF95E">
                  <w:pPr>
                    <w:shd w:val="clear"/>
                    <w:jc w:val="center"/>
                    <w:rPr>
                      <w:rFonts w:hint="eastAsia" w:ascii="宋体" w:hAnsi="宋体" w:eastAsia="宋体" w:cs="宋体"/>
                      <w:color w:val="auto"/>
                      <w:sz w:val="21"/>
                      <w:szCs w:val="21"/>
                      <w:highlight w:val="none"/>
                    </w:rPr>
                  </w:pPr>
                </w:p>
              </w:tc>
              <w:tc>
                <w:tcPr>
                  <w:tcW w:w="2690" w:type="dxa"/>
                  <w:vAlign w:val="center"/>
                </w:tcPr>
                <w:p w14:paraId="03C1D73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临桂区气象局</w:t>
                  </w:r>
                </w:p>
              </w:tc>
              <w:tc>
                <w:tcPr>
                  <w:tcW w:w="4804" w:type="dxa"/>
                  <w:vAlign w:val="center"/>
                </w:tcPr>
                <w:p w14:paraId="69F44D7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临桂区临桂镇民健路万象巷6号</w:t>
                  </w:r>
                </w:p>
              </w:tc>
            </w:tr>
            <w:tr w14:paraId="30E3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6E93162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1180" w:type="dxa"/>
                  <w:vMerge w:val="continue"/>
                  <w:vAlign w:val="center"/>
                </w:tcPr>
                <w:p w14:paraId="08B199A0">
                  <w:pPr>
                    <w:shd w:val="clear"/>
                    <w:jc w:val="center"/>
                    <w:rPr>
                      <w:rFonts w:hint="eastAsia" w:ascii="宋体" w:hAnsi="宋体" w:eastAsia="宋体" w:cs="宋体"/>
                      <w:color w:val="auto"/>
                      <w:sz w:val="21"/>
                      <w:szCs w:val="21"/>
                      <w:highlight w:val="none"/>
                    </w:rPr>
                  </w:pPr>
                </w:p>
              </w:tc>
              <w:tc>
                <w:tcPr>
                  <w:tcW w:w="2690" w:type="dxa"/>
                  <w:vAlign w:val="center"/>
                </w:tcPr>
                <w:p w14:paraId="14A8EEF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阳朔县气象局</w:t>
                  </w:r>
                </w:p>
              </w:tc>
              <w:tc>
                <w:tcPr>
                  <w:tcW w:w="4804" w:type="dxa"/>
                  <w:vAlign w:val="center"/>
                </w:tcPr>
                <w:p w14:paraId="589F42A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阳朔县阳朔镇东岭路32号</w:t>
                  </w:r>
                </w:p>
              </w:tc>
            </w:tr>
            <w:tr w14:paraId="1EB8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5F3AB95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1180" w:type="dxa"/>
                  <w:vMerge w:val="continue"/>
                  <w:vAlign w:val="center"/>
                </w:tcPr>
                <w:p w14:paraId="79D35EF1">
                  <w:pPr>
                    <w:shd w:val="clear"/>
                    <w:jc w:val="center"/>
                    <w:rPr>
                      <w:rFonts w:hint="eastAsia" w:ascii="宋体" w:hAnsi="宋体" w:eastAsia="宋体" w:cs="宋体"/>
                      <w:color w:val="auto"/>
                      <w:sz w:val="21"/>
                      <w:szCs w:val="21"/>
                      <w:highlight w:val="none"/>
                    </w:rPr>
                  </w:pPr>
                </w:p>
              </w:tc>
              <w:tc>
                <w:tcPr>
                  <w:tcW w:w="2690" w:type="dxa"/>
                  <w:vAlign w:val="center"/>
                </w:tcPr>
                <w:p w14:paraId="618A7C14">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兴安县气象局</w:t>
                  </w:r>
                </w:p>
              </w:tc>
              <w:tc>
                <w:tcPr>
                  <w:tcW w:w="4804" w:type="dxa"/>
                  <w:vAlign w:val="center"/>
                </w:tcPr>
                <w:p w14:paraId="6483DAB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兴安县兴安镇双拥路46号</w:t>
                  </w:r>
                </w:p>
              </w:tc>
            </w:tr>
            <w:tr w14:paraId="235D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539BDB5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1180" w:type="dxa"/>
                  <w:vMerge w:val="continue"/>
                  <w:vAlign w:val="center"/>
                </w:tcPr>
                <w:p w14:paraId="65C07B59">
                  <w:pPr>
                    <w:shd w:val="clear"/>
                    <w:jc w:val="center"/>
                    <w:rPr>
                      <w:rFonts w:hint="eastAsia" w:ascii="宋体" w:hAnsi="宋体" w:eastAsia="宋体" w:cs="宋体"/>
                      <w:color w:val="auto"/>
                      <w:sz w:val="21"/>
                      <w:szCs w:val="21"/>
                      <w:highlight w:val="none"/>
                    </w:rPr>
                  </w:pPr>
                </w:p>
              </w:tc>
              <w:tc>
                <w:tcPr>
                  <w:tcW w:w="2690" w:type="dxa"/>
                  <w:vAlign w:val="center"/>
                </w:tcPr>
                <w:p w14:paraId="5DD6443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灵川县气象局</w:t>
                  </w:r>
                </w:p>
              </w:tc>
              <w:tc>
                <w:tcPr>
                  <w:tcW w:w="4804" w:type="dxa"/>
                  <w:vAlign w:val="center"/>
                </w:tcPr>
                <w:p w14:paraId="7FDA211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灵川县衡友线灵勃保障房小区东侧</w:t>
                  </w:r>
                </w:p>
              </w:tc>
            </w:tr>
            <w:tr w14:paraId="25AC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FD210F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1180" w:type="dxa"/>
                  <w:vMerge w:val="continue"/>
                  <w:vAlign w:val="center"/>
                </w:tcPr>
                <w:p w14:paraId="04975260">
                  <w:pPr>
                    <w:shd w:val="clear"/>
                    <w:jc w:val="center"/>
                    <w:rPr>
                      <w:rFonts w:hint="eastAsia" w:ascii="宋体" w:hAnsi="宋体" w:eastAsia="宋体" w:cs="宋体"/>
                      <w:color w:val="auto"/>
                      <w:sz w:val="21"/>
                      <w:szCs w:val="21"/>
                      <w:highlight w:val="none"/>
                    </w:rPr>
                  </w:pPr>
                </w:p>
              </w:tc>
              <w:tc>
                <w:tcPr>
                  <w:tcW w:w="2690" w:type="dxa"/>
                  <w:vAlign w:val="center"/>
                </w:tcPr>
                <w:p w14:paraId="7CEB358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全州县气象局</w:t>
                  </w:r>
                </w:p>
              </w:tc>
              <w:tc>
                <w:tcPr>
                  <w:tcW w:w="4804" w:type="dxa"/>
                  <w:vAlign w:val="center"/>
                </w:tcPr>
                <w:p w14:paraId="498C10E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全州县全州镇常青路5号</w:t>
                  </w:r>
                </w:p>
              </w:tc>
            </w:tr>
            <w:tr w14:paraId="1ADE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795CEF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1180" w:type="dxa"/>
                  <w:vMerge w:val="continue"/>
                  <w:vAlign w:val="center"/>
                </w:tcPr>
                <w:p w14:paraId="07E8056E">
                  <w:pPr>
                    <w:shd w:val="clear"/>
                    <w:jc w:val="center"/>
                    <w:rPr>
                      <w:rFonts w:hint="eastAsia" w:ascii="宋体" w:hAnsi="宋体" w:eastAsia="宋体" w:cs="宋体"/>
                      <w:color w:val="auto"/>
                      <w:sz w:val="21"/>
                      <w:szCs w:val="21"/>
                      <w:highlight w:val="none"/>
                    </w:rPr>
                  </w:pPr>
                </w:p>
              </w:tc>
              <w:tc>
                <w:tcPr>
                  <w:tcW w:w="2690" w:type="dxa"/>
                  <w:vAlign w:val="center"/>
                </w:tcPr>
                <w:p w14:paraId="7B8ADA8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平乐县气象局</w:t>
                  </w:r>
                </w:p>
              </w:tc>
              <w:tc>
                <w:tcPr>
                  <w:tcW w:w="4804" w:type="dxa"/>
                  <w:vAlign w:val="center"/>
                </w:tcPr>
                <w:p w14:paraId="6D82A6B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平乐县同乐大道维也纳酒店东北侧</w:t>
                  </w:r>
                </w:p>
              </w:tc>
            </w:tr>
            <w:tr w14:paraId="035E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4DA8034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1180" w:type="dxa"/>
                  <w:vMerge w:val="restart"/>
                  <w:vAlign w:val="center"/>
                </w:tcPr>
                <w:p w14:paraId="6D94F3C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柳州市</w:t>
                  </w:r>
                </w:p>
              </w:tc>
              <w:tc>
                <w:tcPr>
                  <w:tcW w:w="2690" w:type="dxa"/>
                  <w:vAlign w:val="center"/>
                </w:tcPr>
                <w:p w14:paraId="7400E34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柳城县气象局</w:t>
                  </w:r>
                </w:p>
              </w:tc>
              <w:tc>
                <w:tcPr>
                  <w:tcW w:w="4804" w:type="dxa"/>
                  <w:vAlign w:val="center"/>
                </w:tcPr>
                <w:p w14:paraId="163ADF6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广西柳州市柳城县大埔镇镇中路4号</w:t>
                  </w:r>
                </w:p>
              </w:tc>
            </w:tr>
            <w:tr w14:paraId="3EB1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081AC9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1180" w:type="dxa"/>
                  <w:vMerge w:val="continue"/>
                  <w:vAlign w:val="center"/>
                </w:tcPr>
                <w:p w14:paraId="6EA3FD84">
                  <w:pPr>
                    <w:shd w:val="clear"/>
                    <w:jc w:val="center"/>
                    <w:rPr>
                      <w:rFonts w:hint="eastAsia" w:ascii="宋体" w:hAnsi="宋体" w:eastAsia="宋体" w:cs="宋体"/>
                      <w:color w:val="auto"/>
                      <w:sz w:val="21"/>
                      <w:szCs w:val="21"/>
                      <w:highlight w:val="none"/>
                    </w:rPr>
                  </w:pPr>
                </w:p>
              </w:tc>
              <w:tc>
                <w:tcPr>
                  <w:tcW w:w="2690" w:type="dxa"/>
                  <w:vAlign w:val="center"/>
                </w:tcPr>
                <w:p w14:paraId="7B0111E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柳江区气象局</w:t>
                  </w:r>
                </w:p>
              </w:tc>
              <w:tc>
                <w:tcPr>
                  <w:tcW w:w="4804" w:type="dxa"/>
                  <w:vAlign w:val="center"/>
                </w:tcPr>
                <w:p w14:paraId="5884D46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柳江区拉堡镇柳南路75号</w:t>
                  </w:r>
                </w:p>
              </w:tc>
            </w:tr>
            <w:tr w14:paraId="67E9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5A4B005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1180" w:type="dxa"/>
                  <w:vMerge w:val="continue"/>
                  <w:vAlign w:val="center"/>
                </w:tcPr>
                <w:p w14:paraId="6569F7A8">
                  <w:pPr>
                    <w:shd w:val="clear"/>
                    <w:jc w:val="center"/>
                    <w:rPr>
                      <w:rFonts w:hint="eastAsia" w:ascii="宋体" w:hAnsi="宋体" w:eastAsia="宋体" w:cs="宋体"/>
                      <w:color w:val="auto"/>
                      <w:sz w:val="21"/>
                      <w:szCs w:val="21"/>
                      <w:highlight w:val="none"/>
                    </w:rPr>
                  </w:pPr>
                </w:p>
              </w:tc>
              <w:tc>
                <w:tcPr>
                  <w:tcW w:w="2690" w:type="dxa"/>
                  <w:vAlign w:val="center"/>
                </w:tcPr>
                <w:p w14:paraId="3275E7E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融水县气象局</w:t>
                  </w:r>
                </w:p>
              </w:tc>
              <w:tc>
                <w:tcPr>
                  <w:tcW w:w="4804" w:type="dxa"/>
                  <w:vAlign w:val="center"/>
                </w:tcPr>
                <w:p w14:paraId="7FDB71F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柳州市融水苗族自治县细鱼路21号</w:t>
                  </w:r>
                </w:p>
              </w:tc>
            </w:tr>
            <w:tr w14:paraId="5AF0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587967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180" w:type="dxa"/>
                  <w:vMerge w:val="continue"/>
                  <w:vAlign w:val="center"/>
                </w:tcPr>
                <w:p w14:paraId="74143AF9">
                  <w:pPr>
                    <w:shd w:val="clear"/>
                    <w:jc w:val="center"/>
                    <w:rPr>
                      <w:rFonts w:hint="eastAsia" w:ascii="宋体" w:hAnsi="宋体" w:eastAsia="宋体" w:cs="宋体"/>
                      <w:color w:val="auto"/>
                      <w:sz w:val="21"/>
                      <w:szCs w:val="21"/>
                      <w:highlight w:val="none"/>
                    </w:rPr>
                  </w:pPr>
                </w:p>
              </w:tc>
              <w:tc>
                <w:tcPr>
                  <w:tcW w:w="2690" w:type="dxa"/>
                  <w:vAlign w:val="center"/>
                </w:tcPr>
                <w:p w14:paraId="182EA62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三江县气象局</w:t>
                  </w:r>
                </w:p>
              </w:tc>
              <w:tc>
                <w:tcPr>
                  <w:tcW w:w="4804" w:type="dxa"/>
                  <w:vAlign w:val="center"/>
                </w:tcPr>
                <w:p w14:paraId="1C29C5E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柳州市三江侗族自治县江峰街40号</w:t>
                  </w:r>
                </w:p>
              </w:tc>
            </w:tr>
            <w:tr w14:paraId="03A8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602A6FC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1180" w:type="dxa"/>
                  <w:vMerge w:val="continue"/>
                  <w:vAlign w:val="center"/>
                </w:tcPr>
                <w:p w14:paraId="068F7120">
                  <w:pPr>
                    <w:shd w:val="clear"/>
                    <w:jc w:val="center"/>
                    <w:rPr>
                      <w:rFonts w:hint="eastAsia" w:ascii="宋体" w:hAnsi="宋体" w:eastAsia="宋体" w:cs="宋体"/>
                      <w:color w:val="auto"/>
                      <w:sz w:val="21"/>
                      <w:szCs w:val="21"/>
                      <w:highlight w:val="none"/>
                    </w:rPr>
                  </w:pPr>
                </w:p>
              </w:tc>
              <w:tc>
                <w:tcPr>
                  <w:tcW w:w="2690" w:type="dxa"/>
                  <w:vAlign w:val="center"/>
                </w:tcPr>
                <w:p w14:paraId="68E28CD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融安县气象局</w:t>
                  </w:r>
                </w:p>
              </w:tc>
              <w:tc>
                <w:tcPr>
                  <w:tcW w:w="4804" w:type="dxa"/>
                  <w:vAlign w:val="center"/>
                </w:tcPr>
                <w:p w14:paraId="00AEC56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柳州市融安县长安镇桔香东巷03号</w:t>
                  </w:r>
                </w:p>
              </w:tc>
            </w:tr>
            <w:tr w14:paraId="51F3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FF97B4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1180" w:type="dxa"/>
                  <w:vMerge w:val="continue"/>
                  <w:vAlign w:val="center"/>
                </w:tcPr>
                <w:p w14:paraId="14F2628A">
                  <w:pPr>
                    <w:shd w:val="clear"/>
                    <w:jc w:val="center"/>
                    <w:rPr>
                      <w:rFonts w:hint="eastAsia" w:ascii="宋体" w:hAnsi="宋体" w:eastAsia="宋体" w:cs="宋体"/>
                      <w:color w:val="auto"/>
                      <w:sz w:val="21"/>
                      <w:szCs w:val="21"/>
                      <w:highlight w:val="none"/>
                    </w:rPr>
                  </w:pPr>
                </w:p>
              </w:tc>
              <w:tc>
                <w:tcPr>
                  <w:tcW w:w="2690" w:type="dxa"/>
                  <w:vAlign w:val="center"/>
                </w:tcPr>
                <w:p w14:paraId="763185F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鹿寨县气象局</w:t>
                  </w:r>
                </w:p>
              </w:tc>
              <w:tc>
                <w:tcPr>
                  <w:tcW w:w="4804" w:type="dxa"/>
                  <w:vAlign w:val="center"/>
                </w:tcPr>
                <w:p w14:paraId="1377080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鹿寨镇十里亭建中东路88号</w:t>
                  </w:r>
                </w:p>
              </w:tc>
            </w:tr>
            <w:tr w14:paraId="0CB1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34A19BF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1180" w:type="dxa"/>
                  <w:vMerge w:val="continue"/>
                  <w:vAlign w:val="center"/>
                </w:tcPr>
                <w:p w14:paraId="11AAF32F">
                  <w:pPr>
                    <w:shd w:val="clear"/>
                    <w:jc w:val="center"/>
                    <w:rPr>
                      <w:rFonts w:hint="eastAsia" w:ascii="宋体" w:hAnsi="宋体" w:eastAsia="宋体" w:cs="宋体"/>
                      <w:color w:val="auto"/>
                      <w:sz w:val="21"/>
                      <w:szCs w:val="21"/>
                      <w:highlight w:val="none"/>
                    </w:rPr>
                  </w:pPr>
                </w:p>
              </w:tc>
              <w:tc>
                <w:tcPr>
                  <w:tcW w:w="2690" w:type="dxa"/>
                  <w:vAlign w:val="center"/>
                </w:tcPr>
                <w:p w14:paraId="4F88131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柳州农业气象试验站气象观测站新观测场</w:t>
                  </w:r>
                </w:p>
              </w:tc>
              <w:tc>
                <w:tcPr>
                  <w:tcW w:w="4804" w:type="dxa"/>
                  <w:vAlign w:val="center"/>
                </w:tcPr>
                <w:p w14:paraId="2918A38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柳州农业气象试验站观测站新观测场（柳州市柳北区沙塘镇木冲岭）</w:t>
                  </w:r>
                </w:p>
              </w:tc>
            </w:tr>
            <w:tr w14:paraId="109B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A3543F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1180" w:type="dxa"/>
                  <w:vMerge w:val="restart"/>
                  <w:vAlign w:val="center"/>
                </w:tcPr>
                <w:p w14:paraId="11A6154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百色市</w:t>
                  </w:r>
                </w:p>
              </w:tc>
              <w:tc>
                <w:tcPr>
                  <w:tcW w:w="2690" w:type="dxa"/>
                  <w:vAlign w:val="center"/>
                </w:tcPr>
                <w:p w14:paraId="0F4FE8E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靖西市气象局</w:t>
                  </w:r>
                </w:p>
              </w:tc>
              <w:tc>
                <w:tcPr>
                  <w:tcW w:w="4804" w:type="dxa"/>
                  <w:vAlign w:val="center"/>
                </w:tcPr>
                <w:p w14:paraId="5981B75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靖西市新靖镇凤凰路中山小区168号</w:t>
                  </w:r>
                </w:p>
              </w:tc>
            </w:tr>
            <w:tr w14:paraId="6C83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6FF38C24">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1180" w:type="dxa"/>
                  <w:vMerge w:val="continue"/>
                  <w:vAlign w:val="center"/>
                </w:tcPr>
                <w:p w14:paraId="3D7DC5AB">
                  <w:pPr>
                    <w:shd w:val="clear"/>
                    <w:jc w:val="center"/>
                    <w:rPr>
                      <w:rFonts w:hint="eastAsia" w:ascii="宋体" w:hAnsi="宋体" w:eastAsia="宋体" w:cs="宋体"/>
                      <w:color w:val="auto"/>
                      <w:sz w:val="21"/>
                      <w:szCs w:val="21"/>
                      <w:highlight w:val="none"/>
                    </w:rPr>
                  </w:pPr>
                </w:p>
              </w:tc>
              <w:tc>
                <w:tcPr>
                  <w:tcW w:w="2690" w:type="dxa"/>
                  <w:vAlign w:val="center"/>
                </w:tcPr>
                <w:p w14:paraId="3083D5C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田东县气象局</w:t>
                  </w:r>
                </w:p>
              </w:tc>
              <w:tc>
                <w:tcPr>
                  <w:tcW w:w="4804" w:type="dxa"/>
                  <w:vAlign w:val="center"/>
                </w:tcPr>
                <w:p w14:paraId="6B8C739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田东县平马镇庆平路237号</w:t>
                  </w:r>
                </w:p>
              </w:tc>
            </w:tr>
            <w:tr w14:paraId="0B2C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4A15C50">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1180" w:type="dxa"/>
                  <w:vMerge w:val="continue"/>
                  <w:vAlign w:val="center"/>
                </w:tcPr>
                <w:p w14:paraId="57F10C1E">
                  <w:pPr>
                    <w:shd w:val="clear"/>
                    <w:jc w:val="center"/>
                    <w:rPr>
                      <w:rFonts w:hint="eastAsia" w:ascii="宋体" w:hAnsi="宋体" w:eastAsia="宋体" w:cs="宋体"/>
                      <w:color w:val="auto"/>
                      <w:sz w:val="21"/>
                      <w:szCs w:val="21"/>
                      <w:highlight w:val="none"/>
                    </w:rPr>
                  </w:pPr>
                </w:p>
              </w:tc>
              <w:tc>
                <w:tcPr>
                  <w:tcW w:w="2690" w:type="dxa"/>
                  <w:vAlign w:val="center"/>
                </w:tcPr>
                <w:p w14:paraId="5BEEBFF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田阳区气象局</w:t>
                  </w:r>
                </w:p>
              </w:tc>
              <w:tc>
                <w:tcPr>
                  <w:tcW w:w="4804" w:type="dxa"/>
                  <w:vAlign w:val="center"/>
                </w:tcPr>
                <w:p w14:paraId="15B69B7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田阳区田州镇敢壮大道701号</w:t>
                  </w:r>
                </w:p>
              </w:tc>
            </w:tr>
            <w:tr w14:paraId="44FD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32F2D7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1180" w:type="dxa"/>
                  <w:vMerge w:val="continue"/>
                  <w:vAlign w:val="center"/>
                </w:tcPr>
                <w:p w14:paraId="559934C8">
                  <w:pPr>
                    <w:shd w:val="clear"/>
                    <w:jc w:val="center"/>
                    <w:rPr>
                      <w:rFonts w:hint="eastAsia" w:ascii="宋体" w:hAnsi="宋体" w:eastAsia="宋体" w:cs="宋体"/>
                      <w:color w:val="auto"/>
                      <w:sz w:val="21"/>
                      <w:szCs w:val="21"/>
                      <w:highlight w:val="none"/>
                    </w:rPr>
                  </w:pPr>
                </w:p>
              </w:tc>
              <w:tc>
                <w:tcPr>
                  <w:tcW w:w="2690" w:type="dxa"/>
                  <w:vAlign w:val="center"/>
                </w:tcPr>
                <w:p w14:paraId="0C96BA0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凌云县气象局</w:t>
                  </w:r>
                </w:p>
              </w:tc>
              <w:tc>
                <w:tcPr>
                  <w:tcW w:w="4804" w:type="dxa"/>
                  <w:vAlign w:val="center"/>
                </w:tcPr>
                <w:p w14:paraId="642C771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凌云县泗城镇新秀社区西苑小区294号</w:t>
                  </w:r>
                </w:p>
              </w:tc>
            </w:tr>
            <w:tr w14:paraId="61C3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4C545AF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1180" w:type="dxa"/>
                  <w:vMerge w:val="continue"/>
                  <w:vAlign w:val="center"/>
                </w:tcPr>
                <w:p w14:paraId="1DD6CF8F">
                  <w:pPr>
                    <w:shd w:val="clear"/>
                    <w:jc w:val="center"/>
                    <w:rPr>
                      <w:rFonts w:hint="eastAsia" w:ascii="宋体" w:hAnsi="宋体" w:eastAsia="宋体" w:cs="宋体"/>
                      <w:color w:val="auto"/>
                      <w:sz w:val="21"/>
                      <w:szCs w:val="21"/>
                      <w:highlight w:val="none"/>
                    </w:rPr>
                  </w:pPr>
                </w:p>
              </w:tc>
              <w:tc>
                <w:tcPr>
                  <w:tcW w:w="2690" w:type="dxa"/>
                  <w:vAlign w:val="center"/>
                </w:tcPr>
                <w:p w14:paraId="53E7B08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乐业县气象局</w:t>
                  </w:r>
                </w:p>
              </w:tc>
              <w:tc>
                <w:tcPr>
                  <w:tcW w:w="4804" w:type="dxa"/>
                  <w:vAlign w:val="center"/>
                </w:tcPr>
                <w:p w14:paraId="452B30A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百色市乐业县同乐镇三乐街340号</w:t>
                  </w:r>
                </w:p>
              </w:tc>
            </w:tr>
            <w:tr w14:paraId="66BF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B520A6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1180" w:type="dxa"/>
                  <w:vMerge w:val="continue"/>
                  <w:vAlign w:val="center"/>
                </w:tcPr>
                <w:p w14:paraId="378C64C0">
                  <w:pPr>
                    <w:shd w:val="clear"/>
                    <w:jc w:val="center"/>
                    <w:rPr>
                      <w:rFonts w:hint="eastAsia" w:ascii="宋体" w:hAnsi="宋体" w:eastAsia="宋体" w:cs="宋体"/>
                      <w:color w:val="auto"/>
                      <w:sz w:val="21"/>
                      <w:szCs w:val="21"/>
                      <w:highlight w:val="none"/>
                    </w:rPr>
                  </w:pPr>
                </w:p>
              </w:tc>
              <w:tc>
                <w:tcPr>
                  <w:tcW w:w="2690" w:type="dxa"/>
                  <w:vAlign w:val="center"/>
                </w:tcPr>
                <w:p w14:paraId="2B850B8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西林县气象局</w:t>
                  </w:r>
                </w:p>
              </w:tc>
              <w:tc>
                <w:tcPr>
                  <w:tcW w:w="4804" w:type="dxa"/>
                  <w:vAlign w:val="center"/>
                </w:tcPr>
                <w:p w14:paraId="6A2CEC65">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西林县八达镇鲤城路181号</w:t>
                  </w:r>
                </w:p>
              </w:tc>
            </w:tr>
            <w:tr w14:paraId="5292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5D1B233C">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180" w:type="dxa"/>
                  <w:vMerge w:val="continue"/>
                  <w:vAlign w:val="center"/>
                </w:tcPr>
                <w:p w14:paraId="189389F4">
                  <w:pPr>
                    <w:shd w:val="clear"/>
                    <w:jc w:val="center"/>
                    <w:rPr>
                      <w:rFonts w:hint="eastAsia" w:ascii="宋体" w:hAnsi="宋体" w:eastAsia="宋体" w:cs="宋体"/>
                      <w:color w:val="auto"/>
                      <w:sz w:val="21"/>
                      <w:szCs w:val="21"/>
                      <w:highlight w:val="none"/>
                    </w:rPr>
                  </w:pPr>
                </w:p>
              </w:tc>
              <w:tc>
                <w:tcPr>
                  <w:tcW w:w="2690" w:type="dxa"/>
                  <w:vAlign w:val="center"/>
                </w:tcPr>
                <w:p w14:paraId="69A0B18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德保县气象局</w:t>
                  </w:r>
                </w:p>
              </w:tc>
              <w:tc>
                <w:tcPr>
                  <w:tcW w:w="4804" w:type="dxa"/>
                  <w:vAlign w:val="center"/>
                </w:tcPr>
                <w:p w14:paraId="3E824125">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德保县城关镇城东社区象山街49号</w:t>
                  </w:r>
                </w:p>
              </w:tc>
            </w:tr>
            <w:tr w14:paraId="7A12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5BCEC06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1180" w:type="dxa"/>
                  <w:vMerge w:val="continue"/>
                  <w:vAlign w:val="center"/>
                </w:tcPr>
                <w:p w14:paraId="1E3F0F0F">
                  <w:pPr>
                    <w:shd w:val="clear"/>
                    <w:jc w:val="center"/>
                    <w:rPr>
                      <w:rFonts w:hint="eastAsia" w:ascii="宋体" w:hAnsi="宋体" w:eastAsia="宋体" w:cs="宋体"/>
                      <w:color w:val="auto"/>
                      <w:sz w:val="21"/>
                      <w:szCs w:val="21"/>
                      <w:highlight w:val="none"/>
                    </w:rPr>
                  </w:pPr>
                </w:p>
              </w:tc>
              <w:tc>
                <w:tcPr>
                  <w:tcW w:w="2690" w:type="dxa"/>
                  <w:vAlign w:val="center"/>
                </w:tcPr>
                <w:p w14:paraId="0599CD8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隆林县气象局</w:t>
                  </w:r>
                </w:p>
              </w:tc>
              <w:tc>
                <w:tcPr>
                  <w:tcW w:w="4804" w:type="dxa"/>
                  <w:vAlign w:val="center"/>
                </w:tcPr>
                <w:p w14:paraId="452E26B3">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隆林县新州镇迎宾路1968号</w:t>
                  </w:r>
                </w:p>
              </w:tc>
            </w:tr>
            <w:tr w14:paraId="0B347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1013C3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1180" w:type="dxa"/>
                  <w:vMerge w:val="continue"/>
                  <w:vAlign w:val="center"/>
                </w:tcPr>
                <w:p w14:paraId="5EEBE277">
                  <w:pPr>
                    <w:shd w:val="clear"/>
                    <w:jc w:val="center"/>
                    <w:rPr>
                      <w:rFonts w:hint="eastAsia" w:ascii="宋体" w:hAnsi="宋体" w:eastAsia="宋体" w:cs="宋体"/>
                      <w:color w:val="auto"/>
                      <w:sz w:val="21"/>
                      <w:szCs w:val="21"/>
                      <w:highlight w:val="none"/>
                    </w:rPr>
                  </w:pPr>
                </w:p>
              </w:tc>
              <w:tc>
                <w:tcPr>
                  <w:tcW w:w="2690" w:type="dxa"/>
                  <w:vAlign w:val="center"/>
                </w:tcPr>
                <w:p w14:paraId="4BE3797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平果市气象局</w:t>
                  </w:r>
                </w:p>
              </w:tc>
              <w:tc>
                <w:tcPr>
                  <w:tcW w:w="4804" w:type="dxa"/>
                  <w:vAlign w:val="center"/>
                </w:tcPr>
                <w:p w14:paraId="24471F75">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平果市新安镇那劳村南百高速路进城线右侧山坡</w:t>
                  </w:r>
                </w:p>
              </w:tc>
            </w:tr>
            <w:tr w14:paraId="0FC5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5B16A270">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1180" w:type="dxa"/>
                  <w:vMerge w:val="continue"/>
                  <w:vAlign w:val="center"/>
                </w:tcPr>
                <w:p w14:paraId="2613D6B6">
                  <w:pPr>
                    <w:shd w:val="clear"/>
                    <w:jc w:val="center"/>
                    <w:rPr>
                      <w:rFonts w:hint="eastAsia" w:ascii="宋体" w:hAnsi="宋体" w:eastAsia="宋体" w:cs="宋体"/>
                      <w:color w:val="auto"/>
                      <w:sz w:val="21"/>
                      <w:szCs w:val="21"/>
                      <w:highlight w:val="none"/>
                    </w:rPr>
                  </w:pPr>
                </w:p>
              </w:tc>
              <w:tc>
                <w:tcPr>
                  <w:tcW w:w="2690" w:type="dxa"/>
                  <w:vAlign w:val="center"/>
                </w:tcPr>
                <w:p w14:paraId="3500E07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那坡县气象局</w:t>
                  </w:r>
                </w:p>
              </w:tc>
              <w:tc>
                <w:tcPr>
                  <w:tcW w:w="4804" w:type="dxa"/>
                  <w:vAlign w:val="center"/>
                </w:tcPr>
                <w:p w14:paraId="65846613">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广西那坡县城厢镇那赖村那赖屯</w:t>
                  </w:r>
                </w:p>
              </w:tc>
            </w:tr>
            <w:tr w14:paraId="613E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107122C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1180" w:type="dxa"/>
                  <w:vMerge w:val="continue"/>
                  <w:vAlign w:val="center"/>
                </w:tcPr>
                <w:p w14:paraId="3D8A06B7">
                  <w:pPr>
                    <w:shd w:val="clear"/>
                    <w:jc w:val="center"/>
                    <w:rPr>
                      <w:rFonts w:hint="eastAsia" w:ascii="宋体" w:hAnsi="宋体" w:eastAsia="宋体" w:cs="宋体"/>
                      <w:color w:val="auto"/>
                      <w:sz w:val="21"/>
                      <w:szCs w:val="21"/>
                      <w:highlight w:val="none"/>
                    </w:rPr>
                  </w:pPr>
                </w:p>
              </w:tc>
              <w:tc>
                <w:tcPr>
                  <w:tcW w:w="2690" w:type="dxa"/>
                  <w:vAlign w:val="center"/>
                </w:tcPr>
                <w:p w14:paraId="4B8EB89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田林县气象局</w:t>
                  </w:r>
                </w:p>
              </w:tc>
              <w:tc>
                <w:tcPr>
                  <w:tcW w:w="4804" w:type="dxa"/>
                  <w:vAlign w:val="center"/>
                </w:tcPr>
                <w:p w14:paraId="4709DC24">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田林县教育东路30号</w:t>
                  </w:r>
                </w:p>
              </w:tc>
            </w:tr>
            <w:tr w14:paraId="1B1C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481949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1180" w:type="dxa"/>
                  <w:vMerge w:val="continue"/>
                  <w:vAlign w:val="center"/>
                </w:tcPr>
                <w:p w14:paraId="2DDCA442">
                  <w:pPr>
                    <w:shd w:val="clear"/>
                    <w:jc w:val="center"/>
                    <w:rPr>
                      <w:rFonts w:hint="eastAsia" w:ascii="宋体" w:hAnsi="宋体" w:eastAsia="宋体" w:cs="宋体"/>
                      <w:color w:val="auto"/>
                      <w:sz w:val="21"/>
                      <w:szCs w:val="21"/>
                      <w:highlight w:val="none"/>
                    </w:rPr>
                  </w:pPr>
                </w:p>
              </w:tc>
              <w:tc>
                <w:tcPr>
                  <w:tcW w:w="2690" w:type="dxa"/>
                  <w:vAlign w:val="center"/>
                </w:tcPr>
                <w:p w14:paraId="47E36E4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右江区气象局</w:t>
                  </w:r>
                </w:p>
              </w:tc>
              <w:tc>
                <w:tcPr>
                  <w:tcW w:w="4804" w:type="dxa"/>
                  <w:vAlign w:val="center"/>
                </w:tcPr>
                <w:p w14:paraId="7123EA4E">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百色市右江区气象综合观测基地（百色市右江区龙旺大道禄粮巷）</w:t>
                  </w:r>
                </w:p>
              </w:tc>
            </w:tr>
            <w:tr w14:paraId="3BED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3A7E1EC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1180" w:type="dxa"/>
                  <w:vMerge w:val="restart"/>
                  <w:vAlign w:val="center"/>
                </w:tcPr>
                <w:p w14:paraId="37EB5C9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钦州市</w:t>
                  </w:r>
                </w:p>
              </w:tc>
              <w:tc>
                <w:tcPr>
                  <w:tcW w:w="2690" w:type="dxa"/>
                  <w:vAlign w:val="center"/>
                </w:tcPr>
                <w:p w14:paraId="1813034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浦北县气象局</w:t>
                  </w:r>
                </w:p>
              </w:tc>
              <w:tc>
                <w:tcPr>
                  <w:tcW w:w="4804" w:type="dxa"/>
                  <w:vAlign w:val="center"/>
                </w:tcPr>
                <w:p w14:paraId="744406D9">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浦北县江城街道滨河路5号浦北县气象局</w:t>
                  </w:r>
                </w:p>
              </w:tc>
            </w:tr>
            <w:tr w14:paraId="3EF7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060F03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1180" w:type="dxa"/>
                  <w:vMerge w:val="continue"/>
                  <w:vAlign w:val="center"/>
                </w:tcPr>
                <w:p w14:paraId="5B105B78">
                  <w:pPr>
                    <w:shd w:val="clear"/>
                    <w:jc w:val="center"/>
                    <w:rPr>
                      <w:rFonts w:hint="eastAsia" w:ascii="宋体" w:hAnsi="宋体" w:eastAsia="宋体" w:cs="宋体"/>
                      <w:color w:val="auto"/>
                      <w:sz w:val="21"/>
                      <w:szCs w:val="21"/>
                      <w:highlight w:val="none"/>
                    </w:rPr>
                  </w:pPr>
                </w:p>
              </w:tc>
              <w:tc>
                <w:tcPr>
                  <w:tcW w:w="2690" w:type="dxa"/>
                  <w:vAlign w:val="center"/>
                </w:tcPr>
                <w:p w14:paraId="3C91CE48">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灵山县气象局</w:t>
                  </w:r>
                </w:p>
              </w:tc>
              <w:tc>
                <w:tcPr>
                  <w:tcW w:w="4804" w:type="dxa"/>
                  <w:vAlign w:val="center"/>
                </w:tcPr>
                <w:p w14:paraId="623BE7B8">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灵山县司马路100号灵山县气象局</w:t>
                  </w:r>
                </w:p>
              </w:tc>
            </w:tr>
            <w:tr w14:paraId="2D7B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13679E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1180" w:type="dxa"/>
                  <w:vMerge w:val="restart"/>
                  <w:vAlign w:val="center"/>
                </w:tcPr>
                <w:p w14:paraId="37DACC5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梧州市</w:t>
                  </w:r>
                </w:p>
              </w:tc>
              <w:tc>
                <w:tcPr>
                  <w:tcW w:w="2690" w:type="dxa"/>
                  <w:vAlign w:val="center"/>
                </w:tcPr>
                <w:p w14:paraId="1A0C802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岑溪市气象局</w:t>
                  </w:r>
                </w:p>
              </w:tc>
              <w:tc>
                <w:tcPr>
                  <w:tcW w:w="4804" w:type="dxa"/>
                  <w:vAlign w:val="center"/>
                </w:tcPr>
                <w:p w14:paraId="1FA724D1">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岑溪市义洲大道268号</w:t>
                  </w:r>
                </w:p>
              </w:tc>
            </w:tr>
            <w:tr w14:paraId="0A58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124BEDD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1180" w:type="dxa"/>
                  <w:vMerge w:val="continue"/>
                  <w:vAlign w:val="center"/>
                </w:tcPr>
                <w:p w14:paraId="44A236C4">
                  <w:pPr>
                    <w:shd w:val="clear"/>
                    <w:jc w:val="center"/>
                    <w:rPr>
                      <w:rFonts w:hint="eastAsia" w:ascii="宋体" w:hAnsi="宋体" w:eastAsia="宋体" w:cs="宋体"/>
                      <w:color w:val="auto"/>
                      <w:sz w:val="21"/>
                      <w:szCs w:val="21"/>
                      <w:highlight w:val="none"/>
                    </w:rPr>
                  </w:pPr>
                </w:p>
              </w:tc>
              <w:tc>
                <w:tcPr>
                  <w:tcW w:w="2690" w:type="dxa"/>
                  <w:vAlign w:val="center"/>
                </w:tcPr>
                <w:p w14:paraId="6E5B7B0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苍梧县气象局</w:t>
                  </w:r>
                </w:p>
              </w:tc>
              <w:tc>
                <w:tcPr>
                  <w:tcW w:w="4804" w:type="dxa"/>
                  <w:vAlign w:val="center"/>
                </w:tcPr>
                <w:p w14:paraId="73ADA96B">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苍梧县龙圩镇农林路128号</w:t>
                  </w:r>
                </w:p>
              </w:tc>
            </w:tr>
            <w:tr w14:paraId="5B51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8754D9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1180" w:type="dxa"/>
                  <w:vMerge w:val="continue"/>
                  <w:vAlign w:val="center"/>
                </w:tcPr>
                <w:p w14:paraId="01A6086E">
                  <w:pPr>
                    <w:shd w:val="clear"/>
                    <w:jc w:val="center"/>
                    <w:rPr>
                      <w:rFonts w:hint="eastAsia" w:ascii="宋体" w:hAnsi="宋体" w:eastAsia="宋体" w:cs="宋体"/>
                      <w:color w:val="auto"/>
                      <w:sz w:val="21"/>
                      <w:szCs w:val="21"/>
                      <w:highlight w:val="none"/>
                    </w:rPr>
                  </w:pPr>
                </w:p>
              </w:tc>
              <w:tc>
                <w:tcPr>
                  <w:tcW w:w="2690" w:type="dxa"/>
                  <w:vAlign w:val="center"/>
                </w:tcPr>
                <w:p w14:paraId="1D6E4B33">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蒙山县气象局</w:t>
                  </w:r>
                </w:p>
              </w:tc>
              <w:tc>
                <w:tcPr>
                  <w:tcW w:w="4804" w:type="dxa"/>
                  <w:vAlign w:val="center"/>
                </w:tcPr>
                <w:p w14:paraId="7D382785">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蒙山县蒙山镇光明街248号</w:t>
                  </w:r>
                </w:p>
              </w:tc>
            </w:tr>
            <w:tr w14:paraId="6181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460FFB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1180" w:type="dxa"/>
                  <w:vMerge w:val="continue"/>
                  <w:vAlign w:val="center"/>
                </w:tcPr>
                <w:p w14:paraId="2F93EAEB">
                  <w:pPr>
                    <w:shd w:val="clear"/>
                    <w:jc w:val="center"/>
                    <w:rPr>
                      <w:rFonts w:hint="eastAsia" w:ascii="宋体" w:hAnsi="宋体" w:eastAsia="宋体" w:cs="宋体"/>
                      <w:color w:val="auto"/>
                      <w:sz w:val="21"/>
                      <w:szCs w:val="21"/>
                      <w:highlight w:val="none"/>
                    </w:rPr>
                  </w:pPr>
                </w:p>
              </w:tc>
              <w:tc>
                <w:tcPr>
                  <w:tcW w:w="2690" w:type="dxa"/>
                  <w:vAlign w:val="center"/>
                </w:tcPr>
                <w:p w14:paraId="3659D03E">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藤县气象局</w:t>
                  </w:r>
                </w:p>
              </w:tc>
              <w:tc>
                <w:tcPr>
                  <w:tcW w:w="4804" w:type="dxa"/>
                  <w:vAlign w:val="center"/>
                </w:tcPr>
                <w:p w14:paraId="04CA6F52">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藤县藤州镇绣江路雷庙顶46号</w:t>
                  </w:r>
                </w:p>
              </w:tc>
            </w:tr>
            <w:tr w14:paraId="5509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51E5C4C9">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1180" w:type="dxa"/>
                  <w:vMerge w:val="continue"/>
                  <w:vAlign w:val="center"/>
                </w:tcPr>
                <w:p w14:paraId="5B89D73F">
                  <w:pPr>
                    <w:shd w:val="clear"/>
                    <w:jc w:val="center"/>
                    <w:rPr>
                      <w:rFonts w:hint="eastAsia" w:ascii="宋体" w:hAnsi="宋体" w:eastAsia="宋体" w:cs="宋体"/>
                      <w:color w:val="auto"/>
                      <w:sz w:val="21"/>
                      <w:szCs w:val="21"/>
                      <w:highlight w:val="none"/>
                    </w:rPr>
                  </w:pPr>
                </w:p>
              </w:tc>
              <w:tc>
                <w:tcPr>
                  <w:tcW w:w="2690" w:type="dxa"/>
                  <w:vAlign w:val="center"/>
                </w:tcPr>
                <w:p w14:paraId="1AE98DD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龙圩区气象局</w:t>
                  </w:r>
                </w:p>
              </w:tc>
              <w:tc>
                <w:tcPr>
                  <w:tcW w:w="4804" w:type="dxa"/>
                  <w:vAlign w:val="center"/>
                </w:tcPr>
                <w:p w14:paraId="6BB66EF8">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梧州市龙圩区龙圩镇古凤高村阉牛岭山</w:t>
                  </w:r>
                </w:p>
              </w:tc>
            </w:tr>
            <w:tr w14:paraId="7973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406106C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1180" w:type="dxa"/>
                  <w:vMerge w:val="restart"/>
                  <w:vAlign w:val="center"/>
                </w:tcPr>
                <w:p w14:paraId="60158AD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玉林市</w:t>
                  </w:r>
                </w:p>
              </w:tc>
              <w:tc>
                <w:tcPr>
                  <w:tcW w:w="2690" w:type="dxa"/>
                  <w:vAlign w:val="center"/>
                </w:tcPr>
                <w:p w14:paraId="3D7769E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博白县气象局</w:t>
                  </w:r>
                </w:p>
              </w:tc>
              <w:tc>
                <w:tcPr>
                  <w:tcW w:w="4804" w:type="dxa"/>
                  <w:vAlign w:val="center"/>
                </w:tcPr>
                <w:p w14:paraId="57FCBBAA">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博白县博白镇人民北路牛肉岭博白县气象局</w:t>
                  </w:r>
                </w:p>
              </w:tc>
            </w:tr>
            <w:tr w14:paraId="5E56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510B60A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1180" w:type="dxa"/>
                  <w:vMerge w:val="continue"/>
                  <w:vAlign w:val="center"/>
                </w:tcPr>
                <w:p w14:paraId="5AF76145">
                  <w:pPr>
                    <w:shd w:val="clear"/>
                    <w:jc w:val="center"/>
                    <w:rPr>
                      <w:rFonts w:hint="eastAsia" w:ascii="宋体" w:hAnsi="宋体" w:eastAsia="宋体" w:cs="宋体"/>
                      <w:color w:val="auto"/>
                      <w:sz w:val="21"/>
                      <w:szCs w:val="21"/>
                      <w:highlight w:val="none"/>
                    </w:rPr>
                  </w:pPr>
                </w:p>
              </w:tc>
              <w:tc>
                <w:tcPr>
                  <w:tcW w:w="2690" w:type="dxa"/>
                  <w:vAlign w:val="center"/>
                </w:tcPr>
                <w:p w14:paraId="6767D195">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北流市气象局</w:t>
                  </w:r>
                </w:p>
              </w:tc>
              <w:tc>
                <w:tcPr>
                  <w:tcW w:w="4804" w:type="dxa"/>
                  <w:vAlign w:val="center"/>
                </w:tcPr>
                <w:p w14:paraId="6FB7C993">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北流市城南一路五里9号</w:t>
                  </w:r>
                </w:p>
              </w:tc>
            </w:tr>
            <w:tr w14:paraId="3108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1C895E11">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1180" w:type="dxa"/>
                  <w:vMerge w:val="continue"/>
                  <w:vAlign w:val="center"/>
                </w:tcPr>
                <w:p w14:paraId="3EACC26C">
                  <w:pPr>
                    <w:shd w:val="clear"/>
                    <w:jc w:val="center"/>
                    <w:rPr>
                      <w:rFonts w:hint="eastAsia" w:ascii="宋体" w:hAnsi="宋体" w:eastAsia="宋体" w:cs="宋体"/>
                      <w:color w:val="auto"/>
                      <w:sz w:val="21"/>
                      <w:szCs w:val="21"/>
                      <w:highlight w:val="none"/>
                    </w:rPr>
                  </w:pPr>
                </w:p>
              </w:tc>
              <w:tc>
                <w:tcPr>
                  <w:tcW w:w="2690" w:type="dxa"/>
                  <w:vAlign w:val="center"/>
                </w:tcPr>
                <w:p w14:paraId="7AA553A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陆川县气象局</w:t>
                  </w:r>
                </w:p>
              </w:tc>
              <w:tc>
                <w:tcPr>
                  <w:tcW w:w="4804" w:type="dxa"/>
                  <w:vAlign w:val="center"/>
                </w:tcPr>
                <w:p w14:paraId="091727BA">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陆川县温泉镇通政街117号</w:t>
                  </w:r>
                </w:p>
              </w:tc>
            </w:tr>
            <w:tr w14:paraId="7C55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1125574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1180" w:type="dxa"/>
                  <w:vMerge w:val="continue"/>
                  <w:vAlign w:val="center"/>
                </w:tcPr>
                <w:p w14:paraId="78238860">
                  <w:pPr>
                    <w:shd w:val="clear"/>
                    <w:jc w:val="center"/>
                    <w:rPr>
                      <w:rFonts w:hint="eastAsia" w:ascii="宋体" w:hAnsi="宋体" w:eastAsia="宋体" w:cs="宋体"/>
                      <w:color w:val="auto"/>
                      <w:sz w:val="21"/>
                      <w:szCs w:val="21"/>
                      <w:highlight w:val="none"/>
                    </w:rPr>
                  </w:pPr>
                </w:p>
              </w:tc>
              <w:tc>
                <w:tcPr>
                  <w:tcW w:w="2690" w:type="dxa"/>
                  <w:vAlign w:val="center"/>
                </w:tcPr>
                <w:p w14:paraId="336D7777">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容县气象局</w:t>
                  </w:r>
                </w:p>
              </w:tc>
              <w:tc>
                <w:tcPr>
                  <w:tcW w:w="4804" w:type="dxa"/>
                  <w:vAlign w:val="center"/>
                </w:tcPr>
                <w:p w14:paraId="3BAA65FA">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容县容州镇一级路旁气象局</w:t>
                  </w:r>
                </w:p>
              </w:tc>
            </w:tr>
            <w:tr w14:paraId="2CE2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75B1072">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1180" w:type="dxa"/>
                  <w:vMerge w:val="restart"/>
                  <w:vAlign w:val="center"/>
                </w:tcPr>
                <w:p w14:paraId="0AE1D2A4">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防城港市</w:t>
                  </w:r>
                </w:p>
              </w:tc>
              <w:tc>
                <w:tcPr>
                  <w:tcW w:w="2690" w:type="dxa"/>
                  <w:vAlign w:val="center"/>
                </w:tcPr>
                <w:p w14:paraId="2A1D9D10">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上思县气象局</w:t>
                  </w:r>
                </w:p>
              </w:tc>
              <w:tc>
                <w:tcPr>
                  <w:tcW w:w="4804" w:type="dxa"/>
                  <w:vAlign w:val="center"/>
                </w:tcPr>
                <w:p w14:paraId="38016F87">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广西防城港市上思县思阳镇广元村荣新屯</w:t>
                  </w:r>
                </w:p>
              </w:tc>
            </w:tr>
            <w:tr w14:paraId="3BEB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18B9CE80">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1180" w:type="dxa"/>
                  <w:vMerge w:val="continue"/>
                  <w:vAlign w:val="center"/>
                </w:tcPr>
                <w:p w14:paraId="5B80667F">
                  <w:pPr>
                    <w:shd w:val="clear"/>
                    <w:jc w:val="center"/>
                    <w:rPr>
                      <w:rFonts w:hint="eastAsia" w:ascii="宋体" w:hAnsi="宋体" w:eastAsia="宋体" w:cs="宋体"/>
                      <w:color w:val="auto"/>
                      <w:sz w:val="21"/>
                      <w:szCs w:val="21"/>
                      <w:highlight w:val="none"/>
                    </w:rPr>
                  </w:pPr>
                </w:p>
              </w:tc>
              <w:tc>
                <w:tcPr>
                  <w:tcW w:w="2690" w:type="dxa"/>
                  <w:vAlign w:val="center"/>
                </w:tcPr>
                <w:p w14:paraId="47962B1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防城区气象局</w:t>
                  </w:r>
                </w:p>
              </w:tc>
              <w:tc>
                <w:tcPr>
                  <w:tcW w:w="4804" w:type="dxa"/>
                  <w:vAlign w:val="center"/>
                </w:tcPr>
                <w:p w14:paraId="56655142">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防城港市防城区防城镇珠河街106号</w:t>
                  </w:r>
                </w:p>
              </w:tc>
            </w:tr>
            <w:tr w14:paraId="31BA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50A74A6">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1180" w:type="dxa"/>
                  <w:vMerge w:val="continue"/>
                  <w:vAlign w:val="center"/>
                </w:tcPr>
                <w:p w14:paraId="7C7B6F65">
                  <w:pPr>
                    <w:shd w:val="clear"/>
                    <w:jc w:val="center"/>
                    <w:rPr>
                      <w:rFonts w:hint="eastAsia" w:ascii="宋体" w:hAnsi="宋体" w:eastAsia="宋体" w:cs="宋体"/>
                      <w:color w:val="auto"/>
                      <w:sz w:val="21"/>
                      <w:szCs w:val="21"/>
                      <w:highlight w:val="none"/>
                    </w:rPr>
                  </w:pPr>
                </w:p>
              </w:tc>
              <w:tc>
                <w:tcPr>
                  <w:tcW w:w="2690" w:type="dxa"/>
                  <w:vAlign w:val="center"/>
                </w:tcPr>
                <w:p w14:paraId="33118DE4">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东兴市气象局</w:t>
                  </w:r>
                </w:p>
              </w:tc>
              <w:tc>
                <w:tcPr>
                  <w:tcW w:w="4804" w:type="dxa"/>
                  <w:vAlign w:val="center"/>
                </w:tcPr>
                <w:p w14:paraId="7F5E12B8">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东兴市白鹤岭水库西面瓜壳岭</w:t>
                  </w:r>
                </w:p>
              </w:tc>
            </w:tr>
            <w:tr w14:paraId="156B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2EBF970B">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1180" w:type="dxa"/>
                  <w:vAlign w:val="center"/>
                </w:tcPr>
                <w:p w14:paraId="73E0F93E">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北海市</w:t>
                  </w:r>
                </w:p>
              </w:tc>
              <w:tc>
                <w:tcPr>
                  <w:tcW w:w="2690" w:type="dxa"/>
                  <w:vAlign w:val="center"/>
                </w:tcPr>
                <w:p w14:paraId="2F93132A">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合浦县气象局</w:t>
                  </w:r>
                </w:p>
              </w:tc>
              <w:tc>
                <w:tcPr>
                  <w:tcW w:w="4804" w:type="dxa"/>
                  <w:vAlign w:val="center"/>
                </w:tcPr>
                <w:p w14:paraId="4397770A">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北海市广东路66号</w:t>
                  </w:r>
                </w:p>
              </w:tc>
            </w:tr>
            <w:tr w14:paraId="46BE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4AA078FD">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1180" w:type="dxa"/>
                  <w:vMerge w:val="restart"/>
                  <w:vAlign w:val="center"/>
                </w:tcPr>
                <w:p w14:paraId="1F0E922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来宾市</w:t>
                  </w:r>
                </w:p>
              </w:tc>
              <w:tc>
                <w:tcPr>
                  <w:tcW w:w="2690" w:type="dxa"/>
                  <w:vAlign w:val="center"/>
                </w:tcPr>
                <w:p w14:paraId="15EF118F">
                  <w:pPr>
                    <w:keepNext w:val="0"/>
                    <w:keepLines w:val="0"/>
                    <w:widowControl/>
                    <w:suppressLineNumbers w:val="0"/>
                    <w:shd w:val="clear"/>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兴宾区气象局</w:t>
                  </w:r>
                </w:p>
              </w:tc>
              <w:tc>
                <w:tcPr>
                  <w:tcW w:w="4804" w:type="dxa"/>
                  <w:vAlign w:val="center"/>
                </w:tcPr>
                <w:p w14:paraId="07C6C0F4">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来宾市柳来路661号</w:t>
                  </w:r>
                </w:p>
              </w:tc>
            </w:tr>
            <w:tr w14:paraId="7FBE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775E571B">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82</w:t>
                  </w:r>
                </w:p>
              </w:tc>
              <w:tc>
                <w:tcPr>
                  <w:tcW w:w="1180" w:type="dxa"/>
                  <w:vMerge w:val="continue"/>
                  <w:vAlign w:val="center"/>
                </w:tcPr>
                <w:p w14:paraId="61EDBDE0">
                  <w:pPr>
                    <w:shd w:val="clear"/>
                    <w:jc w:val="center"/>
                    <w:rPr>
                      <w:rFonts w:hint="eastAsia" w:ascii="宋体" w:hAnsi="宋体" w:eastAsia="宋体" w:cs="宋体"/>
                      <w:color w:val="auto"/>
                      <w:sz w:val="21"/>
                      <w:szCs w:val="21"/>
                      <w:highlight w:val="none"/>
                    </w:rPr>
                  </w:pPr>
                </w:p>
              </w:tc>
              <w:tc>
                <w:tcPr>
                  <w:tcW w:w="2690" w:type="dxa"/>
                  <w:vAlign w:val="center"/>
                </w:tcPr>
                <w:p w14:paraId="220B51A5">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武宣县气象局</w:t>
                  </w:r>
                </w:p>
              </w:tc>
              <w:tc>
                <w:tcPr>
                  <w:tcW w:w="4804" w:type="dxa"/>
                  <w:vAlign w:val="center"/>
                </w:tcPr>
                <w:p w14:paraId="3B0A0261">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武宣县武宣镇城南路31号</w:t>
                  </w:r>
                </w:p>
              </w:tc>
            </w:tr>
            <w:tr w14:paraId="5C9C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48C6014">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83</w:t>
                  </w:r>
                </w:p>
              </w:tc>
              <w:tc>
                <w:tcPr>
                  <w:tcW w:w="1180" w:type="dxa"/>
                  <w:vMerge w:val="continue"/>
                  <w:vAlign w:val="center"/>
                </w:tcPr>
                <w:p w14:paraId="2434E4B4">
                  <w:pPr>
                    <w:shd w:val="clear"/>
                    <w:jc w:val="center"/>
                    <w:rPr>
                      <w:rFonts w:hint="eastAsia" w:ascii="宋体" w:hAnsi="宋体" w:eastAsia="宋体" w:cs="宋体"/>
                      <w:color w:val="auto"/>
                      <w:sz w:val="21"/>
                      <w:szCs w:val="21"/>
                      <w:highlight w:val="none"/>
                    </w:rPr>
                  </w:pPr>
                </w:p>
              </w:tc>
              <w:tc>
                <w:tcPr>
                  <w:tcW w:w="2690" w:type="dxa"/>
                  <w:vAlign w:val="center"/>
                </w:tcPr>
                <w:p w14:paraId="0B839554">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忻城县气象局</w:t>
                  </w:r>
                </w:p>
              </w:tc>
              <w:tc>
                <w:tcPr>
                  <w:tcW w:w="4804" w:type="dxa"/>
                  <w:vAlign w:val="center"/>
                </w:tcPr>
                <w:p w14:paraId="2A74E38E">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忻城县城关镇城南新区智乐路</w:t>
                  </w:r>
                </w:p>
              </w:tc>
            </w:tr>
            <w:tr w14:paraId="6166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588D8BC4">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84</w:t>
                  </w:r>
                </w:p>
              </w:tc>
              <w:tc>
                <w:tcPr>
                  <w:tcW w:w="1180" w:type="dxa"/>
                  <w:vMerge w:val="continue"/>
                  <w:vAlign w:val="center"/>
                </w:tcPr>
                <w:p w14:paraId="7E0FA8A8">
                  <w:pPr>
                    <w:shd w:val="clear"/>
                    <w:jc w:val="center"/>
                    <w:rPr>
                      <w:rFonts w:hint="eastAsia" w:ascii="宋体" w:hAnsi="宋体" w:eastAsia="宋体" w:cs="宋体"/>
                      <w:color w:val="auto"/>
                      <w:sz w:val="21"/>
                      <w:szCs w:val="21"/>
                      <w:highlight w:val="none"/>
                    </w:rPr>
                  </w:pPr>
                </w:p>
              </w:tc>
              <w:tc>
                <w:tcPr>
                  <w:tcW w:w="2690" w:type="dxa"/>
                  <w:vAlign w:val="center"/>
                </w:tcPr>
                <w:p w14:paraId="0AD89BDD">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象州县气象局</w:t>
                  </w:r>
                </w:p>
              </w:tc>
              <w:tc>
                <w:tcPr>
                  <w:tcW w:w="4804" w:type="dxa"/>
                  <w:vAlign w:val="center"/>
                </w:tcPr>
                <w:p w14:paraId="33197572">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象州县温泉大道19号</w:t>
                  </w:r>
                </w:p>
              </w:tc>
            </w:tr>
            <w:tr w14:paraId="51B2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4A9D3C65">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85</w:t>
                  </w:r>
                </w:p>
              </w:tc>
              <w:tc>
                <w:tcPr>
                  <w:tcW w:w="1180" w:type="dxa"/>
                  <w:vMerge w:val="continue"/>
                  <w:vAlign w:val="center"/>
                </w:tcPr>
                <w:p w14:paraId="71EDC2F1">
                  <w:pPr>
                    <w:shd w:val="clear"/>
                    <w:jc w:val="center"/>
                    <w:rPr>
                      <w:rFonts w:hint="eastAsia" w:ascii="宋体" w:hAnsi="宋体" w:eastAsia="宋体" w:cs="宋体"/>
                      <w:color w:val="auto"/>
                      <w:sz w:val="21"/>
                      <w:szCs w:val="21"/>
                      <w:highlight w:val="none"/>
                    </w:rPr>
                  </w:pPr>
                </w:p>
              </w:tc>
              <w:tc>
                <w:tcPr>
                  <w:tcW w:w="2690" w:type="dxa"/>
                  <w:vAlign w:val="center"/>
                </w:tcPr>
                <w:p w14:paraId="32972AAE">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金秀县气象局</w:t>
                  </w:r>
                </w:p>
              </w:tc>
              <w:tc>
                <w:tcPr>
                  <w:tcW w:w="4804" w:type="dxa"/>
                  <w:vAlign w:val="center"/>
                </w:tcPr>
                <w:p w14:paraId="072C4CF9">
                  <w:pPr>
                    <w:keepNext w:val="0"/>
                    <w:keepLines w:val="0"/>
                    <w:widowControl/>
                    <w:suppressLineNumbers w:val="0"/>
                    <w:shd w:val="clear"/>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金秀县金秀镇平安路4号</w:t>
                  </w:r>
                </w:p>
              </w:tc>
            </w:tr>
          </w:tbl>
          <w:p w14:paraId="3EED02E2">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（三）采购清单</w:t>
            </w:r>
          </w:p>
          <w:p w14:paraId="26D83AAB">
            <w:pPr>
              <w:keepNext w:val="0"/>
              <w:keepLines w:val="0"/>
              <w:pageBreakBefore w:val="0"/>
              <w:shd w:val="clear"/>
              <w:kinsoku/>
              <w:overflowPunct/>
              <w:topLinePunct w:val="0"/>
              <w:bidi w:val="0"/>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本项目采购清单如下：</w:t>
            </w:r>
          </w:p>
          <w:tbl>
            <w:tblPr>
              <w:tblStyle w:val="5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4192"/>
              <w:gridCol w:w="2542"/>
              <w:gridCol w:w="2543"/>
            </w:tblGrid>
            <w:tr w14:paraId="638A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tcPr>
                <w:p w14:paraId="0027238A">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062" w:type="pct"/>
                </w:tcPr>
                <w:p w14:paraId="4459D7BC">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1250" w:type="pct"/>
                </w:tcPr>
                <w:p w14:paraId="7A2A9156">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250" w:type="pct"/>
                </w:tcPr>
                <w:p w14:paraId="0F3391F5">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r>
            <w:tr w14:paraId="317A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6" w:type="pct"/>
                </w:tcPr>
                <w:p w14:paraId="4E6B53C6">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p>
              </w:tc>
              <w:tc>
                <w:tcPr>
                  <w:tcW w:w="4563" w:type="pct"/>
                  <w:gridSpan w:val="3"/>
                </w:tcPr>
                <w:p w14:paraId="7184C84E">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区级</w:t>
                  </w:r>
                  <w:r>
                    <w:rPr>
                      <w:rFonts w:hint="eastAsia" w:ascii="宋体" w:hAnsi="宋体" w:cs="宋体"/>
                      <w:color w:val="auto"/>
                      <w:sz w:val="21"/>
                      <w:szCs w:val="21"/>
                      <w:highlight w:val="none"/>
                      <w:lang w:eastAsia="zh-CN"/>
                    </w:rPr>
                    <w:t>音视</w:t>
                  </w:r>
                  <w:r>
                    <w:rPr>
                      <w:rFonts w:hint="eastAsia" w:ascii="宋体" w:hAnsi="宋体" w:eastAsia="宋体" w:cs="宋体"/>
                      <w:color w:val="auto"/>
                      <w:sz w:val="21"/>
                      <w:szCs w:val="21"/>
                      <w:highlight w:val="none"/>
                    </w:rPr>
                    <w:t>频调度服务系统</w:t>
                  </w:r>
                </w:p>
              </w:tc>
            </w:tr>
            <w:tr w14:paraId="749A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5BDAB8D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1.1</w:t>
                  </w:r>
                </w:p>
              </w:tc>
              <w:tc>
                <w:tcPr>
                  <w:tcW w:w="2062" w:type="pct"/>
                  <w:vAlign w:val="center"/>
                </w:tcPr>
                <w:p w14:paraId="4E9EA95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eastAsia="zh-CN" w:bidi="ar"/>
                    </w:rPr>
                    <w:t>区级指挥调度视频终端</w:t>
                  </w:r>
                  <w:r>
                    <w:rPr>
                      <w:rFonts w:hint="eastAsia" w:ascii="宋体" w:hAnsi="宋体" w:eastAsia="宋体" w:cs="宋体"/>
                      <w:color w:val="auto"/>
                      <w:kern w:val="0"/>
                      <w:sz w:val="21"/>
                      <w:szCs w:val="21"/>
                      <w:highlight w:val="none"/>
                      <w:lang w:bidi="ar"/>
                    </w:rPr>
                    <w:t>①</w:t>
                  </w:r>
                </w:p>
              </w:tc>
              <w:tc>
                <w:tcPr>
                  <w:tcW w:w="1250" w:type="pct"/>
                  <w:vAlign w:val="center"/>
                </w:tcPr>
                <w:p w14:paraId="63E59F7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1250" w:type="pct"/>
                  <w:vAlign w:val="center"/>
                </w:tcPr>
                <w:p w14:paraId="4EB32D7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745C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2A1AE24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1.2</w:t>
                  </w:r>
                </w:p>
              </w:tc>
              <w:tc>
                <w:tcPr>
                  <w:tcW w:w="2062" w:type="pct"/>
                  <w:vAlign w:val="center"/>
                </w:tcPr>
                <w:p w14:paraId="3B4AA5B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eastAsia="zh-CN" w:bidi="ar"/>
                    </w:rPr>
                    <w:t>区级指挥调度视频终端</w:t>
                  </w:r>
                  <w:r>
                    <w:rPr>
                      <w:rFonts w:hint="eastAsia" w:ascii="宋体" w:hAnsi="宋体" w:eastAsia="宋体" w:cs="宋体"/>
                      <w:color w:val="auto"/>
                      <w:kern w:val="0"/>
                      <w:sz w:val="21"/>
                      <w:szCs w:val="21"/>
                      <w:highlight w:val="none"/>
                      <w:lang w:bidi="ar"/>
                    </w:rPr>
                    <w:t>②</w:t>
                  </w:r>
                </w:p>
              </w:tc>
              <w:tc>
                <w:tcPr>
                  <w:tcW w:w="1250" w:type="pct"/>
                  <w:vAlign w:val="center"/>
                </w:tcPr>
                <w:p w14:paraId="51BD154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1250" w:type="pct"/>
                  <w:vAlign w:val="center"/>
                </w:tcPr>
                <w:p w14:paraId="3F67237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1B26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 w:type="pct"/>
                  <w:vAlign w:val="center"/>
                </w:tcPr>
                <w:p w14:paraId="1E1A9B6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1.3</w:t>
                  </w:r>
                </w:p>
              </w:tc>
              <w:tc>
                <w:tcPr>
                  <w:tcW w:w="2062" w:type="pct"/>
                  <w:vAlign w:val="center"/>
                </w:tcPr>
                <w:p w14:paraId="7EF8C28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音视频存储管理软件</w:t>
                  </w:r>
                </w:p>
              </w:tc>
              <w:tc>
                <w:tcPr>
                  <w:tcW w:w="1250" w:type="pct"/>
                  <w:vAlign w:val="center"/>
                </w:tcPr>
                <w:p w14:paraId="241708F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1250" w:type="pct"/>
                  <w:vAlign w:val="center"/>
                </w:tcPr>
                <w:p w14:paraId="574E66C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0AF8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543FD4D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1.4</w:t>
                  </w:r>
                </w:p>
              </w:tc>
              <w:tc>
                <w:tcPr>
                  <w:tcW w:w="2062" w:type="pct"/>
                  <w:vAlign w:val="center"/>
                </w:tcPr>
                <w:p w14:paraId="55A1797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多域跨网融合支撑平台</w:t>
                  </w:r>
                </w:p>
              </w:tc>
              <w:tc>
                <w:tcPr>
                  <w:tcW w:w="1250" w:type="pct"/>
                  <w:vAlign w:val="center"/>
                </w:tcPr>
                <w:p w14:paraId="3B1281D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w:t>
                  </w:r>
                </w:p>
              </w:tc>
              <w:tc>
                <w:tcPr>
                  <w:tcW w:w="1250" w:type="pct"/>
                  <w:vAlign w:val="center"/>
                </w:tcPr>
                <w:p w14:paraId="510F47F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227F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40035D3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1.5</w:t>
                  </w:r>
                </w:p>
              </w:tc>
              <w:tc>
                <w:tcPr>
                  <w:tcW w:w="2062" w:type="pct"/>
                  <w:vAlign w:val="center"/>
                </w:tcPr>
                <w:p w14:paraId="0A4401C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多域跨网融合采集端</w:t>
                  </w:r>
                </w:p>
              </w:tc>
              <w:tc>
                <w:tcPr>
                  <w:tcW w:w="1250" w:type="pct"/>
                  <w:vAlign w:val="center"/>
                </w:tcPr>
                <w:p w14:paraId="1291D1FF">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1250" w:type="pct"/>
                  <w:vAlign w:val="center"/>
                </w:tcPr>
                <w:p w14:paraId="1313C7D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项</w:t>
                  </w:r>
                </w:p>
              </w:tc>
            </w:tr>
            <w:tr w14:paraId="16DF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7004211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1.6</w:t>
                  </w:r>
                </w:p>
              </w:tc>
              <w:tc>
                <w:tcPr>
                  <w:tcW w:w="2062" w:type="pct"/>
                  <w:vAlign w:val="center"/>
                </w:tcPr>
                <w:p w14:paraId="684D1A8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多域跨网融合远程交互端</w:t>
                  </w:r>
                </w:p>
              </w:tc>
              <w:tc>
                <w:tcPr>
                  <w:tcW w:w="1250" w:type="pct"/>
                  <w:vAlign w:val="center"/>
                </w:tcPr>
                <w:p w14:paraId="25D9837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w:t>
                  </w:r>
                </w:p>
              </w:tc>
              <w:tc>
                <w:tcPr>
                  <w:tcW w:w="1250" w:type="pct"/>
                  <w:vAlign w:val="center"/>
                </w:tcPr>
                <w:p w14:paraId="72CE142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179C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7CCB976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1.7</w:t>
                  </w:r>
                </w:p>
              </w:tc>
              <w:tc>
                <w:tcPr>
                  <w:tcW w:w="2062" w:type="pct"/>
                  <w:vAlign w:val="center"/>
                </w:tcPr>
                <w:p w14:paraId="4D36015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多域跨网融合本地交互端</w:t>
                  </w:r>
                </w:p>
              </w:tc>
              <w:tc>
                <w:tcPr>
                  <w:tcW w:w="1250" w:type="pct"/>
                  <w:vAlign w:val="center"/>
                </w:tcPr>
                <w:p w14:paraId="4F2CFC7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20</w:t>
                  </w:r>
                </w:p>
              </w:tc>
              <w:tc>
                <w:tcPr>
                  <w:tcW w:w="1250" w:type="pct"/>
                  <w:vAlign w:val="center"/>
                </w:tcPr>
                <w:p w14:paraId="4C524C1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790E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371F295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1.8</w:t>
                  </w:r>
                </w:p>
              </w:tc>
              <w:tc>
                <w:tcPr>
                  <w:tcW w:w="2062" w:type="pct"/>
                  <w:vAlign w:val="center"/>
                </w:tcPr>
                <w:p w14:paraId="57D01C3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多域跨网融合移动端</w:t>
                  </w:r>
                </w:p>
              </w:tc>
              <w:tc>
                <w:tcPr>
                  <w:tcW w:w="1250" w:type="pct"/>
                  <w:vAlign w:val="center"/>
                </w:tcPr>
                <w:p w14:paraId="0A23497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1250" w:type="pct"/>
                  <w:vAlign w:val="center"/>
                </w:tcPr>
                <w:p w14:paraId="667EB12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项</w:t>
                  </w:r>
                </w:p>
              </w:tc>
            </w:tr>
            <w:tr w14:paraId="501A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33DE4DF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1.9</w:t>
                  </w:r>
                </w:p>
              </w:tc>
              <w:tc>
                <w:tcPr>
                  <w:tcW w:w="2062" w:type="pct"/>
                  <w:vAlign w:val="center"/>
                </w:tcPr>
                <w:p w14:paraId="29AD7BB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多域跨网融合态势端</w:t>
                  </w:r>
                </w:p>
              </w:tc>
              <w:tc>
                <w:tcPr>
                  <w:tcW w:w="1250" w:type="pct"/>
                  <w:vAlign w:val="center"/>
                </w:tcPr>
                <w:p w14:paraId="60649D6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w:t>
                  </w:r>
                </w:p>
              </w:tc>
              <w:tc>
                <w:tcPr>
                  <w:tcW w:w="1250" w:type="pct"/>
                  <w:vAlign w:val="center"/>
                </w:tcPr>
                <w:p w14:paraId="3AD03AA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2281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5533B4D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1.10</w:t>
                  </w:r>
                </w:p>
              </w:tc>
              <w:tc>
                <w:tcPr>
                  <w:tcW w:w="2062" w:type="pct"/>
                  <w:vAlign w:val="center"/>
                </w:tcPr>
                <w:p w14:paraId="6103F5D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多域跨网融合会商端</w:t>
                  </w:r>
                </w:p>
              </w:tc>
              <w:tc>
                <w:tcPr>
                  <w:tcW w:w="1250" w:type="pct"/>
                  <w:vAlign w:val="center"/>
                </w:tcPr>
                <w:p w14:paraId="29BAA3E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1250" w:type="pct"/>
                  <w:vAlign w:val="center"/>
                </w:tcPr>
                <w:p w14:paraId="57B1ED8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项</w:t>
                  </w:r>
                </w:p>
              </w:tc>
            </w:tr>
            <w:tr w14:paraId="250C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72A4977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1.11</w:t>
                  </w:r>
                </w:p>
              </w:tc>
              <w:tc>
                <w:tcPr>
                  <w:tcW w:w="2062" w:type="pct"/>
                  <w:vAlign w:val="center"/>
                </w:tcPr>
                <w:p w14:paraId="7F92FEC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多域跨网融合通信端</w:t>
                  </w:r>
                </w:p>
              </w:tc>
              <w:tc>
                <w:tcPr>
                  <w:tcW w:w="1250" w:type="pct"/>
                  <w:vAlign w:val="center"/>
                </w:tcPr>
                <w:p w14:paraId="5E101BD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w:t>
                  </w:r>
                </w:p>
              </w:tc>
              <w:tc>
                <w:tcPr>
                  <w:tcW w:w="1250" w:type="pct"/>
                  <w:vAlign w:val="center"/>
                </w:tcPr>
                <w:p w14:paraId="3676C77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r>
            <w:tr w14:paraId="4722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19E9F7F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1.12</w:t>
                  </w:r>
                </w:p>
              </w:tc>
              <w:tc>
                <w:tcPr>
                  <w:tcW w:w="2062" w:type="pct"/>
                  <w:vAlign w:val="center"/>
                </w:tcPr>
                <w:p w14:paraId="5D4F408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辅材辅料</w:t>
                  </w:r>
                </w:p>
              </w:tc>
              <w:tc>
                <w:tcPr>
                  <w:tcW w:w="1250" w:type="pct"/>
                  <w:vAlign w:val="center"/>
                </w:tcPr>
                <w:p w14:paraId="1E7FB9B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1250" w:type="pct"/>
                  <w:vAlign w:val="center"/>
                </w:tcPr>
                <w:p w14:paraId="0BA4A05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批</w:t>
                  </w:r>
                </w:p>
              </w:tc>
            </w:tr>
            <w:tr w14:paraId="3117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725AB5E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p>
              </w:tc>
              <w:tc>
                <w:tcPr>
                  <w:tcW w:w="4563" w:type="pct"/>
                  <w:gridSpan w:val="3"/>
                  <w:vAlign w:val="center"/>
                </w:tcPr>
                <w:p w14:paraId="13D273A9">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市级</w:t>
                  </w:r>
                  <w:r>
                    <w:rPr>
                      <w:rFonts w:hint="eastAsia" w:ascii="宋体" w:hAnsi="宋体" w:cs="宋体"/>
                      <w:color w:val="auto"/>
                      <w:sz w:val="21"/>
                      <w:szCs w:val="21"/>
                      <w:highlight w:val="none"/>
                      <w:lang w:eastAsia="zh-CN"/>
                    </w:rPr>
                    <w:t>音视</w:t>
                  </w:r>
                  <w:r>
                    <w:rPr>
                      <w:rFonts w:hint="eastAsia" w:ascii="宋体" w:hAnsi="宋体" w:eastAsia="宋体" w:cs="宋体"/>
                      <w:color w:val="auto"/>
                      <w:sz w:val="21"/>
                      <w:szCs w:val="21"/>
                      <w:highlight w:val="none"/>
                    </w:rPr>
                    <w:t>频调度服务系统</w:t>
                  </w:r>
                </w:p>
              </w:tc>
            </w:tr>
            <w:tr w14:paraId="138E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36520A4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2.1</w:t>
                  </w:r>
                </w:p>
              </w:tc>
              <w:tc>
                <w:tcPr>
                  <w:tcW w:w="2062" w:type="pct"/>
                  <w:vAlign w:val="center"/>
                </w:tcPr>
                <w:p w14:paraId="0BC5BFD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市级指挥调度视频终端</w:t>
                  </w:r>
                </w:p>
              </w:tc>
              <w:tc>
                <w:tcPr>
                  <w:tcW w:w="1250" w:type="pct"/>
                  <w:vAlign w:val="center"/>
                </w:tcPr>
                <w:p w14:paraId="021DE41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14</w:t>
                  </w:r>
                </w:p>
              </w:tc>
              <w:tc>
                <w:tcPr>
                  <w:tcW w:w="1250" w:type="pct"/>
                  <w:vAlign w:val="center"/>
                </w:tcPr>
                <w:p w14:paraId="56E7C2AC">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3623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0C55283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2.2</w:t>
                  </w:r>
                </w:p>
              </w:tc>
              <w:tc>
                <w:tcPr>
                  <w:tcW w:w="2062" w:type="pct"/>
                  <w:vAlign w:val="center"/>
                </w:tcPr>
                <w:p w14:paraId="0EFC966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多域跨网融合支撑平台</w:t>
                  </w:r>
                </w:p>
              </w:tc>
              <w:tc>
                <w:tcPr>
                  <w:tcW w:w="1250" w:type="pct"/>
                  <w:vAlign w:val="center"/>
                </w:tcPr>
                <w:p w14:paraId="642C3D6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14</w:t>
                  </w:r>
                </w:p>
              </w:tc>
              <w:tc>
                <w:tcPr>
                  <w:tcW w:w="1250" w:type="pct"/>
                  <w:vAlign w:val="center"/>
                </w:tcPr>
                <w:p w14:paraId="09634C5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7AF5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2B996AB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2.3</w:t>
                  </w:r>
                </w:p>
              </w:tc>
              <w:tc>
                <w:tcPr>
                  <w:tcW w:w="2062" w:type="pct"/>
                  <w:vAlign w:val="center"/>
                </w:tcPr>
                <w:p w14:paraId="609E835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多域跨网融合远程交互端</w:t>
                  </w:r>
                </w:p>
              </w:tc>
              <w:tc>
                <w:tcPr>
                  <w:tcW w:w="1250" w:type="pct"/>
                  <w:vAlign w:val="center"/>
                </w:tcPr>
                <w:p w14:paraId="26CD9BF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28</w:t>
                  </w:r>
                </w:p>
              </w:tc>
              <w:tc>
                <w:tcPr>
                  <w:tcW w:w="1250" w:type="pct"/>
                  <w:vAlign w:val="center"/>
                </w:tcPr>
                <w:p w14:paraId="314B065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1AB7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36C47D2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2.4</w:t>
                  </w:r>
                </w:p>
              </w:tc>
              <w:tc>
                <w:tcPr>
                  <w:tcW w:w="2062" w:type="pct"/>
                  <w:vAlign w:val="center"/>
                </w:tcPr>
                <w:p w14:paraId="7E94CB0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多域跨网采集控制软件</w:t>
                  </w:r>
                </w:p>
              </w:tc>
              <w:tc>
                <w:tcPr>
                  <w:tcW w:w="1250" w:type="pct"/>
                  <w:vAlign w:val="center"/>
                </w:tcPr>
                <w:p w14:paraId="2C51873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14</w:t>
                  </w:r>
                </w:p>
              </w:tc>
              <w:tc>
                <w:tcPr>
                  <w:tcW w:w="1250" w:type="pct"/>
                  <w:vAlign w:val="center"/>
                </w:tcPr>
                <w:p w14:paraId="110F655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24C0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096448B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2.5</w:t>
                  </w:r>
                </w:p>
              </w:tc>
              <w:tc>
                <w:tcPr>
                  <w:tcW w:w="2062" w:type="pct"/>
                  <w:vAlign w:val="center"/>
                </w:tcPr>
                <w:p w14:paraId="1AFB011F">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多域跨网融合采集使用端</w:t>
                  </w:r>
                </w:p>
              </w:tc>
              <w:tc>
                <w:tcPr>
                  <w:tcW w:w="1250" w:type="pct"/>
                  <w:vAlign w:val="center"/>
                </w:tcPr>
                <w:p w14:paraId="5354C9D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70</w:t>
                  </w:r>
                </w:p>
              </w:tc>
              <w:tc>
                <w:tcPr>
                  <w:tcW w:w="1250" w:type="pct"/>
                  <w:vAlign w:val="center"/>
                </w:tcPr>
                <w:p w14:paraId="598C173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6613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1DB4C3A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2.6</w:t>
                  </w:r>
                </w:p>
              </w:tc>
              <w:tc>
                <w:tcPr>
                  <w:tcW w:w="2062" w:type="pct"/>
                  <w:vAlign w:val="center"/>
                </w:tcPr>
                <w:p w14:paraId="0EA1E38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多域跨网融合移动端软件版</w:t>
                  </w:r>
                </w:p>
              </w:tc>
              <w:tc>
                <w:tcPr>
                  <w:tcW w:w="1250" w:type="pct"/>
                  <w:vAlign w:val="center"/>
                </w:tcPr>
                <w:p w14:paraId="13AA43D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14</w:t>
                  </w:r>
                </w:p>
              </w:tc>
              <w:tc>
                <w:tcPr>
                  <w:tcW w:w="1250" w:type="pct"/>
                  <w:vAlign w:val="center"/>
                </w:tcPr>
                <w:p w14:paraId="4DBED4D1">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2C14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6E1D692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2.7</w:t>
                  </w:r>
                </w:p>
              </w:tc>
              <w:tc>
                <w:tcPr>
                  <w:tcW w:w="2062" w:type="pct"/>
                  <w:vAlign w:val="center"/>
                </w:tcPr>
                <w:p w14:paraId="1D9A798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多域跨网融合态势端</w:t>
                  </w:r>
                </w:p>
              </w:tc>
              <w:tc>
                <w:tcPr>
                  <w:tcW w:w="1250" w:type="pct"/>
                  <w:vAlign w:val="center"/>
                </w:tcPr>
                <w:p w14:paraId="5487101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14</w:t>
                  </w:r>
                </w:p>
              </w:tc>
              <w:tc>
                <w:tcPr>
                  <w:tcW w:w="1250" w:type="pct"/>
                  <w:vAlign w:val="center"/>
                </w:tcPr>
                <w:p w14:paraId="2CA3370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7145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166C98E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2.8</w:t>
                  </w:r>
                </w:p>
              </w:tc>
              <w:tc>
                <w:tcPr>
                  <w:tcW w:w="2062" w:type="pct"/>
                  <w:vAlign w:val="center"/>
                </w:tcPr>
                <w:p w14:paraId="194B421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多域跨网融合会商端</w:t>
                  </w:r>
                </w:p>
              </w:tc>
              <w:tc>
                <w:tcPr>
                  <w:tcW w:w="1250" w:type="pct"/>
                  <w:vAlign w:val="center"/>
                </w:tcPr>
                <w:p w14:paraId="2E22929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42</w:t>
                  </w:r>
                </w:p>
              </w:tc>
              <w:tc>
                <w:tcPr>
                  <w:tcW w:w="1250" w:type="pct"/>
                  <w:vAlign w:val="center"/>
                </w:tcPr>
                <w:p w14:paraId="43FCB9E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5DDD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727C1F5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2.9</w:t>
                  </w:r>
                </w:p>
              </w:tc>
              <w:tc>
                <w:tcPr>
                  <w:tcW w:w="2062" w:type="pct"/>
                  <w:vAlign w:val="center"/>
                </w:tcPr>
                <w:p w14:paraId="4AEA658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多域跨网融合通信端</w:t>
                  </w:r>
                </w:p>
              </w:tc>
              <w:tc>
                <w:tcPr>
                  <w:tcW w:w="1250" w:type="pct"/>
                  <w:vAlign w:val="center"/>
                </w:tcPr>
                <w:p w14:paraId="7E6C775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w:t>
                  </w:r>
                </w:p>
              </w:tc>
              <w:tc>
                <w:tcPr>
                  <w:tcW w:w="1250" w:type="pct"/>
                  <w:vAlign w:val="center"/>
                </w:tcPr>
                <w:p w14:paraId="0E3E2F2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r>
            <w:tr w14:paraId="4FD4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1D9D409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2.10</w:t>
                  </w:r>
                </w:p>
              </w:tc>
              <w:tc>
                <w:tcPr>
                  <w:tcW w:w="2062" w:type="pct"/>
                  <w:vAlign w:val="center"/>
                </w:tcPr>
                <w:p w14:paraId="644004F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辅材辅料</w:t>
                  </w:r>
                </w:p>
              </w:tc>
              <w:tc>
                <w:tcPr>
                  <w:tcW w:w="1250" w:type="pct"/>
                  <w:vAlign w:val="center"/>
                </w:tcPr>
                <w:p w14:paraId="68FF3C7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1250" w:type="pct"/>
                  <w:vAlign w:val="center"/>
                </w:tcPr>
                <w:p w14:paraId="76C9C6C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批</w:t>
                  </w:r>
                </w:p>
              </w:tc>
            </w:tr>
            <w:tr w14:paraId="6211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67307CA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p>
              </w:tc>
              <w:tc>
                <w:tcPr>
                  <w:tcW w:w="4563" w:type="pct"/>
                  <w:gridSpan w:val="3"/>
                  <w:vAlign w:val="center"/>
                </w:tcPr>
                <w:p w14:paraId="020F1A20">
                  <w:pPr>
                    <w:keepNext w:val="0"/>
                    <w:keepLines w:val="0"/>
                    <w:pageBreakBefore w:val="0"/>
                    <w:widowControl/>
                    <w:shd w:val="clear"/>
                    <w:kinsoku/>
                    <w:overflowPunct/>
                    <w:topLinePunct w:val="0"/>
                    <w:bidi w:val="0"/>
                    <w:snapToGri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县级</w:t>
                  </w:r>
                  <w:r>
                    <w:rPr>
                      <w:rFonts w:hint="eastAsia" w:ascii="宋体" w:hAnsi="宋体" w:cs="宋体"/>
                      <w:color w:val="auto"/>
                      <w:sz w:val="21"/>
                      <w:szCs w:val="21"/>
                      <w:highlight w:val="none"/>
                      <w:lang w:eastAsia="zh-CN"/>
                    </w:rPr>
                    <w:t>音视</w:t>
                  </w:r>
                  <w:r>
                    <w:rPr>
                      <w:rFonts w:hint="eastAsia" w:ascii="宋体" w:hAnsi="宋体" w:eastAsia="宋体" w:cs="宋体"/>
                      <w:color w:val="auto"/>
                      <w:sz w:val="21"/>
                      <w:szCs w:val="21"/>
                      <w:highlight w:val="none"/>
                    </w:rPr>
                    <w:t>频调度服务系统</w:t>
                  </w:r>
                </w:p>
              </w:tc>
            </w:tr>
            <w:tr w14:paraId="502D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0B371E0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3.1</w:t>
                  </w:r>
                </w:p>
              </w:tc>
              <w:tc>
                <w:tcPr>
                  <w:tcW w:w="2062" w:type="pct"/>
                  <w:vAlign w:val="center"/>
                </w:tcPr>
                <w:p w14:paraId="6C4D15D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县级指挥调度视频终端</w:t>
                  </w:r>
                </w:p>
              </w:tc>
              <w:tc>
                <w:tcPr>
                  <w:tcW w:w="1250" w:type="pct"/>
                  <w:vAlign w:val="center"/>
                </w:tcPr>
                <w:p w14:paraId="5F7BFF8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85</w:t>
                  </w:r>
                </w:p>
              </w:tc>
              <w:tc>
                <w:tcPr>
                  <w:tcW w:w="1250" w:type="pct"/>
                  <w:vAlign w:val="center"/>
                </w:tcPr>
                <w:p w14:paraId="6A98818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6463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6B637CB7">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3.2</w:t>
                  </w:r>
                </w:p>
              </w:tc>
              <w:tc>
                <w:tcPr>
                  <w:tcW w:w="2062" w:type="pct"/>
                  <w:vAlign w:val="center"/>
                </w:tcPr>
                <w:p w14:paraId="153928B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多域跨网融合支撑平台</w:t>
                  </w:r>
                </w:p>
              </w:tc>
              <w:tc>
                <w:tcPr>
                  <w:tcW w:w="1250" w:type="pct"/>
                  <w:vAlign w:val="center"/>
                </w:tcPr>
                <w:p w14:paraId="5A5F4B0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85</w:t>
                  </w:r>
                </w:p>
              </w:tc>
              <w:tc>
                <w:tcPr>
                  <w:tcW w:w="1250" w:type="pct"/>
                  <w:vAlign w:val="center"/>
                </w:tcPr>
                <w:p w14:paraId="2BE0484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78DE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505E91C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3.3</w:t>
                  </w:r>
                </w:p>
              </w:tc>
              <w:tc>
                <w:tcPr>
                  <w:tcW w:w="2062" w:type="pct"/>
                  <w:vAlign w:val="center"/>
                </w:tcPr>
                <w:p w14:paraId="0095D8F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多域跨网融合远程交互端</w:t>
                  </w:r>
                </w:p>
              </w:tc>
              <w:tc>
                <w:tcPr>
                  <w:tcW w:w="1250" w:type="pct"/>
                  <w:vAlign w:val="center"/>
                </w:tcPr>
                <w:p w14:paraId="1A94CCA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85</w:t>
                  </w:r>
                </w:p>
              </w:tc>
              <w:tc>
                <w:tcPr>
                  <w:tcW w:w="1250" w:type="pct"/>
                  <w:vAlign w:val="center"/>
                </w:tcPr>
                <w:p w14:paraId="48CA749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7B8B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6649AD0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3.4</w:t>
                  </w:r>
                </w:p>
              </w:tc>
              <w:tc>
                <w:tcPr>
                  <w:tcW w:w="2062" w:type="pct"/>
                  <w:vAlign w:val="center"/>
                </w:tcPr>
                <w:p w14:paraId="68C527F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多域跨网采集控制软件</w:t>
                  </w:r>
                </w:p>
              </w:tc>
              <w:tc>
                <w:tcPr>
                  <w:tcW w:w="1250" w:type="pct"/>
                  <w:vAlign w:val="center"/>
                </w:tcPr>
                <w:p w14:paraId="5BB117CF">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85</w:t>
                  </w:r>
                </w:p>
              </w:tc>
              <w:tc>
                <w:tcPr>
                  <w:tcW w:w="1250" w:type="pct"/>
                  <w:vAlign w:val="center"/>
                </w:tcPr>
                <w:p w14:paraId="33A4D36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415F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1A53961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3.5</w:t>
                  </w:r>
                </w:p>
              </w:tc>
              <w:tc>
                <w:tcPr>
                  <w:tcW w:w="2062" w:type="pct"/>
                  <w:vAlign w:val="center"/>
                </w:tcPr>
                <w:p w14:paraId="1D256198">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多域跨网融合采集使用端</w:t>
                  </w:r>
                </w:p>
              </w:tc>
              <w:tc>
                <w:tcPr>
                  <w:tcW w:w="1250" w:type="pct"/>
                  <w:vAlign w:val="center"/>
                </w:tcPr>
                <w:p w14:paraId="09D545D4">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85</w:t>
                  </w:r>
                </w:p>
              </w:tc>
              <w:tc>
                <w:tcPr>
                  <w:tcW w:w="1250" w:type="pct"/>
                  <w:vAlign w:val="center"/>
                </w:tcPr>
                <w:p w14:paraId="0C1E660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52FB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7E77A15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3.6</w:t>
                  </w:r>
                </w:p>
              </w:tc>
              <w:tc>
                <w:tcPr>
                  <w:tcW w:w="2062" w:type="pct"/>
                  <w:vAlign w:val="center"/>
                </w:tcPr>
                <w:p w14:paraId="728759E2">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多域跨网融合移动端软件版</w:t>
                  </w:r>
                </w:p>
              </w:tc>
              <w:tc>
                <w:tcPr>
                  <w:tcW w:w="1250" w:type="pct"/>
                  <w:vAlign w:val="center"/>
                </w:tcPr>
                <w:p w14:paraId="0CD4B36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85</w:t>
                  </w:r>
                </w:p>
              </w:tc>
              <w:tc>
                <w:tcPr>
                  <w:tcW w:w="1250" w:type="pct"/>
                  <w:vAlign w:val="center"/>
                </w:tcPr>
                <w:p w14:paraId="5E630FB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63DD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3636CA6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3.7</w:t>
                  </w:r>
                </w:p>
              </w:tc>
              <w:tc>
                <w:tcPr>
                  <w:tcW w:w="2062" w:type="pct"/>
                  <w:vAlign w:val="center"/>
                </w:tcPr>
                <w:p w14:paraId="5E9D840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多域跨网融合态势端</w:t>
                  </w:r>
                </w:p>
              </w:tc>
              <w:tc>
                <w:tcPr>
                  <w:tcW w:w="1250" w:type="pct"/>
                  <w:vAlign w:val="center"/>
                </w:tcPr>
                <w:p w14:paraId="309D9BD3">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85</w:t>
                  </w:r>
                </w:p>
              </w:tc>
              <w:tc>
                <w:tcPr>
                  <w:tcW w:w="1250" w:type="pct"/>
                  <w:vAlign w:val="center"/>
                </w:tcPr>
                <w:p w14:paraId="36FB7E2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2B4B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1827026E">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3.8</w:t>
                  </w:r>
                </w:p>
              </w:tc>
              <w:tc>
                <w:tcPr>
                  <w:tcW w:w="2062" w:type="pct"/>
                  <w:vAlign w:val="center"/>
                </w:tcPr>
                <w:p w14:paraId="1A810809">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多域跨网融合会商端</w:t>
                  </w:r>
                </w:p>
              </w:tc>
              <w:tc>
                <w:tcPr>
                  <w:tcW w:w="1250" w:type="pct"/>
                  <w:vAlign w:val="center"/>
                </w:tcPr>
                <w:p w14:paraId="28F4C1B6">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85</w:t>
                  </w:r>
                </w:p>
              </w:tc>
              <w:tc>
                <w:tcPr>
                  <w:tcW w:w="1250" w:type="pct"/>
                  <w:vAlign w:val="center"/>
                </w:tcPr>
                <w:p w14:paraId="540FEBA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r>
            <w:tr w14:paraId="4794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73717470">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3.9</w:t>
                  </w:r>
                </w:p>
              </w:tc>
              <w:tc>
                <w:tcPr>
                  <w:tcW w:w="2062" w:type="pct"/>
                  <w:vAlign w:val="center"/>
                </w:tcPr>
                <w:p w14:paraId="67FAAF9D">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多域跨网融合通信端</w:t>
                  </w:r>
                </w:p>
              </w:tc>
              <w:tc>
                <w:tcPr>
                  <w:tcW w:w="1250" w:type="pct"/>
                  <w:vAlign w:val="center"/>
                </w:tcPr>
                <w:p w14:paraId="0096905B">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85</w:t>
                  </w:r>
                </w:p>
              </w:tc>
              <w:tc>
                <w:tcPr>
                  <w:tcW w:w="1250" w:type="pct"/>
                  <w:vAlign w:val="center"/>
                </w:tcPr>
                <w:p w14:paraId="28C3E6E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r>
            <w:tr w14:paraId="200E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27303D5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3.10</w:t>
                  </w:r>
                </w:p>
              </w:tc>
              <w:tc>
                <w:tcPr>
                  <w:tcW w:w="2062" w:type="pct"/>
                  <w:vAlign w:val="center"/>
                </w:tcPr>
                <w:p w14:paraId="0AB99675">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辅材辅料</w:t>
                  </w:r>
                </w:p>
              </w:tc>
              <w:tc>
                <w:tcPr>
                  <w:tcW w:w="1250" w:type="pct"/>
                  <w:vAlign w:val="center"/>
                </w:tcPr>
                <w:p w14:paraId="7E9C9EA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1250" w:type="pct"/>
                  <w:vAlign w:val="center"/>
                </w:tcPr>
                <w:p w14:paraId="470AD2AA">
                  <w:pPr>
                    <w:keepNext w:val="0"/>
                    <w:keepLines w:val="0"/>
                    <w:pageBreakBefore w:val="0"/>
                    <w:widowControl/>
                    <w:shd w:val="clear"/>
                    <w:kinsoku/>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批</w:t>
                  </w:r>
                </w:p>
              </w:tc>
            </w:tr>
          </w:tbl>
          <w:p w14:paraId="723E80A5">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▲2.是否接受进口产品：否</w:t>
            </w:r>
          </w:p>
          <w:p w14:paraId="095F0E5D">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注：（1）以上所述不接受进口产品的，供应商不得选用进口产品参与投标，否则投标按无效投标处理；列明接受进口产品的分项，供应商可以选用进口产品参与投标，也可以选用国产产品参与投标。</w:t>
            </w:r>
          </w:p>
          <w:p w14:paraId="2CD2DE29">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本项目接受进口产品，供应商选择提供进口产品，则提供的必须为全新原装进口产品，报价中应包括关税等所有进口环节费用并由中标供应商办理进口相关手续，供应商报价中应自行考虑海关关税政策变化带来的风险，采购人不承担该政策变化所造成的费用增加。</w:t>
            </w:r>
          </w:p>
          <w:p w14:paraId="52CB0683">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（3）进口产品是指通过中国海关报关验放进入中国境内且产自关境外的产品。</w:t>
            </w:r>
          </w:p>
          <w:p w14:paraId="6153317D">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（4）其余内容以《政府采购进口产品管理办法》（财库〔2007〕119号）和《关于政府采购进口产品管理有关问题的通知财办库》（财库〔2008〕248号）的相关规定为准。</w:t>
            </w:r>
          </w:p>
          <w:p w14:paraId="3B90411B">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3.需执行的国家相关标准、行业标准、地方标准或者其他标准、规范</w:t>
            </w:r>
          </w:p>
          <w:p w14:paraId="5D7DE7A3">
            <w:pPr>
              <w:keepNext w:val="0"/>
              <w:keepLines w:val="0"/>
              <w:pageBreakBefore w:val="0"/>
              <w:widowControl w:val="0"/>
              <w:shd w:val="clear"/>
              <w:kinsoku/>
              <w:overflowPunct/>
              <w:topLinePunct w:val="0"/>
              <w:bidi w:val="0"/>
              <w:snapToGrid/>
              <w:spacing w:line="400" w:lineRule="exact"/>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本项目应执行的国家相关标准、行业标准、地方标准或者其他标准、规范为：</w:t>
            </w:r>
            <w:bookmarkStart w:id="51" w:name="_Hlk88997327"/>
            <w:r>
              <w:rPr>
                <w:rFonts w:hint="eastAsia" w:ascii="宋体" w:hAnsi="宋体" w:eastAsia="宋体" w:cs="宋体"/>
                <w:b/>
                <w:bCs/>
                <w:color w:val="auto"/>
                <w:kern w:val="2"/>
                <w:sz w:val="21"/>
                <w:szCs w:val="21"/>
                <w:highlight w:val="none"/>
                <w:u w:val="single"/>
                <w:lang w:val="en-US" w:eastAsia="zh-CN" w:bidi="ar-SA"/>
              </w:rPr>
              <w:t>投标人所投产品应符合相关行业规范和技术标准要求：</w:t>
            </w:r>
          </w:p>
          <w:tbl>
            <w:tblPr>
              <w:tblStyle w:val="50"/>
              <w:tblW w:w="9048" w:type="dxa"/>
              <w:jc w:val="center"/>
              <w:tblLayout w:type="fixed"/>
              <w:tblCellMar>
                <w:top w:w="0" w:type="dxa"/>
                <w:left w:w="108" w:type="dxa"/>
                <w:bottom w:w="0" w:type="dxa"/>
                <w:right w:w="108" w:type="dxa"/>
              </w:tblCellMar>
            </w:tblPr>
            <w:tblGrid>
              <w:gridCol w:w="16"/>
              <w:gridCol w:w="827"/>
              <w:gridCol w:w="5680"/>
              <w:gridCol w:w="2525"/>
            </w:tblGrid>
            <w:tr w14:paraId="3F798868">
              <w:tblPrEx>
                <w:tblCellMar>
                  <w:top w:w="0" w:type="dxa"/>
                  <w:left w:w="108" w:type="dxa"/>
                  <w:bottom w:w="0" w:type="dxa"/>
                  <w:right w:w="108" w:type="dxa"/>
                </w:tblCellMar>
              </w:tblPrEx>
              <w:trPr>
                <w:trHeight w:val="567" w:hRule="atLeast"/>
                <w:jc w:val="center"/>
              </w:trPr>
              <w:tc>
                <w:tcPr>
                  <w:tcW w:w="843" w:type="dxa"/>
                  <w:gridSpan w:val="2"/>
                  <w:tcBorders>
                    <w:top w:val="single" w:color="auto" w:sz="4" w:space="0"/>
                    <w:left w:val="single" w:color="auto" w:sz="4" w:space="0"/>
                    <w:bottom w:val="single" w:color="auto" w:sz="4" w:space="0"/>
                    <w:right w:val="single" w:color="auto" w:sz="4" w:space="0"/>
                  </w:tcBorders>
                  <w:shd w:val="pct10" w:color="C3BD96" w:fill="DDD9C4"/>
                  <w:vAlign w:val="center"/>
                </w:tcPr>
                <w:p w14:paraId="3A6602FB">
                  <w:pPr>
                    <w:keepNext w:val="0"/>
                    <w:keepLines w:val="0"/>
                    <w:pageBreakBefore w:val="0"/>
                    <w:shd w:val="clear"/>
                    <w:kinsoku/>
                    <w:wordWrap w:val="0"/>
                    <w:overflowPunct/>
                    <w:topLinePunct w:val="0"/>
                    <w:bidi w:val="0"/>
                    <w:snapToGrid/>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5680" w:type="dxa"/>
                  <w:tcBorders>
                    <w:top w:val="single" w:color="auto" w:sz="4" w:space="0"/>
                    <w:left w:val="nil"/>
                    <w:bottom w:val="single" w:color="auto" w:sz="4" w:space="0"/>
                    <w:right w:val="single" w:color="auto" w:sz="4" w:space="0"/>
                  </w:tcBorders>
                  <w:shd w:val="pct10" w:color="C3BD96" w:fill="DDD9C4"/>
                  <w:vAlign w:val="center"/>
                </w:tcPr>
                <w:p w14:paraId="6D9F2B08">
                  <w:pPr>
                    <w:keepNext w:val="0"/>
                    <w:keepLines w:val="0"/>
                    <w:pageBreakBefore w:val="0"/>
                    <w:shd w:val="clear"/>
                    <w:kinsoku/>
                    <w:wordWrap w:val="0"/>
                    <w:overflowPunct/>
                    <w:topLinePunct w:val="0"/>
                    <w:bidi w:val="0"/>
                    <w:snapToGrid/>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2525" w:type="dxa"/>
                  <w:tcBorders>
                    <w:top w:val="single" w:color="auto" w:sz="4" w:space="0"/>
                    <w:left w:val="nil"/>
                    <w:bottom w:val="single" w:color="auto" w:sz="4" w:space="0"/>
                    <w:right w:val="single" w:color="auto" w:sz="4" w:space="0"/>
                  </w:tcBorders>
                  <w:shd w:val="pct10" w:color="C3BD96" w:fill="DDD9C4"/>
                  <w:vAlign w:val="center"/>
                </w:tcPr>
                <w:p w14:paraId="2AF2346D">
                  <w:pPr>
                    <w:keepNext w:val="0"/>
                    <w:keepLines w:val="0"/>
                    <w:pageBreakBefore w:val="0"/>
                    <w:shd w:val="clear"/>
                    <w:kinsoku/>
                    <w:wordWrap w:val="0"/>
                    <w:overflowPunct/>
                    <w:topLinePunct w:val="0"/>
                    <w:bidi w:val="0"/>
                    <w:snapToGrid/>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标号或文号</w:t>
                  </w:r>
                </w:p>
              </w:tc>
            </w:tr>
            <w:tr w14:paraId="49B2C43A">
              <w:tblPrEx>
                <w:tblCellMar>
                  <w:top w:w="0" w:type="dxa"/>
                  <w:left w:w="108" w:type="dxa"/>
                  <w:bottom w:w="0" w:type="dxa"/>
                  <w:right w:w="108" w:type="dxa"/>
                </w:tblCellMar>
              </w:tblPrEx>
              <w:trPr>
                <w:gridBefore w:val="1"/>
                <w:wBefore w:w="16" w:type="dxa"/>
                <w:trHeight w:val="548"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14:paraId="55F87592">
                  <w:pPr>
                    <w:keepNext w:val="0"/>
                    <w:keepLines w:val="0"/>
                    <w:pageBreakBefore w:val="0"/>
                    <w:widowControl/>
                    <w:numPr>
                      <w:ilvl w:val="0"/>
                      <w:numId w:val="1"/>
                    </w:numPr>
                    <w:shd w:val="clear"/>
                    <w:tabs>
                      <w:tab w:val="left" w:pos="140"/>
                    </w:tabs>
                    <w:kinsoku/>
                    <w:wordWrap w:val="0"/>
                    <w:overflowPunct/>
                    <w:topLinePunct w:val="0"/>
                    <w:bidi w:val="0"/>
                    <w:snapToGrid/>
                    <w:spacing w:line="400" w:lineRule="exact"/>
                    <w:ind w:hangingChars="200"/>
                    <w:jc w:val="center"/>
                    <w:rPr>
                      <w:rFonts w:hint="eastAsia" w:ascii="宋体" w:hAnsi="宋体" w:eastAsia="宋体" w:cs="宋体"/>
                      <w:color w:val="auto"/>
                      <w:sz w:val="21"/>
                      <w:szCs w:val="21"/>
                      <w:highlight w:val="none"/>
                    </w:rPr>
                  </w:pPr>
                </w:p>
              </w:tc>
              <w:tc>
                <w:tcPr>
                  <w:tcW w:w="5680" w:type="dxa"/>
                  <w:tcBorders>
                    <w:top w:val="single" w:color="auto" w:sz="4" w:space="0"/>
                    <w:left w:val="single" w:color="auto" w:sz="4" w:space="0"/>
                    <w:bottom w:val="single" w:color="auto" w:sz="4" w:space="0"/>
                    <w:right w:val="single" w:color="auto" w:sz="4" w:space="0"/>
                  </w:tcBorders>
                  <w:vAlign w:val="center"/>
                </w:tcPr>
                <w:p w14:paraId="215B6F1B">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《中华人民共和国气象法》</w:t>
                  </w:r>
                </w:p>
              </w:tc>
              <w:tc>
                <w:tcPr>
                  <w:tcW w:w="2525" w:type="dxa"/>
                  <w:tcBorders>
                    <w:top w:val="single" w:color="auto" w:sz="4" w:space="0"/>
                    <w:left w:val="single" w:color="auto" w:sz="4" w:space="0"/>
                    <w:bottom w:val="single" w:color="auto" w:sz="4" w:space="0"/>
                    <w:right w:val="single" w:color="auto" w:sz="4" w:space="0"/>
                  </w:tcBorders>
                  <w:vAlign w:val="center"/>
                </w:tcPr>
                <w:p w14:paraId="0DCDBD18">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（201</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zh-CN"/>
                    </w:rPr>
                    <w:t>年</w:t>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val="zh-CN"/>
                    </w:rPr>
                    <w:t>月</w:t>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zh-CN"/>
                    </w:rPr>
                    <w:t>日修订）</w:t>
                  </w:r>
                </w:p>
              </w:tc>
            </w:tr>
            <w:tr w14:paraId="6932FB28">
              <w:tblPrEx>
                <w:tblCellMar>
                  <w:top w:w="0" w:type="dxa"/>
                  <w:left w:w="108" w:type="dxa"/>
                  <w:bottom w:w="0" w:type="dxa"/>
                  <w:right w:w="108" w:type="dxa"/>
                </w:tblCellMar>
              </w:tblPrEx>
              <w:trPr>
                <w:gridBefore w:val="1"/>
                <w:wBefore w:w="16" w:type="dxa"/>
                <w:trHeight w:val="58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14:paraId="3045D3F4">
                  <w:pPr>
                    <w:keepNext w:val="0"/>
                    <w:keepLines w:val="0"/>
                    <w:pageBreakBefore w:val="0"/>
                    <w:widowControl/>
                    <w:numPr>
                      <w:ilvl w:val="0"/>
                      <w:numId w:val="1"/>
                    </w:numPr>
                    <w:shd w:val="clear"/>
                    <w:tabs>
                      <w:tab w:val="left" w:pos="140"/>
                    </w:tabs>
                    <w:kinsoku/>
                    <w:wordWrap w:val="0"/>
                    <w:overflowPunct/>
                    <w:topLinePunct w:val="0"/>
                    <w:bidi w:val="0"/>
                    <w:snapToGrid/>
                    <w:spacing w:line="400" w:lineRule="exact"/>
                    <w:ind w:hangingChars="200"/>
                    <w:jc w:val="center"/>
                    <w:rPr>
                      <w:rFonts w:hint="eastAsia" w:ascii="宋体" w:hAnsi="宋体" w:eastAsia="宋体" w:cs="宋体"/>
                      <w:color w:val="auto"/>
                      <w:sz w:val="21"/>
                      <w:szCs w:val="21"/>
                      <w:highlight w:val="none"/>
                    </w:rPr>
                  </w:pPr>
                </w:p>
              </w:tc>
              <w:tc>
                <w:tcPr>
                  <w:tcW w:w="5680" w:type="dxa"/>
                  <w:tcBorders>
                    <w:top w:val="single" w:color="auto" w:sz="4" w:space="0"/>
                    <w:left w:val="single" w:color="auto" w:sz="4" w:space="0"/>
                    <w:bottom w:val="single" w:color="auto" w:sz="4" w:space="0"/>
                    <w:right w:val="single" w:color="auto" w:sz="4" w:space="0"/>
                  </w:tcBorders>
                  <w:vAlign w:val="center"/>
                </w:tcPr>
                <w:p w14:paraId="1024CAEC">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《气象观测技术发展引领计划（2020—2025年）》</w:t>
                  </w:r>
                </w:p>
              </w:tc>
              <w:tc>
                <w:tcPr>
                  <w:tcW w:w="2525" w:type="dxa"/>
                  <w:tcBorders>
                    <w:top w:val="single" w:color="auto" w:sz="4" w:space="0"/>
                    <w:left w:val="single" w:color="auto" w:sz="4" w:space="0"/>
                    <w:bottom w:val="single" w:color="auto" w:sz="4" w:space="0"/>
                    <w:right w:val="single" w:color="auto" w:sz="4" w:space="0"/>
                  </w:tcBorders>
                  <w:vAlign w:val="center"/>
                </w:tcPr>
                <w:p w14:paraId="5F28C43F">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shd w:val="clear" w:color="auto" w:fill="FFFFFF"/>
                      <w:lang w:val="zh-CN"/>
                    </w:rPr>
                    <w:t>（气发〔2019〕90号）</w:t>
                  </w:r>
                </w:p>
              </w:tc>
            </w:tr>
            <w:tr w14:paraId="702A0B3E">
              <w:tblPrEx>
                <w:tblCellMar>
                  <w:top w:w="0" w:type="dxa"/>
                  <w:left w:w="108" w:type="dxa"/>
                  <w:bottom w:w="0" w:type="dxa"/>
                  <w:right w:w="108" w:type="dxa"/>
                </w:tblCellMar>
              </w:tblPrEx>
              <w:trPr>
                <w:gridBefore w:val="1"/>
                <w:wBefore w:w="16" w:type="dxa"/>
                <w:trHeight w:val="58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14:paraId="3B103A65">
                  <w:pPr>
                    <w:keepNext w:val="0"/>
                    <w:keepLines w:val="0"/>
                    <w:pageBreakBefore w:val="0"/>
                    <w:widowControl/>
                    <w:numPr>
                      <w:ilvl w:val="0"/>
                      <w:numId w:val="1"/>
                    </w:numPr>
                    <w:shd w:val="clear"/>
                    <w:tabs>
                      <w:tab w:val="left" w:pos="140"/>
                    </w:tabs>
                    <w:kinsoku/>
                    <w:wordWrap w:val="0"/>
                    <w:overflowPunct/>
                    <w:topLinePunct w:val="0"/>
                    <w:bidi w:val="0"/>
                    <w:snapToGrid/>
                    <w:spacing w:line="400" w:lineRule="exact"/>
                    <w:ind w:hangingChars="200"/>
                    <w:jc w:val="center"/>
                    <w:rPr>
                      <w:rFonts w:hint="eastAsia" w:ascii="宋体" w:hAnsi="宋体" w:eastAsia="宋体" w:cs="宋体"/>
                      <w:color w:val="auto"/>
                      <w:sz w:val="21"/>
                      <w:szCs w:val="21"/>
                      <w:highlight w:val="none"/>
                    </w:rPr>
                  </w:pPr>
                </w:p>
              </w:tc>
              <w:tc>
                <w:tcPr>
                  <w:tcW w:w="5680" w:type="dxa"/>
                  <w:tcBorders>
                    <w:top w:val="single" w:color="auto" w:sz="4" w:space="0"/>
                    <w:left w:val="single" w:color="auto" w:sz="4" w:space="0"/>
                    <w:bottom w:val="single" w:color="auto" w:sz="4" w:space="0"/>
                    <w:right w:val="single" w:color="auto" w:sz="4" w:space="0"/>
                  </w:tcBorders>
                  <w:vAlign w:val="center"/>
                </w:tcPr>
                <w:p w14:paraId="7C4AAA04">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《气象高质量发展纲要（2022—2030年）》</w:t>
                  </w:r>
                </w:p>
              </w:tc>
              <w:tc>
                <w:tcPr>
                  <w:tcW w:w="2525" w:type="dxa"/>
                  <w:tcBorders>
                    <w:top w:val="single" w:color="auto" w:sz="4" w:space="0"/>
                    <w:left w:val="single" w:color="auto" w:sz="4" w:space="0"/>
                    <w:bottom w:val="single" w:color="auto" w:sz="4" w:space="0"/>
                    <w:right w:val="single" w:color="auto" w:sz="4" w:space="0"/>
                  </w:tcBorders>
                  <w:vAlign w:val="center"/>
                </w:tcPr>
                <w:p w14:paraId="42A64DAD">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（国发</w:t>
                  </w:r>
                  <w:r>
                    <w:rPr>
                      <w:rFonts w:hint="eastAsia" w:ascii="宋体" w:hAnsi="宋体" w:eastAsia="宋体" w:cs="宋体"/>
                      <w:color w:val="auto"/>
                      <w:sz w:val="21"/>
                      <w:szCs w:val="21"/>
                      <w:highlight w:val="none"/>
                      <w:shd w:val="clear" w:color="auto" w:fill="FFFFFF"/>
                      <w:lang w:val="zh-CN"/>
                    </w:rPr>
                    <w:t>〔</w:t>
                  </w:r>
                  <w:r>
                    <w:rPr>
                      <w:rFonts w:hint="eastAsia" w:ascii="宋体" w:hAnsi="宋体" w:eastAsia="宋体" w:cs="宋体"/>
                      <w:color w:val="auto"/>
                      <w:sz w:val="21"/>
                      <w:szCs w:val="21"/>
                      <w:highlight w:val="none"/>
                      <w:lang w:val="zh-CN"/>
                    </w:rPr>
                    <w:t>2022</w:t>
                  </w:r>
                  <w:r>
                    <w:rPr>
                      <w:rFonts w:hint="eastAsia" w:ascii="宋体" w:hAnsi="宋体" w:eastAsia="宋体" w:cs="宋体"/>
                      <w:color w:val="auto"/>
                      <w:sz w:val="21"/>
                      <w:szCs w:val="21"/>
                      <w:highlight w:val="none"/>
                      <w:shd w:val="clear" w:color="auto" w:fill="FFFFFF"/>
                      <w:lang w:val="zh-CN"/>
                    </w:rPr>
                    <w:t>〕11号</w:t>
                  </w:r>
                  <w:r>
                    <w:rPr>
                      <w:rFonts w:hint="eastAsia" w:ascii="宋体" w:hAnsi="宋体" w:eastAsia="宋体" w:cs="宋体"/>
                      <w:color w:val="auto"/>
                      <w:sz w:val="21"/>
                      <w:szCs w:val="21"/>
                      <w:highlight w:val="none"/>
                      <w:lang w:val="zh-CN"/>
                    </w:rPr>
                    <w:t>）</w:t>
                  </w:r>
                </w:p>
              </w:tc>
            </w:tr>
            <w:tr w14:paraId="5C336D58">
              <w:tblPrEx>
                <w:tblCellMar>
                  <w:top w:w="0" w:type="dxa"/>
                  <w:left w:w="108" w:type="dxa"/>
                  <w:bottom w:w="0" w:type="dxa"/>
                  <w:right w:w="108" w:type="dxa"/>
                </w:tblCellMar>
              </w:tblPrEx>
              <w:trPr>
                <w:gridBefore w:val="1"/>
                <w:wBefore w:w="16" w:type="dxa"/>
                <w:trHeight w:val="58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14:paraId="7720492F">
                  <w:pPr>
                    <w:keepNext w:val="0"/>
                    <w:keepLines w:val="0"/>
                    <w:pageBreakBefore w:val="0"/>
                    <w:widowControl/>
                    <w:numPr>
                      <w:ilvl w:val="0"/>
                      <w:numId w:val="1"/>
                    </w:numPr>
                    <w:shd w:val="clear"/>
                    <w:tabs>
                      <w:tab w:val="left" w:pos="140"/>
                    </w:tabs>
                    <w:kinsoku/>
                    <w:wordWrap w:val="0"/>
                    <w:overflowPunct/>
                    <w:topLinePunct w:val="0"/>
                    <w:bidi w:val="0"/>
                    <w:snapToGrid/>
                    <w:spacing w:line="400" w:lineRule="exact"/>
                    <w:ind w:hangingChars="200"/>
                    <w:jc w:val="center"/>
                    <w:rPr>
                      <w:rFonts w:hint="eastAsia" w:ascii="宋体" w:hAnsi="宋体" w:eastAsia="宋体" w:cs="宋体"/>
                      <w:color w:val="auto"/>
                      <w:sz w:val="21"/>
                      <w:szCs w:val="21"/>
                      <w:highlight w:val="none"/>
                    </w:rPr>
                  </w:pPr>
                </w:p>
              </w:tc>
              <w:tc>
                <w:tcPr>
                  <w:tcW w:w="5680" w:type="dxa"/>
                  <w:tcBorders>
                    <w:top w:val="single" w:color="auto" w:sz="4" w:space="0"/>
                    <w:left w:val="single" w:color="auto" w:sz="4" w:space="0"/>
                    <w:bottom w:val="single" w:color="auto" w:sz="4" w:space="0"/>
                    <w:right w:val="single" w:color="auto" w:sz="4" w:space="0"/>
                  </w:tcBorders>
                  <w:vAlign w:val="center"/>
                </w:tcPr>
                <w:p w14:paraId="598D9510">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《广西壮族自治区国民经济和社会发展第十四个五年规划和二〇三五年远景目标纲要》</w:t>
                  </w:r>
                </w:p>
              </w:tc>
              <w:tc>
                <w:tcPr>
                  <w:tcW w:w="2525" w:type="dxa"/>
                  <w:tcBorders>
                    <w:top w:val="single" w:color="auto" w:sz="4" w:space="0"/>
                    <w:left w:val="single" w:color="auto" w:sz="4" w:space="0"/>
                    <w:bottom w:val="single" w:color="auto" w:sz="4" w:space="0"/>
                    <w:right w:val="single" w:color="auto" w:sz="4" w:space="0"/>
                  </w:tcBorders>
                  <w:vAlign w:val="center"/>
                </w:tcPr>
                <w:p w14:paraId="5F14653D">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shd w:val="clear" w:color="auto" w:fill="FFFFFF"/>
                      <w:lang w:val="zh-CN"/>
                    </w:rPr>
                    <w:t>（桂政发〔2021〕11号）</w:t>
                  </w:r>
                </w:p>
              </w:tc>
            </w:tr>
            <w:tr w14:paraId="570ED6FA">
              <w:tblPrEx>
                <w:tblCellMar>
                  <w:top w:w="0" w:type="dxa"/>
                  <w:left w:w="108" w:type="dxa"/>
                  <w:bottom w:w="0" w:type="dxa"/>
                  <w:right w:w="108" w:type="dxa"/>
                </w:tblCellMar>
              </w:tblPrEx>
              <w:trPr>
                <w:gridBefore w:val="1"/>
                <w:wBefore w:w="16" w:type="dxa"/>
                <w:trHeight w:val="58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14:paraId="115B45C6">
                  <w:pPr>
                    <w:keepNext w:val="0"/>
                    <w:keepLines w:val="0"/>
                    <w:pageBreakBefore w:val="0"/>
                    <w:widowControl/>
                    <w:numPr>
                      <w:ilvl w:val="0"/>
                      <w:numId w:val="1"/>
                    </w:numPr>
                    <w:shd w:val="clear"/>
                    <w:tabs>
                      <w:tab w:val="left" w:pos="140"/>
                    </w:tabs>
                    <w:kinsoku/>
                    <w:wordWrap w:val="0"/>
                    <w:overflowPunct/>
                    <w:topLinePunct w:val="0"/>
                    <w:bidi w:val="0"/>
                    <w:snapToGrid/>
                    <w:spacing w:line="400" w:lineRule="exact"/>
                    <w:ind w:hangingChars="200"/>
                    <w:jc w:val="center"/>
                    <w:rPr>
                      <w:rFonts w:hint="eastAsia" w:ascii="宋体" w:hAnsi="宋体" w:eastAsia="宋体" w:cs="宋体"/>
                      <w:color w:val="auto"/>
                      <w:sz w:val="21"/>
                      <w:szCs w:val="21"/>
                      <w:highlight w:val="none"/>
                    </w:rPr>
                  </w:pPr>
                </w:p>
              </w:tc>
              <w:tc>
                <w:tcPr>
                  <w:tcW w:w="5680" w:type="dxa"/>
                  <w:tcBorders>
                    <w:top w:val="single" w:color="auto" w:sz="4" w:space="0"/>
                    <w:left w:val="single" w:color="auto" w:sz="4" w:space="0"/>
                    <w:bottom w:val="single" w:color="auto" w:sz="4" w:space="0"/>
                    <w:right w:val="single" w:color="auto" w:sz="4" w:space="0"/>
                  </w:tcBorders>
                  <w:vAlign w:val="center"/>
                </w:tcPr>
                <w:p w14:paraId="62AD5D70">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《广西气象事业发展“十四五”规划》</w:t>
                  </w:r>
                </w:p>
              </w:tc>
              <w:tc>
                <w:tcPr>
                  <w:tcW w:w="2525" w:type="dxa"/>
                  <w:tcBorders>
                    <w:top w:val="single" w:color="auto" w:sz="4" w:space="0"/>
                    <w:left w:val="single" w:color="auto" w:sz="4" w:space="0"/>
                    <w:bottom w:val="single" w:color="auto" w:sz="4" w:space="0"/>
                    <w:right w:val="single" w:color="auto" w:sz="4" w:space="0"/>
                  </w:tcBorders>
                  <w:vAlign w:val="center"/>
                </w:tcPr>
                <w:p w14:paraId="4401E6D5">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（桂气发〔2021〕73号）</w:t>
                  </w:r>
                </w:p>
              </w:tc>
            </w:tr>
            <w:tr w14:paraId="28592134">
              <w:tblPrEx>
                <w:tblCellMar>
                  <w:top w:w="0" w:type="dxa"/>
                  <w:left w:w="108" w:type="dxa"/>
                  <w:bottom w:w="0" w:type="dxa"/>
                  <w:right w:w="108" w:type="dxa"/>
                </w:tblCellMar>
              </w:tblPrEx>
              <w:trPr>
                <w:gridBefore w:val="1"/>
                <w:wBefore w:w="16" w:type="dxa"/>
                <w:trHeight w:val="58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14:paraId="572E4154">
                  <w:pPr>
                    <w:keepNext w:val="0"/>
                    <w:keepLines w:val="0"/>
                    <w:pageBreakBefore w:val="0"/>
                    <w:widowControl/>
                    <w:numPr>
                      <w:ilvl w:val="0"/>
                      <w:numId w:val="1"/>
                    </w:numPr>
                    <w:shd w:val="clear"/>
                    <w:tabs>
                      <w:tab w:val="left" w:pos="140"/>
                    </w:tabs>
                    <w:kinsoku/>
                    <w:wordWrap w:val="0"/>
                    <w:overflowPunct/>
                    <w:topLinePunct w:val="0"/>
                    <w:bidi w:val="0"/>
                    <w:snapToGrid/>
                    <w:spacing w:line="400" w:lineRule="exact"/>
                    <w:ind w:hangingChars="200"/>
                    <w:jc w:val="center"/>
                    <w:rPr>
                      <w:rFonts w:hint="eastAsia" w:ascii="宋体" w:hAnsi="宋体" w:eastAsia="宋体" w:cs="宋体"/>
                      <w:color w:val="auto"/>
                      <w:sz w:val="21"/>
                      <w:szCs w:val="21"/>
                      <w:highlight w:val="none"/>
                    </w:rPr>
                  </w:pPr>
                </w:p>
              </w:tc>
              <w:tc>
                <w:tcPr>
                  <w:tcW w:w="5680" w:type="dxa"/>
                  <w:tcBorders>
                    <w:top w:val="single" w:color="auto" w:sz="4" w:space="0"/>
                    <w:left w:val="single" w:color="auto" w:sz="4" w:space="0"/>
                    <w:bottom w:val="single" w:color="auto" w:sz="4" w:space="0"/>
                    <w:right w:val="single" w:color="auto" w:sz="4" w:space="0"/>
                  </w:tcBorders>
                  <w:vAlign w:val="center"/>
                </w:tcPr>
                <w:p w14:paraId="6C3A7E20">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《省级及以下人工影响天气能力建设指南》</w:t>
                  </w:r>
                </w:p>
              </w:tc>
              <w:tc>
                <w:tcPr>
                  <w:tcW w:w="2525" w:type="dxa"/>
                  <w:tcBorders>
                    <w:top w:val="single" w:color="auto" w:sz="4" w:space="0"/>
                    <w:left w:val="single" w:color="auto" w:sz="4" w:space="0"/>
                    <w:bottom w:val="single" w:color="auto" w:sz="4" w:space="0"/>
                    <w:right w:val="single" w:color="auto" w:sz="4" w:space="0"/>
                  </w:tcBorders>
                  <w:vAlign w:val="center"/>
                </w:tcPr>
                <w:p w14:paraId="0882FFC0">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lang w:val="zh-CN"/>
                    </w:rPr>
                  </w:pPr>
                </w:p>
              </w:tc>
            </w:tr>
            <w:tr w14:paraId="1320D61C">
              <w:tblPrEx>
                <w:tblCellMar>
                  <w:top w:w="0" w:type="dxa"/>
                  <w:left w:w="108" w:type="dxa"/>
                  <w:bottom w:w="0" w:type="dxa"/>
                  <w:right w:w="108" w:type="dxa"/>
                </w:tblCellMar>
              </w:tblPrEx>
              <w:trPr>
                <w:gridBefore w:val="1"/>
                <w:wBefore w:w="16" w:type="dxa"/>
                <w:trHeight w:val="58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14:paraId="2AA4C5CA">
                  <w:pPr>
                    <w:keepNext w:val="0"/>
                    <w:keepLines w:val="0"/>
                    <w:pageBreakBefore w:val="0"/>
                    <w:widowControl/>
                    <w:numPr>
                      <w:ilvl w:val="0"/>
                      <w:numId w:val="1"/>
                    </w:numPr>
                    <w:shd w:val="clear"/>
                    <w:tabs>
                      <w:tab w:val="left" w:pos="140"/>
                    </w:tabs>
                    <w:kinsoku/>
                    <w:wordWrap w:val="0"/>
                    <w:overflowPunct/>
                    <w:topLinePunct w:val="0"/>
                    <w:bidi w:val="0"/>
                    <w:snapToGrid/>
                    <w:spacing w:line="400" w:lineRule="exact"/>
                    <w:ind w:hangingChars="200"/>
                    <w:jc w:val="center"/>
                    <w:rPr>
                      <w:rFonts w:hint="eastAsia" w:ascii="宋体" w:hAnsi="宋体" w:eastAsia="宋体" w:cs="宋体"/>
                      <w:color w:val="auto"/>
                      <w:sz w:val="21"/>
                      <w:szCs w:val="21"/>
                      <w:highlight w:val="none"/>
                    </w:rPr>
                  </w:pPr>
                </w:p>
              </w:tc>
              <w:tc>
                <w:tcPr>
                  <w:tcW w:w="5680" w:type="dxa"/>
                  <w:tcBorders>
                    <w:top w:val="single" w:color="auto" w:sz="4" w:space="0"/>
                    <w:left w:val="single" w:color="auto" w:sz="4" w:space="0"/>
                    <w:bottom w:val="single" w:color="auto" w:sz="4" w:space="0"/>
                    <w:right w:val="single" w:color="auto" w:sz="4" w:space="0"/>
                  </w:tcBorders>
                  <w:vAlign w:val="center"/>
                </w:tcPr>
                <w:p w14:paraId="50205FA1">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《省市县音视频调度服务系统技术要求》</w:t>
                  </w:r>
                </w:p>
              </w:tc>
              <w:tc>
                <w:tcPr>
                  <w:tcW w:w="2525" w:type="dxa"/>
                  <w:tcBorders>
                    <w:top w:val="single" w:color="auto" w:sz="4" w:space="0"/>
                    <w:left w:val="single" w:color="auto" w:sz="4" w:space="0"/>
                    <w:bottom w:val="single" w:color="auto" w:sz="4" w:space="0"/>
                    <w:right w:val="single" w:color="auto" w:sz="4" w:space="0"/>
                  </w:tcBorders>
                  <w:vAlign w:val="center"/>
                </w:tcPr>
                <w:p w14:paraId="64F3CF19">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（气专函〔2025〕2号）</w:t>
                  </w:r>
                </w:p>
              </w:tc>
            </w:tr>
            <w:tr w14:paraId="044F71DF">
              <w:tblPrEx>
                <w:tblCellMar>
                  <w:top w:w="0" w:type="dxa"/>
                  <w:left w:w="108" w:type="dxa"/>
                  <w:bottom w:w="0" w:type="dxa"/>
                  <w:right w:w="108" w:type="dxa"/>
                </w:tblCellMar>
              </w:tblPrEx>
              <w:trPr>
                <w:gridBefore w:val="1"/>
                <w:wBefore w:w="16" w:type="dxa"/>
                <w:trHeight w:val="58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14:paraId="44AB8A10">
                  <w:pPr>
                    <w:keepNext w:val="0"/>
                    <w:keepLines w:val="0"/>
                    <w:pageBreakBefore w:val="0"/>
                    <w:widowControl/>
                    <w:numPr>
                      <w:ilvl w:val="0"/>
                      <w:numId w:val="1"/>
                    </w:numPr>
                    <w:shd w:val="clear"/>
                    <w:tabs>
                      <w:tab w:val="left" w:pos="140"/>
                    </w:tabs>
                    <w:kinsoku/>
                    <w:wordWrap w:val="0"/>
                    <w:overflowPunct/>
                    <w:topLinePunct w:val="0"/>
                    <w:bidi w:val="0"/>
                    <w:snapToGrid/>
                    <w:spacing w:line="400" w:lineRule="exact"/>
                    <w:ind w:hangingChars="200"/>
                    <w:jc w:val="center"/>
                    <w:rPr>
                      <w:rFonts w:hint="eastAsia" w:ascii="宋体" w:hAnsi="宋体" w:eastAsia="宋体" w:cs="宋体"/>
                      <w:color w:val="auto"/>
                      <w:sz w:val="21"/>
                      <w:szCs w:val="21"/>
                      <w:highlight w:val="none"/>
                    </w:rPr>
                  </w:pPr>
                </w:p>
              </w:tc>
              <w:tc>
                <w:tcPr>
                  <w:tcW w:w="5680" w:type="dxa"/>
                  <w:tcBorders>
                    <w:top w:val="single" w:color="auto" w:sz="4" w:space="0"/>
                    <w:left w:val="single" w:color="auto" w:sz="4" w:space="0"/>
                    <w:bottom w:val="single" w:color="auto" w:sz="4" w:space="0"/>
                    <w:right w:val="single" w:color="auto" w:sz="4" w:space="0"/>
                  </w:tcBorders>
                  <w:vAlign w:val="center"/>
                </w:tcPr>
                <w:p w14:paraId="427B1D24">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《供配电系统设计规范》</w:t>
                  </w:r>
                </w:p>
              </w:tc>
              <w:tc>
                <w:tcPr>
                  <w:tcW w:w="2525" w:type="dxa"/>
                  <w:tcBorders>
                    <w:top w:val="single" w:color="auto" w:sz="4" w:space="0"/>
                    <w:left w:val="single" w:color="auto" w:sz="4" w:space="0"/>
                    <w:bottom w:val="single" w:color="auto" w:sz="4" w:space="0"/>
                    <w:right w:val="single" w:color="auto" w:sz="4" w:space="0"/>
                  </w:tcBorders>
                  <w:vAlign w:val="center"/>
                </w:tcPr>
                <w:p w14:paraId="5FB3413F">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(GB</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50052-2009)</w:t>
                  </w:r>
                </w:p>
              </w:tc>
            </w:tr>
            <w:tr w14:paraId="02D326FA">
              <w:tblPrEx>
                <w:tblCellMar>
                  <w:top w:w="0" w:type="dxa"/>
                  <w:left w:w="108" w:type="dxa"/>
                  <w:bottom w:w="0" w:type="dxa"/>
                  <w:right w:w="108" w:type="dxa"/>
                </w:tblCellMar>
              </w:tblPrEx>
              <w:trPr>
                <w:gridBefore w:val="1"/>
                <w:wBefore w:w="16" w:type="dxa"/>
                <w:trHeight w:val="58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14:paraId="002ECC1D">
                  <w:pPr>
                    <w:keepNext w:val="0"/>
                    <w:keepLines w:val="0"/>
                    <w:pageBreakBefore w:val="0"/>
                    <w:widowControl/>
                    <w:numPr>
                      <w:ilvl w:val="0"/>
                      <w:numId w:val="1"/>
                    </w:numPr>
                    <w:shd w:val="clear"/>
                    <w:tabs>
                      <w:tab w:val="left" w:pos="140"/>
                    </w:tabs>
                    <w:kinsoku/>
                    <w:wordWrap w:val="0"/>
                    <w:overflowPunct/>
                    <w:topLinePunct w:val="0"/>
                    <w:bidi w:val="0"/>
                    <w:snapToGrid/>
                    <w:spacing w:line="400" w:lineRule="exact"/>
                    <w:ind w:hangingChars="200"/>
                    <w:jc w:val="center"/>
                    <w:rPr>
                      <w:rFonts w:hint="eastAsia" w:ascii="宋体" w:hAnsi="宋体" w:eastAsia="宋体" w:cs="宋体"/>
                      <w:color w:val="auto"/>
                      <w:sz w:val="21"/>
                      <w:szCs w:val="21"/>
                      <w:highlight w:val="none"/>
                    </w:rPr>
                  </w:pPr>
                </w:p>
              </w:tc>
              <w:tc>
                <w:tcPr>
                  <w:tcW w:w="5680" w:type="dxa"/>
                  <w:tcBorders>
                    <w:top w:val="single" w:color="auto" w:sz="4" w:space="0"/>
                    <w:left w:val="single" w:color="auto" w:sz="4" w:space="0"/>
                    <w:bottom w:val="single" w:color="auto" w:sz="4" w:space="0"/>
                    <w:right w:val="single" w:color="auto" w:sz="4" w:space="0"/>
                  </w:tcBorders>
                  <w:vAlign w:val="center"/>
                </w:tcPr>
                <w:p w14:paraId="0B029293">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《信息安全技术-网络安全等级保护基本要求》</w:t>
                  </w:r>
                </w:p>
              </w:tc>
              <w:tc>
                <w:tcPr>
                  <w:tcW w:w="2525" w:type="dxa"/>
                  <w:tcBorders>
                    <w:top w:val="single" w:color="auto" w:sz="4" w:space="0"/>
                    <w:left w:val="single" w:color="auto" w:sz="4" w:space="0"/>
                    <w:bottom w:val="single" w:color="auto" w:sz="4" w:space="0"/>
                    <w:right w:val="single" w:color="auto" w:sz="4" w:space="0"/>
                  </w:tcBorders>
                  <w:vAlign w:val="center"/>
                </w:tcPr>
                <w:p w14:paraId="3CCB0653">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（GB/T 22239-2019）</w:t>
                  </w:r>
                </w:p>
              </w:tc>
            </w:tr>
            <w:tr w14:paraId="0266D483">
              <w:tblPrEx>
                <w:tblCellMar>
                  <w:top w:w="0" w:type="dxa"/>
                  <w:left w:w="108" w:type="dxa"/>
                  <w:bottom w:w="0" w:type="dxa"/>
                  <w:right w:w="108" w:type="dxa"/>
                </w:tblCellMar>
              </w:tblPrEx>
              <w:trPr>
                <w:gridBefore w:val="1"/>
                <w:wBefore w:w="16" w:type="dxa"/>
                <w:trHeight w:val="58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14:paraId="6D58ADAD">
                  <w:pPr>
                    <w:keepNext w:val="0"/>
                    <w:keepLines w:val="0"/>
                    <w:pageBreakBefore w:val="0"/>
                    <w:widowControl/>
                    <w:shd w:val="clear"/>
                    <w:tabs>
                      <w:tab w:val="left" w:pos="140"/>
                    </w:tabs>
                    <w:kinsoku/>
                    <w:wordWrap w:val="0"/>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5680" w:type="dxa"/>
                  <w:tcBorders>
                    <w:top w:val="single" w:color="auto" w:sz="4" w:space="0"/>
                    <w:left w:val="single" w:color="auto" w:sz="4" w:space="0"/>
                    <w:bottom w:val="single" w:color="auto" w:sz="4" w:space="0"/>
                    <w:right w:val="single" w:color="auto" w:sz="4" w:space="0"/>
                  </w:tcBorders>
                  <w:vAlign w:val="center"/>
                </w:tcPr>
                <w:p w14:paraId="7AD839BC">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《气象资料分类与编码》</w:t>
                  </w:r>
                </w:p>
              </w:tc>
              <w:tc>
                <w:tcPr>
                  <w:tcW w:w="2525" w:type="dxa"/>
                  <w:tcBorders>
                    <w:top w:val="single" w:color="auto" w:sz="4" w:space="0"/>
                    <w:left w:val="single" w:color="auto" w:sz="4" w:space="0"/>
                    <w:bottom w:val="single" w:color="auto" w:sz="4" w:space="0"/>
                    <w:right w:val="single" w:color="auto" w:sz="4" w:space="0"/>
                  </w:tcBorders>
                  <w:vAlign w:val="center"/>
                </w:tcPr>
                <w:p w14:paraId="0F9DFAC1">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(GB/T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40153-2021)</w:t>
                  </w:r>
                </w:p>
              </w:tc>
            </w:tr>
            <w:tr w14:paraId="29C47F4E">
              <w:tblPrEx>
                <w:tblCellMar>
                  <w:top w:w="0" w:type="dxa"/>
                  <w:left w:w="108" w:type="dxa"/>
                  <w:bottom w:w="0" w:type="dxa"/>
                  <w:right w:w="108" w:type="dxa"/>
                </w:tblCellMar>
              </w:tblPrEx>
              <w:trPr>
                <w:gridBefore w:val="1"/>
                <w:wBefore w:w="16" w:type="dxa"/>
                <w:trHeight w:val="58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14:paraId="1DF76779">
                  <w:pPr>
                    <w:keepNext w:val="0"/>
                    <w:keepLines w:val="0"/>
                    <w:pageBreakBefore w:val="0"/>
                    <w:widowControl/>
                    <w:shd w:val="clear"/>
                    <w:tabs>
                      <w:tab w:val="left" w:pos="140"/>
                    </w:tabs>
                    <w:kinsoku/>
                    <w:wordWrap w:val="0"/>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5680" w:type="dxa"/>
                  <w:tcBorders>
                    <w:top w:val="single" w:color="auto" w:sz="4" w:space="0"/>
                    <w:left w:val="single" w:color="auto" w:sz="4" w:space="0"/>
                    <w:bottom w:val="single" w:color="auto" w:sz="4" w:space="0"/>
                    <w:right w:val="single" w:color="auto" w:sz="4" w:space="0"/>
                  </w:tcBorders>
                  <w:vAlign w:val="center"/>
                </w:tcPr>
                <w:p w14:paraId="357E3C4D">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《气象数据服务接口规范》</w:t>
                  </w:r>
                </w:p>
              </w:tc>
              <w:tc>
                <w:tcPr>
                  <w:tcW w:w="2525" w:type="dxa"/>
                  <w:tcBorders>
                    <w:top w:val="single" w:color="auto" w:sz="4" w:space="0"/>
                    <w:left w:val="single" w:color="auto" w:sz="4" w:space="0"/>
                    <w:bottom w:val="single" w:color="auto" w:sz="4" w:space="0"/>
                    <w:right w:val="single" w:color="auto" w:sz="4" w:space="0"/>
                  </w:tcBorders>
                  <w:vAlign w:val="center"/>
                </w:tcPr>
                <w:p w14:paraId="3FE8C138">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shd w:val="clear" w:color="auto" w:fill="FFFFFF"/>
                      <w:lang w:val="zh-CN"/>
                    </w:rPr>
                    <w:t>（GB/T 42877-2023）</w:t>
                  </w:r>
                </w:p>
              </w:tc>
            </w:tr>
            <w:tr w14:paraId="1DD12218">
              <w:tblPrEx>
                <w:tblCellMar>
                  <w:top w:w="0" w:type="dxa"/>
                  <w:left w:w="108" w:type="dxa"/>
                  <w:bottom w:w="0" w:type="dxa"/>
                  <w:right w:w="108" w:type="dxa"/>
                </w:tblCellMar>
              </w:tblPrEx>
              <w:trPr>
                <w:gridBefore w:val="1"/>
                <w:wBefore w:w="16" w:type="dxa"/>
                <w:trHeight w:val="58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14:paraId="19251A6C">
                  <w:pPr>
                    <w:keepNext w:val="0"/>
                    <w:keepLines w:val="0"/>
                    <w:pageBreakBefore w:val="0"/>
                    <w:widowControl/>
                    <w:shd w:val="clear"/>
                    <w:tabs>
                      <w:tab w:val="left" w:pos="140"/>
                    </w:tabs>
                    <w:kinsoku/>
                    <w:wordWrap w:val="0"/>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5680" w:type="dxa"/>
                  <w:tcBorders>
                    <w:top w:val="single" w:color="auto" w:sz="4" w:space="0"/>
                    <w:left w:val="single" w:color="auto" w:sz="4" w:space="0"/>
                    <w:bottom w:val="single" w:color="auto" w:sz="4" w:space="0"/>
                    <w:right w:val="single" w:color="auto" w:sz="4" w:space="0"/>
                  </w:tcBorders>
                  <w:vAlign w:val="center"/>
                </w:tcPr>
                <w:p w14:paraId="4065778D">
                  <w:pPr>
                    <w:keepNext w:val="0"/>
                    <w:keepLines w:val="0"/>
                    <w:pageBreakBefore w:val="0"/>
                    <w:shd w:val="clear"/>
                    <w:kinsoku/>
                    <w:overflowPunct/>
                    <w:topLinePunct w:val="0"/>
                    <w:bidi w:val="0"/>
                    <w:snapToGrid/>
                    <w:spacing w:line="400" w:lineRule="exact"/>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与本项目相关的其他相关文件政策规范等</w:t>
                  </w:r>
                </w:p>
              </w:tc>
              <w:tc>
                <w:tcPr>
                  <w:tcW w:w="2525" w:type="dxa"/>
                  <w:tcBorders>
                    <w:top w:val="single" w:color="auto" w:sz="4" w:space="0"/>
                    <w:left w:val="single" w:color="auto" w:sz="4" w:space="0"/>
                    <w:bottom w:val="single" w:color="auto" w:sz="4" w:space="0"/>
                    <w:right w:val="single" w:color="auto" w:sz="4" w:space="0"/>
                  </w:tcBorders>
                  <w:vAlign w:val="center"/>
                </w:tcPr>
                <w:p w14:paraId="499AC806">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lang w:val="zh-CN"/>
                    </w:rPr>
                  </w:pPr>
                </w:p>
              </w:tc>
            </w:tr>
            <w:bookmarkEnd w:id="51"/>
          </w:tbl>
          <w:p w14:paraId="1F3632C8">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cs="宋体"/>
                <w:b/>
                <w:bCs/>
                <w:color w:val="auto"/>
                <w:sz w:val="21"/>
                <w:szCs w:val="21"/>
                <w:highlight w:val="none"/>
                <w:lang w:val="en-US" w:eastAsia="zh-CN"/>
              </w:rPr>
              <w:t>注：</w:t>
            </w:r>
            <w:r>
              <w:rPr>
                <w:rFonts w:hint="eastAsia" w:ascii="宋体" w:hAnsi="宋体" w:eastAsia="宋体" w:cs="宋体"/>
                <w:b/>
                <w:bCs/>
                <w:color w:val="auto"/>
                <w:sz w:val="21"/>
                <w:szCs w:val="21"/>
                <w:highlight w:val="none"/>
              </w:rPr>
              <w:t>《省市县音视频调度服务系统技术要求》在本次招标活动中</w:t>
            </w:r>
            <w:r>
              <w:rPr>
                <w:rFonts w:hint="eastAsia" w:ascii="宋体" w:hAnsi="宋体" w:cs="宋体"/>
                <w:b/>
                <w:bCs/>
                <w:color w:val="auto"/>
                <w:sz w:val="21"/>
                <w:szCs w:val="21"/>
                <w:highlight w:val="none"/>
                <w:lang w:val="en-US" w:eastAsia="zh-CN"/>
              </w:rPr>
              <w:t>以附件形式</w:t>
            </w:r>
            <w:r>
              <w:rPr>
                <w:rFonts w:hint="eastAsia" w:ascii="宋体" w:hAnsi="宋体" w:eastAsia="宋体" w:cs="宋体"/>
                <w:b/>
                <w:bCs/>
                <w:color w:val="auto"/>
                <w:sz w:val="21"/>
                <w:szCs w:val="21"/>
                <w:highlight w:val="none"/>
              </w:rPr>
              <w:t>提供</w:t>
            </w:r>
            <w:r>
              <w:rPr>
                <w:rFonts w:hint="eastAsia" w:ascii="宋体" w:hAnsi="宋体" w:cs="宋体"/>
                <w:b/>
                <w:bCs/>
                <w:color w:val="auto"/>
                <w:sz w:val="21"/>
                <w:szCs w:val="21"/>
                <w:highlight w:val="none"/>
                <w:lang w:eastAsia="zh-CN"/>
              </w:rPr>
              <w:t>。</w:t>
            </w:r>
          </w:p>
          <w:p w14:paraId="733C1AA2">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4.一般说明</w:t>
            </w:r>
          </w:p>
          <w:p w14:paraId="7C9468F9">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（1）本章中如提及品牌型号，仅起参考作用。供应商可选用其他品牌型号替代，但这些替代的品牌型号要实质上参照或相当于或优于参考品牌型号及其技术参数性能（配置）要求。</w:t>
            </w:r>
          </w:p>
          <w:p w14:paraId="11C87E9F">
            <w:pPr>
              <w:keepNext w:val="0"/>
              <w:keepLines w:val="0"/>
              <w:pageBreakBefore w:val="0"/>
              <w:shd w:val="clear"/>
              <w:kinsoku/>
              <w:overflowPunct/>
              <w:topLinePunct w:val="0"/>
              <w:bidi w:val="0"/>
              <w:snapToGrid/>
              <w:spacing w:line="400" w:lineRule="exact"/>
              <w:rPr>
                <w:rFonts w:hint="eastAsia" w:ascii="宋体" w:hAnsi="宋体" w:eastAsia="宋体" w:cs="宋体"/>
                <w:color w:val="auto"/>
                <w:kern w:val="0"/>
                <w:sz w:val="21"/>
                <w:szCs w:val="21"/>
                <w:highlight w:val="none"/>
                <w:lang w:bidi="ar"/>
              </w:rPr>
            </w:pPr>
            <w:r>
              <w:rPr>
                <w:rFonts w:hint="eastAsia" w:ascii="宋体" w:hAnsi="宋体" w:eastAsia="宋体" w:cs="宋体"/>
                <w:color w:val="auto"/>
                <w:sz w:val="21"/>
                <w:szCs w:val="21"/>
                <w:highlight w:val="none"/>
              </w:rPr>
              <w:t>（2）</w:t>
            </w:r>
            <w:bookmarkStart w:id="52" w:name="_Hlk132788003"/>
            <w:r>
              <w:rPr>
                <w:rFonts w:hint="eastAsia" w:ascii="宋体" w:hAnsi="宋体" w:eastAsia="宋体" w:cs="宋体"/>
                <w:color w:val="auto"/>
                <w:sz w:val="21"/>
                <w:szCs w:val="21"/>
                <w:highlight w:val="none"/>
              </w:rPr>
              <w:t>如要求提供检测报告或其他证明材料的，检测报告或其他证明材料内容中若涉及外文说明，必须同时提供对应中文翻译说明，评审依据以中文翻译内容为准，外文说明仅供参考；产品证明材料应为报告正面、背面和附件标注的全部具体内容；产品证明材料的内容应该能够被阅读、识别和判断</w:t>
            </w:r>
            <w:bookmarkEnd w:id="52"/>
            <w:r>
              <w:rPr>
                <w:rFonts w:hint="eastAsia" w:ascii="宋体" w:hAnsi="宋体" w:eastAsia="宋体" w:cs="宋体"/>
                <w:color w:val="auto"/>
                <w:sz w:val="21"/>
                <w:szCs w:val="21"/>
                <w:highlight w:val="none"/>
              </w:rPr>
              <w:t>。</w:t>
            </w:r>
          </w:p>
        </w:tc>
      </w:tr>
      <w:tr w14:paraId="7B3A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399" w:type="dxa"/>
            <w:gridSpan w:val="6"/>
            <w:tcBorders>
              <w:top w:val="single" w:color="auto" w:sz="4" w:space="0"/>
              <w:left w:val="single" w:color="auto" w:sz="4" w:space="0"/>
              <w:bottom w:val="single" w:color="auto" w:sz="4" w:space="0"/>
              <w:right w:val="single" w:color="auto" w:sz="4" w:space="0"/>
            </w:tcBorders>
            <w:vAlign w:val="center"/>
          </w:tcPr>
          <w:p w14:paraId="470FFD63">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商务要求表</w:t>
            </w:r>
          </w:p>
        </w:tc>
      </w:tr>
      <w:tr w14:paraId="4BD6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15033C92">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4E8DAF3C">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本次报价须为人民币报价，包含产品</w:t>
            </w:r>
            <w:r>
              <w:rPr>
                <w:rFonts w:hint="eastAsia" w:ascii="宋体" w:hAnsi="宋体" w:cs="宋体"/>
                <w:color w:val="auto"/>
                <w:sz w:val="21"/>
                <w:szCs w:val="21"/>
                <w:highlight w:val="none"/>
                <w:lang w:eastAsia="zh-CN"/>
              </w:rPr>
              <w:t>报</w:t>
            </w:r>
            <w:r>
              <w:rPr>
                <w:rFonts w:hint="eastAsia" w:ascii="宋体" w:hAnsi="宋体" w:eastAsia="宋体" w:cs="宋体"/>
                <w:color w:val="auto"/>
                <w:sz w:val="21"/>
                <w:szCs w:val="21"/>
                <w:highlight w:val="none"/>
              </w:rPr>
              <w:t>价、运输费（含装卸费）、保险费、安装调试费、税费、培训费、产品检测费</w:t>
            </w:r>
            <w:r>
              <w:rPr>
                <w:rFonts w:hint="eastAsia" w:ascii="宋体" w:hAnsi="宋体" w:cs="宋体"/>
                <w:color w:val="auto"/>
                <w:sz w:val="21"/>
                <w:szCs w:val="21"/>
                <w:highlight w:val="none"/>
                <w:lang w:eastAsia="zh-CN"/>
              </w:rPr>
              <w:t>、项目验收费</w:t>
            </w:r>
            <w:r>
              <w:rPr>
                <w:rFonts w:hint="eastAsia" w:ascii="宋体" w:hAnsi="宋体" w:eastAsia="宋体" w:cs="宋体"/>
                <w:color w:val="auto"/>
                <w:sz w:val="21"/>
                <w:szCs w:val="21"/>
                <w:highlight w:val="none"/>
              </w:rPr>
              <w:t>、产品质保期内维护</w:t>
            </w:r>
            <w:r>
              <w:rPr>
                <w:rFonts w:hint="eastAsia" w:ascii="宋体" w:hAnsi="宋体" w:eastAsia="宋体" w:cs="宋体"/>
                <w:color w:val="auto"/>
                <w:sz w:val="21"/>
                <w:szCs w:val="21"/>
                <w:highlight w:val="none"/>
                <w:lang w:val="en-US" w:eastAsia="zh-CN"/>
              </w:rPr>
              <w:t>及备件</w:t>
            </w:r>
            <w:r>
              <w:rPr>
                <w:rFonts w:hint="eastAsia" w:ascii="宋体" w:hAnsi="宋体" w:eastAsia="宋体" w:cs="宋体"/>
                <w:color w:val="auto"/>
                <w:sz w:val="21"/>
                <w:szCs w:val="21"/>
                <w:highlight w:val="none"/>
              </w:rPr>
              <w:t>费等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tc>
      </w:tr>
      <w:tr w14:paraId="6C8F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17E663A9">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▲测试要求</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58D10668">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1.签订合同后</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个日历日内，中标供应商须在实际业务运行环境下对产品核心指标、功能配置进行全面测试，采购人依据招标文件、中标供应商的投标文件及《省市县音视频调度服务系统测试标准》，对中标供应商进行测试验证，验证通过后方能进行设备安装实施。</w:t>
            </w:r>
          </w:p>
          <w:p w14:paraId="0217250E">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测试不通过的，中标供应商须在3个日历日内完成整改、更换直至测试验证通过；逾期未整改或整改后仍不符合采购及合同约定的，视为中标供应商严重违约，采购人有权立即解除合同并不予退还已缴纳的履约保证金。给采购人造成损失的，中标供应商应承担全部赔偿责任，采购人保留依法追究中标供应商全部法律责任及相关损失的权利。</w:t>
            </w:r>
          </w:p>
          <w:p w14:paraId="3B1960B8">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须在投标文件“招标项目采购需求中要求提供的材料等”中提供承诺函（格式自拟），承诺函须完全响应、全面涵盖上述全部条款要求。未提供承诺函，或承诺内容存在缺项、漏项、选择性承诺的，投标无效。</w:t>
            </w:r>
          </w:p>
        </w:tc>
      </w:tr>
      <w:tr w14:paraId="1D16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2001D370">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▲合同签订日期</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2750A244">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中标通知书发出后25个日历日内。</w:t>
            </w:r>
          </w:p>
        </w:tc>
      </w:tr>
      <w:tr w14:paraId="16A2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1FAC6B77">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▲交货（实施）时间</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4E4EAF17">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合同签订之日起，3个月内全部交货，</w:t>
            </w:r>
            <w:r>
              <w:rPr>
                <w:rFonts w:hint="eastAsia" w:ascii="宋体" w:hAnsi="宋体" w:eastAsia="宋体" w:cs="宋体"/>
                <w:color w:val="auto"/>
                <w:sz w:val="21"/>
                <w:szCs w:val="21"/>
                <w:highlight w:val="none"/>
                <w:lang w:val="en-US" w:eastAsia="zh-CN"/>
              </w:rPr>
              <w:t>到货验收后</w:t>
            </w:r>
            <w:r>
              <w:rPr>
                <w:rFonts w:hint="default" w:ascii="宋体" w:hAnsi="宋体" w:eastAsia="宋体" w:cs="宋体"/>
                <w:color w:val="auto"/>
                <w:sz w:val="21"/>
                <w:szCs w:val="21"/>
                <w:highlight w:val="none"/>
                <w:lang w:val="en-US"/>
              </w:rPr>
              <w:t>5</w:t>
            </w:r>
            <w:r>
              <w:rPr>
                <w:rFonts w:hint="eastAsia" w:ascii="宋体" w:hAnsi="宋体" w:eastAsia="宋体" w:cs="宋体"/>
                <w:color w:val="auto"/>
                <w:sz w:val="21"/>
                <w:szCs w:val="21"/>
                <w:highlight w:val="none"/>
              </w:rPr>
              <w:t>个月</w:t>
            </w:r>
            <w:r>
              <w:rPr>
                <w:rFonts w:hint="eastAsia" w:ascii="宋体" w:hAnsi="宋体" w:cs="宋体"/>
                <w:color w:val="auto"/>
                <w:sz w:val="21"/>
                <w:szCs w:val="21"/>
                <w:highlight w:val="none"/>
                <w:lang w:eastAsia="zh-CN"/>
              </w:rPr>
              <w:t>内，</w:t>
            </w:r>
            <w:r>
              <w:rPr>
                <w:rFonts w:hint="eastAsia" w:ascii="宋体" w:hAnsi="宋体" w:eastAsia="宋体" w:cs="宋体"/>
                <w:color w:val="auto"/>
                <w:sz w:val="21"/>
                <w:szCs w:val="21"/>
                <w:highlight w:val="none"/>
              </w:rPr>
              <w:t>按照采购人要求完成安装调试，并验收合格后交付。</w:t>
            </w:r>
          </w:p>
        </w:tc>
      </w:tr>
      <w:tr w14:paraId="3497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6114BBBF">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▲交货地点或服务地点</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514622A8">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采购人指定地点</w:t>
            </w:r>
            <w:r>
              <w:rPr>
                <w:rFonts w:hint="eastAsia" w:ascii="宋体" w:hAnsi="宋体" w:cs="宋体"/>
                <w:color w:val="auto"/>
                <w:sz w:val="21"/>
                <w:szCs w:val="21"/>
                <w:highlight w:val="none"/>
                <w:lang w:eastAsia="zh-CN"/>
              </w:rPr>
              <w:t>。</w:t>
            </w:r>
          </w:p>
        </w:tc>
      </w:tr>
      <w:tr w14:paraId="4143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01B3D596">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48DEBA45">
            <w:pPr>
              <w:keepNext w:val="0"/>
              <w:keepLines w:val="0"/>
              <w:pageBreakBefore w:val="0"/>
              <w:shd w:val="clear"/>
              <w:kinsoku/>
              <w:overflowPunct/>
              <w:topLinePunct w:val="0"/>
              <w:bidi w:val="0"/>
              <w:snapToGrid/>
              <w:spacing w:line="400" w:lineRule="exac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1.验收程序</w:t>
            </w:r>
          </w:p>
          <w:p w14:paraId="630EE604">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到货</w:t>
            </w:r>
            <w:r>
              <w:rPr>
                <w:rFonts w:hint="eastAsia" w:ascii="宋体" w:hAnsi="宋体" w:eastAsia="宋体" w:cs="宋体"/>
                <w:color w:val="auto"/>
                <w:sz w:val="21"/>
                <w:szCs w:val="21"/>
                <w:highlight w:val="none"/>
              </w:rPr>
              <w:t>验收</w:t>
            </w:r>
          </w:p>
          <w:p w14:paraId="72F33BFE">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lang w:val="en-US" w:eastAsia="zh-CN"/>
              </w:rPr>
              <w:t>应在合同签订后3个月内</w:t>
            </w:r>
            <w:r>
              <w:rPr>
                <w:rFonts w:hint="eastAsia" w:ascii="宋体" w:hAnsi="宋体" w:eastAsia="宋体" w:cs="宋体"/>
                <w:color w:val="auto"/>
                <w:sz w:val="21"/>
                <w:szCs w:val="21"/>
                <w:highlight w:val="none"/>
              </w:rPr>
              <w:t>完成</w:t>
            </w:r>
            <w:r>
              <w:rPr>
                <w:rFonts w:hint="eastAsia" w:ascii="宋体" w:hAnsi="宋体" w:eastAsia="宋体" w:cs="宋体"/>
                <w:color w:val="auto"/>
                <w:sz w:val="21"/>
                <w:szCs w:val="21"/>
                <w:highlight w:val="none"/>
                <w:lang w:val="en-US" w:eastAsia="zh-CN"/>
              </w:rPr>
              <w:t>全部货物</w:t>
            </w:r>
            <w:r>
              <w:rPr>
                <w:rFonts w:hint="eastAsia" w:ascii="宋体" w:hAnsi="宋体" w:eastAsia="宋体" w:cs="宋体"/>
                <w:color w:val="auto"/>
                <w:sz w:val="21"/>
                <w:szCs w:val="21"/>
                <w:highlight w:val="none"/>
              </w:rPr>
              <w:t>采购，</w:t>
            </w:r>
            <w:r>
              <w:rPr>
                <w:rFonts w:hint="eastAsia" w:ascii="宋体" w:hAnsi="宋体" w:eastAsia="宋体" w:cs="宋体"/>
                <w:color w:val="auto"/>
                <w:sz w:val="21"/>
                <w:szCs w:val="21"/>
                <w:highlight w:val="none"/>
                <w:lang w:val="en-US" w:eastAsia="zh-CN"/>
              </w:rPr>
              <w:t>运抵</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指定地点，经</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与</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lang w:val="en-US" w:eastAsia="zh-CN"/>
              </w:rPr>
              <w:t>委托的验收人员</w:t>
            </w:r>
            <w:r>
              <w:rPr>
                <w:rFonts w:hint="eastAsia" w:ascii="宋体" w:hAnsi="宋体" w:eastAsia="宋体" w:cs="宋体"/>
                <w:color w:val="auto"/>
                <w:sz w:val="21"/>
                <w:szCs w:val="21"/>
                <w:highlight w:val="none"/>
              </w:rPr>
              <w:t>共同在现场</w:t>
            </w:r>
            <w:r>
              <w:rPr>
                <w:rFonts w:hint="eastAsia" w:ascii="宋体" w:hAnsi="宋体" w:eastAsia="宋体" w:cs="宋体"/>
                <w:color w:val="auto"/>
                <w:sz w:val="21"/>
                <w:szCs w:val="21"/>
                <w:highlight w:val="none"/>
                <w:lang w:val="en-US" w:eastAsia="zh-CN"/>
              </w:rPr>
              <w:t>对货物进行开箱清点并</w:t>
            </w:r>
            <w:r>
              <w:rPr>
                <w:rFonts w:hint="eastAsia" w:ascii="宋体" w:hAnsi="宋体" w:eastAsia="宋体" w:cs="宋体"/>
                <w:color w:val="auto"/>
                <w:sz w:val="21"/>
                <w:szCs w:val="21"/>
                <w:highlight w:val="none"/>
              </w:rPr>
              <w:t>签字确认，</w:t>
            </w:r>
            <w:r>
              <w:rPr>
                <w:rFonts w:hint="eastAsia" w:ascii="宋体" w:hAnsi="宋体" w:eastAsia="宋体" w:cs="宋体"/>
                <w:color w:val="auto"/>
                <w:sz w:val="21"/>
                <w:szCs w:val="21"/>
                <w:highlight w:val="none"/>
                <w:lang w:val="en-US" w:eastAsia="zh-CN"/>
              </w:rPr>
              <w:t>完成到货</w:t>
            </w:r>
            <w:r>
              <w:rPr>
                <w:rFonts w:hint="eastAsia" w:ascii="宋体" w:hAnsi="宋体" w:eastAsia="宋体" w:cs="宋体"/>
                <w:color w:val="auto"/>
                <w:sz w:val="21"/>
                <w:szCs w:val="21"/>
                <w:highlight w:val="none"/>
              </w:rPr>
              <w:t>验收。</w:t>
            </w:r>
          </w:p>
          <w:p w14:paraId="586DB710">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合同</w:t>
            </w:r>
            <w:r>
              <w:rPr>
                <w:rFonts w:hint="eastAsia" w:ascii="宋体" w:hAnsi="宋体" w:eastAsia="宋体" w:cs="宋体"/>
                <w:color w:val="auto"/>
                <w:sz w:val="21"/>
                <w:szCs w:val="21"/>
                <w:highlight w:val="none"/>
              </w:rPr>
              <w:t>验收</w:t>
            </w:r>
          </w:p>
          <w:p w14:paraId="5845D0EB">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应在</w:t>
            </w:r>
            <w:r>
              <w:rPr>
                <w:rFonts w:hint="eastAsia" w:ascii="宋体" w:hAnsi="宋体" w:eastAsia="宋体" w:cs="宋体"/>
                <w:color w:val="auto"/>
                <w:sz w:val="21"/>
                <w:szCs w:val="21"/>
                <w:highlight w:val="none"/>
                <w:lang w:val="en-US" w:eastAsia="zh-CN"/>
              </w:rPr>
              <w:t>到货验收后</w:t>
            </w:r>
            <w:r>
              <w:rPr>
                <w:rFonts w:hint="default" w:ascii="宋体" w:hAnsi="宋体" w:eastAsia="宋体" w:cs="宋体"/>
                <w:color w:val="auto"/>
                <w:sz w:val="21"/>
                <w:szCs w:val="21"/>
                <w:highlight w:val="none"/>
                <w:lang w:val="en-US"/>
              </w:rPr>
              <w:t>5</w:t>
            </w:r>
            <w:r>
              <w:rPr>
                <w:rFonts w:hint="eastAsia" w:ascii="宋体" w:hAnsi="宋体" w:eastAsia="宋体" w:cs="宋体"/>
                <w:color w:val="auto"/>
                <w:sz w:val="21"/>
                <w:szCs w:val="21"/>
                <w:highlight w:val="none"/>
              </w:rPr>
              <w:t>个月内完成</w:t>
            </w:r>
            <w:r>
              <w:rPr>
                <w:rFonts w:hint="eastAsia" w:ascii="宋体" w:hAnsi="宋体" w:eastAsia="宋体" w:cs="宋体"/>
                <w:color w:val="auto"/>
                <w:sz w:val="21"/>
                <w:szCs w:val="21"/>
                <w:highlight w:val="none"/>
                <w:lang w:val="en-US" w:eastAsia="zh-CN"/>
              </w:rPr>
              <w:t>安装、系统部署、调试工作</w:t>
            </w:r>
            <w:r>
              <w:rPr>
                <w:rFonts w:hint="eastAsia" w:ascii="宋体" w:hAnsi="宋体" w:eastAsia="宋体" w:cs="宋体"/>
                <w:color w:val="auto"/>
                <w:sz w:val="21"/>
                <w:szCs w:val="21"/>
                <w:highlight w:val="none"/>
              </w:rPr>
              <w:t>，向</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lang w:val="en-US" w:eastAsia="zh-CN"/>
              </w:rPr>
              <w:t>书面提交合同验收申请，并附总结报告</w:t>
            </w:r>
            <w:r>
              <w:rPr>
                <w:rFonts w:hint="eastAsia" w:ascii="宋体" w:hAnsi="宋体" w:eastAsia="宋体" w:cs="宋体"/>
                <w:color w:val="auto"/>
                <w:sz w:val="21"/>
                <w:szCs w:val="21"/>
                <w:highlight w:val="none"/>
              </w:rPr>
              <w:t>，总结报告内容包括：</w:t>
            </w:r>
            <w:r>
              <w:rPr>
                <w:rFonts w:hint="eastAsia" w:ascii="宋体" w:hAnsi="宋体" w:eastAsia="宋体" w:cs="宋体"/>
                <w:color w:val="auto"/>
                <w:sz w:val="21"/>
                <w:szCs w:val="21"/>
                <w:highlight w:val="none"/>
                <w:lang w:val="en-US" w:eastAsia="zh-CN"/>
              </w:rPr>
              <w:t>音视频系统部署</w:t>
            </w:r>
            <w:r>
              <w:rPr>
                <w:rFonts w:hint="eastAsia" w:ascii="宋体" w:hAnsi="宋体" w:eastAsia="宋体" w:cs="宋体"/>
                <w:color w:val="auto"/>
                <w:sz w:val="21"/>
                <w:szCs w:val="21"/>
                <w:highlight w:val="none"/>
              </w:rPr>
              <w:t>概况、</w:t>
            </w:r>
            <w:r>
              <w:rPr>
                <w:rFonts w:hint="eastAsia" w:ascii="宋体" w:hAnsi="宋体" w:eastAsia="宋体" w:cs="宋体"/>
                <w:color w:val="auto"/>
                <w:sz w:val="21"/>
                <w:szCs w:val="21"/>
                <w:highlight w:val="none"/>
                <w:lang w:val="en-US" w:eastAsia="zh-CN"/>
              </w:rPr>
              <w:t>安装测试清单、功能测试截图</w:t>
            </w:r>
            <w:r>
              <w:rPr>
                <w:rFonts w:hint="eastAsia" w:ascii="宋体" w:hAnsi="宋体" w:eastAsia="宋体" w:cs="宋体"/>
                <w:color w:val="auto"/>
                <w:sz w:val="21"/>
                <w:szCs w:val="21"/>
                <w:highlight w:val="none"/>
              </w:rPr>
              <w:t>、售后维修服务条款，由</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组织制定验收技术大纲并组织验收出具验收</w:t>
            </w:r>
            <w:r>
              <w:rPr>
                <w:rFonts w:hint="eastAsia" w:ascii="宋体" w:hAnsi="宋体" w:eastAsia="宋体" w:cs="宋体"/>
                <w:color w:val="auto"/>
                <w:sz w:val="21"/>
                <w:szCs w:val="21"/>
                <w:highlight w:val="none"/>
                <w:lang w:val="en-US" w:eastAsia="zh-CN"/>
              </w:rPr>
              <w:t>书</w:t>
            </w:r>
            <w:r>
              <w:rPr>
                <w:rFonts w:hint="eastAsia" w:ascii="宋体" w:hAnsi="宋体" w:eastAsia="宋体" w:cs="宋体"/>
                <w:color w:val="auto"/>
                <w:sz w:val="21"/>
                <w:szCs w:val="21"/>
                <w:highlight w:val="none"/>
              </w:rPr>
              <w:t>。</w:t>
            </w:r>
          </w:p>
          <w:p w14:paraId="75CB1396">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验收过程中所产生的一切费用均由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承担。</w:t>
            </w:r>
          </w:p>
          <w:p w14:paraId="6BEE4172">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中标产品不能涉及任何法律纠纷。</w:t>
            </w:r>
          </w:p>
          <w:p w14:paraId="6A668AF8">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.验收标准：按国家有关标准以及</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招标文件的采购需求、</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的投标文件响应及承诺与本</w:t>
            </w:r>
            <w:r>
              <w:rPr>
                <w:rFonts w:hint="eastAsia" w:ascii="宋体" w:hAnsi="宋体" w:cs="宋体"/>
                <w:color w:val="auto"/>
                <w:sz w:val="21"/>
                <w:szCs w:val="21"/>
                <w:highlight w:val="none"/>
                <w:lang w:eastAsia="zh-CN"/>
              </w:rPr>
              <w:t>项目</w:t>
            </w:r>
            <w:r>
              <w:rPr>
                <w:rFonts w:hint="eastAsia" w:ascii="宋体" w:hAnsi="宋体" w:eastAsia="宋体" w:cs="宋体"/>
                <w:color w:val="auto"/>
                <w:sz w:val="21"/>
                <w:szCs w:val="21"/>
                <w:highlight w:val="none"/>
              </w:rPr>
              <w:t>合同约定进行验收；上述标准如有不一致事项，以招标文件与投标文件中对应要求或指标中较优作为验收标准。如果交付的产品或服务成果中有执行国家强制标准的，则验收标准不得低于国家强制标准。</w:t>
            </w:r>
          </w:p>
          <w:p w14:paraId="12EF8AF7">
            <w:pPr>
              <w:shd w:val="clear"/>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.验收结果：在任一单项验收环节，</w:t>
            </w:r>
            <w:r>
              <w:rPr>
                <w:rFonts w:hint="eastAsia" w:ascii="宋体" w:hAnsi="宋体" w:cs="宋体"/>
                <w:color w:val="auto"/>
                <w:sz w:val="21"/>
                <w:szCs w:val="21"/>
                <w:highlight w:val="none"/>
                <w:lang w:val="en-US" w:eastAsia="zh-CN"/>
              </w:rPr>
              <w:t>采购人、中标人的</w:t>
            </w:r>
            <w:r>
              <w:rPr>
                <w:rFonts w:hint="eastAsia" w:ascii="宋体" w:hAnsi="宋体" w:eastAsia="宋体" w:cs="宋体"/>
                <w:color w:val="auto"/>
                <w:sz w:val="21"/>
                <w:szCs w:val="21"/>
                <w:highlight w:val="none"/>
              </w:rPr>
              <w:t>代表均应在场，交付的产品或服务成果符合验收标准的为单项验收合格，不符合验收标准的为单项验收不合格。验收结果由</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出具验收结果报告或验收书，列明各项标准的验收情况，由</w:t>
            </w:r>
            <w:r>
              <w:rPr>
                <w:rFonts w:hint="eastAsia" w:ascii="宋体" w:hAnsi="宋体" w:cs="宋体"/>
                <w:color w:val="auto"/>
                <w:sz w:val="21"/>
                <w:szCs w:val="21"/>
                <w:highlight w:val="none"/>
                <w:lang w:val="en-US" w:eastAsia="zh-CN"/>
              </w:rPr>
              <w:t>采购人、中标人的</w:t>
            </w:r>
            <w:r>
              <w:rPr>
                <w:rFonts w:hint="eastAsia" w:ascii="宋体" w:hAnsi="宋体" w:eastAsia="宋体" w:cs="宋体"/>
                <w:color w:val="auto"/>
                <w:sz w:val="21"/>
                <w:szCs w:val="21"/>
                <w:highlight w:val="none"/>
              </w:rPr>
              <w:t>代表共同签字确认并加盖</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公章，双方各执一份。验收结果报告或验收书经双方代表签字后即视为验收结果已通知双方。如</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对验收结果有异议的，应在验收现场以书面的形式出具说明，否则视为认可验收结果。</w:t>
            </w:r>
          </w:p>
          <w:p w14:paraId="2B08E158">
            <w:pPr>
              <w:shd w:val="clear"/>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.不予签收或单项验收不合格的，</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应在当次验收后5个工作日内就不符合要求项以补充、更换、修理等</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认可的方式进行整改并重新验收，未按时进行整改或整改后重新验收仍不合格的视为逾期交付，逾期交付最长不得超过30日，超过30日则视为最终验收不合格。逾期交付不影响</w:t>
            </w:r>
            <w:r>
              <w:rPr>
                <w:rFonts w:hint="eastAsia" w:ascii="宋体" w:hAnsi="宋体" w:cs="宋体"/>
                <w:color w:val="auto"/>
                <w:sz w:val="21"/>
                <w:szCs w:val="21"/>
                <w:highlight w:val="none"/>
                <w:lang w:val="en-US" w:eastAsia="zh-CN"/>
              </w:rPr>
              <w:t>合同</w:t>
            </w:r>
            <w:r>
              <w:rPr>
                <w:rFonts w:hint="eastAsia" w:ascii="宋体" w:hAnsi="宋体" w:eastAsia="宋体" w:cs="宋体"/>
                <w:color w:val="auto"/>
                <w:sz w:val="21"/>
                <w:szCs w:val="21"/>
                <w:highlight w:val="none"/>
              </w:rPr>
              <w:t>约定的使用时间。</w:t>
            </w:r>
          </w:p>
          <w:p w14:paraId="34B4E523">
            <w:pPr>
              <w:shd w:val="clear"/>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最终验收不合格的，</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lang w:eastAsia="zh-CN"/>
              </w:rPr>
              <w:t>应于10日内退还</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lang w:eastAsia="zh-CN"/>
              </w:rPr>
              <w:t>已支付的全部款项，并按合同总金额的10%向</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lang w:eastAsia="zh-CN"/>
              </w:rPr>
              <w:t>支付违约金。</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lang w:eastAsia="zh-CN"/>
              </w:rPr>
              <w:t>针对验收不合格项的整改次数不得超过</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次，超出整改次数仍不符合验收标准的，</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lang w:eastAsia="zh-CN"/>
              </w:rPr>
              <w:t>有权拒绝接收相关成果。</w:t>
            </w:r>
          </w:p>
          <w:p w14:paraId="4AA1C23C">
            <w:pPr>
              <w:numPr>
                <w:ilvl w:val="-1"/>
                <w:numId w:val="0"/>
              </w:numPr>
              <w:shd w:val="clear"/>
              <w:snapToGrid/>
              <w:spacing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有权委托第三方机构组织验收，验收按上述规定执行，</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应予以配合。</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委托第三方机构组织或专业检测机构参与验收的，验收费用由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负责。费用标准参照国家或自治区有关规定执行。</w:t>
            </w:r>
          </w:p>
          <w:p w14:paraId="2CA7DD1D">
            <w:pPr>
              <w:numPr>
                <w:ilvl w:val="-1"/>
                <w:numId w:val="0"/>
              </w:numPr>
              <w:shd w:val="clear"/>
              <w:snapToGrid/>
              <w:spacing w:line="400" w:lineRule="exact"/>
              <w:ind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委托第三方组织验收的，其验收时间、验收程序以该项目验收方案确定的验收时间、验收程序为准，验收结果以该项目验收报告结论为准。</w:t>
            </w:r>
          </w:p>
          <w:p w14:paraId="68A4D426">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0E85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6CAC985B">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▲服务标准、期限、效率</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1F6590C4">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中标供应商在质保期内应当为采购人提供以下技术支持和服务：</w:t>
            </w:r>
          </w:p>
          <w:p w14:paraId="738FDD3A">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1.电话咨询</w:t>
            </w:r>
          </w:p>
          <w:p w14:paraId="3F0A18DF">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中标供应商应当为采购人提供技术援助电话，解答采购人在使用中遇到的问题，及时为采购人提出解决问题的建议。</w:t>
            </w:r>
          </w:p>
          <w:p w14:paraId="40957DCA">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2.现场响应</w:t>
            </w:r>
          </w:p>
          <w:p w14:paraId="54EFC0DF">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采购人遇到使用或技术问题，电话咨询不能解决的，中标供应商应在24小时内到达现场进行处理，到达现场后48小时内排除故障，恢复正常使用。</w:t>
            </w:r>
          </w:p>
          <w:p w14:paraId="11A28CEE">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3.技术升级</w:t>
            </w:r>
          </w:p>
          <w:p w14:paraId="47012E3C">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在质保期内，如果中标供应商的产品或服务升级，中标供应商应及时通知采购人，如采购人有相应要求，中标供应商应对采购人购买的产品或服务进行升级。</w:t>
            </w:r>
          </w:p>
        </w:tc>
      </w:tr>
      <w:tr w14:paraId="09DD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191515F2">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▲培训</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68E3A459">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tc>
      </w:tr>
      <w:tr w14:paraId="6A0C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6A772BF3">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4F5D817B">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1.中标人</w:t>
            </w:r>
            <w:r>
              <w:rPr>
                <w:rFonts w:hint="eastAsia" w:ascii="宋体" w:hAnsi="宋体" w:eastAsia="宋体" w:cs="宋体"/>
                <w:color w:val="auto"/>
                <w:sz w:val="21"/>
                <w:szCs w:val="21"/>
                <w:highlight w:val="none"/>
              </w:rPr>
              <w:t>按要求缴纳履约保证金、合同签订完成并提交发票和请款申请书后</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个工作日内支付合同金额的50%</w:t>
            </w:r>
            <w:r>
              <w:rPr>
                <w:rFonts w:hint="eastAsia" w:ascii="宋体" w:hAnsi="宋体" w:cs="宋体"/>
                <w:color w:val="auto"/>
                <w:sz w:val="21"/>
                <w:szCs w:val="21"/>
                <w:highlight w:val="none"/>
                <w:lang w:eastAsia="zh-CN"/>
              </w:rPr>
              <w:t>。</w:t>
            </w:r>
          </w:p>
          <w:p w14:paraId="2792FB0C">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（2）完成</w:t>
            </w:r>
            <w:r>
              <w:rPr>
                <w:rFonts w:hint="eastAsia" w:ascii="宋体" w:hAnsi="宋体" w:eastAsia="宋体" w:cs="宋体"/>
                <w:color w:val="auto"/>
                <w:sz w:val="21"/>
                <w:szCs w:val="21"/>
                <w:highlight w:val="none"/>
                <w:lang w:val="en-US" w:eastAsia="zh-CN"/>
              </w:rPr>
              <w:t>到货验收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中标人提交发票和请款申请书后，采购人10个工作日内</w:t>
            </w:r>
            <w:r>
              <w:rPr>
                <w:rFonts w:hint="eastAsia" w:ascii="宋体" w:hAnsi="宋体" w:eastAsia="宋体" w:cs="宋体"/>
                <w:color w:val="auto"/>
                <w:sz w:val="21"/>
                <w:szCs w:val="21"/>
                <w:highlight w:val="none"/>
              </w:rPr>
              <w:t>支付至合同金额的90%</w:t>
            </w:r>
            <w:r>
              <w:rPr>
                <w:rFonts w:hint="eastAsia" w:ascii="宋体" w:hAnsi="宋体" w:cs="宋体"/>
                <w:color w:val="auto"/>
                <w:sz w:val="21"/>
                <w:szCs w:val="21"/>
                <w:highlight w:val="none"/>
                <w:lang w:eastAsia="zh-CN"/>
              </w:rPr>
              <w:t>。</w:t>
            </w:r>
          </w:p>
          <w:p w14:paraId="281644A8">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按验收流程要求通过</w:t>
            </w:r>
            <w:bookmarkStart w:id="53" w:name="OLE_LINK4"/>
            <w:r>
              <w:rPr>
                <w:rFonts w:hint="eastAsia" w:ascii="宋体" w:hAnsi="宋体" w:eastAsia="宋体" w:cs="宋体"/>
                <w:color w:val="auto"/>
                <w:sz w:val="21"/>
                <w:szCs w:val="21"/>
                <w:highlight w:val="none"/>
              </w:rPr>
              <w:t>最终合同验收</w:t>
            </w:r>
            <w:bookmarkEnd w:id="53"/>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中标人提交发票和请款申请书后，采购人</w:t>
            </w:r>
            <w:r>
              <w:rPr>
                <w:rFonts w:hint="eastAsia" w:ascii="宋体" w:hAnsi="宋体" w:eastAsia="宋体" w:cs="宋体"/>
                <w:color w:val="auto"/>
                <w:sz w:val="21"/>
                <w:szCs w:val="21"/>
                <w:highlight w:val="none"/>
              </w:rPr>
              <w:t>10个工作日内付清合同尾款</w:t>
            </w:r>
            <w:r>
              <w:rPr>
                <w:rFonts w:hint="eastAsia" w:ascii="宋体" w:hAnsi="宋体" w:cs="宋体"/>
                <w:color w:val="auto"/>
                <w:sz w:val="21"/>
                <w:szCs w:val="21"/>
                <w:highlight w:val="none"/>
                <w:lang w:eastAsia="zh-CN"/>
              </w:rPr>
              <w:t>。</w:t>
            </w:r>
          </w:p>
          <w:p w14:paraId="24B65484">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）票据要求：</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必须按照</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要求提供正规的增值税普通发票。一旦发现</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提供虚假发票，除须向</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补开合法发票外，须赔偿</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发票票面金额一倍的违约金，且</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有权终止合同，</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不得提出异议，因终止合同而产生的一切损失均由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w:t>
            </w:r>
            <w:r>
              <w:rPr>
                <w:rFonts w:hint="eastAsia" w:ascii="宋体" w:hAnsi="宋体" w:cs="宋体"/>
                <w:color w:val="auto"/>
                <w:sz w:val="21"/>
                <w:szCs w:val="21"/>
                <w:highlight w:val="none"/>
                <w:lang w:eastAsia="zh-CN"/>
              </w:rPr>
              <w:t>。</w:t>
            </w:r>
          </w:p>
          <w:p w14:paraId="3F7C2EAF">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）合同款支付形式为：转账。</w:t>
            </w:r>
          </w:p>
        </w:tc>
      </w:tr>
      <w:tr w14:paraId="3B89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3EF262FE">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42D402D3">
            <w:pPr>
              <w:keepNext w:val="0"/>
              <w:keepLines w:val="0"/>
              <w:pageBreakBefore w:val="0"/>
              <w:shd w:val="clear"/>
              <w:kinsoku/>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履约保证金金额及缴纳时间：履约保证金金额为中标金额的</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（中小企业缴纳数额为中标金额的2%）</w:t>
            </w:r>
            <w:r>
              <w:rPr>
                <w:rFonts w:hint="eastAsia" w:ascii="宋体" w:hAnsi="宋体" w:eastAsia="宋体" w:cs="宋体"/>
                <w:color w:val="auto"/>
                <w:sz w:val="21"/>
                <w:szCs w:val="21"/>
                <w:highlight w:val="none"/>
              </w:rPr>
              <w:t>，中标供应商须在签订合同前缴纳履约保证金，未能按时足额缴纳的，或按规定提交方式提交的，或保函有效期低于合同履行期限（即合同中规定的当事人履行自己的义务，如交付标的物、价款或者报酬，履行劳务、完成工作的时间界限）的，不予签订合同。</w:t>
            </w:r>
          </w:p>
          <w:p w14:paraId="4E161BD6">
            <w:pPr>
              <w:keepNext w:val="0"/>
              <w:keepLines w:val="0"/>
              <w:pageBreakBefore w:val="0"/>
              <w:shd w:val="clear"/>
              <w:kinsoku/>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履约保证金缴纳形式：供应商可以选择电汇、转账、支票、汇票、本票、保函等形式缴纳或提交；采用保函形式缴纳的，采购人在保证期限届满后及时对收取的保证金进行核实和结算。                   </w:t>
            </w:r>
          </w:p>
          <w:p w14:paraId="6A8F3A4A">
            <w:pPr>
              <w:keepNext w:val="0"/>
              <w:keepLines w:val="0"/>
              <w:pageBreakBefore w:val="0"/>
              <w:shd w:val="clear"/>
              <w:kinsoku/>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履约保证金退还方式及时间、条件：履约保证金自合同生效之日起生效至</w:t>
            </w:r>
            <w:r>
              <w:rPr>
                <w:rFonts w:hint="eastAsia" w:ascii="宋体" w:hAnsi="宋体" w:eastAsia="宋体" w:cs="宋体"/>
                <w:color w:val="auto"/>
                <w:sz w:val="21"/>
                <w:szCs w:val="21"/>
                <w:highlight w:val="none"/>
                <w:lang w:eastAsia="zh-CN"/>
              </w:rPr>
              <w:t>整体</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eastAsia="zh-CN"/>
              </w:rPr>
              <w:t>质保期届满</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eastAsia="zh-CN"/>
              </w:rPr>
              <w:t>30</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eastAsia="zh-CN"/>
              </w:rPr>
              <w:t>失效</w:t>
            </w:r>
            <w:r>
              <w:rPr>
                <w:rFonts w:hint="eastAsia" w:ascii="宋体" w:hAnsi="宋体" w:eastAsia="宋体" w:cs="宋体"/>
                <w:color w:val="auto"/>
                <w:sz w:val="21"/>
                <w:szCs w:val="21"/>
                <w:highlight w:val="none"/>
              </w:rPr>
              <w:t>。履约保证金符合退还条件的，</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在收到</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提交的履约保证金退付申请之日起28天内退还履约保证金，如未在规定时间内退还的，</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可予以书面催告，</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应按中国人民银行发布的同期同类贷款基准利率向</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支付自催告日期起的利息。</w:t>
            </w:r>
          </w:p>
        </w:tc>
      </w:tr>
      <w:tr w14:paraId="3FBDB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575C8BC2">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▲包装和运输要求</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2F5CA0B7">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p w14:paraId="306FAE8B">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2.运输要求详见招标文件合同主要条款格式部分</w:t>
            </w:r>
            <w:r>
              <w:rPr>
                <w:rFonts w:hint="eastAsia" w:ascii="宋体" w:hAnsi="宋体" w:eastAsia="宋体" w:cs="宋体"/>
                <w:color w:val="auto"/>
                <w:sz w:val="21"/>
                <w:szCs w:val="21"/>
                <w:highlight w:val="none"/>
                <w:lang w:eastAsia="zh-CN"/>
              </w:rPr>
              <w:t>。</w:t>
            </w:r>
          </w:p>
        </w:tc>
      </w:tr>
      <w:tr w14:paraId="0C6A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282D0927">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368B093F">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标供应商应按照国家有关法律法规和“三包”规定以及招标文件、投标文件、合同及附件的规定，为采购人提供售后服务。中标供应商承诺质保期优于国家“三包”规定的，或优于招标文件规定的，按中标供应商实际承诺执行。</w:t>
            </w:r>
          </w:p>
          <w:p w14:paraId="4B23E246">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2.项目验收后中标供应商提供</w:t>
            </w:r>
            <w:r>
              <w:rPr>
                <w:rFonts w:hint="eastAsia" w:ascii="宋体" w:hAnsi="宋体" w:cs="宋体"/>
                <w:color w:val="auto"/>
                <w:sz w:val="21"/>
                <w:szCs w:val="21"/>
                <w:highlight w:val="none"/>
                <w:lang w:val="en-US" w:eastAsia="zh-CN"/>
              </w:rPr>
              <w:t>不少于2名</w:t>
            </w:r>
            <w:r>
              <w:rPr>
                <w:rFonts w:hint="eastAsia" w:ascii="宋体" w:hAnsi="宋体" w:eastAsia="宋体" w:cs="宋体"/>
                <w:color w:val="auto"/>
                <w:sz w:val="21"/>
                <w:szCs w:val="21"/>
                <w:highlight w:val="none"/>
              </w:rPr>
              <w:t>技术人员驻场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广西区内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服务不少于3年，确保项目稳定运行。招标文件采购需求部分有特别要求的则以技术参数要求表为准。</w:t>
            </w:r>
          </w:p>
          <w:p w14:paraId="06520C7C">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后产品或服务由制造商（指产品生产制造商或服务实际提供人）负责质保期内的售后服务的，供应商应当在投标文件中予以明确说明，制造商提供的售后服务也应达到招标文件要求的标准，相关的售后服务费用由供应商向制造商支付，供应商可视情况在投标报价中予以考虑，采购人不予另行支付。</w:t>
            </w:r>
          </w:p>
          <w:p w14:paraId="77F05D34">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中标供应商售后服务中，维修使用的备品备件及易损件应为原厂配件，未经采购人同意不得使用非原厂配件，质保期内维修使用的备品备件及易损件的费用，由中标供应商承担。质保期过后，采购人需要继续由原中标供应商提供售后服务的，该中标供应商应以优惠价格提供售后服务，常用的、容易损坏的备品备件及易损件的优惠价格清单须在投标文件中列出。</w:t>
            </w:r>
          </w:p>
          <w:p w14:paraId="153B9857">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5.质保期内的费用</w:t>
            </w:r>
          </w:p>
          <w:p w14:paraId="22FB0815">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质保期内供应商为采购人所提供的所有技术支持和服务费用以及上门维修、更换零部件费用均包含在投标报价中，采购人不再另行支付。</w:t>
            </w:r>
          </w:p>
          <w:p w14:paraId="6414E26C">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6.质保期过后的服务要求</w:t>
            </w:r>
          </w:p>
          <w:p w14:paraId="7F827095">
            <w:pPr>
              <w:keepNext w:val="0"/>
              <w:keepLines w:val="0"/>
              <w:pageBreakBefore w:val="0"/>
              <w:shd w:val="clear"/>
              <w:kinsoku/>
              <w:overflowPunct/>
              <w:topLinePunct w:val="0"/>
              <w:bidi w:val="0"/>
              <w:snapToGrid/>
              <w:spacing w:line="400" w:lineRule="exac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电话咨询：产品质保期过后，中标供应商应当为采购人提供技术援助电话，解答采购人在使用中遇到的问题，及时为采购人提出解决问题的建议，并不予收费。</w:t>
            </w:r>
            <w:r>
              <w:rPr>
                <w:rFonts w:hint="eastAsia" w:ascii="宋体" w:hAnsi="宋体" w:cs="宋体"/>
                <w:color w:val="auto"/>
                <w:sz w:val="21"/>
                <w:szCs w:val="21"/>
                <w:highlight w:val="none"/>
                <w:lang w:val="en-US" w:eastAsia="zh-CN"/>
              </w:rPr>
              <w:t>如有另行约定，按中标商承诺和合同约定为准。</w:t>
            </w:r>
          </w:p>
        </w:tc>
      </w:tr>
      <w:tr w14:paraId="2D0D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7BF89538">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▲保险</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7C101D92">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中标供应商负责办理货物及项目实施人员保险。相关的费用由供应商承担，采购人不再另行支付。</w:t>
            </w:r>
          </w:p>
        </w:tc>
      </w:tr>
      <w:tr w14:paraId="21B8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284A7BA8">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▲产品运输、保管</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5F845325">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1.中标供应商负责产品到实施地点的全部运输，包括装卸及现场搬运等。费用由中标供应商承担，采购人不再另行支付。</w:t>
            </w:r>
          </w:p>
          <w:p w14:paraId="12311F9A">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2.中标供应商负责产品在实施地点的保管，直至项目验收合格。费用由中标供应商承担，采购人不再另行支付。</w:t>
            </w:r>
          </w:p>
        </w:tc>
      </w:tr>
      <w:tr w14:paraId="40AD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52542EB6">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▲安装调试</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646C138A">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1.中标供应商须负责所有设备的安装调试，在项目实施过程中须加强项目实施的组织管理，所有人员应遵守采购人有关规章制度。</w:t>
            </w:r>
          </w:p>
          <w:p w14:paraId="08F9FF2F">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2.项目完成后，中标供应商应将项目有关的全部资料，包括产品资料、技术文档等移交采购人。</w:t>
            </w:r>
          </w:p>
        </w:tc>
      </w:tr>
      <w:tr w14:paraId="3B9E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6F174D8C">
            <w:pPr>
              <w:keepNext w:val="0"/>
              <w:keepLines w:val="0"/>
              <w:pageBreakBefore w:val="0"/>
              <w:shd w:val="clear"/>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▲质保期</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79423CAB">
            <w:pPr>
              <w:keepNext w:val="0"/>
              <w:keepLines w:val="0"/>
              <w:pageBreakBefore w:val="0"/>
              <w:shd w:val="clear"/>
              <w:kinsoku/>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整体质保5年，项目另有约定的按技术参数约定为准。</w:t>
            </w:r>
          </w:p>
        </w:tc>
      </w:tr>
      <w:tr w14:paraId="58BC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09CA0A06">
            <w:pPr>
              <w:keepNext w:val="0"/>
              <w:keepLines w:val="0"/>
              <w:pageBreakBefore w:val="0"/>
              <w:shd w:val="clear"/>
              <w:tabs>
                <w:tab w:val="left" w:pos="180"/>
                <w:tab w:val="left" w:pos="1620"/>
              </w:tabs>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核心产品</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736DA846">
            <w:pPr>
              <w:keepNext w:val="0"/>
              <w:keepLines w:val="0"/>
              <w:pageBreakBefore w:val="0"/>
              <w:shd w:val="clear"/>
              <w:kinsoku/>
              <w:overflowPunct/>
              <w:topLinePunct w:val="0"/>
              <w:autoSpaceDE w:val="0"/>
              <w:autoSpaceDN w:val="0"/>
              <w:bidi w:val="0"/>
              <w:snapToGrid/>
              <w:spacing w:line="400" w:lineRule="exact"/>
              <w:textAlignment w:val="bottom"/>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本标项核心产品为第2.1项货物“</w:t>
            </w:r>
            <w:r>
              <w:rPr>
                <w:rFonts w:hint="eastAsia" w:ascii="宋体" w:hAnsi="宋体" w:eastAsia="宋体" w:cs="宋体"/>
                <w:b/>
                <w:bCs/>
                <w:color w:val="auto"/>
                <w:kern w:val="0"/>
                <w:sz w:val="21"/>
                <w:szCs w:val="21"/>
                <w:highlight w:val="none"/>
                <w:lang w:bidi="ar"/>
              </w:rPr>
              <w:t>市级</w:t>
            </w:r>
            <w:r>
              <w:rPr>
                <w:rFonts w:hint="eastAsia" w:ascii="宋体" w:hAnsi="宋体" w:eastAsia="宋体" w:cs="宋体"/>
                <w:b/>
                <w:bCs/>
                <w:color w:val="auto"/>
                <w:kern w:val="0"/>
                <w:sz w:val="21"/>
                <w:szCs w:val="21"/>
                <w:highlight w:val="none"/>
                <w:lang w:val="en-US" w:eastAsia="zh-CN" w:bidi="ar"/>
              </w:rPr>
              <w:t>指挥调度视频终端</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。（核心产品品牌相同的，视为提供同品牌产品）</w:t>
            </w:r>
          </w:p>
          <w:p w14:paraId="32DDD2D8">
            <w:pPr>
              <w:keepNext w:val="0"/>
              <w:keepLines w:val="0"/>
              <w:pageBreakBefore w:val="0"/>
              <w:shd w:val="clear"/>
              <w:kinsoku/>
              <w:overflowPunct/>
              <w:topLinePunct w:val="0"/>
              <w:autoSpaceDE w:val="0"/>
              <w:autoSpaceDN w:val="0"/>
              <w:bidi w:val="0"/>
              <w:snapToGrid/>
              <w:spacing w:line="40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报价低优先、按技术指标优劣）确定一个投标人获得中标人推荐资格，招标文件未规定的采取随机抽取方式确定，其他同品牌投标人不作为中标候选人。</w:t>
            </w:r>
          </w:p>
        </w:tc>
      </w:tr>
      <w:tr w14:paraId="0D52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4FCEC928">
            <w:pPr>
              <w:keepNext w:val="0"/>
              <w:keepLines w:val="0"/>
              <w:pageBreakBefore w:val="0"/>
              <w:shd w:val="clear"/>
              <w:tabs>
                <w:tab w:val="left" w:pos="180"/>
                <w:tab w:val="left" w:pos="1620"/>
              </w:tabs>
              <w:kinsoku/>
              <w:overflowPunct/>
              <w:topLinePunct w:val="0"/>
              <w:bidi w:val="0"/>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“天工”对接</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43BC899B">
            <w:pPr>
              <w:keepNext w:val="0"/>
              <w:keepLines w:val="0"/>
              <w:pageBreakBefore w:val="0"/>
              <w:shd w:val="clear"/>
              <w:kinsoku/>
              <w:overflowPunct/>
              <w:topLinePunct w:val="0"/>
              <w:autoSpaceDE w:val="0"/>
              <w:autoSpaceDN w:val="0"/>
              <w:bidi w:val="0"/>
              <w:snapToGrid/>
              <w:spacing w:line="40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应按</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及中国气象局人影中心要求做好</w:t>
            </w:r>
            <w:r>
              <w:rPr>
                <w:rFonts w:hint="eastAsia" w:ascii="宋体" w:hAnsi="宋体" w:eastAsia="宋体" w:cs="宋体"/>
                <w:color w:val="auto"/>
                <w:sz w:val="21"/>
                <w:szCs w:val="21"/>
                <w:highlight w:val="none"/>
                <w:lang w:eastAsia="zh-CN"/>
              </w:rPr>
              <w:t>音视频调度及可视调度指挥显示支撑系统</w:t>
            </w:r>
            <w:r>
              <w:rPr>
                <w:rFonts w:hint="eastAsia" w:ascii="宋体" w:hAnsi="宋体" w:eastAsia="宋体" w:cs="宋体"/>
                <w:color w:val="auto"/>
                <w:sz w:val="21"/>
                <w:szCs w:val="21"/>
                <w:highlight w:val="none"/>
              </w:rPr>
              <w:t>与“天工”平台对接部署工作。</w:t>
            </w:r>
          </w:p>
        </w:tc>
      </w:tr>
      <w:tr w14:paraId="6F93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39" w:type="dxa"/>
            <w:gridSpan w:val="2"/>
            <w:tcBorders>
              <w:top w:val="single" w:color="auto" w:sz="4" w:space="0"/>
              <w:left w:val="single" w:color="auto" w:sz="4" w:space="0"/>
              <w:bottom w:val="single" w:color="auto" w:sz="4" w:space="0"/>
              <w:right w:val="single" w:color="auto" w:sz="4" w:space="0"/>
            </w:tcBorders>
            <w:vAlign w:val="center"/>
          </w:tcPr>
          <w:p w14:paraId="18F2D0D1">
            <w:pPr>
              <w:keepNext w:val="0"/>
              <w:keepLines w:val="0"/>
              <w:pageBreakBefore w:val="0"/>
              <w:shd w:val="clear"/>
              <w:tabs>
                <w:tab w:val="left" w:pos="180"/>
                <w:tab w:val="left" w:pos="1620"/>
              </w:tabs>
              <w:kinsoku/>
              <w:overflowPunct/>
              <w:topLinePunct w:val="0"/>
              <w:bidi w:val="0"/>
              <w:snapToGrid/>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其他</w:t>
            </w:r>
          </w:p>
        </w:tc>
        <w:tc>
          <w:tcPr>
            <w:tcW w:w="7860" w:type="dxa"/>
            <w:gridSpan w:val="4"/>
            <w:tcBorders>
              <w:top w:val="single" w:color="auto" w:sz="4" w:space="0"/>
              <w:left w:val="single" w:color="auto" w:sz="4" w:space="0"/>
              <w:bottom w:val="single" w:color="auto" w:sz="4" w:space="0"/>
              <w:right w:val="single" w:color="auto" w:sz="4" w:space="0"/>
            </w:tcBorders>
            <w:vAlign w:val="center"/>
          </w:tcPr>
          <w:p w14:paraId="44FC345A">
            <w:pPr>
              <w:keepNext w:val="0"/>
              <w:keepLines w:val="0"/>
              <w:pageBreakBefore w:val="0"/>
              <w:shd w:val="clear"/>
              <w:kinsoku/>
              <w:overflowPunct/>
              <w:topLinePunct w:val="0"/>
              <w:autoSpaceDE w:val="0"/>
              <w:autoSpaceDN w:val="0"/>
              <w:bidi w:val="0"/>
              <w:snapToGrid/>
              <w:spacing w:line="400" w:lineRule="exact"/>
              <w:textAlignment w:val="bottom"/>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投标人可根据自身情况，结合本招标文件第四章“评标办法及评分标准”在投标文件中自行提供相关证明材料。</w:t>
            </w:r>
          </w:p>
        </w:tc>
      </w:tr>
    </w:tbl>
    <w:p w14:paraId="335CB75E">
      <w:pPr>
        <w:shd w:val="clear"/>
        <w:rPr>
          <w:rFonts w:hint="eastAsia" w:ascii="宋体"/>
          <w:b/>
          <w:color w:val="auto"/>
          <w:sz w:val="32"/>
          <w:szCs w:val="32"/>
          <w:highlight w:val="none"/>
        </w:rPr>
      </w:pPr>
      <w:r>
        <w:rPr>
          <w:rFonts w:hint="eastAsia" w:ascii="宋体"/>
          <w:color w:val="auto"/>
          <w:szCs w:val="21"/>
          <w:highlight w:val="none"/>
        </w:rPr>
        <w:br w:type="page"/>
      </w:r>
    </w:p>
    <w:p w14:paraId="569AD4C2">
      <w:pPr>
        <w:shd w:val="clear"/>
        <w:snapToGrid w:val="0"/>
        <w:spacing w:line="400" w:lineRule="exact"/>
        <w:jc w:val="center"/>
        <w:rPr>
          <w:rFonts w:hint="eastAsia" w:ascii="宋体"/>
          <w:b/>
          <w:color w:val="auto"/>
          <w:sz w:val="32"/>
          <w:szCs w:val="32"/>
          <w:highlight w:val="none"/>
        </w:rPr>
      </w:pPr>
    </w:p>
    <w:p w14:paraId="07F91C2C">
      <w:pPr>
        <w:shd w:val="clear"/>
        <w:snapToGrid w:val="0"/>
        <w:spacing w:line="400" w:lineRule="exact"/>
        <w:jc w:val="center"/>
        <w:rPr>
          <w:rFonts w:hint="eastAsia" w:ascii="宋体"/>
          <w:b/>
          <w:color w:val="auto"/>
          <w:sz w:val="32"/>
          <w:szCs w:val="32"/>
          <w:highlight w:val="none"/>
        </w:rPr>
      </w:pPr>
    </w:p>
    <w:p w14:paraId="7EBB725E">
      <w:pPr>
        <w:shd w:val="clear"/>
        <w:snapToGrid w:val="0"/>
        <w:spacing w:line="400" w:lineRule="exact"/>
        <w:jc w:val="center"/>
        <w:rPr>
          <w:rFonts w:hint="eastAsia" w:ascii="宋体"/>
          <w:b/>
          <w:color w:val="auto"/>
          <w:sz w:val="32"/>
          <w:szCs w:val="32"/>
          <w:highlight w:val="none"/>
        </w:rPr>
      </w:pPr>
    </w:p>
    <w:p w14:paraId="52A1B5D0">
      <w:pPr>
        <w:shd w:val="clear"/>
        <w:snapToGrid w:val="0"/>
        <w:spacing w:line="400" w:lineRule="exact"/>
        <w:jc w:val="center"/>
        <w:rPr>
          <w:rFonts w:hint="eastAsia" w:ascii="宋体"/>
          <w:b/>
          <w:color w:val="auto"/>
          <w:sz w:val="32"/>
          <w:szCs w:val="32"/>
          <w:highlight w:val="none"/>
        </w:rPr>
      </w:pPr>
    </w:p>
    <w:p w14:paraId="2B113591">
      <w:pPr>
        <w:shd w:val="clear"/>
        <w:snapToGrid w:val="0"/>
        <w:spacing w:line="400" w:lineRule="exact"/>
        <w:jc w:val="center"/>
        <w:rPr>
          <w:rFonts w:hint="eastAsia" w:ascii="宋体"/>
          <w:b/>
          <w:color w:val="auto"/>
          <w:sz w:val="32"/>
          <w:szCs w:val="32"/>
          <w:highlight w:val="none"/>
        </w:rPr>
      </w:pPr>
    </w:p>
    <w:p w14:paraId="1FC5AF6D">
      <w:pPr>
        <w:shd w:val="clear"/>
        <w:snapToGrid w:val="0"/>
        <w:spacing w:line="400" w:lineRule="exact"/>
        <w:jc w:val="center"/>
        <w:rPr>
          <w:rFonts w:hint="eastAsia" w:ascii="宋体"/>
          <w:b/>
          <w:color w:val="auto"/>
          <w:sz w:val="32"/>
          <w:szCs w:val="32"/>
          <w:highlight w:val="none"/>
        </w:rPr>
      </w:pPr>
    </w:p>
    <w:p w14:paraId="298082EF">
      <w:pPr>
        <w:shd w:val="clear"/>
        <w:snapToGrid w:val="0"/>
        <w:spacing w:line="400" w:lineRule="exact"/>
        <w:jc w:val="center"/>
        <w:rPr>
          <w:rFonts w:hint="eastAsia" w:ascii="宋体"/>
          <w:b/>
          <w:color w:val="auto"/>
          <w:sz w:val="32"/>
          <w:szCs w:val="32"/>
          <w:highlight w:val="none"/>
        </w:rPr>
      </w:pPr>
    </w:p>
    <w:p w14:paraId="7192DD98">
      <w:pPr>
        <w:shd w:val="clear"/>
        <w:snapToGrid w:val="0"/>
        <w:spacing w:line="400" w:lineRule="exact"/>
        <w:jc w:val="center"/>
        <w:rPr>
          <w:rFonts w:hint="eastAsia" w:ascii="宋体"/>
          <w:b/>
          <w:color w:val="auto"/>
          <w:sz w:val="32"/>
          <w:szCs w:val="32"/>
          <w:highlight w:val="none"/>
        </w:rPr>
      </w:pPr>
    </w:p>
    <w:p w14:paraId="7EB33798">
      <w:pPr>
        <w:shd w:val="clear"/>
        <w:snapToGrid w:val="0"/>
        <w:spacing w:line="400" w:lineRule="exact"/>
        <w:jc w:val="center"/>
        <w:rPr>
          <w:rFonts w:hint="eastAsia" w:ascii="宋体"/>
          <w:b/>
          <w:color w:val="auto"/>
          <w:sz w:val="32"/>
          <w:szCs w:val="32"/>
          <w:highlight w:val="none"/>
        </w:rPr>
      </w:pPr>
    </w:p>
    <w:p w14:paraId="643B7418">
      <w:pPr>
        <w:shd w:val="clear"/>
        <w:snapToGrid w:val="0"/>
        <w:spacing w:line="400" w:lineRule="exact"/>
        <w:jc w:val="center"/>
        <w:rPr>
          <w:rFonts w:hint="eastAsia" w:ascii="宋体"/>
          <w:b/>
          <w:color w:val="auto"/>
          <w:sz w:val="32"/>
          <w:szCs w:val="32"/>
          <w:highlight w:val="none"/>
        </w:rPr>
      </w:pPr>
    </w:p>
    <w:p w14:paraId="2FD713A9">
      <w:pPr>
        <w:shd w:val="clear"/>
        <w:snapToGrid w:val="0"/>
        <w:spacing w:line="400" w:lineRule="exact"/>
        <w:jc w:val="center"/>
        <w:rPr>
          <w:rFonts w:hint="eastAsia" w:ascii="宋体"/>
          <w:b/>
          <w:color w:val="auto"/>
          <w:sz w:val="32"/>
          <w:szCs w:val="32"/>
          <w:highlight w:val="none"/>
        </w:rPr>
      </w:pPr>
    </w:p>
    <w:p w14:paraId="6865C5DD">
      <w:pPr>
        <w:shd w:val="clear"/>
        <w:snapToGrid w:val="0"/>
        <w:spacing w:line="400" w:lineRule="exact"/>
        <w:rPr>
          <w:rFonts w:hint="eastAsia" w:ascii="宋体"/>
          <w:b/>
          <w:color w:val="auto"/>
          <w:sz w:val="32"/>
          <w:szCs w:val="32"/>
          <w:highlight w:val="none"/>
        </w:rPr>
      </w:pPr>
    </w:p>
    <w:p w14:paraId="0B92E74B">
      <w:pPr>
        <w:pStyle w:val="46"/>
        <w:shd w:val="clear"/>
        <w:rPr>
          <w:rFonts w:hint="eastAsia"/>
          <w:color w:val="auto"/>
          <w:sz w:val="44"/>
          <w:szCs w:val="44"/>
          <w:highlight w:val="none"/>
        </w:rPr>
      </w:pPr>
      <w:bookmarkStart w:id="54" w:name="_Toc476436433"/>
      <w:bookmarkStart w:id="55" w:name="_Toc476436174"/>
      <w:r>
        <w:rPr>
          <w:rFonts w:hint="eastAsia"/>
          <w:color w:val="auto"/>
          <w:sz w:val="44"/>
          <w:szCs w:val="44"/>
          <w:highlight w:val="none"/>
        </w:rPr>
        <w:t>第三章  投标人须知</w:t>
      </w:r>
      <w:bookmarkEnd w:id="54"/>
      <w:bookmarkEnd w:id="55"/>
    </w:p>
    <w:p w14:paraId="1F20C546">
      <w:pPr>
        <w:shd w:val="clear"/>
        <w:snapToGrid w:val="0"/>
        <w:jc w:val="center"/>
        <w:rPr>
          <w:rFonts w:hint="eastAsia" w:ascii="黑体" w:eastAsia="黑体"/>
          <w:color w:val="auto"/>
          <w:sz w:val="32"/>
          <w:szCs w:val="32"/>
          <w:highlight w:val="none"/>
        </w:rPr>
      </w:pPr>
    </w:p>
    <w:p w14:paraId="44684F5B">
      <w:pPr>
        <w:shd w:val="clear"/>
        <w:snapToGrid w:val="0"/>
        <w:jc w:val="center"/>
        <w:rPr>
          <w:rFonts w:hint="eastAsia" w:ascii="黑体" w:eastAsia="黑体"/>
          <w:color w:val="auto"/>
          <w:sz w:val="32"/>
          <w:szCs w:val="32"/>
          <w:highlight w:val="none"/>
        </w:rPr>
      </w:pPr>
    </w:p>
    <w:p w14:paraId="54898E11">
      <w:pPr>
        <w:shd w:val="clear"/>
        <w:snapToGrid w:val="0"/>
        <w:jc w:val="center"/>
        <w:rPr>
          <w:rFonts w:hint="eastAsia" w:ascii="黑体" w:eastAsia="黑体"/>
          <w:color w:val="auto"/>
          <w:sz w:val="32"/>
          <w:szCs w:val="32"/>
          <w:highlight w:val="none"/>
        </w:rPr>
      </w:pPr>
    </w:p>
    <w:p w14:paraId="712FE0F5">
      <w:pPr>
        <w:shd w:val="clear"/>
        <w:snapToGrid w:val="0"/>
        <w:jc w:val="center"/>
        <w:rPr>
          <w:rFonts w:hint="eastAsia" w:ascii="黑体" w:eastAsia="黑体"/>
          <w:color w:val="auto"/>
          <w:sz w:val="32"/>
          <w:szCs w:val="32"/>
          <w:highlight w:val="none"/>
        </w:rPr>
      </w:pPr>
    </w:p>
    <w:p w14:paraId="30C3918F">
      <w:pPr>
        <w:shd w:val="clear"/>
        <w:snapToGrid w:val="0"/>
        <w:jc w:val="center"/>
        <w:rPr>
          <w:rFonts w:hint="eastAsia" w:ascii="黑体" w:eastAsia="黑体"/>
          <w:color w:val="auto"/>
          <w:sz w:val="32"/>
          <w:szCs w:val="32"/>
          <w:highlight w:val="none"/>
        </w:rPr>
      </w:pPr>
    </w:p>
    <w:p w14:paraId="5DC690FE">
      <w:pPr>
        <w:shd w:val="clear"/>
        <w:snapToGrid w:val="0"/>
        <w:jc w:val="center"/>
        <w:rPr>
          <w:rFonts w:hint="eastAsia" w:ascii="黑体" w:eastAsia="黑体"/>
          <w:color w:val="auto"/>
          <w:sz w:val="32"/>
          <w:szCs w:val="32"/>
          <w:highlight w:val="none"/>
        </w:rPr>
      </w:pPr>
    </w:p>
    <w:p w14:paraId="3E6CDD9A">
      <w:pPr>
        <w:shd w:val="clear"/>
        <w:snapToGrid w:val="0"/>
        <w:jc w:val="center"/>
        <w:rPr>
          <w:rFonts w:hint="eastAsia" w:ascii="黑体" w:eastAsia="黑体"/>
          <w:color w:val="auto"/>
          <w:sz w:val="32"/>
          <w:szCs w:val="32"/>
          <w:highlight w:val="none"/>
        </w:rPr>
      </w:pPr>
    </w:p>
    <w:p w14:paraId="225DC426">
      <w:pPr>
        <w:shd w:val="clear"/>
        <w:snapToGrid w:val="0"/>
        <w:jc w:val="center"/>
        <w:rPr>
          <w:rFonts w:hint="eastAsia" w:ascii="黑体" w:eastAsia="黑体"/>
          <w:color w:val="auto"/>
          <w:sz w:val="32"/>
          <w:szCs w:val="32"/>
          <w:highlight w:val="none"/>
        </w:rPr>
      </w:pPr>
    </w:p>
    <w:p w14:paraId="4DA657E9">
      <w:pPr>
        <w:shd w:val="clear"/>
        <w:snapToGrid w:val="0"/>
        <w:jc w:val="center"/>
        <w:rPr>
          <w:rFonts w:hint="eastAsia" w:ascii="黑体" w:eastAsia="黑体"/>
          <w:color w:val="auto"/>
          <w:sz w:val="32"/>
          <w:szCs w:val="32"/>
          <w:highlight w:val="none"/>
        </w:rPr>
      </w:pPr>
    </w:p>
    <w:p w14:paraId="4C09C293">
      <w:pPr>
        <w:shd w:val="clear"/>
        <w:snapToGrid w:val="0"/>
        <w:jc w:val="center"/>
        <w:rPr>
          <w:rFonts w:hint="eastAsia" w:ascii="黑体" w:eastAsia="黑体"/>
          <w:color w:val="auto"/>
          <w:sz w:val="32"/>
          <w:szCs w:val="32"/>
          <w:highlight w:val="none"/>
        </w:rPr>
      </w:pPr>
    </w:p>
    <w:p w14:paraId="2540A4B0">
      <w:pPr>
        <w:shd w:val="clear"/>
        <w:snapToGrid w:val="0"/>
        <w:jc w:val="center"/>
        <w:rPr>
          <w:rFonts w:hint="eastAsia" w:ascii="黑体" w:eastAsia="黑体"/>
          <w:color w:val="auto"/>
          <w:sz w:val="32"/>
          <w:szCs w:val="32"/>
          <w:highlight w:val="none"/>
        </w:rPr>
      </w:pPr>
    </w:p>
    <w:p w14:paraId="38EF5A06">
      <w:pPr>
        <w:shd w:val="clear"/>
        <w:snapToGrid w:val="0"/>
        <w:jc w:val="center"/>
        <w:rPr>
          <w:rFonts w:hint="eastAsia" w:ascii="黑体" w:eastAsia="黑体"/>
          <w:color w:val="auto"/>
          <w:sz w:val="32"/>
          <w:szCs w:val="32"/>
          <w:highlight w:val="none"/>
        </w:rPr>
      </w:pPr>
    </w:p>
    <w:p w14:paraId="1903DB1A">
      <w:pPr>
        <w:shd w:val="clear"/>
        <w:snapToGrid w:val="0"/>
        <w:jc w:val="center"/>
        <w:rPr>
          <w:rFonts w:hint="eastAsia" w:ascii="黑体" w:eastAsia="黑体"/>
          <w:color w:val="auto"/>
          <w:sz w:val="32"/>
          <w:szCs w:val="32"/>
          <w:highlight w:val="none"/>
        </w:rPr>
      </w:pPr>
    </w:p>
    <w:p w14:paraId="312E55DC">
      <w:pPr>
        <w:shd w:val="clear"/>
        <w:spacing w:line="720" w:lineRule="auto"/>
        <w:jc w:val="center"/>
        <w:rPr>
          <w:rFonts w:hint="eastAsia"/>
          <w:b/>
          <w:color w:val="auto"/>
          <w:sz w:val="32"/>
          <w:szCs w:val="32"/>
          <w:highlight w:val="none"/>
        </w:rPr>
      </w:pPr>
      <w:r>
        <w:rPr>
          <w:rFonts w:hint="eastAsia" w:ascii="仿宋_GB2312" w:eastAsia="仿宋_GB2312"/>
          <w:color w:val="auto"/>
          <w:highlight w:val="none"/>
        </w:rPr>
        <w:br w:type="page"/>
      </w:r>
      <w:r>
        <w:rPr>
          <w:rFonts w:hint="eastAsia"/>
          <w:b/>
          <w:color w:val="auto"/>
          <w:sz w:val="32"/>
          <w:szCs w:val="32"/>
          <w:highlight w:val="none"/>
        </w:rPr>
        <w:t>投标</w:t>
      </w:r>
      <w:bookmarkStart w:id="56" w:name="_Toc254970526"/>
      <w:bookmarkStart w:id="57" w:name="_Toc254970667"/>
      <w:r>
        <w:rPr>
          <w:rFonts w:hint="eastAsia"/>
          <w:b/>
          <w:color w:val="auto"/>
          <w:sz w:val="32"/>
          <w:szCs w:val="32"/>
          <w:highlight w:val="none"/>
        </w:rPr>
        <w:t>人须知及前附表</w:t>
      </w:r>
      <w:bookmarkEnd w:id="56"/>
      <w:bookmarkEnd w:id="57"/>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14:paraId="5349DE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092119F4">
            <w:pPr>
              <w:keepNext w:val="0"/>
              <w:keepLines w:val="0"/>
              <w:pageBreakBefore w:val="0"/>
              <w:widowControl w:val="0"/>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序号</w:t>
            </w:r>
          </w:p>
        </w:tc>
        <w:tc>
          <w:tcPr>
            <w:tcW w:w="9099" w:type="dxa"/>
            <w:tcBorders>
              <w:top w:val="single" w:color="auto" w:sz="4" w:space="0"/>
              <w:left w:val="single" w:color="auto" w:sz="4" w:space="0"/>
              <w:bottom w:val="single" w:color="auto" w:sz="4" w:space="0"/>
              <w:right w:val="single" w:color="auto" w:sz="4" w:space="0"/>
            </w:tcBorders>
            <w:noWrap w:val="0"/>
            <w:vAlign w:val="center"/>
          </w:tcPr>
          <w:p w14:paraId="1C3B0515">
            <w:pPr>
              <w:keepNext w:val="0"/>
              <w:keepLines w:val="0"/>
              <w:pageBreakBefore w:val="0"/>
              <w:widowControl w:val="0"/>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内容、要求</w:t>
            </w:r>
          </w:p>
        </w:tc>
      </w:tr>
      <w:tr w14:paraId="28957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0F1DBD69">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5EDF118D">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采购项目名称：</w:t>
            </w:r>
            <w:r>
              <w:rPr>
                <w:rFonts w:hint="eastAsia" w:ascii="宋体" w:hAnsi="宋体" w:cs="宋体"/>
                <w:color w:val="auto"/>
                <w:sz w:val="21"/>
                <w:szCs w:val="21"/>
                <w:highlight w:val="none"/>
                <w:u w:val="none"/>
                <w:lang w:eastAsia="zh-CN"/>
              </w:rPr>
              <w:t>广西壮族自治区人工影响天气水资源保障工程-音视频调度及可视调度指挥显示支撑系统</w:t>
            </w:r>
            <w:r>
              <w:rPr>
                <w:rFonts w:hint="eastAsia" w:ascii="宋体" w:hAnsi="宋体" w:eastAsia="宋体" w:cs="宋体"/>
                <w:color w:val="auto"/>
                <w:sz w:val="21"/>
                <w:szCs w:val="21"/>
                <w:highlight w:val="none"/>
                <w:u w:val="none"/>
              </w:rPr>
              <w:t xml:space="preserve"> </w:t>
            </w:r>
          </w:p>
          <w:p w14:paraId="7D1CF6C8">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采购项目编号：</w:t>
            </w:r>
            <w:r>
              <w:rPr>
                <w:rFonts w:hint="eastAsia" w:ascii="宋体" w:hAnsi="宋体" w:cs="宋体"/>
                <w:color w:val="auto"/>
                <w:sz w:val="21"/>
                <w:szCs w:val="21"/>
                <w:highlight w:val="none"/>
                <w:u w:val="none"/>
                <w:lang w:eastAsia="zh-CN"/>
              </w:rPr>
              <w:t>GXZC2026-G1-002561-GLZB</w:t>
            </w:r>
          </w:p>
        </w:tc>
      </w:tr>
      <w:tr w14:paraId="6816BF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6A8FBD50">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162756DC">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投标报价及费用：1、本项目投标应以人民币报价；2、不论投标结果如何，投标人均应自行承担所有与投标有关的全部费用；3、本项目的代理服务费按投标人须知第九条规定的（货物类）标准采用差额定率累进计费方式计算，由中标人向采购代理机构支付。</w:t>
            </w:r>
          </w:p>
        </w:tc>
      </w:tr>
      <w:tr w14:paraId="3F7DFA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0713997A">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59373F38">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b/>
                <w:color w:val="auto"/>
                <w:sz w:val="21"/>
                <w:szCs w:val="21"/>
                <w:highlight w:val="none"/>
                <w:u w:val="none"/>
              </w:rPr>
            </w:pPr>
            <w:r>
              <w:rPr>
                <w:rFonts w:hint="eastAsia" w:ascii="宋体" w:hAnsi="宋体" w:eastAsia="宋体" w:cs="宋体"/>
                <w:color w:val="auto"/>
                <w:sz w:val="21"/>
                <w:szCs w:val="21"/>
                <w:highlight w:val="none"/>
                <w:u w:val="none"/>
              </w:rPr>
              <w:t>投标保证金（人民币）：详见本项目公开招标公告。</w:t>
            </w:r>
          </w:p>
          <w:p w14:paraId="5CC04E6D">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投标保证金必须根据招标公告的要求进行缴纳，否则视为无效投标保证金。本项目不接受现金形式或从个人账户转出的投标保证金。</w:t>
            </w:r>
          </w:p>
        </w:tc>
      </w:tr>
      <w:tr w14:paraId="4CF408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3A0BA16B">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4E0D3844">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现场踏勘：</w:t>
            </w:r>
            <w:r>
              <w:rPr>
                <w:rFonts w:hint="eastAsia" w:ascii="宋体" w:hAnsi="宋体" w:eastAsia="宋体" w:cs="宋体"/>
                <w:b w:val="0"/>
                <w:bCs w:val="0"/>
                <w:color w:val="auto"/>
                <w:sz w:val="21"/>
                <w:szCs w:val="21"/>
                <w:highlight w:val="none"/>
                <w:u w:val="none"/>
                <w:lang w:val="en-US" w:eastAsia="zh-CN"/>
              </w:rPr>
              <w:t>详见《第二章 招标项目采购需求》内容（如有）</w:t>
            </w:r>
            <w:r>
              <w:rPr>
                <w:rFonts w:hint="eastAsia" w:ascii="宋体" w:hAnsi="宋体" w:eastAsia="宋体" w:cs="宋体"/>
                <w:b w:val="0"/>
                <w:bCs w:val="0"/>
                <w:color w:val="auto"/>
                <w:sz w:val="21"/>
                <w:szCs w:val="21"/>
                <w:highlight w:val="none"/>
                <w:u w:val="none"/>
              </w:rPr>
              <w:t>。</w:t>
            </w:r>
          </w:p>
        </w:tc>
      </w:tr>
      <w:tr w14:paraId="447881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7209E0E2">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54EF7EF9">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演示时间及地点：</w:t>
            </w:r>
            <w:r>
              <w:rPr>
                <w:rFonts w:hint="eastAsia" w:ascii="宋体" w:hAnsi="宋体" w:eastAsia="宋体" w:cs="宋体"/>
                <w:b/>
                <w:bCs/>
                <w:color w:val="auto"/>
                <w:sz w:val="21"/>
                <w:szCs w:val="21"/>
                <w:highlight w:val="none"/>
                <w:u w:val="none"/>
                <w:lang w:val="en-US" w:eastAsia="zh-CN"/>
              </w:rPr>
              <w:t>详见《第二章 招标项目采购需求》内容（如有）</w:t>
            </w:r>
            <w:r>
              <w:rPr>
                <w:rFonts w:hint="eastAsia" w:ascii="宋体" w:hAnsi="宋体" w:eastAsia="宋体" w:cs="宋体"/>
                <w:color w:val="auto"/>
                <w:sz w:val="21"/>
                <w:szCs w:val="21"/>
                <w:highlight w:val="none"/>
                <w:u w:val="none"/>
              </w:rPr>
              <w:t>。</w:t>
            </w:r>
          </w:p>
        </w:tc>
      </w:tr>
      <w:tr w14:paraId="4B363B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2925434A">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6C52F694">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答疑、澄清：投标人如认为招标文件表述不清晰、有误或有不合理要求的，应以书面形式要求采购人或者本公司作出书面答疑、澄清；</w:t>
            </w:r>
          </w:p>
          <w:p w14:paraId="1808B8DB">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询问、质疑：投标人如认为招标文件存在歧视性、排他性或者其他违法内容的，按投标人须知“一、总则（九）询问、质疑和投诉”中的要求向采购人或者本公司提出书面询问、质疑。</w:t>
            </w:r>
          </w:p>
          <w:p w14:paraId="6DDA7CB4">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答疑、澄清内容是招标文件的组成</w:t>
            </w:r>
            <w:r>
              <w:rPr>
                <w:rFonts w:hint="eastAsia" w:ascii="宋体" w:hAnsi="宋体" w:eastAsia="宋体" w:cs="宋体"/>
                <w:color w:val="auto"/>
                <w:sz w:val="21"/>
                <w:szCs w:val="21"/>
                <w:highlight w:val="none"/>
                <w:u w:val="none"/>
                <w:lang w:eastAsia="zh-CN"/>
              </w:rPr>
              <w:t>部分</w:t>
            </w:r>
            <w:r>
              <w:rPr>
                <w:rFonts w:hint="eastAsia" w:ascii="宋体" w:hAnsi="宋体" w:eastAsia="宋体" w:cs="宋体"/>
                <w:color w:val="auto"/>
                <w:sz w:val="21"/>
                <w:szCs w:val="21"/>
                <w:highlight w:val="none"/>
                <w:u w:val="none"/>
              </w:rPr>
              <w:t>，本公司将以书面形式送达所有已报名的投标人；本公司可以视采购具体情况，延长招标文件或者资格预审文件提供期限，并在财政部门指定的政府采购信息发布媒体上发布公告。</w:t>
            </w:r>
          </w:p>
        </w:tc>
      </w:tr>
      <w:tr w14:paraId="2497F0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202FD820">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5B3DB9B9">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投标文件形式：投标供应商应准备电子投标文件。</w:t>
            </w:r>
          </w:p>
          <w:p w14:paraId="54FC5818">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电子投标文件是指通过“广西政府采购云平台电子投标客户端”完成投标文件编制后生成并加密的数据电文形式的电子加密投标文件。</w:t>
            </w:r>
          </w:p>
        </w:tc>
      </w:tr>
      <w:tr w14:paraId="0C625B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0938DC82">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4776C2FF">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投标文件的编制：供应商应先安装“广西政府采购云平台电子投标客户端”，并按照本招标文件和“广西政府采购云平台”的要求，通过“广西政府采购云平台电子投标客户端”编制并加密投标文件。</w:t>
            </w:r>
          </w:p>
        </w:tc>
      </w:tr>
      <w:tr w14:paraId="79CBEA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7FC37719">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2C78BAB1">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02227B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349DBA66">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069779E9">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1.本招标文件中描述投标人的“公章”是指根据我国对公章的管理规定</w:t>
            </w:r>
            <w:r>
              <w:rPr>
                <w:rFonts w:hint="eastAsia" w:ascii="宋体" w:hAnsi="宋体" w:eastAsia="宋体" w:cs="宋体"/>
                <w:color w:val="auto"/>
                <w:sz w:val="21"/>
                <w:szCs w:val="21"/>
                <w:highlight w:val="none"/>
                <w:u w:val="none"/>
                <w:lang w:eastAsia="zh-CN"/>
              </w:rPr>
              <w:t>，使</w:t>
            </w:r>
            <w:r>
              <w:rPr>
                <w:rFonts w:hint="eastAsia" w:ascii="宋体" w:hAnsi="宋体" w:eastAsia="宋体" w:cs="宋体"/>
                <w:color w:val="auto"/>
                <w:sz w:val="21"/>
                <w:szCs w:val="21"/>
                <w:highlight w:val="none"/>
                <w:u w:val="none"/>
              </w:rPr>
              <w:t>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5EC7335">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2.本招标文件所称的“电子签章</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电子签名”，是指经广西政府采购云平台认可的CA认证的电子签名数据为表现形式的印章，可用于签署电子投标文件，电子印章与实物印章具有同等法律效力，不因其采用电子化表现形式而否定其法律效力。</w:t>
            </w:r>
          </w:p>
          <w:p w14:paraId="5CFBC2AA">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76D33B1F">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b/>
                <w:bCs/>
                <w:color w:val="auto"/>
                <w:sz w:val="21"/>
                <w:szCs w:val="21"/>
                <w:highlight w:val="none"/>
                <w:u w:val="none"/>
              </w:rPr>
            </w:pPr>
            <w:r>
              <w:rPr>
                <w:rFonts w:hint="eastAsia" w:ascii="宋体" w:hAnsi="宋体" w:eastAsia="宋体" w:cs="宋体"/>
                <w:b/>
                <w:bCs/>
                <w:color w:val="auto"/>
                <w:sz w:val="21"/>
                <w:szCs w:val="21"/>
                <w:highlight w:val="none"/>
                <w:u w:val="none"/>
              </w:rPr>
              <w:t>4.本招标文件中描述投标人的“签字”是指投标人的法定代表人或者委托代理人亲自在文件规定签字处亲笔写上个人的名字的行为，私章、签字章、印鉴、影印等其他形式均不能代替亲笔签字。</w:t>
            </w:r>
          </w:p>
          <w:p w14:paraId="1672CB38">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5.本招标文件所称的“以上”“以下”“以内”“届满”，包括本数；所称的“不满”“超过”“以外”，不包括本数。</w:t>
            </w:r>
          </w:p>
        </w:tc>
      </w:tr>
      <w:tr w14:paraId="661DC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4F77E02D">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58E15E72">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投标文件份数：电子加密投标文件在线上传提交一份。</w:t>
            </w:r>
          </w:p>
        </w:tc>
      </w:tr>
      <w:tr w14:paraId="38552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2ABE0808">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1E5CB881">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投标文件的上传和提交：本项目通过“</w:t>
            </w:r>
            <w:r>
              <w:rPr>
                <w:rFonts w:hint="eastAsia" w:ascii="宋体" w:hAnsi="宋体" w:eastAsia="宋体" w:cs="宋体"/>
                <w:bCs/>
                <w:color w:val="auto"/>
                <w:sz w:val="21"/>
                <w:szCs w:val="21"/>
                <w:highlight w:val="none"/>
                <w:u w:val="none"/>
              </w:rPr>
              <w:t>广西政府采购云平台</w:t>
            </w:r>
            <w:r>
              <w:rPr>
                <w:rFonts w:hint="eastAsia" w:ascii="宋体" w:hAnsi="宋体" w:eastAsia="宋体" w:cs="宋体"/>
                <w:color w:val="auto"/>
                <w:sz w:val="21"/>
                <w:szCs w:val="21"/>
                <w:highlight w:val="none"/>
                <w:u w:val="none"/>
              </w:rPr>
              <w:t>”实行在线投标响应（电子投标），投标供应商应当在投标截止时间前，将生成的“电子加密投标文件”上传提交至“广西政府采购云平台”。</w:t>
            </w:r>
          </w:p>
          <w:p w14:paraId="4FE956BA">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“电子加密投标文件”的上传、提交：</w:t>
            </w:r>
          </w:p>
          <w:p w14:paraId="4877A4D9">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a.投标供应商应在投标截止时间前将“电子加密投标文件”成功上传提交至“广西政府采购云平台”，否则投标无效。</w:t>
            </w:r>
          </w:p>
          <w:p w14:paraId="656C611B">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b.“电子加密投标文件”成功上传提交后，供应商可自行打印投标文件接收回执。</w:t>
            </w:r>
          </w:p>
        </w:tc>
      </w:tr>
      <w:tr w14:paraId="167D8C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422A1183">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05E40D67">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电子加密投标文件的解密：</w:t>
            </w:r>
          </w:p>
          <w:p w14:paraId="44AFCAD9">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开标后，采购代理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14:paraId="08CF92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0653B3EE">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12314E6A">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提交投标文件截止时间、开标时间和地点：</w:t>
            </w:r>
            <w:r>
              <w:rPr>
                <w:rFonts w:hint="eastAsia" w:ascii="宋体" w:hAnsi="宋体" w:eastAsia="宋体" w:cs="宋体"/>
                <w:b/>
                <w:color w:val="auto"/>
                <w:sz w:val="21"/>
                <w:szCs w:val="21"/>
                <w:highlight w:val="none"/>
                <w:u w:val="none"/>
              </w:rPr>
              <w:t>详见本项目公开招标公告。</w:t>
            </w:r>
          </w:p>
        </w:tc>
      </w:tr>
      <w:tr w14:paraId="75F88A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40428E7D">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6A0F73A5">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评标方法：综合评分法。</w:t>
            </w:r>
          </w:p>
        </w:tc>
      </w:tr>
      <w:tr w14:paraId="0589F6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50999464">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64724F9B">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中标公告及中标通知书：采购代理机构在采购人依法确认中标人</w:t>
            </w:r>
            <w:r>
              <w:rPr>
                <w:rFonts w:hint="eastAsia" w:ascii="宋体" w:hAnsi="宋体" w:eastAsia="宋体" w:cs="宋体"/>
                <w:color w:val="auto"/>
                <w:sz w:val="21"/>
                <w:szCs w:val="21"/>
                <w:highlight w:val="none"/>
                <w:u w:val="none"/>
                <w:lang w:eastAsia="zh-CN"/>
              </w:rPr>
              <w:t>后两个</w:t>
            </w:r>
            <w:r>
              <w:rPr>
                <w:rFonts w:hint="eastAsia" w:ascii="宋体" w:hAnsi="宋体" w:eastAsia="宋体" w:cs="宋体"/>
                <w:color w:val="auto"/>
                <w:sz w:val="21"/>
                <w:szCs w:val="21"/>
                <w:highlight w:val="none"/>
                <w:u w:val="none"/>
              </w:rPr>
              <w:t>工作日内发布中标公告和中标通知书，中标公告发布于财政部门指定的政府采购信息发布媒体。</w:t>
            </w:r>
          </w:p>
        </w:tc>
      </w:tr>
      <w:tr w14:paraId="11CD8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6ED216BD">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54D8E8AB">
            <w:pPr>
              <w:keepNext w:val="0"/>
              <w:keepLines w:val="0"/>
              <w:pageBreakBefore w:val="0"/>
              <w:widowControl w:val="0"/>
              <w:shd w:val="clear"/>
              <w:kinsoku/>
              <w:wordWrap/>
              <w:overflowPunct/>
              <w:topLinePunct w:val="0"/>
              <w:autoSpaceDE w:val="0"/>
              <w:autoSpaceDN w:val="0"/>
              <w:bidi w:val="0"/>
              <w:adjustRightInd/>
              <w:snapToGrid/>
              <w:spacing w:line="380" w:lineRule="exact"/>
              <w:textAlignment w:val="bottom"/>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采购资金来源：财政性资金。</w:t>
            </w:r>
          </w:p>
        </w:tc>
      </w:tr>
      <w:tr w14:paraId="0CFE4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13D62A23">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0D3AE558">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付款方式：</w:t>
            </w:r>
            <w:r>
              <w:rPr>
                <w:rFonts w:hint="eastAsia" w:ascii="宋体" w:hAnsi="宋体" w:eastAsia="宋体" w:cs="宋体"/>
                <w:color w:val="auto"/>
                <w:kern w:val="0"/>
                <w:sz w:val="21"/>
                <w:szCs w:val="21"/>
                <w:highlight w:val="none"/>
                <w:u w:val="none"/>
              </w:rPr>
              <w:t>见招标项目采购需求。</w:t>
            </w:r>
          </w:p>
        </w:tc>
      </w:tr>
      <w:tr w14:paraId="4DB3D9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4240A4A9">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023641F9">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投标文件有效期：60天。</w:t>
            </w:r>
          </w:p>
        </w:tc>
      </w:tr>
      <w:tr w14:paraId="27B8E9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4040C918">
            <w:pPr>
              <w:keepNext w:val="0"/>
              <w:keepLines w:val="0"/>
              <w:pageBreakBefore w:val="0"/>
              <w:widowControl w:val="0"/>
              <w:numPr>
                <w:ilvl w:val="0"/>
                <w:numId w:val="2"/>
              </w:numPr>
              <w:shd w:val="clear"/>
              <w:kinsoku/>
              <w:wordWrap/>
              <w:overflowPunct/>
              <w:topLinePunct w:val="0"/>
              <w:bidi w:val="0"/>
              <w:adjustRightInd/>
              <w:snapToGrid/>
              <w:spacing w:line="380" w:lineRule="exact"/>
              <w:jc w:val="center"/>
              <w:rPr>
                <w:rFonts w:hint="eastAsia" w:ascii="宋体" w:hAnsi="宋体" w:eastAsia="宋体" w:cs="宋体"/>
                <w:color w:val="auto"/>
                <w:sz w:val="21"/>
                <w:szCs w:val="21"/>
                <w:highlight w:val="none"/>
                <w:u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0EAC6D84">
            <w:pPr>
              <w:keepNext w:val="0"/>
              <w:keepLines w:val="0"/>
              <w:pageBreakBefore w:val="0"/>
              <w:widowControl w:val="0"/>
              <w:shd w:val="clear"/>
              <w:kinsoku/>
              <w:wordWrap/>
              <w:overflowPunct/>
              <w:topLinePunct w:val="0"/>
              <w:bidi w:val="0"/>
              <w:adjustRightInd/>
              <w:snapToGrid/>
              <w:spacing w:line="38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本招标文件解释权属广西国力招标有限公司。</w:t>
            </w:r>
          </w:p>
        </w:tc>
      </w:tr>
    </w:tbl>
    <w:p w14:paraId="68AD14CC">
      <w:pPr>
        <w:shd w:val="clear"/>
        <w:spacing w:line="720" w:lineRule="auto"/>
        <w:jc w:val="center"/>
        <w:rPr>
          <w:rFonts w:hint="eastAsia"/>
          <w:b/>
          <w:color w:val="auto"/>
          <w:sz w:val="32"/>
          <w:szCs w:val="32"/>
          <w:highlight w:val="none"/>
        </w:rPr>
      </w:pPr>
      <w:r>
        <w:rPr>
          <w:b/>
          <w:color w:val="auto"/>
          <w:sz w:val="32"/>
          <w:szCs w:val="32"/>
          <w:highlight w:val="none"/>
        </w:rPr>
        <w:br w:type="page"/>
      </w:r>
      <w:r>
        <w:rPr>
          <w:rFonts w:hint="eastAsia"/>
          <w:b/>
          <w:color w:val="auto"/>
          <w:sz w:val="32"/>
          <w:szCs w:val="32"/>
          <w:highlight w:val="none"/>
        </w:rPr>
        <w:t>投标人须知</w:t>
      </w:r>
    </w:p>
    <w:p w14:paraId="4802786D">
      <w:pPr>
        <w:pStyle w:val="26"/>
        <w:shd w:val="clear"/>
        <w:snapToGrid w:val="0"/>
        <w:spacing w:before="120" w:after="120" w:line="380" w:lineRule="exact"/>
        <w:jc w:val="center"/>
        <w:rPr>
          <w:rFonts w:hint="eastAsia"/>
          <w:b/>
          <w:color w:val="auto"/>
          <w:highlight w:val="none"/>
        </w:rPr>
      </w:pPr>
      <w:r>
        <w:rPr>
          <w:rFonts w:hint="eastAsia"/>
          <w:b/>
          <w:color w:val="auto"/>
          <w:highlight w:val="none"/>
        </w:rPr>
        <w:t>一、总  则</w:t>
      </w:r>
      <w:bookmarkStart w:id="58" w:name="_Toc254970668"/>
      <w:bookmarkStart w:id="59" w:name="_Toc254970527"/>
    </w:p>
    <w:p w14:paraId="0D0BAAF3">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 适用范围</w:t>
      </w:r>
      <w:bookmarkEnd w:id="58"/>
      <w:bookmarkEnd w:id="59"/>
    </w:p>
    <w:p w14:paraId="30548560">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本招标文件适用于</w:t>
      </w:r>
      <w:r>
        <w:rPr>
          <w:rFonts w:hint="eastAsia" w:ascii="宋体" w:hAnsi="宋体" w:eastAsia="宋体" w:cs="宋体"/>
          <w:bCs/>
          <w:color w:val="auto"/>
          <w:sz w:val="21"/>
          <w:szCs w:val="21"/>
          <w:highlight w:val="none"/>
          <w:lang w:eastAsia="zh-CN"/>
        </w:rPr>
        <w:t>本</w:t>
      </w:r>
      <w:r>
        <w:rPr>
          <w:rFonts w:hint="eastAsia" w:ascii="宋体" w:hAnsi="宋体" w:eastAsia="宋体" w:cs="宋体"/>
          <w:color w:val="auto"/>
          <w:sz w:val="21"/>
          <w:szCs w:val="21"/>
          <w:highlight w:val="none"/>
        </w:rPr>
        <w:t>项目的招标、投标、评标、定标、验收、合同履约、付款等行为（</w:t>
      </w:r>
      <w:r>
        <w:rPr>
          <w:rFonts w:hint="eastAsia" w:hAnsi="宋体" w:eastAsia="宋体" w:cs="宋体"/>
          <w:color w:val="auto"/>
          <w:sz w:val="21"/>
          <w:szCs w:val="21"/>
          <w:highlight w:val="none"/>
          <w:lang w:eastAsia="zh-CN"/>
        </w:rPr>
        <w:t>法律法规</w:t>
      </w:r>
      <w:r>
        <w:rPr>
          <w:rFonts w:hint="eastAsia" w:ascii="宋体" w:hAnsi="宋体" w:eastAsia="宋体" w:cs="宋体"/>
          <w:color w:val="auto"/>
          <w:sz w:val="21"/>
          <w:szCs w:val="21"/>
          <w:highlight w:val="none"/>
        </w:rPr>
        <w:t>另有规定的，从其规定）。</w:t>
      </w:r>
      <w:bookmarkStart w:id="60" w:name="_Toc254970528"/>
      <w:bookmarkStart w:id="61" w:name="_Toc254970669"/>
    </w:p>
    <w:p w14:paraId="308E7F40">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（二）定义</w:t>
      </w:r>
      <w:bookmarkEnd w:id="60"/>
      <w:bookmarkEnd w:id="61"/>
    </w:p>
    <w:p w14:paraId="2477BE1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1.“采购人”系指组织本次招标的采购单位。</w:t>
      </w:r>
    </w:p>
    <w:p w14:paraId="56B9834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2.“采购代理机构”系指广西国力招标有限公司（以下简称“本公司”）。</w:t>
      </w:r>
    </w:p>
    <w:p w14:paraId="44031713">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3.“投标人”系指响应招标、参加投标竞争的法人、其他组织或者自然人。</w:t>
      </w:r>
    </w:p>
    <w:p w14:paraId="0E244E65">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4.“产品”系指供方按招标文件规定，须向采购人提供的一切设备、保险、税金、备品备件、工具、手册</w:t>
      </w:r>
      <w:r>
        <w:rPr>
          <w:rFonts w:hint="eastAsia" w:hAnsi="宋体" w:eastAsia="宋体" w:cs="宋体"/>
          <w:color w:val="auto"/>
          <w:sz w:val="21"/>
          <w:szCs w:val="21"/>
          <w:highlight w:val="none"/>
          <w:lang w:eastAsia="zh-CN"/>
        </w:rPr>
        <w:t>及其他有关</w:t>
      </w:r>
      <w:r>
        <w:rPr>
          <w:rFonts w:hint="eastAsia" w:ascii="宋体" w:hAnsi="宋体" w:eastAsia="宋体" w:cs="宋体"/>
          <w:color w:val="auto"/>
          <w:sz w:val="21"/>
          <w:szCs w:val="21"/>
          <w:highlight w:val="none"/>
        </w:rPr>
        <w:t>技术资料和材料。</w:t>
      </w:r>
    </w:p>
    <w:p w14:paraId="12063657">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“服务”系指招标文件规定投标人须承担的安装、调试、技术协助、校准、培训、技术指导以及其他类似的义务。</w:t>
      </w:r>
    </w:p>
    <w:p w14:paraId="31415257">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6.“项目”系指投标人按招标文件规定向采购人提供的产品和服务。</w:t>
      </w:r>
    </w:p>
    <w:p w14:paraId="7F76DD89">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7.“书面形式”包括信函、传真、电报等。</w:t>
      </w:r>
    </w:p>
    <w:p w14:paraId="617E84F1">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8.“▲”系指实质性要求条款</w:t>
      </w:r>
      <w:r>
        <w:rPr>
          <w:rFonts w:hint="eastAsia" w:ascii="宋体" w:hAnsi="宋体" w:eastAsia="宋体" w:cs="宋体"/>
          <w:color w:val="auto"/>
          <w:sz w:val="21"/>
          <w:szCs w:val="21"/>
          <w:highlight w:val="none"/>
          <w:lang w:eastAsia="zh-CN"/>
        </w:rPr>
        <w:t>，重要参数要求是指采购需求中带</w:t>
      </w:r>
      <w:r>
        <w:rPr>
          <w:rFonts w:hint="eastAsia" w:ascii="宋体" w:hAnsi="宋体" w:eastAsia="宋体" w:cs="宋体"/>
          <w:b/>
          <w:color w:val="auto"/>
          <w:sz w:val="21"/>
          <w:szCs w:val="21"/>
          <w:highlight w:val="none"/>
        </w:rPr>
        <w:t>“</w:t>
      </w:r>
      <w:r>
        <w:rPr>
          <w:rFonts w:hint="eastAsia" w:ascii="宋体" w:hAnsi="宋体" w:cs="宋体"/>
          <w:color w:val="auto"/>
          <w:kern w:val="0"/>
          <w:sz w:val="21"/>
          <w:szCs w:val="21"/>
          <w:highlight w:val="none"/>
          <w:lang w:eastAsia="zh-CN" w:bidi="ar"/>
        </w:rPr>
        <w:t>■</w:t>
      </w:r>
      <w:r>
        <w:rPr>
          <w:rFonts w:hint="eastAsia" w:ascii="宋体" w:hAnsi="宋体" w:cs="宋体"/>
          <w:b/>
          <w:bCs/>
          <w:color w:val="auto"/>
          <w:kern w:val="0"/>
          <w:sz w:val="21"/>
          <w:szCs w:val="21"/>
          <w:highlight w:val="none"/>
          <w:lang w:eastAsia="zh-CN" w:bidi="ar"/>
        </w:rPr>
        <w:t>”</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lang w:eastAsia="zh-CN"/>
        </w:rPr>
        <w:t>的条款，作为评分内容</w:t>
      </w:r>
      <w:r>
        <w:rPr>
          <w:rFonts w:hint="eastAsia" w:ascii="宋体" w:hAnsi="宋体" w:eastAsia="宋体" w:cs="宋体"/>
          <w:color w:val="auto"/>
          <w:sz w:val="21"/>
          <w:szCs w:val="21"/>
          <w:highlight w:val="none"/>
        </w:rPr>
        <w:t>。</w:t>
      </w:r>
      <w:bookmarkStart w:id="62" w:name="_Toc254970529"/>
      <w:bookmarkStart w:id="63" w:name="_Toc254970670"/>
    </w:p>
    <w:p w14:paraId="642EEB77">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9.“允许偏离的技术、性能指标或者辅助功能项目”系指不带“▲”的非实质性要求的技术指标、主要功能项目条款。</w:t>
      </w:r>
    </w:p>
    <w:p w14:paraId="36853BE8">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（三）招标方式</w:t>
      </w:r>
      <w:bookmarkEnd w:id="62"/>
      <w:bookmarkEnd w:id="63"/>
    </w:p>
    <w:p w14:paraId="11E76D71">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公开招标方式。</w:t>
      </w:r>
      <w:bookmarkStart w:id="64" w:name="_Toc254970671"/>
      <w:bookmarkStart w:id="65" w:name="_Toc254970530"/>
    </w:p>
    <w:p w14:paraId="743F806D">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（四）投标委托</w:t>
      </w:r>
      <w:bookmarkEnd w:id="64"/>
      <w:bookmarkEnd w:id="65"/>
    </w:p>
    <w:p w14:paraId="21DF6D59">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如投标人代表不是法定代表人</w:t>
      </w:r>
      <w:r>
        <w:rPr>
          <w:rFonts w:hint="eastAsia"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负责人</w:t>
      </w:r>
      <w:r>
        <w:rPr>
          <w:rFonts w:hint="eastAsia"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，须有法定代表人</w:t>
      </w:r>
      <w:r>
        <w:rPr>
          <w:rFonts w:hint="eastAsia"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负责人</w:t>
      </w:r>
      <w:r>
        <w:rPr>
          <w:rFonts w:hint="eastAsia"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出具的授权委托书（格式见第六章《投标文件格式》）。</w:t>
      </w:r>
      <w:bookmarkStart w:id="66" w:name="_Toc254970531"/>
      <w:bookmarkStart w:id="67" w:name="_Toc254970672"/>
    </w:p>
    <w:p w14:paraId="2CD02C93">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（五）投标费用</w:t>
      </w:r>
      <w:bookmarkEnd w:id="66"/>
      <w:bookmarkEnd w:id="67"/>
    </w:p>
    <w:p w14:paraId="16B2CCF3">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投标人均应自行承担所有与投标有关的全部费用（招标文件有相关的规定除外）。</w:t>
      </w:r>
    </w:p>
    <w:p w14:paraId="5716471E">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（六）联合体投标</w:t>
      </w:r>
    </w:p>
    <w:p w14:paraId="5BF7D9F3">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本项目明确不接受联合体形式投标，本招标文件所有相关联合体要求及格式文件均不适用。投标人以联合体形式参加投标的，投标无效。</w:t>
      </w:r>
    </w:p>
    <w:p w14:paraId="6685085B">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（七）</w:t>
      </w:r>
      <w:r>
        <w:rPr>
          <w:rFonts w:hint="eastAsia" w:ascii="宋体" w:hAnsi="宋体" w:eastAsia="宋体" w:cs="宋体"/>
          <w:b/>
          <w:color w:val="auto"/>
          <w:kern w:val="0"/>
          <w:sz w:val="21"/>
          <w:szCs w:val="21"/>
          <w:highlight w:val="none"/>
        </w:rPr>
        <w:t>转包与分包</w:t>
      </w:r>
    </w:p>
    <w:p w14:paraId="2831C32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1.本项目不允许转包。</w:t>
      </w:r>
    </w:p>
    <w:p w14:paraId="5ECDA302">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2.本项目不可以分包。</w:t>
      </w:r>
      <w:bookmarkStart w:id="68" w:name="_Toc254970532"/>
      <w:bookmarkStart w:id="69" w:name="_Toc254970673"/>
    </w:p>
    <w:p w14:paraId="4892D4B0">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（八）特别说明：</w:t>
      </w:r>
      <w:bookmarkEnd w:id="68"/>
      <w:bookmarkEnd w:id="69"/>
    </w:p>
    <w:p w14:paraId="2E1B407C">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210" w:firstLineChars="100"/>
        <w:textAlignment w:val="auto"/>
        <w:rPr>
          <w:rFonts w:hint="eastAsia" w:ascii="宋体" w:hAnsi="宋体" w:eastAsia="宋体" w:cs="宋体"/>
          <w:color w:val="auto"/>
          <w:sz w:val="21"/>
          <w:szCs w:val="21"/>
          <w:highlight w:val="none"/>
        </w:rPr>
      </w:pPr>
      <w:bookmarkStart w:id="70" w:name="_Toc254970533"/>
      <w:bookmarkStart w:id="71" w:name="_Toc254970674"/>
      <w:r>
        <w:rPr>
          <w:rFonts w:hint="eastAsia" w:ascii="宋体" w:hAnsi="宋体" w:eastAsia="宋体" w:cs="宋体"/>
          <w:color w:val="auto"/>
          <w:sz w:val="21"/>
          <w:szCs w:val="21"/>
          <w:highlight w:val="none"/>
        </w:rPr>
        <w:t>▲1.单位负责人为同一人或者存在直接控股、管理关系的不同供应商，不得参加同一合同项下的政府采购活动。</w:t>
      </w:r>
    </w:p>
    <w:p w14:paraId="53037630">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p w14:paraId="25E9762E">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非单一产品采购项目中，多家投标人提供的招标文件中载明的核心产品品牌相同的，视为提供相同品牌产品。</w:t>
      </w:r>
    </w:p>
    <w:p w14:paraId="24632A3C">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.投标人应仔细阅读招标文件的所有内容，按照招标文件的要求提交投标文件，并对所提供的全部资料的真实性承担法律责任。</w:t>
      </w:r>
    </w:p>
    <w:p w14:paraId="41A93EE5">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▲4.投</w:t>
      </w:r>
      <w:r>
        <w:rPr>
          <w:rFonts w:hint="eastAsia" w:ascii="宋体" w:hAnsi="宋体" w:eastAsia="宋体" w:cs="宋体"/>
          <w:color w:val="auto"/>
          <w:sz w:val="21"/>
          <w:szCs w:val="21"/>
          <w:highlight w:val="none"/>
        </w:rPr>
        <w:t>标人在投标活动中提供任何虚假材料、互相串通投标，其投标无效，并报监管部门查处。</w:t>
      </w:r>
    </w:p>
    <w:p w14:paraId="3C61E87D">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投标人在投标活动中提供任何虚假材料，将报监管部门查处；中标后发现的，中标人须依照《中华人民共和国消费者权益保护法》规定赔偿采购人，且民事赔偿并不免除违法投标人的行政与刑事责任。</w:t>
      </w:r>
    </w:p>
    <w:p w14:paraId="458C712B">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如果本招标文件要求提供投标人或制造商的资格、信誉、荣誉、业绩与企业认证等材料的，资格、信誉、荣誉、业绩与企业认证等必须为投标人或者制造商所拥有或自身获得</w:t>
      </w:r>
      <w:r>
        <w:rPr>
          <w:rFonts w:hint="eastAsia" w:ascii="宋体" w:hAnsi="宋体" w:eastAsia="宋体" w:cs="宋体"/>
          <w:color w:val="auto"/>
          <w:sz w:val="21"/>
          <w:szCs w:val="21"/>
          <w:highlight w:val="none"/>
          <w:lang w:eastAsia="zh-CN"/>
        </w:rPr>
        <w:t>。</w:t>
      </w:r>
    </w:p>
    <w:p w14:paraId="0F7F5560">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60EDB03">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产品在中国境内生产的组件成本占比应当达到规定比例，计算公式为：</w:t>
      </w:r>
    </w:p>
    <w:p w14:paraId="0EF38A25">
      <w:pPr>
        <w:keepNext w:val="0"/>
        <w:keepLines w:val="0"/>
        <w:pageBreakBefore w:val="0"/>
        <w:widowControl/>
        <w:shd w:val="clear" w:color="auto"/>
        <w:kinsoku/>
        <w:wordWrap/>
        <w:overflowPunct/>
        <w:topLinePunct w:val="0"/>
        <w:autoSpaceDE/>
        <w:autoSpaceDN/>
        <w:bidi w:val="0"/>
        <w:adjustRightInd/>
        <w:snapToGrid/>
        <w:spacing w:before="30" w:after="30" w:line="240" w:lineRule="auto"/>
        <w:ind w:firstLine="420" w:firstLineChars="20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drawing>
          <wp:inline distT="0" distB="0" distL="114300" distR="114300">
            <wp:extent cx="4827905" cy="762635"/>
            <wp:effectExtent l="0" t="0" r="317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4827905" cy="762635"/>
                    </a:xfrm>
                    <a:prstGeom prst="rect">
                      <a:avLst/>
                    </a:prstGeom>
                    <a:noFill/>
                    <a:ln>
                      <a:noFill/>
                    </a:ln>
                  </pic:spPr>
                </pic:pic>
              </a:graphicData>
            </a:graphic>
          </wp:inline>
        </w:drawing>
      </w:r>
    </w:p>
    <w:p w14:paraId="113DC375">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54C66A58">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政府采购活动中既有本国产品又有非本国产品参与竞争的，依法对本国产品给予价格评审优惠，对本国产品的报价给予20%的价格扣除，用扣除后的价格参与评审。未达到80%，不享受价格评审优惠。</w:t>
      </w:r>
    </w:p>
    <w:p w14:paraId="175DFA3D">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1E0F9759">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（九）</w:t>
      </w:r>
      <w:bookmarkEnd w:id="70"/>
      <w:bookmarkEnd w:id="71"/>
      <w:r>
        <w:rPr>
          <w:rFonts w:hint="eastAsia" w:ascii="宋体" w:hAnsi="宋体" w:eastAsia="宋体" w:cs="宋体"/>
          <w:b/>
          <w:color w:val="auto"/>
          <w:sz w:val="21"/>
          <w:szCs w:val="21"/>
          <w:highlight w:val="none"/>
        </w:rPr>
        <w:t>询问、质疑和投诉</w:t>
      </w:r>
    </w:p>
    <w:p w14:paraId="2BA628B2">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1.投标人对政府采购活动事项有疑问的，可以向采购人、采购代理机构提出询问。</w:t>
      </w:r>
    </w:p>
    <w:p w14:paraId="4452A04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认为招标文件、招标过程或中标结果使自己的合法权益受到损害的，应当在知道或者应知其权益受到损害之日起七个工作日内，以书面形式向采购人、采购代理机构提出质疑，投标人在法定质疑期内必须一次性提出针对同一采购程序环节的质疑。具体计算时间如下：</w:t>
      </w:r>
    </w:p>
    <w:p w14:paraId="56EC1C4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（1）对可以质疑的采购文件提出质疑的，为收到采购文件之日或者采购文件公告期限届满之日；</w:t>
      </w:r>
    </w:p>
    <w:p w14:paraId="729F871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（2）对采购过程提出质疑的，为各采购程序环节结束之日；</w:t>
      </w:r>
    </w:p>
    <w:p w14:paraId="3AC21DE6">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（3）对中标结果提出质疑的，为中标结果公告期限届满之日。</w:t>
      </w:r>
    </w:p>
    <w:p w14:paraId="37B82B0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投标人对采购人、采购代理机构的质疑答复不满意或者采购人、采购代理机构未在规定时间内作出答复的，可以在答复期满后十五个工作日内向同级采购监管部门投诉。</w:t>
      </w:r>
    </w:p>
    <w:p w14:paraId="2C75DB7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bookmarkStart w:id="72" w:name="_Toc254970534"/>
      <w:bookmarkStart w:id="73" w:name="_Toc254970675"/>
    </w:p>
    <w:p w14:paraId="66EAA63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4.供应商提出质疑应当提交质疑函和必要的证明材料。质疑函应当包括下列内容：</w:t>
      </w:r>
    </w:p>
    <w:p w14:paraId="15BAD366">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（1）供应商的姓名或者名称、地址、邮编、联系人及联系电话；</w:t>
      </w:r>
    </w:p>
    <w:p w14:paraId="270C6BB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（2）质疑项目的名称、编号；</w:t>
      </w:r>
    </w:p>
    <w:p w14:paraId="70DE878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（3）具体、明确的质疑事项和与质疑事项相关的请求；</w:t>
      </w:r>
    </w:p>
    <w:p w14:paraId="285C50C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（4）事实依据；</w:t>
      </w:r>
    </w:p>
    <w:p w14:paraId="11C82D66">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（5）必要的法律依据；</w:t>
      </w:r>
    </w:p>
    <w:p w14:paraId="0FA5B29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（6）提出质疑的日期。</w:t>
      </w:r>
    </w:p>
    <w:p w14:paraId="46598C3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供应商为自然人的，应当由本人签字；供应商为法人或者其他组织的，应当由法定代表人、主要负责人，或者其授权代表签字或者盖章，并加盖公章。</w:t>
      </w:r>
    </w:p>
    <w:p w14:paraId="45B0BD3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代理人提出质疑和投诉，应当提交供应商签署的授权委托书。</w:t>
      </w:r>
    </w:p>
    <w:p w14:paraId="1CEF1A9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5.采购人、采购代理机构认为供应商质疑不成立，或者成立但未对中标结果构成影响的，继续开展采购活动；认为供应商质疑成立且影响或者可能影响中标结果的，按照下列情况处理：</w:t>
      </w:r>
    </w:p>
    <w:p w14:paraId="3A0D4A1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（一）对采购文件提出的质疑，依法通过澄清或者修改可以继续开展采购活动的，澄清或者修改采购文件后继续开展采购活动；否则应当修改采购文件后重新开展采购活动。</w:t>
      </w:r>
    </w:p>
    <w:p w14:paraId="05BF045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（二）对采购过程、中标结果提出的质疑，合格供应商符合法定数量时，可以从合格的中标候选人中另行确定中标供应商的，应当依法根据中标候选人推荐原则另行确定中标供应商；否则应当重新开展采购活动。</w:t>
      </w:r>
    </w:p>
    <w:p w14:paraId="3A49BF2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质疑答复导致中标结果改变的，采购人或者采购代理机构应当将有关情况书面报告本级财政部门。</w:t>
      </w:r>
    </w:p>
    <w:p w14:paraId="06CCE26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①质疑联系部门及电话为：广西国力招标有限公司                      0771-4915558</w:t>
      </w:r>
    </w:p>
    <w:p w14:paraId="1C5157B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通讯地址：广西南宁市白沙大道53号松宇时代13楼</w:t>
      </w:r>
    </w:p>
    <w:p w14:paraId="0FE52C43">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②投诉联系部门及电话为：广西壮族自治区财政厅政府采购监督管理处    0771-5331544</w:t>
      </w:r>
    </w:p>
    <w:p w14:paraId="7FEBC3C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通讯地址：广西南宁市桃源路69号</w:t>
      </w:r>
    </w:p>
    <w:p w14:paraId="7C57C4B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Cs/>
          <w:color w:val="auto"/>
          <w:sz w:val="21"/>
          <w:szCs w:val="21"/>
          <w:highlight w:val="none"/>
        </w:rPr>
      </w:pPr>
    </w:p>
    <w:p w14:paraId="316DE2E2">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二、招标文件</w:t>
      </w:r>
      <w:bookmarkEnd w:id="72"/>
      <w:bookmarkEnd w:id="73"/>
    </w:p>
    <w:p w14:paraId="27D8F5D7">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（一）招标文件的构成</w:t>
      </w:r>
    </w:p>
    <w:p w14:paraId="024B173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1.公开招标公告；</w:t>
      </w:r>
    </w:p>
    <w:p w14:paraId="1DBCC21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2.招标项目采购需求</w:t>
      </w:r>
    </w:p>
    <w:p w14:paraId="6364F93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3.投标人须知；</w:t>
      </w:r>
    </w:p>
    <w:p w14:paraId="292591D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4.评标方法及评分标准；</w:t>
      </w:r>
    </w:p>
    <w:p w14:paraId="492CC4C6">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5.政府采购合同主要条款；</w:t>
      </w:r>
    </w:p>
    <w:p w14:paraId="4DD7F58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6.投标文件格式。</w:t>
      </w:r>
    </w:p>
    <w:p w14:paraId="0F11B82A">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（二）投标人的风险</w:t>
      </w:r>
    </w:p>
    <w:p w14:paraId="168642F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14:paraId="03AC8ED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p>
    <w:p w14:paraId="62320840">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（三）招标文件的澄清与修改</w:t>
      </w:r>
    </w:p>
    <w:p w14:paraId="07EF39A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1.投标人应认真阅读本招标文件，发现其中有误或有不合理要求的，</w:t>
      </w:r>
      <w:r>
        <w:rPr>
          <w:rFonts w:hint="eastAsia" w:ascii="宋体" w:hAnsi="宋体" w:eastAsia="宋体" w:cs="宋体"/>
          <w:bCs/>
          <w:color w:val="auto"/>
          <w:sz w:val="21"/>
          <w:szCs w:val="21"/>
          <w:highlight w:val="none"/>
        </w:rPr>
        <w:t>投标人</w:t>
      </w:r>
      <w:r>
        <w:rPr>
          <w:rFonts w:hint="eastAsia" w:ascii="宋体" w:hAnsi="宋体" w:eastAsia="宋体" w:cs="宋体"/>
          <w:b/>
          <w:bCs/>
          <w:color w:val="auto"/>
          <w:sz w:val="21"/>
          <w:szCs w:val="21"/>
          <w:highlight w:val="none"/>
        </w:rPr>
        <w:t>应当在</w:t>
      </w:r>
      <w:r>
        <w:rPr>
          <w:rFonts w:hint="eastAsia" w:ascii="宋体" w:hAnsi="宋体" w:eastAsia="宋体" w:cs="宋体"/>
          <w:b/>
          <w:bCs/>
          <w:color w:val="auto"/>
          <w:sz w:val="21"/>
          <w:szCs w:val="21"/>
          <w:highlight w:val="none"/>
          <w:u w:val="none"/>
        </w:rPr>
        <w:t>前附表规定的时间前</w:t>
      </w:r>
      <w:r>
        <w:rPr>
          <w:rFonts w:hint="eastAsia" w:ascii="宋体" w:hAnsi="宋体" w:eastAsia="宋体" w:cs="宋体"/>
          <w:bCs/>
          <w:color w:val="auto"/>
          <w:sz w:val="21"/>
          <w:szCs w:val="21"/>
          <w:highlight w:val="none"/>
          <w:u w:val="none"/>
        </w:rPr>
        <w:t>以书面形式要求</w:t>
      </w:r>
      <w:r>
        <w:rPr>
          <w:rFonts w:hint="eastAsia" w:ascii="宋体" w:hAnsi="宋体" w:eastAsia="宋体" w:cs="宋体"/>
          <w:color w:val="auto"/>
          <w:sz w:val="21"/>
          <w:szCs w:val="21"/>
          <w:highlight w:val="none"/>
          <w:u w:val="none"/>
        </w:rPr>
        <w:t>采购人或者采购代理机构答疑、澄清</w:t>
      </w:r>
      <w:r>
        <w:rPr>
          <w:rFonts w:hint="eastAsia" w:ascii="宋体" w:hAnsi="宋体" w:eastAsia="宋体" w:cs="宋体"/>
          <w:bCs/>
          <w:color w:val="auto"/>
          <w:sz w:val="21"/>
          <w:szCs w:val="21"/>
          <w:highlight w:val="none"/>
          <w:u w:val="none"/>
        </w:rPr>
        <w:t>。</w:t>
      </w:r>
      <w:r>
        <w:rPr>
          <w:rFonts w:hint="eastAsia" w:ascii="宋体" w:hAnsi="宋体" w:eastAsia="宋体" w:cs="宋体"/>
          <w:color w:val="auto"/>
          <w:sz w:val="21"/>
          <w:szCs w:val="21"/>
          <w:highlight w:val="none"/>
          <w:u w:val="none"/>
        </w:rPr>
        <w:t>采购代理机构对已发出的招标文件进行必</w:t>
      </w:r>
      <w:r>
        <w:rPr>
          <w:rFonts w:hint="eastAsia" w:ascii="宋体" w:hAnsi="宋体" w:eastAsia="宋体" w:cs="宋体"/>
          <w:color w:val="auto"/>
          <w:sz w:val="21"/>
          <w:szCs w:val="21"/>
          <w:highlight w:val="none"/>
        </w:rPr>
        <w:t>要澄清、答复、修改或补充的内容</w:t>
      </w:r>
      <w:r>
        <w:rPr>
          <w:rFonts w:hint="eastAsia" w:ascii="宋体" w:hAnsi="宋体" w:eastAsia="宋体" w:cs="宋体"/>
          <w:b/>
          <w:color w:val="auto"/>
          <w:sz w:val="21"/>
          <w:szCs w:val="21"/>
          <w:highlight w:val="none"/>
        </w:rPr>
        <w:t>可能影响投标文件编制的</w:t>
      </w:r>
      <w:r>
        <w:rPr>
          <w:rFonts w:hint="eastAsia" w:ascii="宋体" w:hAnsi="宋体" w:eastAsia="宋体" w:cs="宋体"/>
          <w:color w:val="auto"/>
          <w:sz w:val="21"/>
          <w:szCs w:val="21"/>
          <w:highlight w:val="none"/>
        </w:rPr>
        <w:t>，应当在招标文件要求提交投标文件截止时间15日前，在财政部门指定的政府采购信息发布媒体上发布更正公告，并以书面形式通知所有招标文件收受人。</w:t>
      </w:r>
    </w:p>
    <w:p w14:paraId="6E68A51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2.招标文件澄清、答复、修改、补充的内容为招标文件的组成部分。当招标文件与招标文件的答复、澄清、修改、补充通知就同一内容的表述不一致时，以最后发出的书面文件为准。</w:t>
      </w:r>
    </w:p>
    <w:p w14:paraId="0925BC5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3.招标文件的澄清、答复、修改、补充都应该通过本采购代理机构以法定形式发布，采购人非通过本机构，不得擅自澄清、答复、修改、补充招标文件。</w:t>
      </w:r>
    </w:p>
    <w:p w14:paraId="10CE031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4.采购代理机构可以视采购具体情况，延长招标文件或者资格预审文件提供期限，并在财政部门指定的政府采购信息发布媒体上发布公告。</w:t>
      </w:r>
    </w:p>
    <w:p w14:paraId="355E3CA8">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bookmarkStart w:id="74" w:name="_Toc254970676"/>
      <w:bookmarkStart w:id="75" w:name="_Toc254970535"/>
    </w:p>
    <w:p w14:paraId="02A9DC19">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三、投标文件的编制</w:t>
      </w:r>
      <w:bookmarkEnd w:id="74"/>
      <w:bookmarkEnd w:id="75"/>
      <w:bookmarkStart w:id="76" w:name="_Toc254970677"/>
      <w:bookmarkStart w:id="77" w:name="_Toc254970536"/>
    </w:p>
    <w:p w14:paraId="015C77C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（一）投标文件的组成</w:t>
      </w:r>
      <w:bookmarkEnd w:id="76"/>
      <w:bookmarkEnd w:id="77"/>
      <w:r>
        <w:rPr>
          <w:rFonts w:hint="eastAsia" w:ascii="宋体" w:hAnsi="宋体" w:eastAsia="宋体" w:cs="宋体"/>
          <w:b/>
          <w:color w:val="auto"/>
          <w:sz w:val="21"/>
          <w:szCs w:val="21"/>
          <w:highlight w:val="none"/>
        </w:rPr>
        <w:t>（以下要求“必须提供”的，请按要求在投标文件中提供，否则作投标无效处理；其他如有请提供）</w:t>
      </w:r>
    </w:p>
    <w:p w14:paraId="0AE7B43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投标文件由资格文件、商务技术文件、报价文件</w:t>
      </w:r>
      <w:r>
        <w:rPr>
          <w:rFonts w:hint="eastAsia" w:ascii="宋体" w:hAnsi="宋体" w:eastAsia="宋体" w:cs="宋体"/>
          <w:b/>
          <w:color w:val="auto"/>
          <w:sz w:val="21"/>
          <w:szCs w:val="21"/>
          <w:highlight w:val="none"/>
        </w:rPr>
        <w:t>三部分</w:t>
      </w:r>
      <w:r>
        <w:rPr>
          <w:rFonts w:hint="eastAsia" w:ascii="宋体" w:hAnsi="宋体" w:eastAsia="宋体" w:cs="宋体"/>
          <w:color w:val="auto"/>
          <w:sz w:val="21"/>
          <w:szCs w:val="21"/>
          <w:highlight w:val="none"/>
        </w:rPr>
        <w:t>组成。</w:t>
      </w:r>
      <w:r>
        <w:rPr>
          <w:rFonts w:hint="eastAsia" w:ascii="宋体" w:hAnsi="宋体" w:eastAsia="宋体" w:cs="宋体"/>
          <w:b/>
          <w:color w:val="auto"/>
          <w:sz w:val="21"/>
          <w:szCs w:val="21"/>
          <w:highlight w:val="none"/>
        </w:rPr>
        <w:t>（扫描件或其他电子文件）</w:t>
      </w:r>
    </w:p>
    <w:p w14:paraId="1ED0A24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1.资格文件：</w:t>
      </w:r>
    </w:p>
    <w:p w14:paraId="1928264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（1）有效的主体资格证明文件；</w:t>
      </w:r>
    </w:p>
    <w:p w14:paraId="1923EDD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投标人有效的“主体资格证明文件”（如营业执照、事业单位法人证书、执业许可证、自然人身份证等）复印件，同时要加盖单位公章</w:t>
      </w:r>
      <w:r>
        <w:rPr>
          <w:rFonts w:hint="eastAsia" w:ascii="宋体" w:hAnsi="宋体" w:eastAsia="宋体" w:cs="宋体"/>
          <w:b/>
          <w:color w:val="auto"/>
          <w:sz w:val="21"/>
          <w:szCs w:val="21"/>
          <w:highlight w:val="none"/>
          <w:lang w:eastAsia="zh-CN"/>
        </w:rPr>
        <w:t>[必须提供]</w:t>
      </w:r>
    </w:p>
    <w:p w14:paraId="282CDF8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（2）投标截止之日前一年内投标人</w:t>
      </w:r>
      <w:r>
        <w:rPr>
          <w:rFonts w:hint="eastAsia" w:ascii="宋体" w:hAnsi="宋体" w:cs="宋体"/>
          <w:color w:val="auto"/>
          <w:sz w:val="21"/>
          <w:szCs w:val="21"/>
          <w:highlight w:val="none"/>
          <w:lang w:eastAsia="zh-CN"/>
        </w:rPr>
        <w:t>任意</w:t>
      </w:r>
      <w:r>
        <w:rPr>
          <w:rFonts w:hint="eastAsia" w:ascii="宋体" w:hAnsi="宋体" w:eastAsia="宋体" w:cs="宋体"/>
          <w:color w:val="auto"/>
          <w:sz w:val="21"/>
          <w:szCs w:val="21"/>
          <w:highlight w:val="none"/>
        </w:rPr>
        <w:t>三个月的依法缴纳税费或依法免缴税费的证明；无纳税记录的，应提供由投标人所在地的税务部门出具的《依法纳税或依法免税证明》</w:t>
      </w:r>
      <w:r>
        <w:rPr>
          <w:rFonts w:hint="eastAsia" w:ascii="宋体" w:hAnsi="宋体" w:eastAsia="宋体" w:cs="宋体"/>
          <w:b/>
          <w:color w:val="auto"/>
          <w:sz w:val="21"/>
          <w:szCs w:val="21"/>
          <w:highlight w:val="none"/>
          <w:lang w:eastAsia="zh-CN"/>
        </w:rPr>
        <w:t>[必须提供，新成立单位按实际提供]</w:t>
      </w:r>
    </w:p>
    <w:p w14:paraId="1265CCB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（3）投标截止之日前一年内投标人</w:t>
      </w:r>
      <w:r>
        <w:rPr>
          <w:rFonts w:hint="eastAsia" w:ascii="宋体" w:hAnsi="宋体" w:cs="宋体"/>
          <w:color w:val="auto"/>
          <w:sz w:val="21"/>
          <w:szCs w:val="21"/>
          <w:highlight w:val="none"/>
          <w:lang w:eastAsia="zh-CN"/>
        </w:rPr>
        <w:t>任意</w:t>
      </w:r>
      <w:r>
        <w:rPr>
          <w:rFonts w:hint="eastAsia" w:ascii="宋体" w:hAnsi="宋体" w:eastAsia="宋体" w:cs="宋体"/>
          <w:color w:val="auto"/>
          <w:sz w:val="21"/>
          <w:szCs w:val="21"/>
          <w:highlight w:val="none"/>
        </w:rPr>
        <w:t>三个月的依法缴纳社保费的缴费凭证；无缴费记录的，应提供由投标人所在地社保等相关部门出具的《依法缴纳或依法免缴社保费证明》</w:t>
      </w:r>
      <w:r>
        <w:rPr>
          <w:rFonts w:hint="eastAsia" w:ascii="宋体" w:hAnsi="宋体" w:eastAsia="宋体" w:cs="宋体"/>
          <w:b/>
          <w:color w:val="auto"/>
          <w:sz w:val="21"/>
          <w:szCs w:val="21"/>
          <w:highlight w:val="none"/>
          <w:lang w:eastAsia="zh-CN"/>
        </w:rPr>
        <w:t>[必须提供，新成立单位按实际提供]</w:t>
      </w:r>
    </w:p>
    <w:p w14:paraId="5AF6F61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rPr>
        <w:t>（4）财务状况报告</w:t>
      </w:r>
      <w:r>
        <w:rPr>
          <w:rFonts w:hint="eastAsia" w:ascii="宋体" w:hAnsi="宋体" w:eastAsia="宋体" w:cs="宋体"/>
          <w:b/>
          <w:color w:val="auto"/>
          <w:sz w:val="21"/>
          <w:szCs w:val="21"/>
          <w:highlight w:val="none"/>
          <w:lang w:eastAsia="zh-CN"/>
        </w:rPr>
        <w:t>[格式自拟，必须提供]</w:t>
      </w:r>
    </w:p>
    <w:p w14:paraId="432CE0B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kern w:val="0"/>
          <w:sz w:val="21"/>
          <w:szCs w:val="21"/>
          <w:highlight w:val="none"/>
          <w:lang w:eastAsia="zh-CN"/>
        </w:rPr>
      </w:pPr>
      <w:r>
        <w:rPr>
          <w:rFonts w:hint="eastAsia" w:ascii="宋体" w:hAnsi="宋体" w:eastAsia="宋体" w:cs="宋体"/>
          <w:color w:val="auto"/>
          <w:kern w:val="0"/>
          <w:sz w:val="21"/>
          <w:szCs w:val="21"/>
          <w:highlight w:val="none"/>
        </w:rPr>
        <w:t>（5）</w:t>
      </w:r>
      <w:r>
        <w:rPr>
          <w:rFonts w:hint="eastAsia" w:ascii="宋体" w:hAnsi="宋体" w:eastAsia="宋体" w:cs="宋体"/>
          <w:color w:val="auto"/>
          <w:sz w:val="21"/>
          <w:szCs w:val="21"/>
          <w:highlight w:val="none"/>
        </w:rPr>
        <w:t>具备履行合同所必需的设备和专业技术能力的证明材料</w:t>
      </w:r>
      <w:r>
        <w:rPr>
          <w:rFonts w:hint="eastAsia" w:ascii="宋体" w:hAnsi="宋体" w:eastAsia="宋体" w:cs="宋体"/>
          <w:b/>
          <w:color w:val="auto"/>
          <w:sz w:val="21"/>
          <w:szCs w:val="21"/>
          <w:highlight w:val="none"/>
          <w:lang w:eastAsia="zh-CN"/>
        </w:rPr>
        <w:t>[内容、格式自拟，必须提供]</w:t>
      </w:r>
    </w:p>
    <w:p w14:paraId="040B95F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rPr>
        <w:t>（6）</w:t>
      </w:r>
      <w:r>
        <w:rPr>
          <w:rFonts w:hint="eastAsia" w:ascii="宋体" w:hAnsi="宋体" w:eastAsia="宋体" w:cs="宋体"/>
          <w:color w:val="auto"/>
          <w:sz w:val="21"/>
          <w:szCs w:val="21"/>
          <w:highlight w:val="none"/>
        </w:rPr>
        <w:t>参加政府采购活动前三年内在经营活动中没有重大违法记录和不良信用记录的书面声明</w:t>
      </w:r>
      <w:r>
        <w:rPr>
          <w:rFonts w:hint="eastAsia" w:ascii="宋体" w:hAnsi="宋体" w:eastAsia="宋体" w:cs="宋体"/>
          <w:b/>
          <w:bCs/>
          <w:color w:val="auto"/>
          <w:sz w:val="21"/>
          <w:szCs w:val="21"/>
          <w:highlight w:val="none"/>
          <w:lang w:eastAsia="zh-CN"/>
        </w:rPr>
        <w:t>[格式自拟，必须提供]</w:t>
      </w:r>
    </w:p>
    <w:p w14:paraId="4CD4649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注：采购人或采购代理机构在资格审查结束前对供应商进行信用查询</w:t>
      </w:r>
    </w:p>
    <w:p w14:paraId="21BF1DF3">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查询渠道：“信用中国”网站</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www.creditchina.gov.cn</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 xml:space="preserve"> 、中国政府采购网</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www.ccgp.gov.cn</w:t>
      </w:r>
      <w:r>
        <w:rPr>
          <w:rFonts w:hint="eastAsia" w:ascii="宋体" w:hAnsi="宋体" w:eastAsia="宋体" w:cs="宋体"/>
          <w:b/>
          <w:color w:val="auto"/>
          <w:sz w:val="21"/>
          <w:szCs w:val="21"/>
          <w:highlight w:val="none"/>
          <w:lang w:eastAsia="zh-CN"/>
        </w:rPr>
        <w:t>）</w:t>
      </w:r>
    </w:p>
    <w:p w14:paraId="05423E9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查询截止时间：资格审查结束前。</w:t>
      </w:r>
    </w:p>
    <w:p w14:paraId="6F294F0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查询记录和证据留存方式：在查询网站中直接打印查询记录，打印材料作为评审资料保存。</w:t>
      </w:r>
    </w:p>
    <w:p w14:paraId="4EA521AF">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信用信息使用规则：对在“信用中国”网站</w:t>
      </w:r>
      <w:r>
        <w:rPr>
          <w:rFonts w:hint="eastAsia"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www.creditchina.gov.cn</w:t>
      </w:r>
      <w:r>
        <w:rPr>
          <w:rFonts w:hint="eastAsia"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 xml:space="preserve"> 、中国政府采购网</w:t>
      </w:r>
      <w:r>
        <w:rPr>
          <w:rFonts w:hint="eastAsia"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www.ccgp.gov.cn</w:t>
      </w:r>
      <w:r>
        <w:rPr>
          <w:rFonts w:hint="eastAsia"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被列入失信被执行人、重大税收违法失信主体、政府采购严重违法失信行为记录名单及其他不符合《中华人民共和国政府采购法》第二十二条规定条件的供应商，将拒绝其参与政府采购活动。</w:t>
      </w:r>
    </w:p>
    <w:p w14:paraId="38A2EBC6">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7）</w:t>
      </w:r>
      <w:r>
        <w:rPr>
          <w:rFonts w:hint="eastAsia" w:ascii="宋体" w:hAnsi="宋体" w:eastAsia="宋体" w:cs="宋体"/>
          <w:b w:val="0"/>
          <w:bCs w:val="0"/>
          <w:color w:val="auto"/>
          <w:sz w:val="21"/>
          <w:szCs w:val="21"/>
          <w:highlight w:val="none"/>
        </w:rPr>
        <w:t>投标人直接控股、管理关系信息表（格式后附）</w:t>
      </w:r>
      <w:r>
        <w:rPr>
          <w:rFonts w:hint="eastAsia" w:hAnsi="宋体" w:eastAsia="宋体" w:cs="宋体"/>
          <w:b/>
          <w:bCs/>
          <w:color w:val="auto"/>
          <w:sz w:val="21"/>
          <w:szCs w:val="21"/>
          <w:highlight w:val="none"/>
          <w:lang w:eastAsia="zh-CN"/>
        </w:rPr>
        <w:t>[必须提供]</w:t>
      </w:r>
    </w:p>
    <w:p w14:paraId="5F65FA1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8）投标人参加本项目无围标串标行为的承诺</w:t>
      </w:r>
      <w:r>
        <w:rPr>
          <w:rFonts w:hint="eastAsia" w:ascii="宋体" w:hAnsi="宋体" w:eastAsia="宋体" w:cs="宋体"/>
          <w:b/>
          <w:bCs/>
          <w:color w:val="auto"/>
          <w:sz w:val="21"/>
          <w:szCs w:val="21"/>
          <w:highlight w:val="none"/>
          <w:lang w:eastAsia="zh-CN"/>
        </w:rPr>
        <w:t>[必须提供]</w:t>
      </w:r>
    </w:p>
    <w:p w14:paraId="0CB4D972">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lang w:val="en-US" w:eastAsia="zh-CN"/>
        </w:rPr>
      </w:pPr>
    </w:p>
    <w:p w14:paraId="65F4C49B">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eastAsia="zh-CN"/>
        </w:rPr>
        <w:t>商务技术</w:t>
      </w:r>
      <w:r>
        <w:rPr>
          <w:rFonts w:hint="eastAsia" w:ascii="宋体" w:hAnsi="宋体" w:eastAsia="宋体" w:cs="宋体"/>
          <w:b/>
          <w:color w:val="auto"/>
          <w:sz w:val="21"/>
          <w:szCs w:val="21"/>
          <w:highlight w:val="none"/>
        </w:rPr>
        <w:t>文件：</w:t>
      </w:r>
    </w:p>
    <w:p w14:paraId="1B73EA73">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eastAsia="zh-CN"/>
        </w:rPr>
        <w:t>1</w:t>
      </w:r>
      <w:r>
        <w:rPr>
          <w:rFonts w:hint="eastAsia" w:ascii="宋体" w:hAnsi="宋体" w:eastAsia="宋体" w:cs="宋体"/>
          <w:b/>
          <w:color w:val="auto"/>
          <w:sz w:val="21"/>
          <w:szCs w:val="21"/>
          <w:highlight w:val="none"/>
        </w:rPr>
        <w:t>商务文件：</w:t>
      </w:r>
    </w:p>
    <w:p w14:paraId="345B36F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（1）投标保证金的提交凭证</w:t>
      </w:r>
      <w:r>
        <w:rPr>
          <w:rFonts w:hint="eastAsia" w:ascii="宋体" w:hAnsi="宋体" w:eastAsia="宋体" w:cs="宋体"/>
          <w:b/>
          <w:color w:val="auto"/>
          <w:sz w:val="21"/>
          <w:szCs w:val="21"/>
          <w:highlight w:val="none"/>
          <w:lang w:eastAsia="zh-CN"/>
        </w:rPr>
        <w:t>[必须提供]</w:t>
      </w:r>
    </w:p>
    <w:p w14:paraId="15088CF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（2）投标声明书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格式见第六章</w:t>
      </w:r>
      <w:r>
        <w:rPr>
          <w:rFonts w:hint="eastAsia" w:ascii="宋体" w:hAnsi="宋体" w:eastAsia="宋体" w:cs="宋体"/>
          <w:color w:val="auto"/>
          <w:sz w:val="21"/>
          <w:szCs w:val="21"/>
          <w:highlight w:val="none"/>
          <w:lang w:eastAsia="zh-CN"/>
        </w:rPr>
        <w:t>）</w:t>
      </w:r>
      <w:r>
        <w:rPr>
          <w:rFonts w:hint="eastAsia" w:ascii="宋体" w:hAnsi="宋体" w:eastAsia="宋体" w:cs="宋体"/>
          <w:b/>
          <w:color w:val="auto"/>
          <w:sz w:val="21"/>
          <w:szCs w:val="21"/>
          <w:highlight w:val="none"/>
          <w:lang w:eastAsia="zh-CN"/>
        </w:rPr>
        <w:t>[必须提供]</w:t>
      </w:r>
    </w:p>
    <w:p w14:paraId="7F7B28F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（3）法定代表人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负责人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授权委托书和委托代理人身份证正、反面复印件（格式见第六章</w:t>
      </w:r>
      <w:r>
        <w:rPr>
          <w:rFonts w:hint="eastAsia" w:ascii="宋体" w:hAnsi="宋体" w:eastAsia="宋体" w:cs="宋体"/>
          <w:color w:val="auto"/>
          <w:sz w:val="21"/>
          <w:szCs w:val="21"/>
          <w:highlight w:val="none"/>
          <w:lang w:eastAsia="zh-CN"/>
        </w:rPr>
        <w:t>）</w:t>
      </w:r>
      <w:r>
        <w:rPr>
          <w:rFonts w:hint="eastAsia" w:ascii="宋体" w:hAnsi="宋体" w:eastAsia="宋体" w:cs="宋体"/>
          <w:b/>
          <w:color w:val="auto"/>
          <w:sz w:val="21"/>
          <w:szCs w:val="21"/>
          <w:highlight w:val="none"/>
          <w:lang w:eastAsia="zh-CN"/>
        </w:rPr>
        <w:t>[委托时必须提供]</w:t>
      </w:r>
    </w:p>
    <w:p w14:paraId="4B66548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（4）法定代表人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负责人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身份证明书（格式见第六章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、法定代表人（负责人）有效身份证正反面复印件</w:t>
      </w:r>
      <w:r>
        <w:rPr>
          <w:rFonts w:hint="eastAsia" w:ascii="宋体" w:hAnsi="宋体" w:eastAsia="宋体" w:cs="宋体"/>
          <w:b/>
          <w:color w:val="auto"/>
          <w:sz w:val="21"/>
          <w:szCs w:val="21"/>
          <w:highlight w:val="none"/>
          <w:lang w:eastAsia="zh-CN"/>
        </w:rPr>
        <w:t>[必须提供]</w:t>
      </w:r>
      <w:r>
        <w:rPr>
          <w:rFonts w:hint="eastAsia" w:ascii="宋体" w:hAnsi="宋体" w:eastAsia="宋体" w:cs="宋体"/>
          <w:color w:val="auto"/>
          <w:sz w:val="21"/>
          <w:szCs w:val="21"/>
          <w:highlight w:val="none"/>
        </w:rPr>
        <w:t xml:space="preserve"> </w:t>
      </w:r>
    </w:p>
    <w:p w14:paraId="23C5187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）商务响应表（格式见第六章）</w:t>
      </w:r>
      <w:r>
        <w:rPr>
          <w:rFonts w:hint="eastAsia" w:ascii="宋体" w:hAnsi="宋体" w:eastAsia="宋体" w:cs="宋体"/>
          <w:b/>
          <w:color w:val="auto"/>
          <w:sz w:val="21"/>
          <w:szCs w:val="21"/>
          <w:highlight w:val="none"/>
          <w:lang w:eastAsia="zh-CN"/>
        </w:rPr>
        <w:t>[必须提供]</w:t>
      </w:r>
    </w:p>
    <w:p w14:paraId="72FFCBB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）招标项目采购需求中要求提供的材料等</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据实提供</w:t>
      </w:r>
      <w:r>
        <w:rPr>
          <w:rFonts w:hint="eastAsia" w:ascii="宋体" w:hAnsi="宋体" w:eastAsia="宋体" w:cs="宋体"/>
          <w:b/>
          <w:bCs/>
          <w:color w:val="auto"/>
          <w:sz w:val="21"/>
          <w:szCs w:val="21"/>
          <w:highlight w:val="none"/>
          <w:lang w:val="en-US" w:eastAsia="zh-CN"/>
        </w:rPr>
        <w:t>]</w:t>
      </w:r>
    </w:p>
    <w:p w14:paraId="186E2BB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）具备法律、行政法规规定的其他条件的证明材料</w:t>
      </w:r>
      <w:r>
        <w:rPr>
          <w:rFonts w:hint="eastAsia" w:ascii="宋体" w:hAnsi="宋体" w:eastAsia="宋体" w:cs="宋体"/>
          <w:b w:val="0"/>
          <w:bCs/>
          <w:color w:val="auto"/>
          <w:sz w:val="21"/>
          <w:szCs w:val="21"/>
          <w:highlight w:val="none"/>
          <w:lang w:eastAsia="zh-CN"/>
        </w:rPr>
        <w:t>[如有规定，则必须提供]</w:t>
      </w:r>
    </w:p>
    <w:p w14:paraId="0BC7436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可作为投标人资信评分的资质证明材料（可选）  </w:t>
      </w:r>
    </w:p>
    <w:p w14:paraId="38E5693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）类似成功案例的业绩</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投标人同类项目实施情况一览表、合同扫描件等，格式可自行调整</w:t>
      </w:r>
      <w:r>
        <w:rPr>
          <w:rFonts w:hint="eastAsia" w:ascii="宋体" w:hAnsi="宋体" w:eastAsia="宋体" w:cs="宋体"/>
          <w:color w:val="auto"/>
          <w:sz w:val="21"/>
          <w:szCs w:val="21"/>
          <w:highlight w:val="none"/>
          <w:lang w:val="en-US" w:eastAsia="zh-CN"/>
        </w:rPr>
        <w:t>]</w:t>
      </w:r>
    </w:p>
    <w:p w14:paraId="102B00F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）其他特殊资质证书</w:t>
      </w:r>
    </w:p>
    <w:p w14:paraId="69753A5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）节能环保产品或政府强制采购节能产品认证证书</w:t>
      </w:r>
    </w:p>
    <w:p w14:paraId="17E80F4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rPr>
        <w:t>）投标人质量管理和质量保证体系等方面的认证证书</w:t>
      </w:r>
    </w:p>
    <w:p w14:paraId="090D778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rPr>
        <w:t>）投标人认为可以证明其能力或业绩的其他材料</w:t>
      </w:r>
    </w:p>
    <w:p w14:paraId="53525DA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）投标人关于产品生产时间、升级或者更新淘汰计划、配件供应以及本单位债务纠纷、违法违规记录等方面的情况（内容见投标声明书）</w:t>
      </w:r>
    </w:p>
    <w:p w14:paraId="48E8C74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）投标人情况介绍</w:t>
      </w:r>
    </w:p>
    <w:p w14:paraId="647169A3">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）投标人认为需要提供的其他材料</w:t>
      </w:r>
    </w:p>
    <w:p w14:paraId="6449D6C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bCs/>
          <w:color w:val="auto"/>
          <w:sz w:val="21"/>
          <w:szCs w:val="21"/>
          <w:highlight w:val="none"/>
        </w:rPr>
      </w:pPr>
    </w:p>
    <w:p w14:paraId="54AA7F1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2.2技术文件：</w:t>
      </w:r>
    </w:p>
    <w:p w14:paraId="05739E3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（1）技术响应表</w:t>
      </w:r>
      <w:r>
        <w:rPr>
          <w:rFonts w:hint="eastAsia" w:ascii="宋体" w:hAnsi="宋体" w:eastAsia="宋体" w:cs="宋体"/>
          <w:b/>
          <w:color w:val="auto"/>
          <w:sz w:val="21"/>
          <w:szCs w:val="21"/>
          <w:highlight w:val="none"/>
          <w:lang w:eastAsia="zh-CN"/>
        </w:rPr>
        <w:t>[必须提供]</w:t>
      </w:r>
    </w:p>
    <w:p w14:paraId="1240CFF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（2）设备配置清单</w:t>
      </w:r>
      <w:r>
        <w:rPr>
          <w:rFonts w:hint="eastAsia" w:ascii="宋体" w:hAnsi="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eastAsia="zh-CN"/>
        </w:rPr>
        <w:t>均不含报价</w:t>
      </w:r>
      <w:r>
        <w:rPr>
          <w:rFonts w:hint="eastAsia" w:ascii="宋体" w:hAnsi="宋体" w:cs="宋体"/>
          <w:b w:val="0"/>
          <w:bCs/>
          <w:color w:val="auto"/>
          <w:sz w:val="21"/>
          <w:szCs w:val="21"/>
          <w:highlight w:val="none"/>
          <w:lang w:eastAsia="zh-CN"/>
        </w:rPr>
        <w:t>）</w:t>
      </w:r>
    </w:p>
    <w:p w14:paraId="2262F17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（3）项目实施方案、售后服务承诺书</w:t>
      </w:r>
      <w:r>
        <w:rPr>
          <w:rFonts w:hint="eastAsia" w:ascii="宋体" w:hAnsi="宋体" w:eastAsia="宋体" w:cs="宋体"/>
          <w:b/>
          <w:color w:val="auto"/>
          <w:sz w:val="21"/>
          <w:szCs w:val="21"/>
          <w:highlight w:val="none"/>
          <w:lang w:eastAsia="zh-CN"/>
        </w:rPr>
        <w:t>[格式自拟，必须提供]</w:t>
      </w:r>
    </w:p>
    <w:p w14:paraId="7E6F3F9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（4）投标人拥有主要装备和检测设施的情况和现状</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格式自拟</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及项目实施人员一览表</w:t>
      </w:r>
    </w:p>
    <w:p w14:paraId="07B6A7E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（5）优惠条件：投标人承诺给予招标人的各种优惠条件，包括备品备件、专用耗材、售后服务等方面的优惠</w:t>
      </w:r>
    </w:p>
    <w:p w14:paraId="778DFC9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（6）投标人对本项目的合理化建议和改进措施</w:t>
      </w:r>
    </w:p>
    <w:p w14:paraId="13505A0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（7）投标人认为需要提供的其他材料</w:t>
      </w:r>
    </w:p>
    <w:p w14:paraId="31803296">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（8）招标项目采购需求中要求提供的材料</w:t>
      </w:r>
      <w:r>
        <w:rPr>
          <w:rFonts w:hint="eastAsia" w:ascii="宋体" w:hAnsi="宋体" w:eastAsia="宋体" w:cs="宋体"/>
          <w:color w:val="auto"/>
          <w:sz w:val="21"/>
          <w:szCs w:val="21"/>
          <w:highlight w:val="none"/>
          <w:lang w:eastAsia="zh-CN"/>
        </w:rPr>
        <w:t>[据实提供]</w:t>
      </w:r>
    </w:p>
    <w:p w14:paraId="52C61193">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3.报价文件：</w:t>
      </w:r>
    </w:p>
    <w:p w14:paraId="448EA58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（1）投标函（格式见第六章）</w:t>
      </w:r>
      <w:r>
        <w:rPr>
          <w:rFonts w:hint="eastAsia" w:ascii="宋体" w:hAnsi="宋体" w:eastAsia="宋体" w:cs="宋体"/>
          <w:b/>
          <w:color w:val="auto"/>
          <w:sz w:val="21"/>
          <w:szCs w:val="21"/>
          <w:highlight w:val="none"/>
          <w:lang w:eastAsia="zh-CN"/>
        </w:rPr>
        <w:t>[必须提供]</w:t>
      </w:r>
    </w:p>
    <w:p w14:paraId="0470F8E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（2）投标报价明细表（格式见第六章）</w:t>
      </w:r>
      <w:r>
        <w:rPr>
          <w:rFonts w:hint="eastAsia" w:ascii="宋体" w:hAnsi="宋体" w:eastAsia="宋体" w:cs="宋体"/>
          <w:b/>
          <w:color w:val="auto"/>
          <w:sz w:val="21"/>
          <w:szCs w:val="21"/>
          <w:highlight w:val="none"/>
          <w:lang w:eastAsia="zh-CN"/>
        </w:rPr>
        <w:t>[必须提供]</w:t>
      </w:r>
    </w:p>
    <w:p w14:paraId="533AC37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（3）投标人针对报价需要说明的其他文件和说明</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格式自拟</w:t>
      </w:r>
      <w:r>
        <w:rPr>
          <w:rFonts w:hint="eastAsia" w:ascii="宋体" w:hAnsi="宋体" w:cs="宋体"/>
          <w:color w:val="auto"/>
          <w:sz w:val="21"/>
          <w:szCs w:val="21"/>
          <w:highlight w:val="none"/>
          <w:lang w:eastAsia="zh-CN"/>
        </w:rPr>
        <w:t>）</w:t>
      </w:r>
    </w:p>
    <w:p w14:paraId="20B09C0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zh-CN"/>
        </w:rPr>
        <w:t>享受中小企业扶持政策的材料（</w:t>
      </w: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zh-CN"/>
        </w:rPr>
        <w:t>根据自身响应情况，提供以下任意一项材料以证明自身可享受中小企业扶持政策）[如有请提供]：</w:t>
      </w:r>
    </w:p>
    <w:p w14:paraId="539FF25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1）《中小企业声明函》（按最新相关政策执行，格式见第六章）</w:t>
      </w:r>
    </w:p>
    <w:p w14:paraId="5F7A15E6">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2）《残疾人福利性单位声明函》（按最新相关政策执行，格式见第六章）</w:t>
      </w:r>
    </w:p>
    <w:p w14:paraId="4999CDF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3）省级以上监狱管理局、戒毒管理局（含新疆生产建设兵团）出具的属于监狱企业的证明文件</w:t>
      </w:r>
      <w:r>
        <w:rPr>
          <w:rFonts w:hint="eastAsia" w:ascii="宋体" w:hAnsi="宋体" w:eastAsia="宋体" w:cs="宋体"/>
          <w:color w:val="auto"/>
          <w:sz w:val="21"/>
          <w:szCs w:val="21"/>
          <w:highlight w:val="none"/>
        </w:rPr>
        <w:t xml:space="preserve"> </w:t>
      </w:r>
    </w:p>
    <w:p w14:paraId="170EF08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《关于符合本国产品标准的声明函》或者财政部会同有关部门规定的有关证明文件</w:t>
      </w:r>
      <w:r>
        <w:rPr>
          <w:rFonts w:hint="eastAsia" w:ascii="宋体" w:hAnsi="宋体" w:eastAsia="宋体" w:cs="宋体"/>
          <w:b w:val="0"/>
          <w:bCs w:val="0"/>
          <w:color w:val="auto"/>
          <w:sz w:val="21"/>
          <w:szCs w:val="21"/>
          <w:highlight w:val="none"/>
          <w:lang w:val="en-US" w:eastAsia="zh-CN"/>
        </w:rPr>
        <w:t>[格式见第六章，如有请提供]</w:t>
      </w:r>
    </w:p>
    <w:p w14:paraId="1773E49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）开标一览表（格式见第六章）</w:t>
      </w:r>
      <w:r>
        <w:rPr>
          <w:rFonts w:hint="eastAsia" w:ascii="宋体" w:hAnsi="宋体" w:eastAsia="宋体" w:cs="宋体"/>
          <w:b/>
          <w:color w:val="auto"/>
          <w:sz w:val="21"/>
          <w:szCs w:val="21"/>
          <w:highlight w:val="none"/>
          <w:lang w:eastAsia="zh-CN"/>
        </w:rPr>
        <w:t>[必须提供]</w:t>
      </w:r>
    </w:p>
    <w:p w14:paraId="4714CA3D">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注：法定代表人</w:t>
      </w:r>
      <w:r>
        <w:rPr>
          <w:rFonts w:hint="eastAsia"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负责人</w:t>
      </w:r>
      <w:r>
        <w:rPr>
          <w:rFonts w:hint="eastAsia"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授权委托书、投标声明书、投标函、开标一览表必须按照招标文件格式要求签署和加盖单位公章，否则作投标无效处理。</w:t>
      </w:r>
    </w:p>
    <w:p w14:paraId="4CE92EB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bookmarkStart w:id="78" w:name="_Toc254970678"/>
      <w:bookmarkStart w:id="79" w:name="_Toc254970537"/>
      <w:r>
        <w:rPr>
          <w:rFonts w:hint="eastAsia" w:ascii="宋体" w:hAnsi="宋体" w:eastAsia="宋体" w:cs="宋体"/>
          <w:b/>
          <w:color w:val="auto"/>
          <w:sz w:val="21"/>
          <w:szCs w:val="21"/>
          <w:highlight w:val="none"/>
        </w:rPr>
        <w:t>（二）投标文件的语言及计量</w:t>
      </w:r>
      <w:bookmarkEnd w:id="78"/>
      <w:bookmarkEnd w:id="79"/>
    </w:p>
    <w:p w14:paraId="506C5428">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▲1.投标文件以及投标方与招标方就有关投标事宜的所有来往函电，均应以中文汉语书写。除签名、盖章、专用名称等特殊情形外，以中文汉语以外的文字表述的投标文件视同未提供。</w:t>
      </w:r>
    </w:p>
    <w:p w14:paraId="7D0A0E88">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▲2.投标计量单位，招标文件已有明确规定的，使用招标文件规定的计量单位；招标文件没有规定的，应采用中华人民共和国法定计量单位（货币单位：人民币元），否则视同未响应。</w:t>
      </w:r>
      <w:bookmarkStart w:id="80" w:name="_Toc254970538"/>
      <w:bookmarkStart w:id="81" w:name="_Toc254970679"/>
    </w:p>
    <w:p w14:paraId="331478D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（三）投标报价</w:t>
      </w:r>
      <w:bookmarkEnd w:id="80"/>
      <w:bookmarkEnd w:id="81"/>
    </w:p>
    <w:p w14:paraId="32EFF7C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1.投标报价应按招标文件中相关附表格式填写。</w:t>
      </w:r>
    </w:p>
    <w:p w14:paraId="3BDB8A6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报价是履行合同的最终价格，应包括货款、随配附件、备品备件、专用工具、包装、运输、装卸、保险、运抵指定交货地点、送货上门服务、现场安装调试、保修等各种费用和售后服务、培训、税金及其他所有成本费用的总和。</w:t>
      </w:r>
    </w:p>
    <w:p w14:paraId="5E51032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3.投标文件只允许有一个报价，有选择的或有条件的报价将不予接受。</w:t>
      </w:r>
    </w:p>
    <w:p w14:paraId="253EFB7A">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210" w:firstLineChars="100"/>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▲4.</w:t>
      </w:r>
      <w:r>
        <w:rPr>
          <w:rFonts w:hint="eastAsia" w:ascii="宋体" w:hAnsi="宋体" w:eastAsia="宋体" w:cs="宋体"/>
          <w:b/>
          <w:bCs/>
          <w:color w:val="auto"/>
          <w:sz w:val="21"/>
          <w:szCs w:val="21"/>
          <w:highlight w:val="none"/>
        </w:rPr>
        <w:t>异常低价审查：政府采购评审中出现下列情形之一的，评审委员会应当启动异常低价投标审查程序：</w:t>
      </w:r>
    </w:p>
    <w:p w14:paraId="124179D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①投标（响应）报价低于全部通过符合性审查</w:t>
      </w:r>
      <w:r>
        <w:rPr>
          <w:rFonts w:hint="eastAsia" w:ascii="宋体" w:hAnsi="宋体" w:cs="宋体"/>
          <w:b/>
          <w:bCs/>
          <w:color w:val="auto"/>
          <w:sz w:val="21"/>
          <w:szCs w:val="21"/>
          <w:highlight w:val="none"/>
          <w:lang w:eastAsia="zh-CN"/>
        </w:rPr>
        <w:t>投标人</w:t>
      </w:r>
      <w:r>
        <w:rPr>
          <w:rFonts w:hint="eastAsia" w:ascii="宋体" w:hAnsi="宋体" w:eastAsia="宋体" w:cs="宋体"/>
          <w:b/>
          <w:bCs/>
          <w:color w:val="auto"/>
          <w:sz w:val="21"/>
          <w:szCs w:val="21"/>
          <w:highlight w:val="none"/>
          <w:lang w:eastAsia="zh-CN"/>
        </w:rPr>
        <w:t>投标（响应）报价平均值50%的，即投标（响应）报价＜全部通过符合性审查</w:t>
      </w:r>
      <w:r>
        <w:rPr>
          <w:rFonts w:hint="eastAsia" w:ascii="宋体" w:hAnsi="宋体" w:cs="宋体"/>
          <w:b/>
          <w:bCs/>
          <w:color w:val="auto"/>
          <w:sz w:val="21"/>
          <w:szCs w:val="21"/>
          <w:highlight w:val="none"/>
          <w:lang w:eastAsia="zh-CN"/>
        </w:rPr>
        <w:t>投标人</w:t>
      </w:r>
      <w:r>
        <w:rPr>
          <w:rFonts w:hint="eastAsia" w:ascii="宋体" w:hAnsi="宋体" w:eastAsia="宋体" w:cs="宋体"/>
          <w:b/>
          <w:bCs/>
          <w:color w:val="auto"/>
          <w:sz w:val="21"/>
          <w:szCs w:val="21"/>
          <w:highlight w:val="none"/>
          <w:lang w:eastAsia="zh-CN"/>
        </w:rPr>
        <w:t>投标（响应）报价平均值×50%； </w:t>
      </w:r>
    </w:p>
    <w:p w14:paraId="4275C462">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②投标（响应）报价低于通过符合性审查的次低报价</w:t>
      </w:r>
      <w:r>
        <w:rPr>
          <w:rFonts w:hint="eastAsia" w:ascii="宋体" w:hAnsi="宋体" w:cs="宋体"/>
          <w:b/>
          <w:bCs/>
          <w:color w:val="auto"/>
          <w:sz w:val="21"/>
          <w:szCs w:val="21"/>
          <w:highlight w:val="none"/>
          <w:lang w:eastAsia="zh-CN"/>
        </w:rPr>
        <w:t>投标人</w:t>
      </w:r>
      <w:r>
        <w:rPr>
          <w:rFonts w:hint="eastAsia" w:ascii="宋体" w:hAnsi="宋体" w:eastAsia="宋体" w:cs="宋体"/>
          <w:b/>
          <w:bCs/>
          <w:color w:val="auto"/>
          <w:sz w:val="21"/>
          <w:szCs w:val="21"/>
          <w:highlight w:val="none"/>
          <w:lang w:eastAsia="zh-CN"/>
        </w:rPr>
        <w:t>投标（响应）报价50%的，即投标（响应）报价＜通过符合性审查的次低报价</w:t>
      </w:r>
      <w:r>
        <w:rPr>
          <w:rFonts w:hint="eastAsia" w:ascii="宋体" w:hAnsi="宋体" w:cs="宋体"/>
          <w:b/>
          <w:bCs/>
          <w:color w:val="auto"/>
          <w:sz w:val="21"/>
          <w:szCs w:val="21"/>
          <w:highlight w:val="none"/>
          <w:lang w:eastAsia="zh-CN"/>
        </w:rPr>
        <w:t>投标人</w:t>
      </w:r>
      <w:r>
        <w:rPr>
          <w:rFonts w:hint="eastAsia" w:ascii="宋体" w:hAnsi="宋体" w:eastAsia="宋体" w:cs="宋体"/>
          <w:b/>
          <w:bCs/>
          <w:color w:val="auto"/>
          <w:sz w:val="21"/>
          <w:szCs w:val="21"/>
          <w:highlight w:val="none"/>
          <w:lang w:eastAsia="zh-CN"/>
        </w:rPr>
        <w:t>投标（响应）报价×50%； </w:t>
      </w:r>
    </w:p>
    <w:p w14:paraId="36F5164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③投标（响应）报价低于采购项目最高限价</w:t>
      </w:r>
      <w:r>
        <w:rPr>
          <w:rFonts w:hint="eastAsia" w:ascii="宋体" w:hAnsi="宋体" w:cs="宋体"/>
          <w:b/>
          <w:bCs/>
          <w:color w:val="auto"/>
          <w:sz w:val="21"/>
          <w:szCs w:val="21"/>
          <w:highlight w:val="none"/>
          <w:lang w:val="en-US" w:eastAsia="zh-CN"/>
        </w:rPr>
        <w:t>65</w:t>
      </w:r>
      <w:r>
        <w:rPr>
          <w:rFonts w:hint="eastAsia" w:ascii="宋体" w:hAnsi="宋体" w:eastAsia="宋体" w:cs="宋体"/>
          <w:b/>
          <w:bCs/>
          <w:color w:val="auto"/>
          <w:sz w:val="21"/>
          <w:szCs w:val="21"/>
          <w:highlight w:val="none"/>
          <w:lang w:eastAsia="zh-CN"/>
        </w:rPr>
        <w:t>%的，即投标（响应）报价＜采购项目最高限价×</w:t>
      </w:r>
      <w:r>
        <w:rPr>
          <w:rFonts w:hint="eastAsia" w:ascii="宋体" w:hAnsi="宋体" w:cs="宋体"/>
          <w:b/>
          <w:bCs/>
          <w:color w:val="auto"/>
          <w:sz w:val="21"/>
          <w:szCs w:val="21"/>
          <w:highlight w:val="none"/>
          <w:lang w:val="en-US" w:eastAsia="zh-CN"/>
        </w:rPr>
        <w:t>65</w:t>
      </w:r>
      <w:r>
        <w:rPr>
          <w:rFonts w:hint="eastAsia" w:ascii="宋体" w:hAnsi="宋体" w:eastAsia="宋体" w:cs="宋体"/>
          <w:b/>
          <w:bCs/>
          <w:color w:val="auto"/>
          <w:sz w:val="21"/>
          <w:szCs w:val="21"/>
          <w:highlight w:val="none"/>
          <w:lang w:eastAsia="zh-CN"/>
        </w:rPr>
        <w:t>%； </w:t>
      </w:r>
    </w:p>
    <w:p w14:paraId="6E85701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④评标委员会基于专业判断，认为</w:t>
      </w:r>
      <w:r>
        <w:rPr>
          <w:rFonts w:hint="eastAsia" w:ascii="宋体" w:hAnsi="宋体" w:cs="宋体"/>
          <w:b/>
          <w:bCs/>
          <w:color w:val="auto"/>
          <w:sz w:val="21"/>
          <w:szCs w:val="21"/>
          <w:highlight w:val="none"/>
          <w:lang w:eastAsia="zh-CN"/>
        </w:rPr>
        <w:t>投标人</w:t>
      </w:r>
      <w:r>
        <w:rPr>
          <w:rFonts w:hint="eastAsia" w:ascii="宋体" w:hAnsi="宋体" w:eastAsia="宋体" w:cs="宋体"/>
          <w:b/>
          <w:bCs/>
          <w:color w:val="auto"/>
          <w:sz w:val="21"/>
          <w:szCs w:val="21"/>
          <w:highlight w:val="none"/>
          <w:lang w:eastAsia="zh-CN"/>
        </w:rPr>
        <w:t>报价过低，有可能影响产品质量或者不能诚信履约的其他情形。</w:t>
      </w:r>
    </w:p>
    <w:p w14:paraId="34A334D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触发审查的</w:t>
      </w:r>
      <w:r>
        <w:rPr>
          <w:rFonts w:hint="eastAsia" w:ascii="宋体" w:hAnsi="宋体" w:cs="宋体"/>
          <w:b/>
          <w:bCs/>
          <w:color w:val="auto"/>
          <w:sz w:val="21"/>
          <w:szCs w:val="21"/>
          <w:highlight w:val="none"/>
          <w:lang w:eastAsia="zh-CN"/>
        </w:rPr>
        <w:t>投标人</w:t>
      </w:r>
      <w:r>
        <w:rPr>
          <w:rFonts w:hint="eastAsia" w:ascii="宋体" w:hAnsi="宋体" w:eastAsia="宋体" w:cs="宋体"/>
          <w:b/>
          <w:bCs/>
          <w:color w:val="auto"/>
          <w:sz w:val="21"/>
          <w:szCs w:val="21"/>
          <w:highlight w:val="none"/>
          <w:lang w:eastAsia="zh-CN"/>
        </w:rPr>
        <w:t>应在评标委员会规定的时间内（一般不少于30分钟，</w:t>
      </w:r>
      <w:r>
        <w:rPr>
          <w:rFonts w:hint="eastAsia" w:ascii="宋体" w:hAnsi="宋体" w:cs="宋体"/>
          <w:b/>
          <w:bCs/>
          <w:color w:val="auto"/>
          <w:sz w:val="21"/>
          <w:szCs w:val="21"/>
          <w:highlight w:val="none"/>
          <w:lang w:eastAsia="zh-CN"/>
        </w:rPr>
        <w:t>投标人</w:t>
      </w:r>
      <w:r>
        <w:rPr>
          <w:rFonts w:hint="eastAsia" w:ascii="宋体" w:hAnsi="宋体" w:eastAsia="宋体" w:cs="宋体"/>
          <w:b/>
          <w:bCs/>
          <w:color w:val="auto"/>
          <w:sz w:val="21"/>
          <w:szCs w:val="21"/>
          <w:highlight w:val="none"/>
          <w:lang w:eastAsia="zh-CN"/>
        </w:rPr>
        <w:t>应提前做好充分准备）提交书面说明，并提供必要的证明材料，包括但不限于：原材料成本、人工成本、制造费用等。</w:t>
      </w:r>
    </w:p>
    <w:p w14:paraId="75986DD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评标委员会结合项目具体特点、市场行情、</w:t>
      </w:r>
      <w:r>
        <w:rPr>
          <w:rFonts w:hint="eastAsia" w:ascii="宋体" w:hAnsi="宋体" w:cs="宋体"/>
          <w:b/>
          <w:bCs/>
          <w:color w:val="auto"/>
          <w:sz w:val="21"/>
          <w:szCs w:val="21"/>
          <w:highlight w:val="none"/>
          <w:lang w:eastAsia="zh-CN"/>
        </w:rPr>
        <w:t>投标人</w:t>
      </w:r>
      <w:r>
        <w:rPr>
          <w:rFonts w:hint="eastAsia" w:ascii="宋体" w:hAnsi="宋体" w:eastAsia="宋体" w:cs="宋体"/>
          <w:b/>
          <w:bCs/>
          <w:color w:val="auto"/>
          <w:sz w:val="21"/>
          <w:szCs w:val="21"/>
          <w:highlight w:val="none"/>
          <w:lang w:eastAsia="zh-CN"/>
        </w:rPr>
        <w:t>的说明及证明材料，对其报价是否低于成本、是否影响项目质量和合同履约进行集体评议。</w:t>
      </w:r>
    </w:p>
    <w:p w14:paraId="2C50BEA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若</w:t>
      </w:r>
      <w:r>
        <w:rPr>
          <w:rFonts w:hint="eastAsia" w:ascii="宋体" w:hAnsi="宋体" w:cs="宋体"/>
          <w:b/>
          <w:bCs/>
          <w:color w:val="auto"/>
          <w:sz w:val="21"/>
          <w:szCs w:val="21"/>
          <w:highlight w:val="none"/>
          <w:lang w:eastAsia="zh-CN"/>
        </w:rPr>
        <w:t>投标人</w:t>
      </w:r>
      <w:r>
        <w:rPr>
          <w:rFonts w:hint="eastAsia" w:ascii="宋体" w:hAnsi="宋体" w:eastAsia="宋体" w:cs="宋体"/>
          <w:b/>
          <w:bCs/>
          <w:color w:val="auto"/>
          <w:sz w:val="21"/>
          <w:szCs w:val="21"/>
          <w:highlight w:val="none"/>
          <w:lang w:eastAsia="zh-CN"/>
        </w:rPr>
        <w:t>未能按时提交说明和证明材料，或提交的材料不足以合理证明其报价能够保证项目质量并诚信履约，经评标委员会过半数成员认定，其响应文件将按无效响应处理。</w:t>
      </w:r>
    </w:p>
    <w:p w14:paraId="3C1F915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（四）投标文件的有效期</w:t>
      </w:r>
    </w:p>
    <w:p w14:paraId="1092D97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1.自投标截止日起60日投标文件应保持有效。有效期不足的投标文件将被拒绝。</w:t>
      </w:r>
    </w:p>
    <w:p w14:paraId="3C4A208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2.在特殊情况下，采购人可与投标人协商延长投标书的有效期，这种要求和答复均以书面形式进行。</w:t>
      </w:r>
      <w:bookmarkStart w:id="82" w:name="_Toc254970680"/>
      <w:bookmarkStart w:id="83" w:name="_Toc254970539"/>
    </w:p>
    <w:p w14:paraId="5F7ECB4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3.投标人可拒绝接受延期要求而不会导致投标保证金被没收。同意延长有效期的投标人需要相应延长投标保证金的有效期，但不能修改投标文件。</w:t>
      </w:r>
      <w:bookmarkEnd w:id="82"/>
      <w:bookmarkEnd w:id="83"/>
      <w:r>
        <w:rPr>
          <w:rFonts w:hint="eastAsia" w:ascii="宋体" w:hAnsi="宋体" w:eastAsia="宋体" w:cs="宋体"/>
          <w:color w:val="auto"/>
          <w:sz w:val="21"/>
          <w:szCs w:val="21"/>
          <w:highlight w:val="none"/>
        </w:rPr>
        <w:t xml:space="preserve"> </w:t>
      </w:r>
      <w:bookmarkStart w:id="84" w:name="_Toc254970681"/>
      <w:bookmarkStart w:id="85" w:name="_Toc254970540"/>
    </w:p>
    <w:p w14:paraId="4D499346">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4.中标人的投标文件自开标之日起至合同履行完毕止均应保持有效。</w:t>
      </w:r>
      <w:bookmarkEnd w:id="84"/>
      <w:bookmarkEnd w:id="85"/>
      <w:bookmarkStart w:id="86" w:name="_Toc254970541"/>
      <w:bookmarkStart w:id="87" w:name="_Toc254970682"/>
    </w:p>
    <w:p w14:paraId="141C2FC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（五）投标保证金</w:t>
      </w:r>
      <w:bookmarkEnd w:id="86"/>
      <w:bookmarkEnd w:id="87"/>
    </w:p>
    <w:p w14:paraId="0FADCDA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1.投标人须按须知前附表的规定提交投标保证金。否则，其投标将被拒绝。</w:t>
      </w:r>
    </w:p>
    <w:p w14:paraId="08242F5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2.投标保证金的交纳方式：详见本项目公开招标公告。</w:t>
      </w:r>
    </w:p>
    <w:p w14:paraId="1EE24C8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3.投标保证金的退还均以转账形式退回到投标人银行账户。</w:t>
      </w:r>
    </w:p>
    <w:p w14:paraId="4702382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4.未中标人的投标保证金在中标通知书发出后5个工作日内退还。</w:t>
      </w:r>
    </w:p>
    <w:p w14:paraId="4EECA07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5.中标人的投标保证金在合同签订后（合同签订后送达本公司）5个工作日内退还。</w:t>
      </w:r>
    </w:p>
    <w:p w14:paraId="58DF792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6.投标保证金不计息。</w:t>
      </w:r>
    </w:p>
    <w:p w14:paraId="14D8ACF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注：办理投标保证金手续时，请务必在银行相关票据（非现金）或凭证的用途或空白栏上注明采购项目名称及采购项目编号，分标号（如有），以免耽误投标。</w:t>
      </w:r>
    </w:p>
    <w:p w14:paraId="4C5A183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7.中标人应在中标通知书发出之日起</w:t>
      </w:r>
      <w:r>
        <w:rPr>
          <w:rFonts w:hint="eastAsia" w:ascii="宋体" w:hAnsi="宋体" w:eastAsia="宋体" w:cs="宋体"/>
          <w:color w:val="auto"/>
          <w:sz w:val="21"/>
          <w:szCs w:val="21"/>
          <w:highlight w:val="none"/>
          <w:lang w:val="en-US" w:eastAsia="zh-CN"/>
        </w:rPr>
        <w:t>25</w:t>
      </w:r>
      <w:r>
        <w:rPr>
          <w:rFonts w:hint="eastAsia" w:ascii="宋体" w:hAnsi="宋体" w:cs="宋体"/>
          <w:color w:val="auto"/>
          <w:sz w:val="21"/>
          <w:szCs w:val="21"/>
          <w:highlight w:val="none"/>
          <w:lang w:val="en-US" w:eastAsia="zh-CN"/>
        </w:rPr>
        <w:t>个日历</w:t>
      </w:r>
      <w:r>
        <w:rPr>
          <w:rFonts w:hint="eastAsia" w:ascii="宋体" w:hAnsi="宋体" w:eastAsia="宋体" w:cs="宋体"/>
          <w:color w:val="auto"/>
          <w:sz w:val="21"/>
          <w:szCs w:val="21"/>
          <w:highlight w:val="none"/>
        </w:rPr>
        <w:t>日内与采购人签订合同。</w:t>
      </w:r>
    </w:p>
    <w:p w14:paraId="2EBB19F2">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8.投标人有下列情形之一的，投标保证金将不予退还：</w:t>
      </w:r>
    </w:p>
    <w:p w14:paraId="307BACC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（1）投标人在投标有效期内撤回投标文件的；</w:t>
      </w:r>
    </w:p>
    <w:p w14:paraId="4DD5D122">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（2）投标人在投标过程中弄虚作假，提供虚假材料的；</w:t>
      </w:r>
    </w:p>
    <w:p w14:paraId="0CCDD2F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（3）中标人无正当理由不与采购人签订合同的；</w:t>
      </w:r>
    </w:p>
    <w:p w14:paraId="12BD434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bCs/>
          <w:color w:val="auto"/>
          <w:spacing w:val="-4"/>
          <w:sz w:val="21"/>
          <w:szCs w:val="21"/>
          <w:highlight w:val="none"/>
        </w:rPr>
        <w:t>将中标项目转让给他人或者在投标文件中未说明，且未经采购人同意，将中标项目分包给他人的；</w:t>
      </w:r>
    </w:p>
    <w:p w14:paraId="569BCAB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（5）其他严重扰乱招投标程序的</w:t>
      </w:r>
      <w:bookmarkStart w:id="88" w:name="_Toc254970683"/>
      <w:bookmarkStart w:id="89" w:name="_Toc254970542"/>
      <w:r>
        <w:rPr>
          <w:rFonts w:hint="eastAsia" w:ascii="宋体" w:hAnsi="宋体" w:eastAsia="宋体" w:cs="宋体"/>
          <w:color w:val="auto"/>
          <w:sz w:val="21"/>
          <w:szCs w:val="21"/>
          <w:highlight w:val="none"/>
        </w:rPr>
        <w:t>；</w:t>
      </w:r>
    </w:p>
    <w:p w14:paraId="67544D2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（6）未按规定提交履约保证金的。</w:t>
      </w:r>
    </w:p>
    <w:p w14:paraId="6ECC393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（六）投标文件的签署和份数</w:t>
      </w:r>
      <w:bookmarkEnd w:id="88"/>
      <w:bookmarkEnd w:id="89"/>
    </w:p>
    <w:p w14:paraId="117846C3">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1.投标人应按本招标文件规定的格式和顺序编制投标文件并标注页码，投标文件内容不完整、编排混乱导致投标文件被误读、漏读或者查找不到相关内容的，是投标人的责任。</w:t>
      </w:r>
    </w:p>
    <w:p w14:paraId="45B6820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2.投标文件份数：见投标人须知及前附表。</w:t>
      </w:r>
    </w:p>
    <w:p w14:paraId="37E275A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3.投标文件须由投标人在规定位置盖章并由法定代表人或法定代表人的授权委托人签署，投标人应写全称。</w:t>
      </w:r>
    </w:p>
    <w:p w14:paraId="40CFDBF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4.投标文件不得涂改，若有修改错漏处，须加盖单位公章或者法定代表人或授权委托人签字或盖章。投标文件因扫描不清晰或乱码或表达不清所引起的后果由投标人负责。</w:t>
      </w:r>
    </w:p>
    <w:p w14:paraId="6B7839C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rPr>
      </w:pPr>
      <w:bookmarkStart w:id="90" w:name="_Toc254970684"/>
      <w:bookmarkStart w:id="91" w:name="_Toc254970543"/>
      <w:r>
        <w:rPr>
          <w:rFonts w:hint="eastAsia" w:ascii="宋体" w:hAnsi="宋体" w:eastAsia="宋体" w:cs="宋体"/>
          <w:b/>
          <w:color w:val="auto"/>
          <w:sz w:val="21"/>
          <w:szCs w:val="21"/>
          <w:highlight w:val="none"/>
        </w:rPr>
        <w:t>（七）投标文件的上传、提交、修改、撤回和解密</w:t>
      </w:r>
    </w:p>
    <w:p w14:paraId="4DACDF6B">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投标文件的上传、提交：见投标人须知及前附表。</w:t>
      </w:r>
    </w:p>
    <w:p w14:paraId="74574B0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14:paraId="0F5EC6F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14:paraId="57F0501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4.投标人已经被推荐为第一中标候选供应商后撤回投标或放弃中标的，其投标保证金将不予退还，并上缴国库，给采购人造成损失的，还应当赔偿损失，并作为不良行为记录在案。</w:t>
      </w:r>
    </w:p>
    <w:p w14:paraId="46F472C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（八）投标无效的情形</w:t>
      </w:r>
      <w:bookmarkEnd w:id="90"/>
      <w:bookmarkEnd w:id="91"/>
    </w:p>
    <w:p w14:paraId="7C7673D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实质上没有响应招标文件要求的投标将被视为无效投标。投标人不得通过修正或撤销</w:t>
      </w:r>
      <w:r>
        <w:rPr>
          <w:rFonts w:hint="eastAsia" w:ascii="宋体" w:hAnsi="宋体" w:eastAsia="宋体" w:cs="宋体"/>
          <w:bCs/>
          <w:color w:val="auto"/>
          <w:sz w:val="21"/>
          <w:szCs w:val="21"/>
          <w:highlight w:val="none"/>
          <w:lang w:eastAsia="zh-CN"/>
        </w:rPr>
        <w:t>不符</w:t>
      </w:r>
      <w:r>
        <w:rPr>
          <w:rFonts w:hint="eastAsia" w:ascii="宋体" w:hAnsi="宋体" w:eastAsia="宋体" w:cs="宋体"/>
          <w:bCs/>
          <w:color w:val="auto"/>
          <w:sz w:val="21"/>
          <w:szCs w:val="21"/>
          <w:highlight w:val="none"/>
        </w:rPr>
        <w:t>合要求的偏离或保留从而使其投标成为实质上响应的投标，但经评标委员会认定属于投标人疏忽、笔误所造成的差错，应当允许其在评标结束之前在广西政府采购云平台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14:paraId="43711F3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1.在资格、符合性审查时，如发现下列情形之一的，投标文件将被视为无效：</w:t>
      </w:r>
    </w:p>
    <w:p w14:paraId="35B8746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（1）超越了按照法律法规规定必须获得行政许可或者行政审批的经营范围的；</w:t>
      </w:r>
    </w:p>
    <w:p w14:paraId="6D284BA2">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（2）资格证明文件不全的，或者不符合招标文件标明的资格要求的；</w:t>
      </w:r>
    </w:p>
    <w:p w14:paraId="39EE052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pacing w:val="-4"/>
          <w:sz w:val="21"/>
          <w:szCs w:val="21"/>
          <w:highlight w:val="none"/>
        </w:rPr>
        <w:t>投标文件无法定代表人（负责人）或其授权委托代理人签字，或未</w:t>
      </w:r>
      <w:r>
        <w:rPr>
          <w:rFonts w:hint="eastAsia" w:ascii="宋体" w:hAnsi="宋体" w:eastAsia="宋体" w:cs="宋体"/>
          <w:bCs/>
          <w:color w:val="auto"/>
          <w:spacing w:val="-4"/>
          <w:kern w:val="0"/>
          <w:sz w:val="21"/>
          <w:szCs w:val="21"/>
          <w:highlight w:val="none"/>
        </w:rPr>
        <w:t>提供法定代表人</w:t>
      </w:r>
      <w:r>
        <w:rPr>
          <w:rFonts w:hint="eastAsia" w:ascii="宋体" w:hAnsi="宋体" w:eastAsia="宋体" w:cs="宋体"/>
          <w:color w:val="auto"/>
          <w:spacing w:val="-4"/>
          <w:sz w:val="21"/>
          <w:szCs w:val="21"/>
          <w:highlight w:val="none"/>
        </w:rPr>
        <w:t>（负责人）</w:t>
      </w:r>
      <w:r>
        <w:rPr>
          <w:rFonts w:hint="eastAsia" w:ascii="宋体" w:hAnsi="宋体" w:eastAsia="宋体" w:cs="宋体"/>
          <w:bCs/>
          <w:color w:val="auto"/>
          <w:spacing w:val="-4"/>
          <w:kern w:val="0"/>
          <w:sz w:val="21"/>
          <w:szCs w:val="21"/>
          <w:highlight w:val="none"/>
        </w:rPr>
        <w:t>授权委托书、投标声明书或者填写内容不齐全的；</w:t>
      </w:r>
    </w:p>
    <w:p w14:paraId="2AEC681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（4）投标代表人未能出具身份证明或与法定代表人</w:t>
      </w:r>
      <w:r>
        <w:rPr>
          <w:rFonts w:hint="eastAsia" w:ascii="宋体" w:hAnsi="宋体" w:eastAsia="宋体" w:cs="宋体"/>
          <w:color w:val="auto"/>
          <w:spacing w:val="-4"/>
          <w:sz w:val="21"/>
          <w:szCs w:val="21"/>
          <w:highlight w:val="none"/>
        </w:rPr>
        <w:t>（负责人）</w:t>
      </w:r>
      <w:r>
        <w:rPr>
          <w:rFonts w:hint="eastAsia" w:ascii="宋体" w:hAnsi="宋体" w:eastAsia="宋体" w:cs="宋体"/>
          <w:color w:val="auto"/>
          <w:sz w:val="21"/>
          <w:szCs w:val="21"/>
          <w:highlight w:val="none"/>
        </w:rPr>
        <w:t xml:space="preserve">授权委托人身份不符的； </w:t>
      </w:r>
    </w:p>
    <w:p w14:paraId="60B7BB40">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snapToGrid w:val="0"/>
          <w:color w:val="auto"/>
          <w:sz w:val="21"/>
          <w:szCs w:val="21"/>
          <w:highlight w:val="none"/>
        </w:rPr>
        <w:t>5）</w:t>
      </w:r>
      <w:r>
        <w:rPr>
          <w:rFonts w:hint="eastAsia" w:ascii="宋体" w:hAnsi="宋体" w:eastAsia="宋体" w:cs="宋体"/>
          <w:color w:val="auto"/>
          <w:sz w:val="21"/>
          <w:szCs w:val="21"/>
          <w:highlight w:val="none"/>
        </w:rPr>
        <w:t>项目填写不齐全或者内容虚假的；</w:t>
      </w:r>
    </w:p>
    <w:p w14:paraId="6F01424B">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color w:val="auto"/>
          <w:sz w:val="21"/>
          <w:szCs w:val="21"/>
          <w:highlight w:val="none"/>
        </w:rPr>
        <w:t>（6）投标文件的实质性内容未使用中文表述、意思表述不明确、前后矛盾或者使用计量单位不符合招标文件要求的（经评标委员会认定并允许其当场更正的笔误除外）；</w:t>
      </w:r>
    </w:p>
    <w:p w14:paraId="3B96702B">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pacing w:val="-4"/>
          <w:sz w:val="21"/>
          <w:szCs w:val="21"/>
          <w:highlight w:val="none"/>
        </w:rPr>
        <w:t>未实质性响应招标文件要求或者投标文件有招标方不能接受的附加条件的；</w:t>
      </w:r>
    </w:p>
    <w:p w14:paraId="3F5C5D44">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（8）未按照招标文件的规定提交投标保证金的；（说明：评标时，评标委员会将以本采购代理财务室编制的《项目投标保证金到账信息表》作为评审参考依据）。</w:t>
      </w:r>
    </w:p>
    <w:p w14:paraId="3FBF570F">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eastAsia="zh-CN"/>
        </w:rPr>
        <w:t>法律法规</w:t>
      </w:r>
      <w:r>
        <w:rPr>
          <w:rFonts w:hint="eastAsia" w:ascii="宋体" w:hAnsi="宋体" w:eastAsia="宋体" w:cs="宋体"/>
          <w:color w:val="auto"/>
          <w:sz w:val="21"/>
          <w:szCs w:val="21"/>
          <w:highlight w:val="none"/>
        </w:rPr>
        <w:t>和招标文件规定的其他无效情形。</w:t>
      </w:r>
    </w:p>
    <w:p w14:paraId="018F71CB">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2.在商务、技术评审时，如发现下列情形之一的，投标文件将被视为无效：</w:t>
      </w:r>
    </w:p>
    <w:p w14:paraId="02C7C113">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snapToGrid w:val="0"/>
          <w:color w:val="auto"/>
          <w:sz w:val="21"/>
          <w:szCs w:val="21"/>
          <w:highlight w:val="none"/>
        </w:rPr>
        <w:t>1）投标有效期等商务条款不能满足招标文件要求的；</w:t>
      </w:r>
    </w:p>
    <w:p w14:paraId="3662FAA9">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（2）未实质性响应招标文件要求或者投标文件含有采购人不能接受的附加条件的；</w:t>
      </w:r>
    </w:p>
    <w:p w14:paraId="35216EA4">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（3）未提供或未如实提供投标货物的技术参数，或者投标文件标明的响应或偏离与事实不符或虚假投标的；</w:t>
      </w:r>
    </w:p>
    <w:p w14:paraId="118BD1E1">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snapToGrid w:val="0"/>
          <w:color w:val="auto"/>
          <w:sz w:val="21"/>
          <w:szCs w:val="21"/>
          <w:highlight w:val="none"/>
        </w:rPr>
        <w:t>明显不符合招标文件要求的规格型号、质量标准，或者与招标文件中标“▲”的技术指标、主要功能项目发生实质性负偏离的；</w:t>
      </w:r>
    </w:p>
    <w:p w14:paraId="256E0FEB">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（5）</w:t>
      </w:r>
      <w:r>
        <w:rPr>
          <w:rFonts w:hint="eastAsia" w:ascii="宋体" w:hAnsi="宋体" w:eastAsia="宋体" w:cs="宋体"/>
          <w:color w:val="auto"/>
          <w:sz w:val="21"/>
          <w:szCs w:val="21"/>
          <w:highlight w:val="none"/>
        </w:rPr>
        <w:t>允许偏离的商务、技术、性能指标或者辅助功能项目发生负偏离超出允许的范围以上的</w:t>
      </w:r>
      <w:r>
        <w:rPr>
          <w:rFonts w:hint="eastAsia" w:ascii="宋体" w:hAnsi="宋体" w:eastAsia="宋体" w:cs="宋体"/>
          <w:color w:val="auto"/>
          <w:spacing w:val="-4"/>
          <w:sz w:val="21"/>
          <w:szCs w:val="21"/>
          <w:highlight w:val="none"/>
        </w:rPr>
        <w:t>；</w:t>
      </w:r>
    </w:p>
    <w:p w14:paraId="1152F6A5">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（6）投标技术方案不明确，存在一个或一个以上备选（替代）投标方案的；</w:t>
      </w:r>
    </w:p>
    <w:p w14:paraId="2B81E985">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（7）与其他参加本次投标供应商的投标文件（技术文件）的文字表述内容差错相同</w:t>
      </w:r>
      <w:r>
        <w:rPr>
          <w:rFonts w:hint="eastAsia" w:ascii="宋体" w:hAnsi="宋体" w:eastAsia="宋体" w:cs="宋体"/>
          <w:snapToGrid w:val="0"/>
          <w:color w:val="auto"/>
          <w:sz w:val="21"/>
          <w:szCs w:val="21"/>
          <w:highlight w:val="none"/>
          <w:lang w:eastAsia="zh-CN"/>
        </w:rPr>
        <w:t>两处</w:t>
      </w:r>
      <w:r>
        <w:rPr>
          <w:rFonts w:hint="eastAsia" w:ascii="宋体" w:hAnsi="宋体" w:eastAsia="宋体" w:cs="宋体"/>
          <w:snapToGrid w:val="0"/>
          <w:color w:val="auto"/>
          <w:sz w:val="21"/>
          <w:szCs w:val="21"/>
          <w:highlight w:val="none"/>
        </w:rPr>
        <w:t>以上的。</w:t>
      </w:r>
    </w:p>
    <w:p w14:paraId="74D48C2C">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3.在报价评审时，如发现下列情形之一的，投标文件将被视为无效：</w:t>
      </w:r>
    </w:p>
    <w:p w14:paraId="0C852291">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（1）未采用人民币报价或者未按照招标文件标明的币种报价的；</w:t>
      </w:r>
    </w:p>
    <w:p w14:paraId="0C2DA018">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（2）报价超出最高限价，或者超出采购预算金额，采购人不能支付的；</w:t>
      </w:r>
    </w:p>
    <w:p w14:paraId="3A720F4D">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（3）投标报价具有选择性，或者开标价格与投标文件承诺的优惠（折扣）价格不一致的；</w:t>
      </w:r>
    </w:p>
    <w:p w14:paraId="094EF380">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（4）评审委员会启动异常低价投标审查</w:t>
      </w:r>
      <w:r>
        <w:rPr>
          <w:rFonts w:hint="eastAsia" w:ascii="宋体" w:hAnsi="宋体" w:eastAsia="宋体" w:cs="宋体"/>
          <w:color w:val="auto"/>
          <w:spacing w:val="-4"/>
          <w:sz w:val="21"/>
          <w:szCs w:val="21"/>
          <w:highlight w:val="none"/>
        </w:rPr>
        <w:t>，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0B41F899">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4.有下列情形之一的视为投标人相互串通投标，投标文件将被视为无效</w:t>
      </w:r>
      <w:r>
        <w:rPr>
          <w:rFonts w:hint="eastAsia" w:ascii="宋体" w:hAnsi="宋体" w:eastAsia="宋体" w:cs="宋体"/>
          <w:b/>
          <w:color w:val="auto"/>
          <w:sz w:val="21"/>
          <w:szCs w:val="21"/>
          <w:highlight w:val="none"/>
          <w:lang w:eastAsia="zh-CN"/>
        </w:rPr>
        <w:t>：</w:t>
      </w:r>
    </w:p>
    <w:p w14:paraId="6A0FCBE7">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（1）不同投标人的投标文件由同一单位或者个人编制；或不同投标人报名的IP地址一致的；</w:t>
      </w:r>
    </w:p>
    <w:p w14:paraId="577B05A1">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（2）不同投标人委托同一单位或者个人办理投标事宜；</w:t>
      </w:r>
    </w:p>
    <w:p w14:paraId="774AAFF3">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（3）不同投标人的投标文件载明的项目管理成员或者联系人员为同一人；</w:t>
      </w:r>
    </w:p>
    <w:p w14:paraId="06D0473C">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（4）不同投标人的投标文件异常一致或投标报价呈规律性差异；</w:t>
      </w:r>
    </w:p>
    <w:p w14:paraId="3E404ECF">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（5）不同投标人的投标文件相互混装；</w:t>
      </w:r>
    </w:p>
    <w:p w14:paraId="4D05CBBC">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（6）不同投标人的投标保证金从同一个单位或者个人账户转出。</w:t>
      </w:r>
    </w:p>
    <w:p w14:paraId="03E4EF67">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5.其他投标无效的情形：</w:t>
      </w:r>
    </w:p>
    <w:p w14:paraId="1A59252B">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（1）投标文件未按招标文件要求签署或CA电子签章的；</w:t>
      </w:r>
    </w:p>
    <w:p w14:paraId="2B21FC0D">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（2）供应商提交两份或两份以上内容不同的投标文件；</w:t>
      </w:r>
    </w:p>
    <w:p w14:paraId="6C74CFF9">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（3）投标供应商在线制作投标文件时填写的报价金额与解密后“电子加密投标文件”中《开标一览表》填写的金额不一致并拒绝按招标文件要求接受调整的；</w:t>
      </w:r>
    </w:p>
    <w:p w14:paraId="57A4D556">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法律法规</w:t>
      </w:r>
      <w:r>
        <w:rPr>
          <w:rFonts w:hint="eastAsia" w:ascii="宋体" w:hAnsi="宋体" w:eastAsia="宋体" w:cs="宋体"/>
          <w:color w:val="auto"/>
          <w:sz w:val="21"/>
          <w:szCs w:val="21"/>
          <w:highlight w:val="none"/>
        </w:rPr>
        <w:t>和招标文件规定的其他无效情形（或出现重大偏差）。</w:t>
      </w:r>
    </w:p>
    <w:p w14:paraId="2FA905D8">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6.被拒绝的投标文件为无效。</w:t>
      </w:r>
    </w:p>
    <w:p w14:paraId="69A2ECE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bookmarkStart w:id="92" w:name="_Toc254970544"/>
      <w:bookmarkStart w:id="93" w:name="_Toc254970685"/>
    </w:p>
    <w:p w14:paraId="562E9C2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四、开  标</w:t>
      </w:r>
      <w:bookmarkEnd w:id="92"/>
      <w:bookmarkEnd w:id="93"/>
    </w:p>
    <w:p w14:paraId="2F54FAD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（一）开标准备</w:t>
      </w:r>
    </w:p>
    <w:p w14:paraId="32D60A5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将在规定的时间和地点通过“广西政府采购云平台”组织开标、开启投标文件，所有供应商均应当准时在线参加。投标供应商因未在线参加开标而导致投标文件无法按时解密等一切后果由供应商自行承担。</w:t>
      </w:r>
    </w:p>
    <w:p w14:paraId="48DB6D30">
      <w:pPr>
        <w:keepNext w:val="0"/>
        <w:keepLines w:val="0"/>
        <w:pageBreakBefore w:val="0"/>
        <w:widowControl w:val="0"/>
        <w:shd w:val="clear"/>
        <w:tabs>
          <w:tab w:val="left" w:pos="2835"/>
          <w:tab w:val="left" w:pos="3261"/>
          <w:tab w:val="left" w:pos="3969"/>
        </w:tabs>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（二）开标程序</w:t>
      </w:r>
    </w:p>
    <w:p w14:paraId="70F515F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bookmarkStart w:id="94" w:name="_Toc254970686"/>
      <w:bookmarkStart w:id="95" w:name="_Toc254970545"/>
      <w:r>
        <w:rPr>
          <w:rFonts w:hint="eastAsia" w:ascii="宋体" w:hAnsi="宋体" w:eastAsia="宋体" w:cs="宋体"/>
          <w:color w:val="auto"/>
          <w:sz w:val="21"/>
          <w:szCs w:val="21"/>
          <w:highlight w:val="none"/>
        </w:rPr>
        <w:t>1.电子开标会由本采购代理机构主持。</w:t>
      </w:r>
    </w:p>
    <w:p w14:paraId="536D00D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2.本采购代理机构工作人员向各投标供应商发出电子加密投标文件【开始解密】通知，由供应商按招标文件规定的时间内自行进行投标文件解密。投标供应商未在规定时间内完成解密的，系统默认自动放弃。</w:t>
      </w:r>
    </w:p>
    <w:p w14:paraId="35F58AB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14:paraId="74FD2F9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4.进入资格文件审查环节，采购人、采购代理机构根据双方签订的代理协议约定，依法对投标供应商的资格进行审查。</w:t>
      </w:r>
    </w:p>
    <w:p w14:paraId="73E21AE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5.开启资格审查通过的投标供应商的商务技术文件进入符合性审查及商务技术评审。</w:t>
      </w:r>
    </w:p>
    <w:p w14:paraId="1C4ACA5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注：①当整个招标项目的投标人不足3家的不开标，本采购代理机构将按政府采购管理的有关规定处理。</w:t>
      </w:r>
    </w:p>
    <w:p w14:paraId="6D5ABBC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②开标后，某分标投标人不足3家的，本采购代理机构将按政府采购管理的有关规定处理。</w:t>
      </w:r>
    </w:p>
    <w:p w14:paraId="4AFA038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特别说明：如遇“广西政府采购云平台”电子化开标或评审程序调整的，按调整后程序执行。</w:t>
      </w:r>
    </w:p>
    <w:p w14:paraId="41FB320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p>
    <w:p w14:paraId="4F7F583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五、资格审查</w:t>
      </w:r>
    </w:p>
    <w:p w14:paraId="25EAD2B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采购人、采购代理机构根据双方签订的代理协议约定，依法对投标人的资格进行审查。合格投标人不足3家的，不得评标。</w:t>
      </w:r>
    </w:p>
    <w:p w14:paraId="6821466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color w:val="auto"/>
          <w:sz w:val="21"/>
          <w:szCs w:val="21"/>
          <w:highlight w:val="none"/>
        </w:rPr>
      </w:pPr>
    </w:p>
    <w:p w14:paraId="40FEF77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六、评  标</w:t>
      </w:r>
      <w:bookmarkEnd w:id="94"/>
      <w:bookmarkEnd w:id="95"/>
    </w:p>
    <w:p w14:paraId="2D9F95C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b/>
          <w:color w:val="auto"/>
          <w:sz w:val="21"/>
          <w:szCs w:val="21"/>
          <w:highlight w:val="none"/>
        </w:rPr>
      </w:pPr>
    </w:p>
    <w:p w14:paraId="37B992B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（一）组建评标委员会</w:t>
      </w:r>
    </w:p>
    <w:p w14:paraId="4C0FBB6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本招标采购项目的评标委员会由采购人代表和</w:t>
      </w:r>
      <w:r>
        <w:rPr>
          <w:rFonts w:hint="eastAsia" w:ascii="宋体" w:hAnsi="宋体" w:eastAsia="宋体" w:cs="宋体"/>
          <w:color w:val="auto"/>
          <w:spacing w:val="-4"/>
          <w:sz w:val="21"/>
          <w:szCs w:val="21"/>
          <w:highlight w:val="none"/>
        </w:rPr>
        <w:t>评审专家</w:t>
      </w:r>
      <w:r>
        <w:rPr>
          <w:rFonts w:hint="eastAsia" w:ascii="宋体" w:hAnsi="宋体" w:eastAsia="宋体" w:cs="宋体"/>
          <w:color w:val="auto"/>
          <w:sz w:val="21"/>
          <w:szCs w:val="21"/>
          <w:highlight w:val="none"/>
        </w:rPr>
        <w:t>组成，成员人数应当为</w:t>
      </w:r>
      <w:r>
        <w:rPr>
          <w:rFonts w:hint="eastAsia" w:ascii="宋体" w:hAnsi="宋体" w:cs="宋体"/>
          <w:color w:val="auto"/>
          <w:sz w:val="21"/>
          <w:szCs w:val="21"/>
          <w:highlight w:val="none"/>
          <w:lang w:eastAsia="zh-CN"/>
        </w:rPr>
        <w:t>七</w:t>
      </w:r>
      <w:r>
        <w:rPr>
          <w:rFonts w:hint="eastAsia" w:ascii="宋体" w:hAnsi="宋体" w:eastAsia="宋体" w:cs="宋体"/>
          <w:color w:val="auto"/>
          <w:sz w:val="21"/>
          <w:szCs w:val="21"/>
          <w:highlight w:val="none"/>
        </w:rPr>
        <w:t>人以上单数。其中</w:t>
      </w:r>
      <w:r>
        <w:rPr>
          <w:rFonts w:hint="eastAsia" w:ascii="宋体" w:hAnsi="宋体" w:eastAsia="宋体" w:cs="宋体"/>
          <w:color w:val="auto"/>
          <w:spacing w:val="-4"/>
          <w:sz w:val="21"/>
          <w:szCs w:val="21"/>
          <w:highlight w:val="none"/>
        </w:rPr>
        <w:t>评审专家</w:t>
      </w:r>
      <w:r>
        <w:rPr>
          <w:rFonts w:hint="eastAsia" w:ascii="宋体" w:hAnsi="宋体" w:eastAsia="宋体" w:cs="宋体"/>
          <w:color w:val="auto"/>
          <w:sz w:val="21"/>
          <w:szCs w:val="21"/>
          <w:highlight w:val="none"/>
        </w:rPr>
        <w:t>不得少于成员总数的三分之二。</w:t>
      </w:r>
    </w:p>
    <w:p w14:paraId="5FB0C1D6">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（二）评标的方式</w:t>
      </w:r>
    </w:p>
    <w:p w14:paraId="5A494A4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本项目采用不公开方式评标，评标的依据为招标文件和投标文件。</w:t>
      </w:r>
    </w:p>
    <w:p w14:paraId="076A67D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（三）评标程序</w:t>
      </w:r>
    </w:p>
    <w:p w14:paraId="36F4ADA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实质审查与比较</w:t>
      </w:r>
    </w:p>
    <w:p w14:paraId="5090F53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（1）评标委员会审查、评价投标文件是否符合招标文件的商务、技术等实质性要求。</w:t>
      </w:r>
    </w:p>
    <w:p w14:paraId="21CDB3C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（2）评标委员会对投标文件进行评价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如有疑问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将以电子询标函的形式要求投标人在线对投标文件有关事项作出澄清或者说明。投标人向评标委员会澄清或者说明有关问题</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并最终以盖章的电子文件进行回复。</w:t>
      </w:r>
    </w:p>
    <w:p w14:paraId="4B58013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投标人代表超过规定时间或者拒绝澄清或者澄清的内容改变了投标文件的实质性内容的，评标委员会有权视该投标文件无效。</w:t>
      </w:r>
    </w:p>
    <w:p w14:paraId="0BB26FB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（3）各投标人的技术得分为所有评委的有效评分的算术平均数，由指定专人进行计算复核。</w:t>
      </w:r>
    </w:p>
    <w:p w14:paraId="1BA0F8A2">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（4）采购代理机构工作人员协助评标委员会根据本项目的评分标准计算各投标人的商务报价得分。</w:t>
      </w:r>
    </w:p>
    <w:p w14:paraId="109D7A0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（5）评标委员会完成评标后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由广西政府采购云平台系统对各部分得分汇总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计算出本项目最终得分、评标价等。评标委员会按推荐原则推荐中标候选人同时形成评标报告。评标委员会应当在评标报告上签字，对自己的评标意见承担法律责任。对评标过程中需要共同认定的事项存在争议的，应当按照少数服从多数的原则</w:t>
      </w:r>
      <w:r>
        <w:rPr>
          <w:rFonts w:hint="eastAsia" w:ascii="宋体" w:hAnsi="宋体" w:eastAsia="宋体" w:cs="宋体"/>
          <w:color w:val="auto"/>
          <w:sz w:val="21"/>
          <w:szCs w:val="21"/>
          <w:highlight w:val="none"/>
          <w:lang w:eastAsia="zh-CN"/>
        </w:rPr>
        <w:t>作出</w:t>
      </w:r>
      <w:r>
        <w:rPr>
          <w:rFonts w:hint="eastAsia" w:ascii="宋体" w:hAnsi="宋体" w:eastAsia="宋体" w:cs="宋体"/>
          <w:color w:val="auto"/>
          <w:sz w:val="21"/>
          <w:szCs w:val="21"/>
          <w:highlight w:val="none"/>
        </w:rPr>
        <w:t>结论。持不同意见的评标委员会应当在评标报告上签署不同意见及理由，否则视为同意评标报告。</w:t>
      </w:r>
    </w:p>
    <w:p w14:paraId="534D541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（四）澄清问题的形式</w:t>
      </w:r>
    </w:p>
    <w:p w14:paraId="04B186C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14:paraId="6EECA6F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（五）错误修正</w:t>
      </w:r>
    </w:p>
    <w:p w14:paraId="448B9C1B">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投标文件如果出现计算或表达上的错误，修正错误的原则如下：</w:t>
      </w:r>
    </w:p>
    <w:p w14:paraId="1BD8AB20">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1.投标文件中开标一览表（报价表）内容与投标文件中相应内容不一致的，以开标一览表（报价表）为准；</w:t>
      </w:r>
    </w:p>
    <w:p w14:paraId="2F6E5C6A">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2.大写金额和小写金额不一致的，以大写金额为准；</w:t>
      </w:r>
    </w:p>
    <w:p w14:paraId="0D8A9C5D">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3.单价金额小数点或者百分比有明显错位的，以开标一览表的总价为准，并修改单价；</w:t>
      </w:r>
    </w:p>
    <w:p w14:paraId="717FDEC6">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4.总价金额与按单价汇总金额不一致的，以单价金额计算结果为准。</w:t>
      </w:r>
    </w:p>
    <w:p w14:paraId="12385782">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5.对不同文字文本投标文件的解释发生异议的，以中文文本为准。</w:t>
      </w:r>
    </w:p>
    <w:p w14:paraId="1DB1A41A">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同时出现两种以上不一致的，按照前款规定的顺序修正。</w:t>
      </w:r>
    </w:p>
    <w:p w14:paraId="36D3AA2E">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lang w:val="en-US" w:eastAsia="zh-CN"/>
        </w:rPr>
        <w:t>按上述修正错误的原则及方法调整或修正投标文件的投标报价，投标人须在线同意并签字确认，调整后的投标报价对投标人具有约束作用。如果投标人不接受修正后的报价，则其投标将作为无效投标处理。</w:t>
      </w:r>
    </w:p>
    <w:p w14:paraId="3871B335">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（六）评委表决</w:t>
      </w:r>
    </w:p>
    <w:p w14:paraId="4DC6A9F3">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在评标过程中出现法律法规和招标文件均没有明确规定的情形时，由评标委员会现场协商解决，协商不一致的，由全体评委投票表决，以得票率二分之一以上专家的意见为准。</w:t>
      </w:r>
    </w:p>
    <w:p w14:paraId="03A1BF1B">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（七）评标原则和评标方法</w:t>
      </w:r>
    </w:p>
    <w:p w14:paraId="24D77A7F">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013D03F0">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2.评标方法。本项目评标方法是</w:t>
      </w:r>
      <w:r>
        <w:rPr>
          <w:rFonts w:hint="eastAsia" w:hAnsi="宋体" w:eastAsia="宋体" w:cs="宋体"/>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rPr>
        <w:t>综合评分法</w:t>
      </w:r>
      <w:r>
        <w:rPr>
          <w:rFonts w:hint="eastAsia" w:hAnsi="宋体" w:eastAsia="宋体" w:cs="宋体"/>
          <w:b/>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，具体评标内容及评分标准等详见第四章：评标方法及评分标准。</w:t>
      </w:r>
    </w:p>
    <w:p w14:paraId="7AFED835">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（八）评标过程的监控</w:t>
      </w:r>
    </w:p>
    <w:p w14:paraId="42E0C455">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本项目评标过程实行全程录音、录像监控，投标人在评标过程中所进行的试图影响评标结果的不公正活动，可能导致其投标被拒绝。</w:t>
      </w:r>
      <w:bookmarkStart w:id="96" w:name="_Toc254970687"/>
      <w:bookmarkStart w:id="97" w:name="_Toc254970546"/>
    </w:p>
    <w:p w14:paraId="4206915F">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p>
    <w:p w14:paraId="68A95785">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七</w:t>
      </w:r>
      <w:r>
        <w:rPr>
          <w:rFonts w:hint="eastAsia" w:ascii="宋体" w:hAnsi="宋体" w:eastAsia="宋体" w:cs="宋体"/>
          <w:b/>
          <w:color w:val="auto"/>
          <w:sz w:val="21"/>
          <w:szCs w:val="21"/>
          <w:highlight w:val="none"/>
        </w:rPr>
        <w:t>、评标结果</w:t>
      </w:r>
      <w:bookmarkEnd w:id="96"/>
      <w:bookmarkEnd w:id="97"/>
    </w:p>
    <w:p w14:paraId="605E2E45">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（一）本采购代理机构将在评标结束后2个工作日内将评标报告送采购人，采购人在5个工作日内按照评标报告中推荐的中标候选人顺序确定中标人。采购人也可以事先授权评标委员会直接确定中标人。</w:t>
      </w:r>
    </w:p>
    <w:p w14:paraId="28C1650E">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（二）中标人确定后，采购代理机构在财政部门指定的政府采购信息发布媒体发布中标公告。</w:t>
      </w:r>
    </w:p>
    <w:p w14:paraId="687B5D4D">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（三）在发布中标公告的同时，采购代理机构向中标人发出中标通知书。</w:t>
      </w:r>
    </w:p>
    <w:p w14:paraId="3A95B496">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（四）投标人认为招标文件、招标过程和中标结果使自己的权益受到损害的，可以在知道或者应知其权益受到损害之日起七个工作日内，以书面形式向采购代理机构提出质疑，并及时索要书面回执。</w:t>
      </w:r>
    </w:p>
    <w:p w14:paraId="06DD7593">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（五）采购代理机构应当按照有关规定就采购人委托授权范围内的事项在收到投标人的书面质疑后七个工作日内</w:t>
      </w:r>
      <w:r>
        <w:rPr>
          <w:rFonts w:hint="eastAsia" w:ascii="宋体" w:hAnsi="宋体" w:eastAsia="宋体" w:cs="宋体"/>
          <w:color w:val="auto"/>
          <w:sz w:val="21"/>
          <w:szCs w:val="21"/>
          <w:highlight w:val="none"/>
          <w:lang w:eastAsia="zh-CN"/>
        </w:rPr>
        <w:t>作出</w:t>
      </w:r>
      <w:r>
        <w:rPr>
          <w:rFonts w:hint="eastAsia" w:ascii="宋体" w:hAnsi="宋体" w:eastAsia="宋体" w:cs="宋体"/>
          <w:color w:val="auto"/>
          <w:sz w:val="21"/>
          <w:szCs w:val="21"/>
          <w:highlight w:val="none"/>
        </w:rPr>
        <w:t>答复，但答复的内容不得涉及商业秘密。</w:t>
      </w:r>
    </w:p>
    <w:p w14:paraId="36643B8B">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Cs/>
          <w:color w:val="auto"/>
          <w:sz w:val="21"/>
          <w:szCs w:val="21"/>
          <w:highlight w:val="none"/>
        </w:rPr>
      </w:pPr>
    </w:p>
    <w:p w14:paraId="5B1FBF50">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八</w:t>
      </w:r>
      <w:r>
        <w:rPr>
          <w:rFonts w:hint="eastAsia" w:ascii="宋体" w:hAnsi="宋体" w:eastAsia="宋体" w:cs="宋体"/>
          <w:b/>
          <w:color w:val="auto"/>
          <w:sz w:val="21"/>
          <w:szCs w:val="21"/>
          <w:highlight w:val="none"/>
        </w:rPr>
        <w:t>、签订合同</w:t>
      </w:r>
    </w:p>
    <w:p w14:paraId="71E9DEF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（一）合同授予标准</w:t>
      </w:r>
    </w:p>
    <w:p w14:paraId="7858597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合同将授予被确定投标文件满足招标文件全部实质性要求，具备履行合同能力，评审得分最高，综合评分排名第一的供应商。</w:t>
      </w:r>
    </w:p>
    <w:p w14:paraId="3158FE80">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（二）履约保证金</w:t>
      </w:r>
    </w:p>
    <w:p w14:paraId="44BD4CE0">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详见第二章“招标项目采购需求”中</w:t>
      </w:r>
      <w:r>
        <w:rPr>
          <w:rFonts w:hint="eastAsia" w:ascii="宋体" w:hAnsi="宋体" w:eastAsia="宋体" w:cs="宋体"/>
          <w:b/>
          <w:color w:val="auto"/>
          <w:sz w:val="21"/>
          <w:szCs w:val="21"/>
          <w:highlight w:val="none"/>
        </w:rPr>
        <w:t>商务要求表</w:t>
      </w:r>
      <w:r>
        <w:rPr>
          <w:rFonts w:hint="eastAsia" w:ascii="宋体" w:hAnsi="宋体" w:eastAsia="宋体" w:cs="宋体"/>
          <w:b/>
          <w:color w:val="auto"/>
          <w:sz w:val="21"/>
          <w:szCs w:val="21"/>
          <w:highlight w:val="none"/>
          <w:lang w:val="en-US" w:eastAsia="zh-CN"/>
        </w:rPr>
        <w:t>中“履约保证金”内容</w:t>
      </w:r>
      <w:r>
        <w:rPr>
          <w:rFonts w:hint="eastAsia" w:ascii="宋体" w:hAnsi="宋体" w:eastAsia="宋体" w:cs="宋体"/>
          <w:color w:val="auto"/>
          <w:sz w:val="21"/>
          <w:szCs w:val="21"/>
          <w:highlight w:val="none"/>
        </w:rPr>
        <w:t>。</w:t>
      </w:r>
    </w:p>
    <w:p w14:paraId="63DAE2B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（三）签订合同</w:t>
      </w:r>
    </w:p>
    <w:p w14:paraId="74850588">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（1）投标人接到中标通知书后，应按中标通知书规定的时间、地点与采购人签订合同。中标人无正当理由不得放弃中标。</w:t>
      </w:r>
    </w:p>
    <w:p w14:paraId="2F2C98F5">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（2）如中标人不按中标通知书的规定签订合同，则按中标人违约处理，采购代理机构将没收中标人投标的全部投标保证金。</w:t>
      </w:r>
    </w:p>
    <w:p w14:paraId="29DB8DAD">
      <w:pPr>
        <w:pStyle w:val="20"/>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（3）中标人拒绝与采购人签订合同或因不可抗力或者自身原因不能履行采购合同的，采购人可以与中标人之后排名第一的中标候选人签订采购合同，以此类推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也可以重新招标。中标人放弃中标项目，拒绝与采购人签订合同的，其投标保证金将不予退还，并上缴国库，给采购人造成损失的，还应当赔偿损失，并作为不良行为记录在案。</w:t>
      </w:r>
    </w:p>
    <w:p w14:paraId="50D0E22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p>
    <w:p w14:paraId="780B90C3">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九</w:t>
      </w:r>
      <w:r>
        <w:rPr>
          <w:rFonts w:hint="eastAsia" w:ascii="宋体" w:hAnsi="宋体" w:eastAsia="宋体" w:cs="宋体"/>
          <w:b/>
          <w:color w:val="auto"/>
          <w:sz w:val="21"/>
          <w:szCs w:val="21"/>
          <w:highlight w:val="none"/>
        </w:rPr>
        <w:t>、其他事项</w:t>
      </w:r>
    </w:p>
    <w:p w14:paraId="3C2E0CC6">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（一）中标服务费</w:t>
      </w:r>
    </w:p>
    <w:p w14:paraId="48BF7596">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（1）采购代理机构按（桂价费〔2011〕55号）的收费标准，按差额定率累进法计取中标服务费。发布中标结果公告后，中标人须向广西国力招标有限公司一次付清中标服务费。</w:t>
      </w:r>
      <w:bookmarkStart w:id="98" w:name="_Toc254970548"/>
      <w:bookmarkStart w:id="99" w:name="_Toc254970689"/>
    </w:p>
    <w:p w14:paraId="627E467A">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（2）代理服务收费标准：</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02CD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noWrap w:val="0"/>
            <w:vAlign w:val="top"/>
          </w:tcPr>
          <w:p w14:paraId="0A94DED3">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费率</w:t>
            </w:r>
          </w:p>
          <w:p w14:paraId="2BEF207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中标金额</w:t>
            </w:r>
          </w:p>
        </w:tc>
        <w:tc>
          <w:tcPr>
            <w:tcW w:w="1659" w:type="dxa"/>
            <w:noWrap w:val="0"/>
            <w:vAlign w:val="center"/>
          </w:tcPr>
          <w:p w14:paraId="013D3D5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货物招标</w:t>
            </w:r>
          </w:p>
        </w:tc>
        <w:tc>
          <w:tcPr>
            <w:tcW w:w="1687" w:type="dxa"/>
            <w:noWrap w:val="0"/>
            <w:vAlign w:val="center"/>
          </w:tcPr>
          <w:p w14:paraId="7EAFE53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服务招标</w:t>
            </w:r>
          </w:p>
        </w:tc>
        <w:tc>
          <w:tcPr>
            <w:tcW w:w="1659" w:type="dxa"/>
            <w:noWrap w:val="0"/>
            <w:vAlign w:val="center"/>
          </w:tcPr>
          <w:p w14:paraId="2B28A93E">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工程招标</w:t>
            </w:r>
          </w:p>
        </w:tc>
      </w:tr>
      <w:tr w14:paraId="4A21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B59E142">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100万元以下</w:t>
            </w:r>
          </w:p>
        </w:tc>
        <w:tc>
          <w:tcPr>
            <w:tcW w:w="1659" w:type="dxa"/>
            <w:noWrap w:val="0"/>
            <w:vAlign w:val="top"/>
          </w:tcPr>
          <w:p w14:paraId="2912EA8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1.5%</w:t>
            </w:r>
          </w:p>
        </w:tc>
        <w:tc>
          <w:tcPr>
            <w:tcW w:w="1687" w:type="dxa"/>
            <w:noWrap w:val="0"/>
            <w:vAlign w:val="top"/>
          </w:tcPr>
          <w:p w14:paraId="07B90F2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1.5%</w:t>
            </w:r>
          </w:p>
        </w:tc>
        <w:tc>
          <w:tcPr>
            <w:tcW w:w="1659" w:type="dxa"/>
            <w:noWrap w:val="0"/>
            <w:vAlign w:val="top"/>
          </w:tcPr>
          <w:p w14:paraId="598F8BA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1.0%</w:t>
            </w:r>
          </w:p>
        </w:tc>
      </w:tr>
      <w:tr w14:paraId="6E20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663B523">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100万～500万</w:t>
            </w:r>
            <w:r>
              <w:rPr>
                <w:rFonts w:hint="eastAsia" w:ascii="宋体" w:hAnsi="宋体" w:eastAsia="宋体" w:cs="宋体"/>
                <w:color w:val="auto"/>
                <w:sz w:val="21"/>
                <w:szCs w:val="21"/>
                <w:highlight w:val="none"/>
              </w:rPr>
              <w:t>元</w:t>
            </w:r>
          </w:p>
        </w:tc>
        <w:tc>
          <w:tcPr>
            <w:tcW w:w="1659" w:type="dxa"/>
            <w:noWrap w:val="0"/>
            <w:vAlign w:val="top"/>
          </w:tcPr>
          <w:p w14:paraId="51EF94F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1.1%</w:t>
            </w:r>
          </w:p>
        </w:tc>
        <w:tc>
          <w:tcPr>
            <w:tcW w:w="1687" w:type="dxa"/>
            <w:noWrap w:val="0"/>
            <w:vAlign w:val="top"/>
          </w:tcPr>
          <w:p w14:paraId="7135270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0.8%</w:t>
            </w:r>
          </w:p>
        </w:tc>
        <w:tc>
          <w:tcPr>
            <w:tcW w:w="1659" w:type="dxa"/>
            <w:noWrap w:val="0"/>
            <w:vAlign w:val="top"/>
          </w:tcPr>
          <w:p w14:paraId="6D93D74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0.7%</w:t>
            </w:r>
          </w:p>
        </w:tc>
      </w:tr>
      <w:tr w14:paraId="0E50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81F7A9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500万～1000万</w:t>
            </w:r>
            <w:r>
              <w:rPr>
                <w:rFonts w:hint="eastAsia" w:ascii="宋体" w:hAnsi="宋体" w:eastAsia="宋体" w:cs="宋体"/>
                <w:color w:val="auto"/>
                <w:sz w:val="21"/>
                <w:szCs w:val="21"/>
                <w:highlight w:val="none"/>
              </w:rPr>
              <w:t>元</w:t>
            </w:r>
          </w:p>
        </w:tc>
        <w:tc>
          <w:tcPr>
            <w:tcW w:w="1659" w:type="dxa"/>
            <w:noWrap w:val="0"/>
            <w:vAlign w:val="top"/>
          </w:tcPr>
          <w:p w14:paraId="4E0C5709">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0.8%</w:t>
            </w:r>
          </w:p>
        </w:tc>
        <w:tc>
          <w:tcPr>
            <w:tcW w:w="1687" w:type="dxa"/>
            <w:noWrap w:val="0"/>
            <w:vAlign w:val="top"/>
          </w:tcPr>
          <w:p w14:paraId="74F26966">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0.45%</w:t>
            </w:r>
          </w:p>
        </w:tc>
        <w:tc>
          <w:tcPr>
            <w:tcW w:w="1659" w:type="dxa"/>
            <w:noWrap w:val="0"/>
            <w:vAlign w:val="top"/>
          </w:tcPr>
          <w:p w14:paraId="7BA7AFE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0.55%</w:t>
            </w:r>
          </w:p>
        </w:tc>
      </w:tr>
      <w:tr w14:paraId="0796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AEDC8DA">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1000万～5000万</w:t>
            </w:r>
            <w:r>
              <w:rPr>
                <w:rFonts w:hint="eastAsia" w:ascii="宋体" w:hAnsi="宋体" w:eastAsia="宋体" w:cs="宋体"/>
                <w:color w:val="auto"/>
                <w:sz w:val="21"/>
                <w:szCs w:val="21"/>
                <w:highlight w:val="none"/>
              </w:rPr>
              <w:t>元</w:t>
            </w:r>
          </w:p>
        </w:tc>
        <w:tc>
          <w:tcPr>
            <w:tcW w:w="1659" w:type="dxa"/>
            <w:noWrap w:val="0"/>
            <w:vAlign w:val="top"/>
          </w:tcPr>
          <w:p w14:paraId="2658CA9C">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0.5%</w:t>
            </w:r>
          </w:p>
        </w:tc>
        <w:tc>
          <w:tcPr>
            <w:tcW w:w="1687" w:type="dxa"/>
            <w:noWrap w:val="0"/>
            <w:vAlign w:val="top"/>
          </w:tcPr>
          <w:p w14:paraId="3F270D3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0.25%</w:t>
            </w:r>
          </w:p>
        </w:tc>
        <w:tc>
          <w:tcPr>
            <w:tcW w:w="1659" w:type="dxa"/>
            <w:noWrap w:val="0"/>
            <w:vAlign w:val="top"/>
          </w:tcPr>
          <w:p w14:paraId="4E6BB1B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0.35%</w:t>
            </w:r>
          </w:p>
        </w:tc>
      </w:tr>
      <w:tr w14:paraId="6D7A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AAF996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5000万元～1亿元</w:t>
            </w:r>
          </w:p>
        </w:tc>
        <w:tc>
          <w:tcPr>
            <w:tcW w:w="1659" w:type="dxa"/>
            <w:noWrap w:val="0"/>
            <w:vAlign w:val="top"/>
          </w:tcPr>
          <w:p w14:paraId="407BC7A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0.25%</w:t>
            </w:r>
          </w:p>
        </w:tc>
        <w:tc>
          <w:tcPr>
            <w:tcW w:w="1687" w:type="dxa"/>
            <w:noWrap w:val="0"/>
            <w:vAlign w:val="top"/>
          </w:tcPr>
          <w:p w14:paraId="6FB1856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0.1%</w:t>
            </w:r>
          </w:p>
        </w:tc>
        <w:tc>
          <w:tcPr>
            <w:tcW w:w="1659" w:type="dxa"/>
            <w:noWrap w:val="0"/>
            <w:vAlign w:val="top"/>
          </w:tcPr>
          <w:p w14:paraId="0B74E98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0.2%</w:t>
            </w:r>
          </w:p>
        </w:tc>
      </w:tr>
      <w:tr w14:paraId="0170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1E99D4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1亿～5亿</w:t>
            </w:r>
            <w:r>
              <w:rPr>
                <w:rFonts w:hint="eastAsia" w:ascii="宋体" w:hAnsi="宋体" w:eastAsia="宋体" w:cs="宋体"/>
                <w:color w:val="auto"/>
                <w:sz w:val="21"/>
                <w:szCs w:val="21"/>
                <w:highlight w:val="none"/>
              </w:rPr>
              <w:t>元</w:t>
            </w:r>
          </w:p>
        </w:tc>
        <w:tc>
          <w:tcPr>
            <w:tcW w:w="1659" w:type="dxa"/>
            <w:noWrap w:val="0"/>
            <w:vAlign w:val="top"/>
          </w:tcPr>
          <w:p w14:paraId="4201FF8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0.05%</w:t>
            </w:r>
          </w:p>
        </w:tc>
        <w:tc>
          <w:tcPr>
            <w:tcW w:w="1687" w:type="dxa"/>
            <w:noWrap w:val="0"/>
            <w:vAlign w:val="top"/>
          </w:tcPr>
          <w:p w14:paraId="71A35C5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0.05%</w:t>
            </w:r>
          </w:p>
        </w:tc>
        <w:tc>
          <w:tcPr>
            <w:tcW w:w="1659" w:type="dxa"/>
            <w:noWrap w:val="0"/>
            <w:vAlign w:val="top"/>
          </w:tcPr>
          <w:p w14:paraId="40FFDE9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0.05%</w:t>
            </w:r>
          </w:p>
        </w:tc>
      </w:tr>
      <w:tr w14:paraId="3C3A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9EF532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5亿～10亿</w:t>
            </w:r>
            <w:r>
              <w:rPr>
                <w:rFonts w:hint="eastAsia" w:ascii="宋体" w:hAnsi="宋体" w:eastAsia="宋体" w:cs="宋体"/>
                <w:color w:val="auto"/>
                <w:sz w:val="21"/>
                <w:szCs w:val="21"/>
                <w:highlight w:val="none"/>
              </w:rPr>
              <w:t>元</w:t>
            </w:r>
          </w:p>
        </w:tc>
        <w:tc>
          <w:tcPr>
            <w:tcW w:w="1659" w:type="dxa"/>
            <w:noWrap w:val="0"/>
            <w:vAlign w:val="top"/>
          </w:tcPr>
          <w:p w14:paraId="296A043F">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0.035%</w:t>
            </w:r>
          </w:p>
        </w:tc>
        <w:tc>
          <w:tcPr>
            <w:tcW w:w="1687" w:type="dxa"/>
            <w:noWrap w:val="0"/>
            <w:vAlign w:val="top"/>
          </w:tcPr>
          <w:p w14:paraId="44DA244B">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0.035%</w:t>
            </w:r>
          </w:p>
        </w:tc>
        <w:tc>
          <w:tcPr>
            <w:tcW w:w="1659" w:type="dxa"/>
            <w:noWrap w:val="0"/>
            <w:vAlign w:val="top"/>
          </w:tcPr>
          <w:p w14:paraId="5E1D1F8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0.035%</w:t>
            </w:r>
          </w:p>
        </w:tc>
      </w:tr>
      <w:tr w14:paraId="5539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0CB08AD">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10亿～50亿</w:t>
            </w:r>
            <w:r>
              <w:rPr>
                <w:rFonts w:hint="eastAsia" w:ascii="宋体" w:hAnsi="宋体" w:eastAsia="宋体" w:cs="宋体"/>
                <w:color w:val="auto"/>
                <w:sz w:val="21"/>
                <w:szCs w:val="21"/>
                <w:highlight w:val="none"/>
              </w:rPr>
              <w:t>元</w:t>
            </w:r>
          </w:p>
        </w:tc>
        <w:tc>
          <w:tcPr>
            <w:tcW w:w="1659" w:type="dxa"/>
            <w:noWrap w:val="0"/>
            <w:vAlign w:val="top"/>
          </w:tcPr>
          <w:p w14:paraId="0B9B2217">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0.008%</w:t>
            </w:r>
          </w:p>
        </w:tc>
        <w:tc>
          <w:tcPr>
            <w:tcW w:w="1687" w:type="dxa"/>
            <w:noWrap w:val="0"/>
            <w:vAlign w:val="top"/>
          </w:tcPr>
          <w:p w14:paraId="4855180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0.008%</w:t>
            </w:r>
          </w:p>
        </w:tc>
        <w:tc>
          <w:tcPr>
            <w:tcW w:w="1659" w:type="dxa"/>
            <w:noWrap w:val="0"/>
            <w:vAlign w:val="top"/>
          </w:tcPr>
          <w:p w14:paraId="71B0FB55">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0.008%</w:t>
            </w:r>
          </w:p>
        </w:tc>
      </w:tr>
      <w:tr w14:paraId="7DA6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D5966A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50亿～100亿</w:t>
            </w:r>
            <w:r>
              <w:rPr>
                <w:rFonts w:hint="eastAsia" w:ascii="宋体" w:hAnsi="宋体" w:eastAsia="宋体" w:cs="宋体"/>
                <w:color w:val="auto"/>
                <w:sz w:val="21"/>
                <w:szCs w:val="21"/>
                <w:highlight w:val="none"/>
              </w:rPr>
              <w:t>元</w:t>
            </w:r>
          </w:p>
        </w:tc>
        <w:tc>
          <w:tcPr>
            <w:tcW w:w="1659" w:type="dxa"/>
            <w:noWrap w:val="0"/>
            <w:vAlign w:val="top"/>
          </w:tcPr>
          <w:p w14:paraId="45CBD73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0.006%</w:t>
            </w:r>
          </w:p>
        </w:tc>
        <w:tc>
          <w:tcPr>
            <w:tcW w:w="1687" w:type="dxa"/>
            <w:noWrap w:val="0"/>
            <w:vAlign w:val="top"/>
          </w:tcPr>
          <w:p w14:paraId="6BA8E738">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0.006%</w:t>
            </w:r>
          </w:p>
        </w:tc>
        <w:tc>
          <w:tcPr>
            <w:tcW w:w="1659" w:type="dxa"/>
            <w:noWrap w:val="0"/>
            <w:vAlign w:val="top"/>
          </w:tcPr>
          <w:p w14:paraId="1EF1387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0.006%</w:t>
            </w:r>
          </w:p>
        </w:tc>
      </w:tr>
      <w:tr w14:paraId="2EA2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5324CA0">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r>
              <w:rPr>
                <w:rFonts w:hint="eastAsia" w:ascii="宋体" w:hAnsi="宋体" w:eastAsia="宋体" w:cs="宋体"/>
                <w:color w:val="auto"/>
                <w:sz w:val="21"/>
                <w:szCs w:val="21"/>
                <w:highlight w:val="none"/>
                <w:lang w:eastAsia="zh-CN"/>
              </w:rPr>
              <w:t>亿元</w:t>
            </w:r>
            <w:r>
              <w:rPr>
                <w:rFonts w:hint="eastAsia" w:ascii="宋体" w:hAnsi="宋体" w:eastAsia="宋体" w:cs="宋体"/>
                <w:color w:val="auto"/>
                <w:sz w:val="21"/>
                <w:szCs w:val="21"/>
                <w:highlight w:val="none"/>
              </w:rPr>
              <w:t>以上</w:t>
            </w:r>
          </w:p>
        </w:tc>
        <w:tc>
          <w:tcPr>
            <w:tcW w:w="1659" w:type="dxa"/>
            <w:noWrap w:val="0"/>
            <w:vAlign w:val="top"/>
          </w:tcPr>
          <w:p w14:paraId="560A6A2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0.004%</w:t>
            </w:r>
          </w:p>
        </w:tc>
        <w:tc>
          <w:tcPr>
            <w:tcW w:w="1687" w:type="dxa"/>
            <w:noWrap w:val="0"/>
            <w:vAlign w:val="top"/>
          </w:tcPr>
          <w:p w14:paraId="77008923">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0.004%</w:t>
            </w:r>
          </w:p>
        </w:tc>
        <w:tc>
          <w:tcPr>
            <w:tcW w:w="1659" w:type="dxa"/>
            <w:noWrap w:val="0"/>
            <w:vAlign w:val="top"/>
          </w:tcPr>
          <w:p w14:paraId="641FF4C1">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0.004%</w:t>
            </w:r>
          </w:p>
        </w:tc>
      </w:tr>
    </w:tbl>
    <w:p w14:paraId="0E541A9D">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r>
        <w:rPr>
          <w:rFonts w:hint="eastAsia"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代理服务收费按差额定率累进法计算。</w:t>
      </w:r>
    </w:p>
    <w:p w14:paraId="6D7B740A">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（3）服务费指定银行账户：</w:t>
      </w:r>
    </w:p>
    <w:p w14:paraId="470459AB">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开户名称：广西国力招标有限公司</w:t>
      </w:r>
    </w:p>
    <w:p w14:paraId="3BD1E2A2">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开户银行：广西北部湾银行股份有限公司南宁市白沙支行（网银支付可选广西北部湾银行江南支行）</w:t>
      </w:r>
    </w:p>
    <w:p w14:paraId="5309F6CC">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银行账号：800109057400039 </w:t>
      </w:r>
    </w:p>
    <w:p w14:paraId="739D146B">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银行行号：313611002051</w:t>
      </w:r>
    </w:p>
    <w:p w14:paraId="7655D877">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（4）开具代理服务费发票事宜的联系方式：0771-4915100、4915200。</w:t>
      </w:r>
    </w:p>
    <w:p w14:paraId="0AB4A8AA">
      <w:pPr>
        <w:pStyle w:val="26"/>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（二）解释权：</w:t>
      </w:r>
      <w:r>
        <w:rPr>
          <w:rFonts w:hint="eastAsia" w:ascii="宋体" w:hAnsi="宋体" w:eastAsia="宋体" w:cs="宋体"/>
          <w:color w:val="auto"/>
          <w:spacing w:val="-4"/>
          <w:sz w:val="21"/>
          <w:szCs w:val="21"/>
          <w:highlight w:val="none"/>
        </w:rPr>
        <w:t>本招标文件解释权</w:t>
      </w:r>
      <w:r>
        <w:rPr>
          <w:rFonts w:hint="eastAsia" w:hAnsi="宋体" w:eastAsia="宋体" w:cs="宋体"/>
          <w:color w:val="auto"/>
          <w:spacing w:val="-4"/>
          <w:sz w:val="21"/>
          <w:szCs w:val="21"/>
          <w:highlight w:val="none"/>
          <w:lang w:eastAsia="zh-CN"/>
        </w:rPr>
        <w:t>属于</w:t>
      </w:r>
      <w:r>
        <w:rPr>
          <w:rFonts w:hint="eastAsia" w:ascii="宋体" w:hAnsi="宋体" w:eastAsia="宋体" w:cs="宋体"/>
          <w:color w:val="auto"/>
          <w:spacing w:val="-4"/>
          <w:sz w:val="21"/>
          <w:szCs w:val="21"/>
          <w:highlight w:val="none"/>
        </w:rPr>
        <w:t>本采购代理机构。</w:t>
      </w:r>
    </w:p>
    <w:p w14:paraId="3EB186F9">
      <w:pPr>
        <w:pStyle w:val="26"/>
        <w:shd w:val="clear"/>
        <w:spacing w:line="380" w:lineRule="exact"/>
        <w:rPr>
          <w:rFonts w:hint="eastAsia"/>
          <w:color w:val="auto"/>
          <w:highlight w:val="none"/>
        </w:rPr>
      </w:pPr>
    </w:p>
    <w:p w14:paraId="63B2DA49">
      <w:pPr>
        <w:shd w:val="clear"/>
        <w:snapToGrid w:val="0"/>
        <w:rPr>
          <w:rFonts w:hint="eastAsia" w:ascii="宋体" w:hAnsi="宋体"/>
          <w:color w:val="auto"/>
          <w:kern w:val="0"/>
          <w:sz w:val="32"/>
          <w:szCs w:val="32"/>
          <w:highlight w:val="none"/>
        </w:rPr>
      </w:pPr>
      <w:r>
        <w:rPr>
          <w:rFonts w:hint="eastAsia" w:ascii="宋体"/>
          <w:color w:val="auto"/>
          <w:kern w:val="0"/>
          <w:sz w:val="20"/>
          <w:szCs w:val="21"/>
          <w:highlight w:val="none"/>
        </w:rPr>
        <w:br w:type="page"/>
      </w:r>
      <w:r>
        <w:rPr>
          <w:rFonts w:hint="eastAsia" w:ascii="宋体" w:hAnsi="宋体"/>
          <w:color w:val="auto"/>
          <w:kern w:val="0"/>
          <w:sz w:val="32"/>
          <w:szCs w:val="32"/>
          <w:highlight w:val="none"/>
        </w:rPr>
        <w:t>附件1：</w:t>
      </w:r>
    </w:p>
    <w:p w14:paraId="71CEBA13">
      <w:pPr>
        <w:widowControl/>
        <w:shd w:val="clear" w:color="auto"/>
        <w:spacing w:line="720" w:lineRule="auto"/>
        <w:jc w:val="center"/>
        <w:rPr>
          <w:rFonts w:hint="eastAsia" w:ascii="宋体" w:hAnsi="宋体" w:cs="宋体"/>
          <w:color w:val="auto"/>
          <w:kern w:val="0"/>
          <w:sz w:val="32"/>
          <w:szCs w:val="32"/>
          <w:highlight w:val="none"/>
        </w:rPr>
      </w:pPr>
      <w:r>
        <w:rPr>
          <w:rFonts w:hint="eastAsia" w:ascii="宋体" w:hAnsi="宋体" w:cs="黑体"/>
          <w:color w:val="auto"/>
          <w:kern w:val="0"/>
          <w:sz w:val="32"/>
          <w:szCs w:val="32"/>
          <w:highlight w:val="none"/>
        </w:rPr>
        <w:t>广西壮族自治区政府采购项目合同验收书</w:t>
      </w:r>
      <w:r>
        <w:rPr>
          <w:rFonts w:hint="eastAsia" w:ascii="宋体" w:hAnsi="宋体" w:cs="宋体"/>
          <w:color w:val="auto"/>
          <w:kern w:val="0"/>
          <w:sz w:val="32"/>
          <w:szCs w:val="32"/>
          <w:highlight w:val="none"/>
        </w:rPr>
        <w:t>（格式）</w:t>
      </w:r>
    </w:p>
    <w:p w14:paraId="1506660C">
      <w:pPr>
        <w:widowControl/>
        <w:shd w:val="clear" w:color="auto"/>
        <w:snapToGrid w:val="0"/>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rPr>
        <w:t>分标中标（或成交）供应商（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提供的货物（或工程、服务）进行了验收，验收情况如下：</w:t>
      </w:r>
    </w:p>
    <w:tbl>
      <w:tblPr>
        <w:tblStyle w:val="50"/>
        <w:tblW w:w="0" w:type="auto"/>
        <w:jc w:val="center"/>
        <w:tblLayout w:type="fixed"/>
        <w:tblCellMar>
          <w:top w:w="0" w:type="dxa"/>
          <w:left w:w="0" w:type="dxa"/>
          <w:bottom w:w="0" w:type="dxa"/>
          <w:right w:w="0" w:type="dxa"/>
        </w:tblCellMar>
      </w:tblPr>
      <w:tblGrid>
        <w:gridCol w:w="1497"/>
        <w:gridCol w:w="2159"/>
        <w:gridCol w:w="897"/>
        <w:gridCol w:w="114"/>
        <w:gridCol w:w="2251"/>
        <w:gridCol w:w="200"/>
        <w:gridCol w:w="770"/>
        <w:gridCol w:w="1606"/>
      </w:tblGrid>
      <w:tr w14:paraId="22BF825B">
        <w:tblPrEx>
          <w:tblCellMar>
            <w:top w:w="0" w:type="dxa"/>
            <w:left w:w="0" w:type="dxa"/>
            <w:bottom w:w="0" w:type="dxa"/>
            <w:right w:w="0" w:type="dxa"/>
          </w:tblCellMar>
        </w:tblPrEx>
        <w:trPr>
          <w:trHeight w:val="523" w:hRule="atLeast"/>
          <w:jc w:val="center"/>
        </w:trPr>
        <w:tc>
          <w:tcPr>
            <w:tcW w:w="3656" w:type="dxa"/>
            <w:gridSpan w:val="2"/>
            <w:tcBorders>
              <w:top w:val="single" w:color="auto" w:sz="8" w:space="0"/>
              <w:left w:val="single" w:color="auto" w:sz="8" w:space="0"/>
              <w:bottom w:val="single" w:color="auto" w:sz="8" w:space="0"/>
              <w:right w:val="single" w:color="auto" w:sz="8" w:space="0"/>
            </w:tcBorders>
            <w:noWrap w:val="0"/>
            <w:vAlign w:val="center"/>
          </w:tcPr>
          <w:p w14:paraId="4BD83AEA">
            <w:pPr>
              <w:widowControl/>
              <w:shd w:val="clear"/>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ascii="宋体" w:hAnsi="宋体" w:cs="宋体"/>
                <w:color w:val="auto"/>
                <w:kern w:val="0"/>
                <w:szCs w:val="21"/>
                <w:highlight w:val="none"/>
              </w:rPr>
              <w:t>验收方式：</w:t>
            </w:r>
          </w:p>
        </w:tc>
        <w:tc>
          <w:tcPr>
            <w:tcW w:w="5838" w:type="dxa"/>
            <w:gridSpan w:val="6"/>
            <w:tcBorders>
              <w:top w:val="single" w:color="auto" w:sz="8" w:space="0"/>
              <w:left w:val="nil"/>
              <w:bottom w:val="single" w:color="auto" w:sz="8" w:space="0"/>
              <w:right w:val="single" w:color="auto" w:sz="8" w:space="0"/>
            </w:tcBorders>
            <w:noWrap w:val="0"/>
            <w:vAlign w:val="center"/>
          </w:tcPr>
          <w:p w14:paraId="7DBF4DF8">
            <w:pPr>
              <w:widowControl/>
              <w:shd w:val="clear"/>
              <w:snapToGrid w:val="0"/>
              <w:spacing w:before="100" w:beforeAutospacing="1" w:after="100" w:afterAutospacing="1" w:line="320" w:lineRule="atLeast"/>
              <w:ind w:firstLine="480"/>
              <w:jc w:val="center"/>
              <w:rPr>
                <w:rFonts w:ascii="宋体" w:hAnsi="宋体" w:cs="宋体"/>
                <w:color w:val="auto"/>
                <w:kern w:val="0"/>
                <w:szCs w:val="21"/>
                <w:highlight w:val="none"/>
              </w:rPr>
            </w:pPr>
            <w:r>
              <w:rPr>
                <w:rFonts w:ascii="宋体" w:hAnsi="宋体" w:cs="宋体"/>
                <w:color w:val="auto"/>
                <w:kern w:val="0"/>
                <w:szCs w:val="21"/>
                <w:highlight w:val="none"/>
              </w:rPr>
              <w:t>□自行验收 □委托验收</w:t>
            </w:r>
          </w:p>
        </w:tc>
      </w:tr>
      <w:tr w14:paraId="446F7D5B">
        <w:tblPrEx>
          <w:tblCellMar>
            <w:top w:w="0" w:type="dxa"/>
            <w:left w:w="0" w:type="dxa"/>
            <w:bottom w:w="0" w:type="dxa"/>
            <w:right w:w="0" w:type="dxa"/>
          </w:tblCellMar>
        </w:tblPrEx>
        <w:trPr>
          <w:trHeight w:val="65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7F020F68">
            <w:pPr>
              <w:widowControl/>
              <w:shd w:val="clear"/>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序号</w:t>
            </w:r>
          </w:p>
        </w:tc>
        <w:tc>
          <w:tcPr>
            <w:tcW w:w="2159" w:type="dxa"/>
            <w:tcBorders>
              <w:top w:val="nil"/>
              <w:left w:val="nil"/>
              <w:bottom w:val="single" w:color="auto" w:sz="8" w:space="0"/>
              <w:right w:val="single" w:color="auto" w:sz="8" w:space="0"/>
            </w:tcBorders>
            <w:noWrap w:val="0"/>
            <w:vAlign w:val="center"/>
          </w:tcPr>
          <w:p w14:paraId="0D32D105">
            <w:pPr>
              <w:widowControl/>
              <w:shd w:val="clear"/>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名 称</w:t>
            </w:r>
          </w:p>
        </w:tc>
        <w:tc>
          <w:tcPr>
            <w:tcW w:w="3262" w:type="dxa"/>
            <w:gridSpan w:val="3"/>
            <w:tcBorders>
              <w:top w:val="nil"/>
              <w:left w:val="nil"/>
              <w:bottom w:val="single" w:color="auto" w:sz="8" w:space="0"/>
              <w:right w:val="single" w:color="auto" w:sz="8" w:space="0"/>
            </w:tcBorders>
            <w:noWrap w:val="0"/>
            <w:vAlign w:val="center"/>
          </w:tcPr>
          <w:p w14:paraId="31650C85">
            <w:pPr>
              <w:widowControl/>
              <w:shd w:val="clear"/>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货物型号规格、标准及配置等（或服务内容、标准）</w:t>
            </w:r>
          </w:p>
        </w:tc>
        <w:tc>
          <w:tcPr>
            <w:tcW w:w="970" w:type="dxa"/>
            <w:gridSpan w:val="2"/>
            <w:tcBorders>
              <w:top w:val="nil"/>
              <w:left w:val="nil"/>
              <w:bottom w:val="single" w:color="auto" w:sz="8" w:space="0"/>
              <w:right w:val="single" w:color="auto" w:sz="8" w:space="0"/>
            </w:tcBorders>
            <w:noWrap w:val="0"/>
            <w:vAlign w:val="center"/>
          </w:tcPr>
          <w:p w14:paraId="32248125">
            <w:pPr>
              <w:widowControl/>
              <w:shd w:val="clear"/>
              <w:snapToGrid w:val="0"/>
              <w:spacing w:before="100" w:beforeAutospacing="1" w:after="100" w:afterAutospacing="1" w:line="320" w:lineRule="atLeast"/>
              <w:jc w:val="center"/>
              <w:rPr>
                <w:rFonts w:ascii="宋体" w:hAnsi="宋体" w:cs="宋体"/>
                <w:color w:val="auto"/>
                <w:kern w:val="0"/>
                <w:szCs w:val="21"/>
                <w:highlight w:val="none"/>
              </w:rPr>
            </w:pPr>
            <w:r>
              <w:rPr>
                <w:rFonts w:ascii="宋体" w:hAnsi="宋体" w:cs="宋体"/>
                <w:color w:val="auto"/>
                <w:kern w:val="0"/>
                <w:szCs w:val="21"/>
                <w:highlight w:val="none"/>
              </w:rPr>
              <w:t>数量</w:t>
            </w:r>
          </w:p>
        </w:tc>
        <w:tc>
          <w:tcPr>
            <w:tcW w:w="1606" w:type="dxa"/>
            <w:tcBorders>
              <w:top w:val="nil"/>
              <w:left w:val="nil"/>
              <w:bottom w:val="single" w:color="auto" w:sz="8" w:space="0"/>
              <w:right w:val="single" w:color="auto" w:sz="8" w:space="0"/>
            </w:tcBorders>
            <w:noWrap w:val="0"/>
            <w:vAlign w:val="center"/>
          </w:tcPr>
          <w:p w14:paraId="1AD8C00B">
            <w:pPr>
              <w:widowControl/>
              <w:shd w:val="clear"/>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金 额</w:t>
            </w:r>
          </w:p>
        </w:tc>
      </w:tr>
      <w:tr w14:paraId="3AC83F37">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26F3000D">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0BF28EC0">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594C7197">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2C7C2162">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04F5C673">
            <w:pPr>
              <w:widowControl/>
              <w:shd w:val="clear"/>
              <w:spacing w:before="100" w:beforeAutospacing="1" w:after="100" w:afterAutospacing="1" w:line="240" w:lineRule="atLeast"/>
              <w:jc w:val="center"/>
              <w:rPr>
                <w:rFonts w:ascii="宋体" w:hAnsi="宋体" w:cs="宋体"/>
                <w:color w:val="auto"/>
                <w:kern w:val="0"/>
                <w:szCs w:val="21"/>
                <w:highlight w:val="none"/>
              </w:rPr>
            </w:pPr>
          </w:p>
        </w:tc>
      </w:tr>
      <w:tr w14:paraId="1D22241F">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32EAB7D3">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0FDDBBD2">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07E2B6B9">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2711301E">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7A933C37">
            <w:pPr>
              <w:widowControl/>
              <w:shd w:val="clear"/>
              <w:spacing w:before="100" w:beforeAutospacing="1" w:after="100" w:afterAutospacing="1" w:line="240" w:lineRule="atLeast"/>
              <w:jc w:val="center"/>
              <w:rPr>
                <w:rFonts w:ascii="宋体" w:hAnsi="宋体" w:cs="宋体"/>
                <w:color w:val="auto"/>
                <w:kern w:val="0"/>
                <w:szCs w:val="21"/>
                <w:highlight w:val="none"/>
              </w:rPr>
            </w:pPr>
          </w:p>
        </w:tc>
      </w:tr>
      <w:tr w14:paraId="2030BB8F">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3677FCA7">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63F8C100">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02563172">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341F2D31">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612DD530">
            <w:pPr>
              <w:widowControl/>
              <w:shd w:val="clear"/>
              <w:spacing w:before="100" w:beforeAutospacing="1" w:after="100" w:afterAutospacing="1" w:line="240" w:lineRule="atLeast"/>
              <w:jc w:val="center"/>
              <w:rPr>
                <w:rFonts w:ascii="宋体" w:hAnsi="宋体" w:cs="宋体"/>
                <w:color w:val="auto"/>
                <w:kern w:val="0"/>
                <w:szCs w:val="21"/>
                <w:highlight w:val="none"/>
              </w:rPr>
            </w:pPr>
          </w:p>
        </w:tc>
      </w:tr>
      <w:tr w14:paraId="7AE77867">
        <w:tblPrEx>
          <w:tblCellMar>
            <w:top w:w="0" w:type="dxa"/>
            <w:left w:w="0" w:type="dxa"/>
            <w:bottom w:w="0" w:type="dxa"/>
            <w:right w:w="0" w:type="dxa"/>
          </w:tblCellMar>
        </w:tblPrEx>
        <w:trPr>
          <w:trHeight w:val="513" w:hRule="atLeast"/>
          <w:jc w:val="center"/>
        </w:trPr>
        <w:tc>
          <w:tcPr>
            <w:tcW w:w="6918" w:type="dxa"/>
            <w:gridSpan w:val="5"/>
            <w:tcBorders>
              <w:top w:val="nil"/>
              <w:left w:val="single" w:color="auto" w:sz="8" w:space="0"/>
              <w:bottom w:val="single" w:color="auto" w:sz="8" w:space="0"/>
              <w:right w:val="single" w:color="auto" w:sz="8" w:space="0"/>
            </w:tcBorders>
            <w:noWrap w:val="0"/>
            <w:vAlign w:val="center"/>
          </w:tcPr>
          <w:p w14:paraId="16D4A252">
            <w:pPr>
              <w:widowControl/>
              <w:shd w:val="clear"/>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ascii="宋体" w:hAnsi="宋体" w:cs="宋体"/>
                <w:color w:val="auto"/>
                <w:kern w:val="0"/>
                <w:szCs w:val="21"/>
                <w:highlight w:val="none"/>
              </w:rPr>
              <w:t>合 计</w:t>
            </w:r>
          </w:p>
        </w:tc>
        <w:tc>
          <w:tcPr>
            <w:tcW w:w="970" w:type="dxa"/>
            <w:gridSpan w:val="2"/>
            <w:tcBorders>
              <w:top w:val="nil"/>
              <w:left w:val="nil"/>
              <w:bottom w:val="single" w:color="auto" w:sz="8" w:space="0"/>
              <w:right w:val="single" w:color="auto" w:sz="8" w:space="0"/>
            </w:tcBorders>
            <w:noWrap w:val="0"/>
            <w:vAlign w:val="center"/>
          </w:tcPr>
          <w:p w14:paraId="61720994">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4343D7B6">
            <w:pPr>
              <w:widowControl/>
              <w:shd w:val="clear"/>
              <w:spacing w:before="100" w:beforeAutospacing="1" w:after="100" w:afterAutospacing="1" w:line="240" w:lineRule="atLeast"/>
              <w:jc w:val="center"/>
              <w:rPr>
                <w:rFonts w:ascii="宋体" w:hAnsi="宋体" w:cs="宋体"/>
                <w:color w:val="auto"/>
                <w:kern w:val="0"/>
                <w:szCs w:val="21"/>
                <w:highlight w:val="none"/>
              </w:rPr>
            </w:pPr>
          </w:p>
        </w:tc>
      </w:tr>
      <w:tr w14:paraId="7D35B0FB">
        <w:tblPrEx>
          <w:tblCellMar>
            <w:top w:w="0" w:type="dxa"/>
            <w:left w:w="0" w:type="dxa"/>
            <w:bottom w:w="0" w:type="dxa"/>
            <w:right w:w="0" w:type="dxa"/>
          </w:tblCellMar>
        </w:tblPrEx>
        <w:trPr>
          <w:trHeight w:val="674" w:hRule="atLeast"/>
          <w:jc w:val="center"/>
        </w:trPr>
        <w:tc>
          <w:tcPr>
            <w:tcW w:w="9494" w:type="dxa"/>
            <w:gridSpan w:val="8"/>
            <w:tcBorders>
              <w:top w:val="nil"/>
              <w:left w:val="single" w:color="auto" w:sz="8" w:space="0"/>
              <w:bottom w:val="single" w:color="auto" w:sz="8" w:space="0"/>
              <w:right w:val="single" w:color="auto" w:sz="8" w:space="0"/>
            </w:tcBorders>
            <w:noWrap w:val="0"/>
            <w:vAlign w:val="center"/>
          </w:tcPr>
          <w:p w14:paraId="0EE0C7CB">
            <w:pPr>
              <w:widowControl/>
              <w:shd w:val="clear"/>
              <w:snapToGrid w:val="0"/>
              <w:spacing w:before="100" w:beforeAutospacing="1" w:after="100" w:afterAutospacing="1" w:line="320" w:lineRule="atLeast"/>
              <w:ind w:firstLine="2"/>
              <w:jc w:val="left"/>
              <w:rPr>
                <w:rFonts w:ascii="宋体" w:hAnsi="宋体" w:cs="宋体"/>
                <w:color w:val="auto"/>
                <w:kern w:val="0"/>
                <w:szCs w:val="21"/>
                <w:highlight w:val="none"/>
              </w:rPr>
            </w:pPr>
            <w:r>
              <w:rPr>
                <w:rFonts w:ascii="宋体" w:hAnsi="宋体" w:cs="宋体"/>
                <w:color w:val="auto"/>
                <w:kern w:val="0"/>
                <w:szCs w:val="21"/>
                <w:highlight w:val="none"/>
              </w:rPr>
              <w:t>合计大写金额： 仟 佰 拾 万 仟 佰 拾 元</w:t>
            </w:r>
          </w:p>
        </w:tc>
      </w:tr>
      <w:tr w14:paraId="2BDC09F2">
        <w:tblPrEx>
          <w:tblCellMar>
            <w:top w:w="0" w:type="dxa"/>
            <w:left w:w="0" w:type="dxa"/>
            <w:bottom w:w="0" w:type="dxa"/>
            <w:right w:w="0" w:type="dxa"/>
          </w:tblCellMar>
        </w:tblPrEx>
        <w:trPr>
          <w:trHeight w:val="67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4086E08C">
            <w:pPr>
              <w:widowControl/>
              <w:shd w:val="clear"/>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实际供货日期</w:t>
            </w:r>
          </w:p>
        </w:tc>
        <w:tc>
          <w:tcPr>
            <w:tcW w:w="3056" w:type="dxa"/>
            <w:gridSpan w:val="2"/>
            <w:tcBorders>
              <w:top w:val="nil"/>
              <w:left w:val="nil"/>
              <w:bottom w:val="single" w:color="auto" w:sz="8" w:space="0"/>
              <w:right w:val="single" w:color="auto" w:sz="8" w:space="0"/>
            </w:tcBorders>
            <w:noWrap w:val="0"/>
            <w:vAlign w:val="center"/>
          </w:tcPr>
          <w:p w14:paraId="6A770EFA">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2565" w:type="dxa"/>
            <w:gridSpan w:val="3"/>
            <w:tcBorders>
              <w:top w:val="nil"/>
              <w:left w:val="nil"/>
              <w:bottom w:val="single" w:color="auto" w:sz="8" w:space="0"/>
              <w:right w:val="single" w:color="auto" w:sz="8" w:space="0"/>
            </w:tcBorders>
            <w:noWrap w:val="0"/>
            <w:vAlign w:val="center"/>
          </w:tcPr>
          <w:p w14:paraId="57ADE5F8">
            <w:pPr>
              <w:widowControl/>
              <w:shd w:val="clear"/>
              <w:snapToGrid w:val="0"/>
              <w:spacing w:before="100" w:beforeAutospacing="1" w:after="100" w:afterAutospacing="1" w:line="320" w:lineRule="atLeast"/>
              <w:ind w:firstLine="46"/>
              <w:jc w:val="center"/>
              <w:rPr>
                <w:rFonts w:ascii="宋体" w:hAnsi="宋体" w:cs="宋体"/>
                <w:color w:val="auto"/>
                <w:kern w:val="0"/>
                <w:szCs w:val="21"/>
                <w:highlight w:val="none"/>
              </w:rPr>
            </w:pPr>
            <w:r>
              <w:rPr>
                <w:rFonts w:ascii="宋体" w:hAnsi="宋体" w:cs="宋体"/>
                <w:color w:val="auto"/>
                <w:kern w:val="0"/>
                <w:szCs w:val="21"/>
                <w:highlight w:val="none"/>
              </w:rPr>
              <w:t>合同交货验收日期</w:t>
            </w:r>
          </w:p>
        </w:tc>
        <w:tc>
          <w:tcPr>
            <w:tcW w:w="2376" w:type="dxa"/>
            <w:gridSpan w:val="2"/>
            <w:tcBorders>
              <w:top w:val="nil"/>
              <w:left w:val="nil"/>
              <w:bottom w:val="single" w:color="auto" w:sz="8" w:space="0"/>
              <w:right w:val="single" w:color="auto" w:sz="8" w:space="0"/>
            </w:tcBorders>
            <w:noWrap w:val="0"/>
            <w:vAlign w:val="center"/>
          </w:tcPr>
          <w:p w14:paraId="08003295">
            <w:pPr>
              <w:widowControl/>
              <w:shd w:val="clear"/>
              <w:spacing w:before="100" w:beforeAutospacing="1" w:after="100" w:afterAutospacing="1" w:line="240" w:lineRule="atLeast"/>
              <w:jc w:val="center"/>
              <w:rPr>
                <w:rFonts w:ascii="宋体" w:hAnsi="宋体" w:cs="宋体"/>
                <w:color w:val="auto"/>
                <w:kern w:val="0"/>
                <w:szCs w:val="21"/>
                <w:highlight w:val="none"/>
              </w:rPr>
            </w:pPr>
          </w:p>
        </w:tc>
      </w:tr>
      <w:tr w14:paraId="59E5D5CD">
        <w:tblPrEx>
          <w:tblCellMar>
            <w:top w:w="0" w:type="dxa"/>
            <w:left w:w="0" w:type="dxa"/>
            <w:bottom w:w="0" w:type="dxa"/>
            <w:right w:w="0" w:type="dxa"/>
          </w:tblCellMar>
        </w:tblPrEx>
        <w:trPr>
          <w:trHeight w:val="729" w:hRule="atLeast"/>
          <w:jc w:val="center"/>
        </w:trPr>
        <w:tc>
          <w:tcPr>
            <w:tcW w:w="149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B192FAB">
            <w:pPr>
              <w:widowControl/>
              <w:shd w:val="clear"/>
              <w:snapToGrid w:val="0"/>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验收具体内容</w:t>
            </w:r>
          </w:p>
        </w:tc>
        <w:tc>
          <w:tcPr>
            <w:tcW w:w="7997" w:type="dxa"/>
            <w:gridSpan w:val="7"/>
            <w:tcBorders>
              <w:top w:val="nil"/>
              <w:left w:val="nil"/>
              <w:bottom w:val="single" w:color="auto" w:sz="8" w:space="0"/>
              <w:right w:val="single" w:color="auto" w:sz="8" w:space="0"/>
            </w:tcBorders>
            <w:noWrap w:val="0"/>
            <w:tcMar>
              <w:left w:w="108" w:type="dxa"/>
              <w:right w:w="108" w:type="dxa"/>
            </w:tcMar>
            <w:vAlign w:val="center"/>
          </w:tcPr>
          <w:p w14:paraId="1328F0D7">
            <w:pPr>
              <w:widowControl/>
              <w:shd w:val="clear"/>
              <w:snapToGrid w:val="0"/>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r>
              <w:rPr>
                <w:rFonts w:hint="eastAsia" w:ascii="宋体" w:hAnsi="宋体" w:cs="宋体"/>
                <w:color w:val="auto"/>
                <w:kern w:val="0"/>
                <w:szCs w:val="21"/>
                <w:highlight w:val="none"/>
                <w:lang w:eastAsia="zh-CN"/>
              </w:rPr>
              <w:t>）</w:t>
            </w:r>
          </w:p>
        </w:tc>
      </w:tr>
      <w:tr w14:paraId="29BD5EAA">
        <w:tblPrEx>
          <w:tblCellMar>
            <w:top w:w="0" w:type="dxa"/>
            <w:left w:w="0" w:type="dxa"/>
            <w:bottom w:w="0" w:type="dxa"/>
            <w:right w:w="0" w:type="dxa"/>
          </w:tblCellMar>
        </w:tblPrEx>
        <w:trPr>
          <w:trHeight w:val="1348" w:hRule="atLeast"/>
          <w:jc w:val="center"/>
        </w:trPr>
        <w:tc>
          <w:tcPr>
            <w:tcW w:w="149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3410E5A3">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验收小组意见</w:t>
            </w:r>
          </w:p>
        </w:tc>
        <w:tc>
          <w:tcPr>
            <w:tcW w:w="7997" w:type="dxa"/>
            <w:gridSpan w:val="7"/>
            <w:tcBorders>
              <w:top w:val="nil"/>
              <w:left w:val="nil"/>
              <w:bottom w:val="single" w:color="auto" w:sz="8" w:space="0"/>
              <w:right w:val="single" w:color="auto" w:sz="8" w:space="0"/>
            </w:tcBorders>
            <w:noWrap w:val="0"/>
            <w:vAlign w:val="center"/>
          </w:tcPr>
          <w:p w14:paraId="0A54A8F3">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验收结论性意见：</w:t>
            </w:r>
          </w:p>
        </w:tc>
      </w:tr>
      <w:tr w14:paraId="56C132DA">
        <w:tblPrEx>
          <w:tblCellMar>
            <w:top w:w="0" w:type="dxa"/>
            <w:left w:w="0" w:type="dxa"/>
            <w:bottom w:w="0" w:type="dxa"/>
            <w:right w:w="0" w:type="dxa"/>
          </w:tblCellMar>
        </w:tblPrEx>
        <w:trPr>
          <w:trHeight w:val="639" w:hRule="atLeast"/>
          <w:jc w:val="center"/>
        </w:trPr>
        <w:tc>
          <w:tcPr>
            <w:tcW w:w="1497" w:type="dxa"/>
            <w:vMerge w:val="continue"/>
            <w:tcBorders>
              <w:top w:val="nil"/>
              <w:left w:val="single" w:color="auto" w:sz="8" w:space="0"/>
              <w:bottom w:val="single" w:color="auto" w:sz="8" w:space="0"/>
              <w:right w:val="single" w:color="auto" w:sz="8" w:space="0"/>
            </w:tcBorders>
            <w:noWrap w:val="0"/>
            <w:vAlign w:val="center"/>
          </w:tcPr>
          <w:p w14:paraId="5E75ED1C">
            <w:pPr>
              <w:shd w:val="clear"/>
              <w:rPr>
                <w:rFonts w:ascii="宋体" w:hAnsi="宋体"/>
                <w:color w:val="auto"/>
                <w:highlight w:val="none"/>
              </w:rPr>
            </w:pPr>
          </w:p>
        </w:tc>
        <w:tc>
          <w:tcPr>
            <w:tcW w:w="7997" w:type="dxa"/>
            <w:gridSpan w:val="7"/>
            <w:tcBorders>
              <w:top w:val="nil"/>
              <w:left w:val="nil"/>
              <w:bottom w:val="single" w:color="auto" w:sz="8" w:space="0"/>
              <w:right w:val="single" w:color="auto" w:sz="8" w:space="0"/>
            </w:tcBorders>
            <w:noWrap w:val="0"/>
            <w:vAlign w:val="center"/>
          </w:tcPr>
          <w:p w14:paraId="589CD324">
            <w:pPr>
              <w:widowControl/>
              <w:shd w:val="clear"/>
              <w:spacing w:before="100" w:beforeAutospacing="1" w:after="100" w:afterAutospacing="1" w:line="320" w:lineRule="atLeast"/>
              <w:ind w:firstLine="96"/>
              <w:jc w:val="left"/>
              <w:rPr>
                <w:rFonts w:ascii="宋体" w:hAnsi="宋体" w:cs="宋体"/>
                <w:color w:val="auto"/>
                <w:kern w:val="0"/>
                <w:szCs w:val="21"/>
                <w:highlight w:val="none"/>
              </w:rPr>
            </w:pPr>
            <w:r>
              <w:rPr>
                <w:rFonts w:ascii="宋体" w:hAnsi="宋体" w:cs="宋体"/>
                <w:color w:val="auto"/>
                <w:kern w:val="0"/>
                <w:szCs w:val="21"/>
                <w:highlight w:val="none"/>
              </w:rPr>
              <w:t>有异议的意见和说明理由：</w:t>
            </w:r>
          </w:p>
          <w:p w14:paraId="7834FF22">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签字：</w:t>
            </w:r>
          </w:p>
        </w:tc>
      </w:tr>
      <w:tr w14:paraId="536F0C3F">
        <w:tblPrEx>
          <w:tblCellMar>
            <w:top w:w="0" w:type="dxa"/>
            <w:left w:w="0" w:type="dxa"/>
            <w:bottom w:w="0" w:type="dxa"/>
            <w:right w:w="0" w:type="dxa"/>
          </w:tblCellMar>
        </w:tblPrEx>
        <w:trPr>
          <w:trHeight w:val="53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0496C71A">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验收小组成员签字：</w:t>
            </w:r>
          </w:p>
        </w:tc>
      </w:tr>
      <w:tr w14:paraId="0D03213D">
        <w:tblPrEx>
          <w:tblCellMar>
            <w:top w:w="0" w:type="dxa"/>
            <w:left w:w="0" w:type="dxa"/>
            <w:bottom w:w="0" w:type="dxa"/>
            <w:right w:w="0" w:type="dxa"/>
          </w:tblCellMar>
        </w:tblPrEx>
        <w:trPr>
          <w:trHeight w:val="77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194B21B1">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监督人员或其他相关人员签字：</w:t>
            </w:r>
          </w:p>
          <w:p w14:paraId="0E66CEA7">
            <w:pPr>
              <w:widowControl/>
              <w:shd w:val="clear"/>
              <w:spacing w:before="100" w:beforeAutospacing="1" w:after="100" w:afterAutospacing="1" w:line="320" w:lineRule="atLeast"/>
              <w:ind w:firstLine="74"/>
              <w:jc w:val="left"/>
              <w:rPr>
                <w:rFonts w:ascii="宋体" w:hAnsi="宋体" w:cs="宋体"/>
                <w:color w:val="auto"/>
                <w:kern w:val="0"/>
                <w:szCs w:val="21"/>
                <w:highlight w:val="none"/>
              </w:rPr>
            </w:pPr>
            <w:r>
              <w:rPr>
                <w:rFonts w:ascii="宋体" w:hAnsi="宋体" w:cs="宋体"/>
                <w:color w:val="auto"/>
                <w:kern w:val="0"/>
                <w:szCs w:val="21"/>
                <w:highlight w:val="none"/>
              </w:rPr>
              <w:t>或受邀机构的意见（盖章）：</w:t>
            </w:r>
          </w:p>
        </w:tc>
      </w:tr>
      <w:tr w14:paraId="1D6B71D3">
        <w:tblPrEx>
          <w:tblCellMar>
            <w:top w:w="0" w:type="dxa"/>
            <w:left w:w="0" w:type="dxa"/>
            <w:bottom w:w="0" w:type="dxa"/>
            <w:right w:w="0" w:type="dxa"/>
          </w:tblCellMar>
        </w:tblPrEx>
        <w:trPr>
          <w:trHeight w:val="797" w:hRule="atLeast"/>
          <w:jc w:val="center"/>
        </w:trPr>
        <w:tc>
          <w:tcPr>
            <w:tcW w:w="4667" w:type="dxa"/>
            <w:gridSpan w:val="4"/>
            <w:tcBorders>
              <w:top w:val="nil"/>
              <w:left w:val="single" w:color="auto" w:sz="8" w:space="0"/>
              <w:bottom w:val="single" w:color="auto" w:sz="8" w:space="0"/>
              <w:right w:val="nil"/>
            </w:tcBorders>
            <w:noWrap w:val="0"/>
            <w:tcMar>
              <w:left w:w="108" w:type="dxa"/>
              <w:right w:w="108" w:type="dxa"/>
            </w:tcMar>
            <w:vAlign w:val="center"/>
          </w:tcPr>
          <w:p w14:paraId="2EDA8F84">
            <w:pPr>
              <w:widowControl/>
              <w:shd w:val="clear"/>
              <w:spacing w:before="100" w:beforeAutospacing="1" w:after="100" w:afterAutospacing="1" w:line="320" w:lineRule="atLeast"/>
              <w:ind w:firstLine="74"/>
              <w:jc w:val="left"/>
              <w:rPr>
                <w:rFonts w:ascii="宋体" w:hAnsi="宋体" w:cs="宋体"/>
                <w:color w:val="auto"/>
                <w:kern w:val="0"/>
                <w:szCs w:val="21"/>
                <w:highlight w:val="none"/>
              </w:rPr>
            </w:pPr>
            <w:r>
              <w:rPr>
                <w:rFonts w:ascii="宋体" w:hAnsi="宋体" w:cs="宋体"/>
                <w:color w:val="auto"/>
                <w:kern w:val="0"/>
                <w:szCs w:val="21"/>
                <w:highlight w:val="none"/>
              </w:rPr>
              <w:t>中标或者成交供应商负责人签字或盖章：</w:t>
            </w:r>
          </w:p>
          <w:p w14:paraId="66719471">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联系电话： 年 月 日</w:t>
            </w:r>
          </w:p>
        </w:tc>
        <w:tc>
          <w:tcPr>
            <w:tcW w:w="4827" w:type="dxa"/>
            <w:gridSpan w:val="4"/>
            <w:tcBorders>
              <w:top w:val="nil"/>
              <w:left w:val="nil"/>
              <w:bottom w:val="single" w:color="auto" w:sz="8" w:space="0"/>
              <w:right w:val="single" w:color="auto" w:sz="8" w:space="0"/>
            </w:tcBorders>
            <w:noWrap w:val="0"/>
            <w:vAlign w:val="center"/>
          </w:tcPr>
          <w:p w14:paraId="2A3E45F2">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采购人或受托机构的意见（盖章）：</w:t>
            </w:r>
          </w:p>
          <w:p w14:paraId="7F189C59">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联系电话： 年 月 日</w:t>
            </w:r>
          </w:p>
        </w:tc>
      </w:tr>
    </w:tbl>
    <w:p w14:paraId="0CB6D4CF">
      <w:pPr>
        <w:shd w:val="clear"/>
        <w:jc w:val="left"/>
        <w:rPr>
          <w:rFonts w:ascii="宋体" w:hAnsi="宋体"/>
          <w:color w:val="auto"/>
          <w:highlight w:val="none"/>
        </w:rPr>
      </w:pPr>
    </w:p>
    <w:p w14:paraId="50B168C6">
      <w:pPr>
        <w:shd w:val="clear"/>
        <w:jc w:val="left"/>
        <w:rPr>
          <w:rFonts w:hint="eastAsia"/>
          <w:color w:val="auto"/>
          <w:highlight w:val="none"/>
        </w:rPr>
      </w:pPr>
      <w:r>
        <w:rPr>
          <w:rFonts w:ascii="宋体" w:hAnsi="宋体"/>
          <w:color w:val="auto"/>
          <w:highlight w:val="none"/>
        </w:rPr>
        <w:br w:type="page"/>
      </w:r>
      <w:r>
        <w:rPr>
          <w:rFonts w:hint="eastAsia" w:ascii="楷体" w:eastAsia="楷体"/>
          <w:color w:val="auto"/>
          <w:kern w:val="0"/>
          <w:sz w:val="32"/>
          <w:szCs w:val="32"/>
          <w:highlight w:val="none"/>
        </w:rPr>
        <w:t>附件2：</w:t>
      </w:r>
    </w:p>
    <w:p w14:paraId="03E3F200">
      <w:pPr>
        <w:shd w:val="clear"/>
        <w:jc w:val="center"/>
        <w:rPr>
          <w:rFonts w:hint="eastAsia" w:ascii="黑体" w:eastAsia="黑体"/>
          <w:color w:val="auto"/>
          <w:sz w:val="32"/>
          <w:szCs w:val="32"/>
          <w:highlight w:val="none"/>
        </w:rPr>
      </w:pPr>
      <w:r>
        <w:rPr>
          <w:rFonts w:hint="eastAsia" w:ascii="黑体" w:eastAsia="黑体"/>
          <w:color w:val="auto"/>
          <w:sz w:val="32"/>
          <w:szCs w:val="32"/>
          <w:highlight w:val="none"/>
        </w:rPr>
        <w:t>政府采购项目履约保证金退付意见书</w:t>
      </w:r>
      <w:r>
        <w:rPr>
          <w:rFonts w:hint="eastAsia" w:ascii="仿宋" w:eastAsia="仿宋" w:cs="宋体"/>
          <w:color w:val="auto"/>
          <w:kern w:val="0"/>
          <w:sz w:val="32"/>
          <w:szCs w:val="32"/>
          <w:highlight w:val="none"/>
        </w:rPr>
        <w:t>（格式）</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3E49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58D6F825">
            <w:pPr>
              <w:shd w:val="clear"/>
              <w:jc w:val="center"/>
              <w:rPr>
                <w:rFonts w:hint="eastAsia"/>
                <w:color w:val="auto"/>
                <w:szCs w:val="21"/>
                <w:highlight w:val="none"/>
              </w:rPr>
            </w:pPr>
            <w:r>
              <w:rPr>
                <w:rFonts w:hint="eastAsia"/>
                <w:color w:val="auto"/>
                <w:szCs w:val="21"/>
                <w:highlight w:val="none"/>
              </w:rPr>
              <w:t>供</w:t>
            </w:r>
          </w:p>
          <w:p w14:paraId="57384943">
            <w:pPr>
              <w:shd w:val="clear"/>
              <w:jc w:val="center"/>
              <w:rPr>
                <w:rFonts w:hint="eastAsia"/>
                <w:color w:val="auto"/>
                <w:szCs w:val="21"/>
                <w:highlight w:val="none"/>
              </w:rPr>
            </w:pPr>
            <w:r>
              <w:rPr>
                <w:rFonts w:hint="eastAsia"/>
                <w:color w:val="auto"/>
                <w:szCs w:val="21"/>
                <w:highlight w:val="none"/>
              </w:rPr>
              <w:t>应</w:t>
            </w:r>
          </w:p>
          <w:p w14:paraId="42524BC9">
            <w:pPr>
              <w:shd w:val="clear"/>
              <w:jc w:val="center"/>
              <w:rPr>
                <w:rFonts w:hint="eastAsia"/>
                <w:color w:val="auto"/>
                <w:szCs w:val="21"/>
                <w:highlight w:val="none"/>
              </w:rPr>
            </w:pPr>
            <w:r>
              <w:rPr>
                <w:rFonts w:hint="eastAsia"/>
                <w:color w:val="auto"/>
                <w:szCs w:val="21"/>
                <w:highlight w:val="none"/>
              </w:rPr>
              <w:t>商</w:t>
            </w:r>
          </w:p>
          <w:p w14:paraId="373B2A34">
            <w:pPr>
              <w:shd w:val="clear"/>
              <w:jc w:val="center"/>
              <w:rPr>
                <w:rFonts w:hint="eastAsia"/>
                <w:color w:val="auto"/>
                <w:szCs w:val="21"/>
                <w:highlight w:val="none"/>
              </w:rPr>
            </w:pPr>
            <w:r>
              <w:rPr>
                <w:rFonts w:hint="eastAsia"/>
                <w:color w:val="auto"/>
                <w:szCs w:val="21"/>
                <w:highlight w:val="none"/>
              </w:rPr>
              <w:t>申</w:t>
            </w:r>
          </w:p>
          <w:p w14:paraId="5870BC1F">
            <w:pPr>
              <w:shd w:val="clear"/>
              <w:jc w:val="center"/>
              <w:rPr>
                <w:rFonts w:hint="eastAsia"/>
                <w:color w:val="auto"/>
                <w:szCs w:val="21"/>
                <w:highlight w:val="none"/>
              </w:rPr>
            </w:pPr>
            <w:r>
              <w:rPr>
                <w:rFonts w:hint="eastAsia"/>
                <w:color w:val="auto"/>
                <w:szCs w:val="21"/>
                <w:highlight w:val="none"/>
              </w:rPr>
              <w:t>请</w:t>
            </w:r>
          </w:p>
        </w:tc>
        <w:tc>
          <w:tcPr>
            <w:tcW w:w="8640" w:type="dxa"/>
            <w:noWrap w:val="0"/>
            <w:vAlign w:val="center"/>
          </w:tcPr>
          <w:p w14:paraId="04461D02">
            <w:pPr>
              <w:shd w:val="clear"/>
              <w:rPr>
                <w:rFonts w:hint="eastAsia"/>
                <w:color w:val="auto"/>
                <w:szCs w:val="21"/>
                <w:highlight w:val="none"/>
              </w:rPr>
            </w:pPr>
            <w:r>
              <w:rPr>
                <w:rFonts w:hint="eastAsia"/>
                <w:color w:val="auto"/>
                <w:szCs w:val="21"/>
                <w:highlight w:val="none"/>
              </w:rPr>
              <w:t>项目编号：</w:t>
            </w:r>
          </w:p>
        </w:tc>
      </w:tr>
      <w:tr w14:paraId="4646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5FAFCA10">
            <w:pPr>
              <w:shd w:val="clear"/>
              <w:rPr>
                <w:color w:val="auto"/>
                <w:highlight w:val="none"/>
              </w:rPr>
            </w:pPr>
          </w:p>
        </w:tc>
        <w:tc>
          <w:tcPr>
            <w:tcW w:w="8640" w:type="dxa"/>
            <w:noWrap w:val="0"/>
            <w:vAlign w:val="center"/>
          </w:tcPr>
          <w:p w14:paraId="125FEF2A">
            <w:pPr>
              <w:shd w:val="clear"/>
              <w:rPr>
                <w:rFonts w:hint="eastAsia"/>
                <w:color w:val="auto"/>
                <w:szCs w:val="21"/>
                <w:highlight w:val="none"/>
              </w:rPr>
            </w:pPr>
            <w:r>
              <w:rPr>
                <w:rFonts w:hint="eastAsia"/>
                <w:color w:val="auto"/>
                <w:szCs w:val="21"/>
                <w:highlight w:val="none"/>
              </w:rPr>
              <w:t>项目名称：</w:t>
            </w:r>
          </w:p>
        </w:tc>
      </w:tr>
      <w:tr w14:paraId="299D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0ABAE8E9">
            <w:pPr>
              <w:shd w:val="clear"/>
              <w:rPr>
                <w:color w:val="auto"/>
                <w:highlight w:val="none"/>
              </w:rPr>
            </w:pPr>
          </w:p>
        </w:tc>
        <w:tc>
          <w:tcPr>
            <w:tcW w:w="8640" w:type="dxa"/>
            <w:noWrap w:val="0"/>
            <w:vAlign w:val="top"/>
          </w:tcPr>
          <w:p w14:paraId="7B85CF41">
            <w:pPr>
              <w:shd w:val="clear"/>
              <w:rPr>
                <w:rFonts w:hint="eastAsia"/>
                <w:color w:val="auto"/>
                <w:szCs w:val="21"/>
                <w:highlight w:val="none"/>
              </w:rPr>
            </w:pPr>
            <w:r>
              <w:rPr>
                <w:rFonts w:hint="eastAsia"/>
                <w:color w:val="auto"/>
                <w:szCs w:val="21"/>
                <w:highlight w:val="none"/>
              </w:rPr>
              <w:t xml:space="preserve">  </w:t>
            </w:r>
          </w:p>
          <w:p w14:paraId="03819A82">
            <w:pPr>
              <w:shd w:val="clear"/>
              <w:spacing w:line="400" w:lineRule="exact"/>
              <w:ind w:firstLine="420" w:firstLineChars="200"/>
              <w:rPr>
                <w:rFonts w:hint="eastAsia"/>
                <w:color w:val="auto"/>
                <w:szCs w:val="21"/>
                <w:highlight w:val="none"/>
              </w:rPr>
            </w:pPr>
            <w:r>
              <w:rPr>
                <w:rFonts w:hint="eastAsia"/>
                <w:color w:val="auto"/>
                <w:szCs w:val="21"/>
                <w:highlight w:val="none"/>
              </w:rPr>
              <w:t>该项目已于</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日验收并交付使用。根据合同规定，该项目的履约保证金期限于</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日已满，请将履约保证金</w:t>
            </w:r>
          </w:p>
          <w:p w14:paraId="0A5F3B8C">
            <w:pPr>
              <w:shd w:val="clear"/>
              <w:spacing w:line="400" w:lineRule="exact"/>
              <w:rPr>
                <w:rFonts w:hint="eastAsia"/>
                <w:color w:val="auto"/>
                <w:szCs w:val="21"/>
                <w:highlight w:val="none"/>
              </w:rPr>
            </w:pPr>
            <w:r>
              <w:rPr>
                <w:rFonts w:hint="eastAsia"/>
                <w:color w:val="auto"/>
                <w:szCs w:val="21"/>
                <w:highlight w:val="none"/>
                <w:u w:val="single"/>
              </w:rPr>
              <w:t xml:space="preserve">                                        </w:t>
            </w:r>
            <w:r>
              <w:rPr>
                <w:rFonts w:hint="eastAsia"/>
                <w:color w:val="auto"/>
                <w:szCs w:val="21"/>
                <w:highlight w:val="none"/>
              </w:rPr>
              <w:t>（大写）¥</w:t>
            </w:r>
            <w:r>
              <w:rPr>
                <w:rFonts w:hint="eastAsia"/>
                <w:color w:val="auto"/>
                <w:szCs w:val="21"/>
                <w:highlight w:val="none"/>
                <w:u w:val="single"/>
              </w:rPr>
              <w:t xml:space="preserve">          </w:t>
            </w:r>
            <w:r>
              <w:rPr>
                <w:rFonts w:hint="eastAsia"/>
                <w:color w:val="auto"/>
                <w:szCs w:val="21"/>
                <w:highlight w:val="none"/>
              </w:rPr>
              <w:t>（小写）退付到达以下账户。</w:t>
            </w:r>
          </w:p>
          <w:p w14:paraId="12F67D51">
            <w:pPr>
              <w:shd w:val="clear"/>
              <w:spacing w:line="400" w:lineRule="exact"/>
              <w:ind w:firstLine="705"/>
              <w:rPr>
                <w:rFonts w:hint="eastAsia"/>
                <w:color w:val="auto"/>
                <w:szCs w:val="21"/>
                <w:highlight w:val="none"/>
              </w:rPr>
            </w:pPr>
            <w:r>
              <w:rPr>
                <w:rFonts w:hint="eastAsia"/>
                <w:color w:val="auto"/>
                <w:szCs w:val="21"/>
                <w:highlight w:val="none"/>
              </w:rPr>
              <w:t>单位名称：</w:t>
            </w:r>
          </w:p>
          <w:p w14:paraId="3E5C6698">
            <w:pPr>
              <w:shd w:val="clear"/>
              <w:spacing w:line="400" w:lineRule="exact"/>
              <w:ind w:firstLine="705"/>
              <w:rPr>
                <w:rFonts w:hint="eastAsia"/>
                <w:color w:val="auto"/>
                <w:szCs w:val="21"/>
                <w:highlight w:val="none"/>
              </w:rPr>
            </w:pPr>
            <w:r>
              <w:rPr>
                <w:rFonts w:hint="eastAsia"/>
                <w:color w:val="auto"/>
                <w:szCs w:val="21"/>
                <w:highlight w:val="none"/>
              </w:rPr>
              <w:t>开户银行：</w:t>
            </w:r>
          </w:p>
          <w:p w14:paraId="6923525C">
            <w:pPr>
              <w:shd w:val="clear"/>
              <w:spacing w:line="400" w:lineRule="exact"/>
              <w:ind w:firstLine="705"/>
              <w:rPr>
                <w:rFonts w:hint="eastAsia"/>
                <w:color w:val="auto"/>
                <w:szCs w:val="21"/>
                <w:highlight w:val="none"/>
              </w:rPr>
            </w:pPr>
            <w:r>
              <w:rPr>
                <w:rFonts w:hint="eastAsia"/>
                <w:color w:val="auto"/>
                <w:szCs w:val="21"/>
                <w:highlight w:val="none"/>
              </w:rPr>
              <w:t>账   号：</w:t>
            </w:r>
          </w:p>
          <w:p w14:paraId="2703DBEE">
            <w:pPr>
              <w:shd w:val="clear"/>
              <w:spacing w:line="400" w:lineRule="exact"/>
              <w:rPr>
                <w:rFonts w:hint="eastAsia"/>
                <w:color w:val="auto"/>
                <w:szCs w:val="21"/>
                <w:highlight w:val="none"/>
              </w:rPr>
            </w:pPr>
            <w:r>
              <w:rPr>
                <w:rFonts w:hint="eastAsia"/>
                <w:color w:val="auto"/>
                <w:szCs w:val="21"/>
                <w:highlight w:val="none"/>
              </w:rPr>
              <w:t>联系人及电话：</w:t>
            </w:r>
          </w:p>
          <w:p w14:paraId="1229E5D5">
            <w:pPr>
              <w:shd w:val="clear"/>
              <w:spacing w:line="400" w:lineRule="exact"/>
              <w:rPr>
                <w:rFonts w:hint="eastAsia"/>
                <w:color w:val="auto"/>
                <w:szCs w:val="21"/>
                <w:highlight w:val="none"/>
              </w:rPr>
            </w:pPr>
          </w:p>
          <w:p w14:paraId="216055D2">
            <w:pPr>
              <w:shd w:val="clear"/>
              <w:spacing w:line="520" w:lineRule="exact"/>
              <w:jc w:val="center"/>
              <w:rPr>
                <w:rFonts w:hint="eastAsia"/>
                <w:color w:val="auto"/>
                <w:szCs w:val="21"/>
                <w:highlight w:val="none"/>
              </w:rPr>
            </w:pPr>
            <w:r>
              <w:rPr>
                <w:rFonts w:hint="eastAsia"/>
                <w:color w:val="auto"/>
                <w:szCs w:val="21"/>
                <w:highlight w:val="none"/>
              </w:rPr>
              <w:t xml:space="preserve">                                     供应商签章：</w:t>
            </w:r>
          </w:p>
          <w:p w14:paraId="49FCC46D">
            <w:pPr>
              <w:shd w:val="clear"/>
              <w:spacing w:line="520" w:lineRule="exact"/>
              <w:jc w:val="center"/>
              <w:rPr>
                <w:rFonts w:hint="eastAsia"/>
                <w:color w:val="auto"/>
                <w:szCs w:val="21"/>
                <w:highlight w:val="none"/>
              </w:rPr>
            </w:pPr>
            <w:r>
              <w:rPr>
                <w:rFonts w:hint="eastAsia"/>
                <w:color w:val="auto"/>
                <w:szCs w:val="21"/>
                <w:highlight w:val="none"/>
              </w:rPr>
              <w:t xml:space="preserve">                           年    月     日</w:t>
            </w:r>
          </w:p>
        </w:tc>
      </w:tr>
      <w:tr w14:paraId="0419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486D33A4">
            <w:pPr>
              <w:shd w:val="clear"/>
              <w:jc w:val="center"/>
              <w:rPr>
                <w:rFonts w:hint="eastAsia"/>
                <w:color w:val="auto"/>
                <w:szCs w:val="21"/>
                <w:highlight w:val="none"/>
              </w:rPr>
            </w:pPr>
            <w:r>
              <w:rPr>
                <w:rFonts w:hint="eastAsia"/>
                <w:color w:val="auto"/>
                <w:szCs w:val="21"/>
                <w:highlight w:val="none"/>
              </w:rPr>
              <w:t>采</w:t>
            </w:r>
          </w:p>
          <w:p w14:paraId="2EF1E664">
            <w:pPr>
              <w:shd w:val="clear"/>
              <w:jc w:val="center"/>
              <w:rPr>
                <w:rFonts w:hint="eastAsia"/>
                <w:color w:val="auto"/>
                <w:szCs w:val="21"/>
                <w:highlight w:val="none"/>
              </w:rPr>
            </w:pPr>
            <w:r>
              <w:rPr>
                <w:rFonts w:hint="eastAsia"/>
                <w:color w:val="auto"/>
                <w:szCs w:val="21"/>
                <w:highlight w:val="none"/>
              </w:rPr>
              <w:t>购</w:t>
            </w:r>
          </w:p>
          <w:p w14:paraId="18EA125D">
            <w:pPr>
              <w:shd w:val="clear"/>
              <w:jc w:val="center"/>
              <w:rPr>
                <w:rFonts w:hint="eastAsia"/>
                <w:color w:val="auto"/>
                <w:szCs w:val="21"/>
                <w:highlight w:val="none"/>
              </w:rPr>
            </w:pPr>
            <w:r>
              <w:rPr>
                <w:rFonts w:hint="eastAsia"/>
                <w:color w:val="auto"/>
                <w:szCs w:val="21"/>
                <w:highlight w:val="none"/>
              </w:rPr>
              <w:t>单</w:t>
            </w:r>
          </w:p>
          <w:p w14:paraId="580F1900">
            <w:pPr>
              <w:shd w:val="clear"/>
              <w:jc w:val="center"/>
              <w:rPr>
                <w:rFonts w:hint="eastAsia"/>
                <w:color w:val="auto"/>
                <w:szCs w:val="21"/>
                <w:highlight w:val="none"/>
              </w:rPr>
            </w:pPr>
            <w:r>
              <w:rPr>
                <w:rFonts w:hint="eastAsia"/>
                <w:color w:val="auto"/>
                <w:szCs w:val="21"/>
                <w:highlight w:val="none"/>
              </w:rPr>
              <w:t>位</w:t>
            </w:r>
          </w:p>
          <w:p w14:paraId="1F79BC5E">
            <w:pPr>
              <w:shd w:val="clear"/>
              <w:jc w:val="center"/>
              <w:rPr>
                <w:rFonts w:hint="eastAsia"/>
                <w:color w:val="auto"/>
                <w:szCs w:val="21"/>
                <w:highlight w:val="none"/>
              </w:rPr>
            </w:pPr>
            <w:r>
              <w:rPr>
                <w:rFonts w:hint="eastAsia"/>
                <w:color w:val="auto"/>
                <w:szCs w:val="21"/>
                <w:highlight w:val="none"/>
              </w:rPr>
              <w:t>意</w:t>
            </w:r>
          </w:p>
          <w:p w14:paraId="1BFDB838">
            <w:pPr>
              <w:shd w:val="clear"/>
              <w:jc w:val="center"/>
              <w:rPr>
                <w:rFonts w:hint="eastAsia"/>
                <w:color w:val="auto"/>
                <w:szCs w:val="21"/>
                <w:highlight w:val="none"/>
              </w:rPr>
            </w:pPr>
            <w:r>
              <w:rPr>
                <w:rFonts w:hint="eastAsia"/>
                <w:color w:val="auto"/>
                <w:szCs w:val="21"/>
                <w:highlight w:val="none"/>
              </w:rPr>
              <w:t>见</w:t>
            </w:r>
          </w:p>
        </w:tc>
        <w:tc>
          <w:tcPr>
            <w:tcW w:w="8640" w:type="dxa"/>
            <w:noWrap w:val="0"/>
            <w:vAlign w:val="top"/>
          </w:tcPr>
          <w:p w14:paraId="1FFA6124">
            <w:pPr>
              <w:shd w:val="clear"/>
              <w:rPr>
                <w:rFonts w:hint="eastAsia"/>
                <w:color w:val="auto"/>
                <w:szCs w:val="21"/>
                <w:highlight w:val="none"/>
              </w:rPr>
            </w:pPr>
          </w:p>
          <w:p w14:paraId="6DC9D493">
            <w:pPr>
              <w:shd w:val="clear"/>
              <w:rPr>
                <w:rFonts w:hint="eastAsia"/>
                <w:color w:val="auto"/>
                <w:szCs w:val="21"/>
                <w:highlight w:val="none"/>
              </w:rPr>
            </w:pPr>
            <w:r>
              <w:rPr>
                <w:rFonts w:hint="eastAsia"/>
                <w:color w:val="auto"/>
                <w:szCs w:val="21"/>
                <w:highlight w:val="none"/>
              </w:rPr>
              <w:t>退付意见：是否同意退付履约保证金及退付金额：</w:t>
            </w:r>
          </w:p>
          <w:p w14:paraId="1FBDE1CA">
            <w:pPr>
              <w:shd w:val="clear"/>
              <w:rPr>
                <w:rFonts w:hint="eastAsia"/>
                <w:color w:val="auto"/>
                <w:szCs w:val="21"/>
                <w:highlight w:val="none"/>
              </w:rPr>
            </w:pPr>
          </w:p>
          <w:p w14:paraId="1C7D0A8B">
            <w:pPr>
              <w:shd w:val="clear"/>
              <w:rPr>
                <w:rFonts w:hint="eastAsia"/>
                <w:color w:val="auto"/>
                <w:szCs w:val="21"/>
                <w:highlight w:val="none"/>
              </w:rPr>
            </w:pPr>
          </w:p>
          <w:p w14:paraId="58085714">
            <w:pPr>
              <w:shd w:val="clear"/>
              <w:spacing w:line="520" w:lineRule="exact"/>
              <w:rPr>
                <w:rFonts w:hint="eastAsia"/>
                <w:color w:val="auto"/>
                <w:szCs w:val="21"/>
                <w:highlight w:val="none"/>
              </w:rPr>
            </w:pPr>
            <w:r>
              <w:rPr>
                <w:rFonts w:hint="eastAsia"/>
                <w:color w:val="auto"/>
                <w:szCs w:val="21"/>
                <w:highlight w:val="none"/>
              </w:rPr>
              <w:t>联系人及电话：                                 采购单位签章</w:t>
            </w:r>
          </w:p>
          <w:p w14:paraId="60A5A976">
            <w:pPr>
              <w:shd w:val="clear"/>
              <w:spacing w:line="520" w:lineRule="exact"/>
              <w:jc w:val="center"/>
              <w:rPr>
                <w:rFonts w:hint="eastAsia"/>
                <w:color w:val="auto"/>
                <w:szCs w:val="21"/>
                <w:highlight w:val="none"/>
              </w:rPr>
            </w:pPr>
            <w:r>
              <w:rPr>
                <w:rFonts w:hint="eastAsia"/>
                <w:color w:val="auto"/>
                <w:szCs w:val="21"/>
                <w:highlight w:val="none"/>
              </w:rPr>
              <w:t xml:space="preserve">                                        年    月     日</w:t>
            </w:r>
          </w:p>
        </w:tc>
      </w:tr>
      <w:tr w14:paraId="6231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0BCF1993">
            <w:pPr>
              <w:shd w:val="clear"/>
              <w:jc w:val="center"/>
              <w:rPr>
                <w:rFonts w:hint="eastAsia"/>
                <w:color w:val="auto"/>
                <w:szCs w:val="21"/>
                <w:highlight w:val="none"/>
              </w:rPr>
            </w:pPr>
            <w:r>
              <w:rPr>
                <w:rFonts w:hint="eastAsia"/>
                <w:color w:val="auto"/>
                <w:szCs w:val="21"/>
                <w:highlight w:val="none"/>
              </w:rPr>
              <w:t>财</w:t>
            </w:r>
          </w:p>
          <w:p w14:paraId="0BFE1C5B">
            <w:pPr>
              <w:shd w:val="clear"/>
              <w:jc w:val="center"/>
              <w:rPr>
                <w:rFonts w:hint="eastAsia"/>
                <w:color w:val="auto"/>
                <w:szCs w:val="21"/>
                <w:highlight w:val="none"/>
              </w:rPr>
            </w:pPr>
            <w:r>
              <w:rPr>
                <w:rFonts w:hint="eastAsia"/>
                <w:color w:val="auto"/>
                <w:szCs w:val="21"/>
                <w:highlight w:val="none"/>
              </w:rPr>
              <w:t>务</w:t>
            </w:r>
          </w:p>
          <w:p w14:paraId="5EA1D9CF">
            <w:pPr>
              <w:shd w:val="clear"/>
              <w:jc w:val="center"/>
              <w:rPr>
                <w:rFonts w:hint="eastAsia"/>
                <w:color w:val="auto"/>
                <w:szCs w:val="21"/>
                <w:highlight w:val="none"/>
              </w:rPr>
            </w:pPr>
            <w:r>
              <w:rPr>
                <w:rFonts w:hint="eastAsia"/>
                <w:color w:val="auto"/>
                <w:szCs w:val="21"/>
                <w:highlight w:val="none"/>
              </w:rPr>
              <w:t>部</w:t>
            </w:r>
          </w:p>
          <w:p w14:paraId="3D87F341">
            <w:pPr>
              <w:shd w:val="clear"/>
              <w:jc w:val="center"/>
              <w:rPr>
                <w:rFonts w:hint="eastAsia"/>
                <w:color w:val="auto"/>
                <w:szCs w:val="21"/>
                <w:highlight w:val="none"/>
              </w:rPr>
            </w:pPr>
            <w:r>
              <w:rPr>
                <w:rFonts w:hint="eastAsia"/>
                <w:color w:val="auto"/>
                <w:szCs w:val="21"/>
                <w:highlight w:val="none"/>
              </w:rPr>
              <w:t>门</w:t>
            </w:r>
          </w:p>
          <w:p w14:paraId="42AD3EC0">
            <w:pPr>
              <w:shd w:val="clear"/>
              <w:jc w:val="center"/>
              <w:rPr>
                <w:rFonts w:hint="eastAsia"/>
                <w:color w:val="auto"/>
                <w:szCs w:val="21"/>
                <w:highlight w:val="none"/>
              </w:rPr>
            </w:pPr>
            <w:r>
              <w:rPr>
                <w:rFonts w:hint="eastAsia"/>
                <w:color w:val="auto"/>
                <w:szCs w:val="21"/>
                <w:highlight w:val="none"/>
              </w:rPr>
              <w:t>意</w:t>
            </w:r>
          </w:p>
          <w:p w14:paraId="264CB0F8">
            <w:pPr>
              <w:shd w:val="clear"/>
              <w:jc w:val="center"/>
              <w:rPr>
                <w:rFonts w:hint="eastAsia"/>
                <w:color w:val="auto"/>
                <w:szCs w:val="21"/>
                <w:highlight w:val="none"/>
              </w:rPr>
            </w:pPr>
            <w:r>
              <w:rPr>
                <w:rFonts w:hint="eastAsia"/>
                <w:color w:val="auto"/>
                <w:szCs w:val="21"/>
                <w:highlight w:val="none"/>
              </w:rPr>
              <w:t>见</w:t>
            </w:r>
          </w:p>
        </w:tc>
        <w:tc>
          <w:tcPr>
            <w:tcW w:w="8640" w:type="dxa"/>
            <w:noWrap w:val="0"/>
            <w:vAlign w:val="top"/>
          </w:tcPr>
          <w:p w14:paraId="0B4C4A16">
            <w:pPr>
              <w:shd w:val="clear"/>
              <w:spacing w:line="640" w:lineRule="exact"/>
              <w:rPr>
                <w:rFonts w:hint="eastAsia"/>
                <w:color w:val="auto"/>
                <w:szCs w:val="21"/>
                <w:highlight w:val="none"/>
              </w:rPr>
            </w:pPr>
            <w:r>
              <w:rPr>
                <w:rFonts w:hint="eastAsia"/>
                <w:color w:val="auto"/>
                <w:szCs w:val="21"/>
                <w:highlight w:val="none"/>
              </w:rPr>
              <w:t>此表于</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 xml:space="preserve"> 月 </w:t>
            </w:r>
            <w:r>
              <w:rPr>
                <w:rFonts w:hint="eastAsia"/>
                <w:color w:val="auto"/>
                <w:szCs w:val="21"/>
                <w:highlight w:val="none"/>
                <w:u w:val="single"/>
              </w:rPr>
              <w:t xml:space="preserve">   </w:t>
            </w:r>
            <w:r>
              <w:rPr>
                <w:rFonts w:hint="eastAsia"/>
                <w:color w:val="auto"/>
                <w:szCs w:val="21"/>
                <w:highlight w:val="none"/>
              </w:rPr>
              <w:t xml:space="preserve"> 日收到。</w:t>
            </w:r>
          </w:p>
          <w:p w14:paraId="52FA282E">
            <w:pPr>
              <w:shd w:val="clear"/>
              <w:spacing w:line="640" w:lineRule="exact"/>
              <w:rPr>
                <w:rFonts w:hint="eastAsia"/>
                <w:color w:val="auto"/>
                <w:szCs w:val="21"/>
                <w:highlight w:val="none"/>
              </w:rPr>
            </w:pPr>
            <w:r>
              <w:rPr>
                <w:rFonts w:hint="eastAsia"/>
                <w:color w:val="auto"/>
                <w:szCs w:val="21"/>
                <w:highlight w:val="none"/>
              </w:rPr>
              <w:t>会计审核：</w:t>
            </w:r>
          </w:p>
          <w:p w14:paraId="30DDA302">
            <w:pPr>
              <w:shd w:val="clear"/>
              <w:spacing w:line="640" w:lineRule="exact"/>
              <w:rPr>
                <w:rFonts w:hint="eastAsia"/>
                <w:color w:val="auto"/>
                <w:szCs w:val="21"/>
                <w:highlight w:val="none"/>
              </w:rPr>
            </w:pPr>
            <w:r>
              <w:rPr>
                <w:rFonts w:hint="eastAsia"/>
                <w:color w:val="auto"/>
                <w:szCs w:val="21"/>
                <w:highlight w:val="none"/>
              </w:rPr>
              <w:t>财务负责人审核：</w:t>
            </w:r>
          </w:p>
          <w:p w14:paraId="598E30B8">
            <w:pPr>
              <w:shd w:val="clear"/>
              <w:spacing w:line="640" w:lineRule="exact"/>
              <w:rPr>
                <w:rFonts w:hint="eastAsia"/>
                <w:color w:val="auto"/>
                <w:szCs w:val="21"/>
                <w:highlight w:val="none"/>
              </w:rPr>
            </w:pPr>
            <w:r>
              <w:rPr>
                <w:rFonts w:hint="eastAsia"/>
                <w:color w:val="auto"/>
                <w:szCs w:val="21"/>
                <w:highlight w:val="none"/>
              </w:rPr>
              <w:t>单位负责人签字：</w:t>
            </w:r>
          </w:p>
          <w:p w14:paraId="32BC2C19">
            <w:pPr>
              <w:shd w:val="clear"/>
              <w:spacing w:line="640" w:lineRule="exact"/>
              <w:rPr>
                <w:rFonts w:hint="eastAsia"/>
                <w:color w:val="auto"/>
                <w:szCs w:val="21"/>
                <w:highlight w:val="none"/>
              </w:rPr>
            </w:pPr>
            <w:r>
              <w:rPr>
                <w:rFonts w:hint="eastAsia"/>
                <w:color w:val="auto"/>
                <w:szCs w:val="21"/>
                <w:highlight w:val="none"/>
              </w:rPr>
              <w:t>出纳办理转账日期：</w:t>
            </w:r>
          </w:p>
        </w:tc>
      </w:tr>
    </w:tbl>
    <w:p w14:paraId="4BD8EAB5">
      <w:pPr>
        <w:shd w:val="clear"/>
        <w:spacing w:line="380" w:lineRule="exact"/>
        <w:ind w:left="419" w:leftChars="114" w:hanging="180" w:hangingChars="100"/>
        <w:rPr>
          <w:rFonts w:hint="eastAsia"/>
          <w:color w:val="auto"/>
          <w:highlight w:val="none"/>
        </w:rPr>
      </w:pPr>
      <w:r>
        <w:rPr>
          <w:rFonts w:hint="eastAsia" w:ascii="宋体"/>
          <w:b/>
          <w:bCs/>
          <w:color w:val="auto"/>
          <w:kern w:val="0"/>
          <w:sz w:val="18"/>
          <w:highlight w:val="none"/>
        </w:rPr>
        <w:t>注：供应商凭经采购单位审批的退付意见书办理履约保证金退付事宜。</w:t>
      </w:r>
    </w:p>
    <w:p w14:paraId="12E32196">
      <w:pPr>
        <w:shd w:val="clear"/>
        <w:jc w:val="left"/>
        <w:rPr>
          <w:rFonts w:hint="eastAsia" w:ascii="楷体" w:eastAsia="楷体"/>
          <w:color w:val="auto"/>
          <w:kern w:val="0"/>
          <w:sz w:val="32"/>
          <w:szCs w:val="32"/>
          <w:highlight w:val="none"/>
        </w:rPr>
      </w:pPr>
      <w:r>
        <w:rPr>
          <w:rFonts w:ascii="宋体" w:hAnsi="宋体"/>
          <w:color w:val="auto"/>
          <w:highlight w:val="none"/>
        </w:rPr>
        <w:br w:type="page"/>
      </w:r>
      <w:r>
        <w:rPr>
          <w:rFonts w:hint="eastAsia" w:ascii="楷体" w:eastAsia="楷体"/>
          <w:color w:val="auto"/>
          <w:kern w:val="0"/>
          <w:sz w:val="32"/>
          <w:szCs w:val="32"/>
          <w:highlight w:val="none"/>
        </w:rPr>
        <w:t>附件</w:t>
      </w:r>
      <w:r>
        <w:rPr>
          <w:rFonts w:hint="default" w:ascii="楷体" w:eastAsia="楷体"/>
          <w:color w:val="auto"/>
          <w:kern w:val="0"/>
          <w:sz w:val="32"/>
          <w:szCs w:val="32"/>
          <w:highlight w:val="none"/>
          <w:lang w:val="en-US"/>
        </w:rPr>
        <w:t>3</w:t>
      </w:r>
      <w:r>
        <w:rPr>
          <w:rFonts w:hint="eastAsia" w:ascii="楷体" w:eastAsia="楷体"/>
          <w:color w:val="auto"/>
          <w:kern w:val="0"/>
          <w:sz w:val="32"/>
          <w:szCs w:val="32"/>
          <w:highlight w:val="none"/>
        </w:rPr>
        <w:t>：</w:t>
      </w:r>
    </w:p>
    <w:p w14:paraId="2A059760">
      <w:pPr>
        <w:shd w:val="clear"/>
        <w:spacing w:line="528" w:lineRule="exact"/>
        <w:ind w:firstLine="2000" w:firstLineChars="500"/>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50"/>
        <w:tblW w:w="9220"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631"/>
        <w:gridCol w:w="1161"/>
        <w:gridCol w:w="1581"/>
        <w:gridCol w:w="1615"/>
        <w:gridCol w:w="4232"/>
      </w:tblGrid>
      <w:tr w14:paraId="565E35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5" w:hRule="atLeast"/>
        </w:trPr>
        <w:tc>
          <w:tcPr>
            <w:tcW w:w="660" w:type="dxa"/>
            <w:tcBorders>
              <w:tl2br w:val="nil"/>
              <w:tr2bl w:val="nil"/>
            </w:tcBorders>
            <w:noWrap w:val="0"/>
            <w:vAlign w:val="top"/>
          </w:tcPr>
          <w:p w14:paraId="6B756092">
            <w:pPr>
              <w:widowControl/>
              <w:shd w:val="clear"/>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品目序号</w:t>
            </w:r>
          </w:p>
        </w:tc>
        <w:tc>
          <w:tcPr>
            <w:tcW w:w="4020" w:type="dxa"/>
            <w:gridSpan w:val="3"/>
            <w:tcBorders>
              <w:tl2br w:val="nil"/>
              <w:tr2bl w:val="nil"/>
            </w:tcBorders>
            <w:noWrap w:val="0"/>
            <w:vAlign w:val="center"/>
          </w:tcPr>
          <w:p w14:paraId="343834C1">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名称</w:t>
            </w:r>
          </w:p>
        </w:tc>
        <w:tc>
          <w:tcPr>
            <w:tcW w:w="4540" w:type="dxa"/>
            <w:tcBorders>
              <w:tl2br w:val="nil"/>
              <w:tr2bl w:val="nil"/>
            </w:tcBorders>
            <w:noWrap w:val="0"/>
            <w:vAlign w:val="center"/>
          </w:tcPr>
          <w:p w14:paraId="6C305B34">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依据的标准</w:t>
            </w:r>
          </w:p>
        </w:tc>
      </w:tr>
      <w:tr w14:paraId="3C2302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vMerge w:val="restart"/>
            <w:tcBorders>
              <w:tl2br w:val="nil"/>
              <w:tr2bl w:val="nil"/>
            </w:tcBorders>
            <w:noWrap w:val="0"/>
            <w:vAlign w:val="center"/>
          </w:tcPr>
          <w:p w14:paraId="10D94F82">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080" w:type="dxa"/>
            <w:vMerge w:val="restart"/>
            <w:tcBorders>
              <w:tl2br w:val="nil"/>
              <w:tr2bl w:val="nil"/>
            </w:tcBorders>
            <w:noWrap w:val="0"/>
            <w:vAlign w:val="center"/>
          </w:tcPr>
          <w:p w14:paraId="673B4FB3">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A020101计算机设备</w:t>
            </w:r>
          </w:p>
        </w:tc>
        <w:tc>
          <w:tcPr>
            <w:tcW w:w="1320" w:type="dxa"/>
            <w:tcBorders>
              <w:tl2br w:val="nil"/>
              <w:tr2bl w:val="nil"/>
            </w:tcBorders>
            <w:noWrap w:val="0"/>
            <w:vAlign w:val="center"/>
          </w:tcPr>
          <w:p w14:paraId="537D9105">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★A02010104台式计算机</w:t>
            </w:r>
          </w:p>
        </w:tc>
        <w:tc>
          <w:tcPr>
            <w:tcW w:w="1620" w:type="dxa"/>
            <w:tcBorders>
              <w:tl2br w:val="nil"/>
              <w:tr2bl w:val="nil"/>
            </w:tcBorders>
            <w:noWrap w:val="0"/>
            <w:vAlign w:val="center"/>
          </w:tcPr>
          <w:p w14:paraId="6B332567">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2A0F427D">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3609CF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5ED36FC1">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6240F400">
            <w:pPr>
              <w:widowControl/>
              <w:shd w:val="clear"/>
              <w:jc w:val="left"/>
              <w:rPr>
                <w:rFonts w:ascii="宋体" w:hAnsi="宋体" w:cs="宋体"/>
                <w:color w:val="auto"/>
                <w:kern w:val="0"/>
                <w:szCs w:val="21"/>
                <w:highlight w:val="none"/>
              </w:rPr>
            </w:pPr>
          </w:p>
        </w:tc>
        <w:tc>
          <w:tcPr>
            <w:tcW w:w="1320" w:type="dxa"/>
            <w:tcBorders>
              <w:tl2br w:val="nil"/>
              <w:tr2bl w:val="nil"/>
            </w:tcBorders>
            <w:noWrap w:val="0"/>
            <w:vAlign w:val="center"/>
          </w:tcPr>
          <w:p w14:paraId="198D74EB">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★A02010105便携式计算机</w:t>
            </w:r>
          </w:p>
        </w:tc>
        <w:tc>
          <w:tcPr>
            <w:tcW w:w="1620" w:type="dxa"/>
            <w:tcBorders>
              <w:tl2br w:val="nil"/>
              <w:tr2bl w:val="nil"/>
            </w:tcBorders>
            <w:noWrap w:val="0"/>
            <w:vAlign w:val="center"/>
          </w:tcPr>
          <w:p w14:paraId="453A3EF0">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038653E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0716AF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68545F4F">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1001A106">
            <w:pPr>
              <w:widowControl/>
              <w:shd w:val="clear"/>
              <w:jc w:val="left"/>
              <w:rPr>
                <w:rFonts w:ascii="宋体" w:hAnsi="宋体" w:cs="宋体"/>
                <w:color w:val="auto"/>
                <w:kern w:val="0"/>
                <w:szCs w:val="21"/>
                <w:highlight w:val="none"/>
              </w:rPr>
            </w:pPr>
          </w:p>
        </w:tc>
        <w:tc>
          <w:tcPr>
            <w:tcW w:w="1320" w:type="dxa"/>
            <w:tcBorders>
              <w:tl2br w:val="nil"/>
              <w:tr2bl w:val="nil"/>
            </w:tcBorders>
            <w:noWrap w:val="0"/>
            <w:vAlign w:val="center"/>
          </w:tcPr>
          <w:p w14:paraId="6FC403F1">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★A02010107平板式微型计算机</w:t>
            </w:r>
          </w:p>
        </w:tc>
        <w:tc>
          <w:tcPr>
            <w:tcW w:w="1620" w:type="dxa"/>
            <w:tcBorders>
              <w:tl2br w:val="nil"/>
              <w:tr2bl w:val="nil"/>
            </w:tcBorders>
            <w:noWrap w:val="0"/>
            <w:vAlign w:val="center"/>
          </w:tcPr>
          <w:p w14:paraId="46C938BA">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3EF0866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7341AE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vMerge w:val="restart"/>
            <w:tcBorders>
              <w:tl2br w:val="nil"/>
              <w:tr2bl w:val="nil"/>
            </w:tcBorders>
            <w:noWrap w:val="0"/>
            <w:vAlign w:val="center"/>
          </w:tcPr>
          <w:p w14:paraId="559AEA6D">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080" w:type="dxa"/>
            <w:vMerge w:val="restart"/>
            <w:tcBorders>
              <w:tl2br w:val="nil"/>
              <w:tr2bl w:val="nil"/>
            </w:tcBorders>
            <w:noWrap w:val="0"/>
            <w:vAlign w:val="center"/>
          </w:tcPr>
          <w:p w14:paraId="2DD2F4E4">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A020106输入输出设备</w:t>
            </w:r>
          </w:p>
        </w:tc>
        <w:tc>
          <w:tcPr>
            <w:tcW w:w="1320" w:type="dxa"/>
            <w:vMerge w:val="restart"/>
            <w:tcBorders>
              <w:tl2br w:val="nil"/>
              <w:tr2bl w:val="nil"/>
            </w:tcBorders>
            <w:noWrap w:val="0"/>
            <w:vAlign w:val="center"/>
          </w:tcPr>
          <w:p w14:paraId="65DBF7D1">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A02010601打印设备</w:t>
            </w:r>
          </w:p>
        </w:tc>
        <w:tc>
          <w:tcPr>
            <w:tcW w:w="1620" w:type="dxa"/>
            <w:tcBorders>
              <w:tl2br w:val="nil"/>
              <w:tr2bl w:val="nil"/>
            </w:tcBorders>
            <w:noWrap w:val="0"/>
            <w:vAlign w:val="center"/>
          </w:tcPr>
          <w:p w14:paraId="79F65772">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A0201060101喷墨打印机</w:t>
            </w:r>
          </w:p>
        </w:tc>
        <w:tc>
          <w:tcPr>
            <w:tcW w:w="4540" w:type="dxa"/>
            <w:tcBorders>
              <w:tl2br w:val="nil"/>
              <w:tr2bl w:val="nil"/>
            </w:tcBorders>
            <w:noWrap w:val="0"/>
            <w:vAlign w:val="center"/>
          </w:tcPr>
          <w:p w14:paraId="4E9D27D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5732AD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2076903A">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57F430B2">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73B4874D">
            <w:pPr>
              <w:widowControl/>
              <w:shd w:val="clear"/>
              <w:jc w:val="left"/>
              <w:rPr>
                <w:rFonts w:ascii="宋体" w:hAnsi="宋体" w:cs="宋体"/>
                <w:color w:val="auto"/>
                <w:kern w:val="0"/>
                <w:szCs w:val="21"/>
                <w:highlight w:val="none"/>
              </w:rPr>
            </w:pPr>
          </w:p>
        </w:tc>
        <w:tc>
          <w:tcPr>
            <w:tcW w:w="1620" w:type="dxa"/>
            <w:tcBorders>
              <w:tl2br w:val="nil"/>
              <w:tr2bl w:val="nil"/>
            </w:tcBorders>
            <w:noWrap w:val="0"/>
            <w:vAlign w:val="center"/>
          </w:tcPr>
          <w:p w14:paraId="0409A89B">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★A0201060102激光打印机</w:t>
            </w:r>
          </w:p>
        </w:tc>
        <w:tc>
          <w:tcPr>
            <w:tcW w:w="4540" w:type="dxa"/>
            <w:tcBorders>
              <w:tl2br w:val="nil"/>
              <w:tr2bl w:val="nil"/>
            </w:tcBorders>
            <w:noWrap w:val="0"/>
            <w:vAlign w:val="center"/>
          </w:tcPr>
          <w:p w14:paraId="44668BE1">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13AEE7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64FC9071">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0031E2AA">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1E0BEC37">
            <w:pPr>
              <w:widowControl/>
              <w:shd w:val="clear"/>
              <w:jc w:val="left"/>
              <w:rPr>
                <w:rFonts w:ascii="宋体" w:hAnsi="宋体" w:cs="宋体"/>
                <w:color w:val="auto"/>
                <w:kern w:val="0"/>
                <w:szCs w:val="21"/>
                <w:highlight w:val="none"/>
              </w:rPr>
            </w:pPr>
          </w:p>
        </w:tc>
        <w:tc>
          <w:tcPr>
            <w:tcW w:w="1620" w:type="dxa"/>
            <w:tcBorders>
              <w:tl2br w:val="nil"/>
              <w:tr2bl w:val="nil"/>
            </w:tcBorders>
            <w:noWrap w:val="0"/>
            <w:vAlign w:val="center"/>
          </w:tcPr>
          <w:p w14:paraId="5C24DAE4">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★A0201060104针式打印机</w:t>
            </w:r>
          </w:p>
        </w:tc>
        <w:tc>
          <w:tcPr>
            <w:tcW w:w="4540" w:type="dxa"/>
            <w:tcBorders>
              <w:tl2br w:val="nil"/>
              <w:tr2bl w:val="nil"/>
            </w:tcBorders>
            <w:noWrap w:val="0"/>
            <w:vAlign w:val="center"/>
          </w:tcPr>
          <w:p w14:paraId="5008A65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57BBB3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7005E58C">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3D8533C6">
            <w:pPr>
              <w:widowControl/>
              <w:shd w:val="clear"/>
              <w:jc w:val="left"/>
              <w:rPr>
                <w:rFonts w:ascii="宋体" w:hAnsi="宋体" w:cs="宋体"/>
                <w:color w:val="auto"/>
                <w:kern w:val="0"/>
                <w:szCs w:val="21"/>
                <w:highlight w:val="none"/>
              </w:rPr>
            </w:pPr>
          </w:p>
        </w:tc>
        <w:tc>
          <w:tcPr>
            <w:tcW w:w="1320" w:type="dxa"/>
            <w:tcBorders>
              <w:tl2br w:val="nil"/>
              <w:tr2bl w:val="nil"/>
            </w:tcBorders>
            <w:noWrap w:val="0"/>
            <w:vAlign w:val="center"/>
          </w:tcPr>
          <w:p w14:paraId="4B061843">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A02010604显示设备</w:t>
            </w:r>
          </w:p>
        </w:tc>
        <w:tc>
          <w:tcPr>
            <w:tcW w:w="1620" w:type="dxa"/>
            <w:tcBorders>
              <w:tl2br w:val="nil"/>
              <w:tr2bl w:val="nil"/>
            </w:tcBorders>
            <w:noWrap w:val="0"/>
            <w:vAlign w:val="center"/>
          </w:tcPr>
          <w:p w14:paraId="6B523C7A">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★A0201060401液晶显示器</w:t>
            </w:r>
          </w:p>
        </w:tc>
        <w:tc>
          <w:tcPr>
            <w:tcW w:w="4540" w:type="dxa"/>
            <w:tcBorders>
              <w:tl2br w:val="nil"/>
              <w:tr2bl w:val="nil"/>
            </w:tcBorders>
            <w:noWrap w:val="0"/>
            <w:vAlign w:val="center"/>
          </w:tcPr>
          <w:p w14:paraId="42F251F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《计算机显示器能效限定值及能效等级》（GB21520）</w:t>
            </w:r>
          </w:p>
        </w:tc>
      </w:tr>
      <w:tr w14:paraId="3B85F7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75" w:hRule="atLeast"/>
        </w:trPr>
        <w:tc>
          <w:tcPr>
            <w:tcW w:w="0" w:type="auto"/>
            <w:vMerge w:val="continue"/>
            <w:tcBorders>
              <w:tl2br w:val="nil"/>
              <w:tr2bl w:val="nil"/>
            </w:tcBorders>
            <w:noWrap w:val="0"/>
            <w:vAlign w:val="center"/>
          </w:tcPr>
          <w:p w14:paraId="410CD76E">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3267058B">
            <w:pPr>
              <w:widowControl/>
              <w:shd w:val="clear"/>
              <w:jc w:val="left"/>
              <w:rPr>
                <w:rFonts w:ascii="宋体" w:hAnsi="宋体" w:cs="宋体"/>
                <w:color w:val="auto"/>
                <w:kern w:val="0"/>
                <w:szCs w:val="21"/>
                <w:highlight w:val="none"/>
              </w:rPr>
            </w:pPr>
          </w:p>
        </w:tc>
        <w:tc>
          <w:tcPr>
            <w:tcW w:w="1320" w:type="dxa"/>
            <w:tcBorders>
              <w:tl2br w:val="nil"/>
              <w:tr2bl w:val="nil"/>
            </w:tcBorders>
            <w:noWrap w:val="0"/>
            <w:vAlign w:val="center"/>
          </w:tcPr>
          <w:p w14:paraId="0CEDC01A">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A02010609图形图像输入设备</w:t>
            </w:r>
          </w:p>
        </w:tc>
        <w:tc>
          <w:tcPr>
            <w:tcW w:w="1620" w:type="dxa"/>
            <w:tcBorders>
              <w:tl2br w:val="nil"/>
              <w:tr2bl w:val="nil"/>
            </w:tcBorders>
            <w:noWrap w:val="0"/>
            <w:vAlign w:val="center"/>
          </w:tcPr>
          <w:p w14:paraId="7D730B2D">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A0201060901扫描仪</w:t>
            </w:r>
          </w:p>
        </w:tc>
        <w:tc>
          <w:tcPr>
            <w:tcW w:w="4540" w:type="dxa"/>
            <w:tcBorders>
              <w:tl2br w:val="nil"/>
              <w:tr2bl w:val="nil"/>
            </w:tcBorders>
            <w:noWrap w:val="0"/>
            <w:vAlign w:val="center"/>
          </w:tcPr>
          <w:p w14:paraId="0B712C5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参照《复印机、打印机和传真机能效限定值及能效等级》（GB21521中打印速度为15页/分的针式打印机相关要求中打印速度为15页/分的针式打印机相关要求</w:t>
            </w:r>
          </w:p>
        </w:tc>
      </w:tr>
      <w:tr w14:paraId="7F84F7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15AF4845">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080" w:type="dxa"/>
            <w:tcBorders>
              <w:tl2br w:val="nil"/>
              <w:tr2bl w:val="nil"/>
            </w:tcBorders>
            <w:noWrap w:val="0"/>
            <w:vAlign w:val="center"/>
          </w:tcPr>
          <w:p w14:paraId="0B6B2ACB">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A020202投影仪</w:t>
            </w:r>
          </w:p>
        </w:tc>
        <w:tc>
          <w:tcPr>
            <w:tcW w:w="1320" w:type="dxa"/>
            <w:tcBorders>
              <w:tl2br w:val="nil"/>
              <w:tr2bl w:val="nil"/>
            </w:tcBorders>
            <w:noWrap w:val="0"/>
            <w:vAlign w:val="center"/>
          </w:tcPr>
          <w:p w14:paraId="686F647F">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l2br w:val="nil"/>
              <w:tr2bl w:val="nil"/>
            </w:tcBorders>
            <w:noWrap w:val="0"/>
            <w:vAlign w:val="center"/>
          </w:tcPr>
          <w:p w14:paraId="0BF75410">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50EB88E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《投影机能效限定值及能效等级》（GB32028）</w:t>
            </w:r>
          </w:p>
        </w:tc>
      </w:tr>
      <w:tr w14:paraId="3EEA76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3657DFAB">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1080" w:type="dxa"/>
            <w:tcBorders>
              <w:tl2br w:val="nil"/>
              <w:tr2bl w:val="nil"/>
            </w:tcBorders>
            <w:noWrap w:val="0"/>
            <w:vAlign w:val="center"/>
          </w:tcPr>
          <w:p w14:paraId="29CDDBB4">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A020204多功能一体机</w:t>
            </w:r>
          </w:p>
        </w:tc>
        <w:tc>
          <w:tcPr>
            <w:tcW w:w="1320" w:type="dxa"/>
            <w:tcBorders>
              <w:tl2br w:val="nil"/>
              <w:tr2bl w:val="nil"/>
            </w:tcBorders>
            <w:noWrap w:val="0"/>
            <w:vAlign w:val="center"/>
          </w:tcPr>
          <w:p w14:paraId="1B7A3453">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l2br w:val="nil"/>
              <w:tr2bl w:val="nil"/>
            </w:tcBorders>
            <w:noWrap w:val="0"/>
            <w:vAlign w:val="center"/>
          </w:tcPr>
          <w:p w14:paraId="3BF944AE">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73E58066">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32D680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068AFDEA">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1080" w:type="dxa"/>
            <w:tcBorders>
              <w:tl2br w:val="nil"/>
              <w:tr2bl w:val="nil"/>
            </w:tcBorders>
            <w:noWrap w:val="0"/>
            <w:vAlign w:val="center"/>
          </w:tcPr>
          <w:p w14:paraId="21C8EE19">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A020519泵</w:t>
            </w:r>
          </w:p>
        </w:tc>
        <w:tc>
          <w:tcPr>
            <w:tcW w:w="1320" w:type="dxa"/>
            <w:tcBorders>
              <w:tl2br w:val="nil"/>
              <w:tr2bl w:val="nil"/>
            </w:tcBorders>
            <w:noWrap w:val="0"/>
            <w:vAlign w:val="center"/>
          </w:tcPr>
          <w:p w14:paraId="6C7EB3FD">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A02051901离心泵</w:t>
            </w:r>
          </w:p>
        </w:tc>
        <w:tc>
          <w:tcPr>
            <w:tcW w:w="1620" w:type="dxa"/>
            <w:tcBorders>
              <w:tl2br w:val="nil"/>
              <w:tr2bl w:val="nil"/>
            </w:tcBorders>
            <w:noWrap w:val="0"/>
            <w:vAlign w:val="center"/>
          </w:tcPr>
          <w:p w14:paraId="1661115A">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5B317C0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《清水离心泵能效限定值及节能评价值》（GB19762）</w:t>
            </w:r>
          </w:p>
        </w:tc>
      </w:tr>
      <w:tr w14:paraId="6B9615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60" w:type="dxa"/>
            <w:vMerge w:val="restart"/>
            <w:tcBorders>
              <w:tl2br w:val="nil"/>
              <w:tr2bl w:val="nil"/>
            </w:tcBorders>
            <w:noWrap w:val="0"/>
            <w:vAlign w:val="center"/>
          </w:tcPr>
          <w:p w14:paraId="50CEEF66">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1080" w:type="dxa"/>
            <w:vMerge w:val="restart"/>
            <w:tcBorders>
              <w:tl2br w:val="nil"/>
              <w:tr2bl w:val="nil"/>
            </w:tcBorders>
            <w:noWrap w:val="0"/>
            <w:vAlign w:val="center"/>
          </w:tcPr>
          <w:p w14:paraId="2EF918D7">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A020523制冷空调设备</w:t>
            </w:r>
          </w:p>
        </w:tc>
        <w:tc>
          <w:tcPr>
            <w:tcW w:w="1320" w:type="dxa"/>
            <w:vMerge w:val="restart"/>
            <w:tcBorders>
              <w:tl2br w:val="nil"/>
              <w:tr2bl w:val="nil"/>
            </w:tcBorders>
            <w:noWrap w:val="0"/>
            <w:vAlign w:val="center"/>
          </w:tcPr>
          <w:p w14:paraId="3C93B466">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★A02052301制冷压缩机</w:t>
            </w:r>
          </w:p>
        </w:tc>
        <w:tc>
          <w:tcPr>
            <w:tcW w:w="1620" w:type="dxa"/>
            <w:tcBorders>
              <w:tl2br w:val="nil"/>
              <w:tr2bl w:val="nil"/>
            </w:tcBorders>
            <w:noWrap w:val="0"/>
            <w:vAlign w:val="center"/>
          </w:tcPr>
          <w:p w14:paraId="2EB275F8">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冷水机组</w:t>
            </w:r>
          </w:p>
        </w:tc>
        <w:tc>
          <w:tcPr>
            <w:tcW w:w="4540" w:type="dxa"/>
            <w:tcBorders>
              <w:tl2br w:val="nil"/>
              <w:tr2bl w:val="nil"/>
            </w:tcBorders>
            <w:noWrap w:val="0"/>
            <w:vAlign w:val="center"/>
          </w:tcPr>
          <w:p w14:paraId="2AF97C0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《冷水机组能效限定值及能效等级》（GB19577），《低环境温度空气源热泵（冷水）机组能效限定值及能效等级》（GB37480）</w:t>
            </w:r>
          </w:p>
        </w:tc>
      </w:tr>
      <w:tr w14:paraId="4C3E9F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70928119">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6E39710A">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0C59879E">
            <w:pPr>
              <w:widowControl/>
              <w:shd w:val="clear"/>
              <w:jc w:val="left"/>
              <w:rPr>
                <w:rFonts w:ascii="宋体" w:hAnsi="宋体" w:cs="宋体"/>
                <w:color w:val="auto"/>
                <w:kern w:val="0"/>
                <w:szCs w:val="21"/>
                <w:highlight w:val="none"/>
              </w:rPr>
            </w:pPr>
          </w:p>
        </w:tc>
        <w:tc>
          <w:tcPr>
            <w:tcW w:w="1620" w:type="dxa"/>
            <w:tcBorders>
              <w:tl2br w:val="nil"/>
              <w:tr2bl w:val="nil"/>
            </w:tcBorders>
            <w:noWrap w:val="0"/>
            <w:vAlign w:val="center"/>
          </w:tcPr>
          <w:p w14:paraId="065D9D31">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水源热泵机组</w:t>
            </w:r>
          </w:p>
        </w:tc>
        <w:tc>
          <w:tcPr>
            <w:tcW w:w="4540" w:type="dxa"/>
            <w:tcBorders>
              <w:tl2br w:val="nil"/>
              <w:tr2bl w:val="nil"/>
            </w:tcBorders>
            <w:noWrap w:val="0"/>
            <w:vAlign w:val="center"/>
          </w:tcPr>
          <w:p w14:paraId="27527E3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《水（地）源热泵机组能效限定值及能效等级》（GB30721）</w:t>
            </w:r>
          </w:p>
        </w:tc>
      </w:tr>
      <w:tr w14:paraId="328427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129D210E">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69342D93">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37331D51">
            <w:pPr>
              <w:widowControl/>
              <w:shd w:val="clear"/>
              <w:jc w:val="left"/>
              <w:rPr>
                <w:rFonts w:ascii="宋体" w:hAnsi="宋体" w:cs="宋体"/>
                <w:color w:val="auto"/>
                <w:kern w:val="0"/>
                <w:szCs w:val="21"/>
                <w:highlight w:val="none"/>
              </w:rPr>
            </w:pPr>
          </w:p>
        </w:tc>
        <w:tc>
          <w:tcPr>
            <w:tcW w:w="1620" w:type="dxa"/>
            <w:tcBorders>
              <w:tl2br w:val="nil"/>
              <w:tr2bl w:val="nil"/>
            </w:tcBorders>
            <w:noWrap w:val="0"/>
            <w:vAlign w:val="center"/>
          </w:tcPr>
          <w:p w14:paraId="1D7A6E81">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溴化锂吸收式冷水机组</w:t>
            </w:r>
          </w:p>
        </w:tc>
        <w:tc>
          <w:tcPr>
            <w:tcW w:w="4540" w:type="dxa"/>
            <w:tcBorders>
              <w:tl2br w:val="nil"/>
              <w:tr2bl w:val="nil"/>
            </w:tcBorders>
            <w:noWrap w:val="0"/>
            <w:vAlign w:val="center"/>
          </w:tcPr>
          <w:p w14:paraId="5963F589">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《溴化锂吸收式冷水机组能效限定值及能效等级》（GB29540）</w:t>
            </w:r>
          </w:p>
        </w:tc>
      </w:tr>
      <w:tr w14:paraId="2288EA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05A007B1">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25D5A6E5">
            <w:pPr>
              <w:widowControl/>
              <w:shd w:val="clear"/>
              <w:jc w:val="left"/>
              <w:rPr>
                <w:rFonts w:ascii="宋体" w:hAnsi="宋体" w:cs="宋体"/>
                <w:color w:val="auto"/>
                <w:kern w:val="0"/>
                <w:szCs w:val="21"/>
                <w:highlight w:val="none"/>
              </w:rPr>
            </w:pPr>
          </w:p>
        </w:tc>
        <w:tc>
          <w:tcPr>
            <w:tcW w:w="1320" w:type="dxa"/>
            <w:vMerge w:val="restart"/>
            <w:tcBorders>
              <w:tl2br w:val="nil"/>
              <w:tr2bl w:val="nil"/>
            </w:tcBorders>
            <w:noWrap w:val="0"/>
            <w:vAlign w:val="center"/>
          </w:tcPr>
          <w:p w14:paraId="0E483DC7">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★A02052305空调机组</w:t>
            </w:r>
          </w:p>
        </w:tc>
        <w:tc>
          <w:tcPr>
            <w:tcW w:w="1620" w:type="dxa"/>
            <w:tcBorders>
              <w:tl2br w:val="nil"/>
              <w:tr2bl w:val="nil"/>
            </w:tcBorders>
            <w:noWrap w:val="0"/>
            <w:vAlign w:val="center"/>
          </w:tcPr>
          <w:p w14:paraId="07FF0231">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多联式空调（热泵）机组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制冷量&gt;14000W</w:t>
            </w:r>
            <w:r>
              <w:rPr>
                <w:rFonts w:hint="eastAsia" w:ascii="宋体" w:hAnsi="宋体" w:cs="宋体"/>
                <w:color w:val="auto"/>
                <w:kern w:val="0"/>
                <w:szCs w:val="21"/>
                <w:highlight w:val="none"/>
                <w:lang w:eastAsia="zh-CN"/>
              </w:rPr>
              <w:t>）</w:t>
            </w:r>
          </w:p>
        </w:tc>
        <w:tc>
          <w:tcPr>
            <w:tcW w:w="4540" w:type="dxa"/>
            <w:tcBorders>
              <w:tl2br w:val="nil"/>
              <w:tr2bl w:val="nil"/>
            </w:tcBorders>
            <w:noWrap w:val="0"/>
            <w:vAlign w:val="center"/>
          </w:tcPr>
          <w:p w14:paraId="59C2F20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《多联式空调（热泵）机组能效限定值及能源效率等级》（GB21454）</w:t>
            </w:r>
          </w:p>
        </w:tc>
      </w:tr>
      <w:tr w14:paraId="5B6F3E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45CEF16A">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34CBFA50">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5E52B140">
            <w:pPr>
              <w:widowControl/>
              <w:shd w:val="clear"/>
              <w:jc w:val="left"/>
              <w:rPr>
                <w:rFonts w:ascii="宋体" w:hAnsi="宋体" w:cs="宋体"/>
                <w:color w:val="auto"/>
                <w:kern w:val="0"/>
                <w:szCs w:val="21"/>
                <w:highlight w:val="none"/>
              </w:rPr>
            </w:pPr>
          </w:p>
        </w:tc>
        <w:tc>
          <w:tcPr>
            <w:tcW w:w="1620" w:type="dxa"/>
            <w:tcBorders>
              <w:tl2br w:val="nil"/>
              <w:tr2bl w:val="nil"/>
            </w:tcBorders>
            <w:noWrap w:val="0"/>
            <w:vAlign w:val="center"/>
          </w:tcPr>
          <w:p w14:paraId="6B6FFC9B">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单元式空气调节机(制冷量&gt;14000W</w:t>
            </w:r>
          </w:p>
        </w:tc>
        <w:tc>
          <w:tcPr>
            <w:tcW w:w="4540" w:type="dxa"/>
            <w:tcBorders>
              <w:tl2br w:val="nil"/>
              <w:tr2bl w:val="nil"/>
            </w:tcBorders>
            <w:noWrap w:val="0"/>
            <w:vAlign w:val="center"/>
          </w:tcPr>
          <w:p w14:paraId="62879E7A">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《单元式空气调节机能效限定值及能效等级》（GB19576）《风管送风式空调机组能效限定值及能效等级》（GB37479）</w:t>
            </w:r>
          </w:p>
        </w:tc>
      </w:tr>
      <w:tr w14:paraId="7D1696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4077B778">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4DC6EEAC">
            <w:pPr>
              <w:widowControl/>
              <w:shd w:val="clear"/>
              <w:jc w:val="left"/>
              <w:rPr>
                <w:rFonts w:ascii="宋体" w:hAnsi="宋体" w:cs="宋体"/>
                <w:color w:val="auto"/>
                <w:kern w:val="0"/>
                <w:szCs w:val="21"/>
                <w:highlight w:val="none"/>
              </w:rPr>
            </w:pPr>
          </w:p>
        </w:tc>
        <w:tc>
          <w:tcPr>
            <w:tcW w:w="1320" w:type="dxa"/>
            <w:tcBorders>
              <w:tl2br w:val="nil"/>
              <w:tr2bl w:val="nil"/>
            </w:tcBorders>
            <w:noWrap w:val="0"/>
            <w:vAlign w:val="center"/>
          </w:tcPr>
          <w:p w14:paraId="185404D5">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★A02052309专用制冷、空调设备</w:t>
            </w:r>
          </w:p>
        </w:tc>
        <w:tc>
          <w:tcPr>
            <w:tcW w:w="1620" w:type="dxa"/>
            <w:tcBorders>
              <w:tl2br w:val="nil"/>
              <w:tr2bl w:val="nil"/>
            </w:tcBorders>
            <w:noWrap w:val="0"/>
            <w:vAlign w:val="center"/>
          </w:tcPr>
          <w:p w14:paraId="10F65DDA">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机房空调</w:t>
            </w:r>
          </w:p>
        </w:tc>
        <w:tc>
          <w:tcPr>
            <w:tcW w:w="4540" w:type="dxa"/>
            <w:tcBorders>
              <w:tl2br w:val="nil"/>
              <w:tr2bl w:val="nil"/>
            </w:tcBorders>
            <w:noWrap w:val="0"/>
            <w:vAlign w:val="center"/>
          </w:tcPr>
          <w:p w14:paraId="5FAB5CD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《单元式空气调节机能效限定值及能效等级》（GB19576）</w:t>
            </w:r>
          </w:p>
        </w:tc>
      </w:tr>
      <w:tr w14:paraId="7DBC40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049276F9">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0AAFA765">
            <w:pPr>
              <w:widowControl/>
              <w:shd w:val="clear"/>
              <w:jc w:val="left"/>
              <w:rPr>
                <w:rFonts w:ascii="宋体" w:hAnsi="宋体" w:cs="宋体"/>
                <w:color w:val="auto"/>
                <w:kern w:val="0"/>
                <w:szCs w:val="21"/>
                <w:highlight w:val="none"/>
              </w:rPr>
            </w:pPr>
          </w:p>
        </w:tc>
        <w:tc>
          <w:tcPr>
            <w:tcW w:w="1320" w:type="dxa"/>
            <w:tcBorders>
              <w:tl2br w:val="nil"/>
              <w:tr2bl w:val="nil"/>
            </w:tcBorders>
            <w:noWrap w:val="0"/>
            <w:vAlign w:val="center"/>
          </w:tcPr>
          <w:p w14:paraId="0563C1F1">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A02052399其他制冷空调设备</w:t>
            </w:r>
          </w:p>
        </w:tc>
        <w:tc>
          <w:tcPr>
            <w:tcW w:w="1620" w:type="dxa"/>
            <w:tcBorders>
              <w:tl2br w:val="nil"/>
              <w:tr2bl w:val="nil"/>
            </w:tcBorders>
            <w:noWrap w:val="0"/>
            <w:vAlign w:val="center"/>
          </w:tcPr>
          <w:p w14:paraId="0147DE7F">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冷却塔</w:t>
            </w:r>
          </w:p>
        </w:tc>
        <w:tc>
          <w:tcPr>
            <w:tcW w:w="4540" w:type="dxa"/>
            <w:tcBorders>
              <w:tl2br w:val="nil"/>
              <w:tr2bl w:val="nil"/>
            </w:tcBorders>
            <w:noWrap w:val="0"/>
            <w:vAlign w:val="center"/>
          </w:tcPr>
          <w:p w14:paraId="16A4E8CA">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《机械通风冷却塔第1部分：中小型开式冷却塔》（GB/T7190.1）；《机械通风冷却塔第2部分：大型开式冷却塔》（GB/T7190.2）</w:t>
            </w:r>
          </w:p>
        </w:tc>
      </w:tr>
      <w:tr w14:paraId="2A2769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76F4BB1E">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w:t>
            </w:r>
          </w:p>
        </w:tc>
        <w:tc>
          <w:tcPr>
            <w:tcW w:w="1080" w:type="dxa"/>
            <w:tcBorders>
              <w:tl2br w:val="nil"/>
              <w:tr2bl w:val="nil"/>
            </w:tcBorders>
            <w:noWrap w:val="0"/>
            <w:vAlign w:val="center"/>
          </w:tcPr>
          <w:p w14:paraId="630720C6">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A020601电机</w:t>
            </w:r>
          </w:p>
        </w:tc>
        <w:tc>
          <w:tcPr>
            <w:tcW w:w="1320" w:type="dxa"/>
            <w:tcBorders>
              <w:tl2br w:val="nil"/>
              <w:tr2bl w:val="nil"/>
            </w:tcBorders>
            <w:noWrap w:val="0"/>
            <w:vAlign w:val="center"/>
          </w:tcPr>
          <w:p w14:paraId="10171550">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l2br w:val="nil"/>
              <w:tr2bl w:val="nil"/>
            </w:tcBorders>
            <w:noWrap w:val="0"/>
            <w:vAlign w:val="center"/>
          </w:tcPr>
          <w:p w14:paraId="7159C1DD">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0CA4ED3A">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《中小型三相异步电动机能效限定值及能效等级》（GB18613）</w:t>
            </w:r>
          </w:p>
        </w:tc>
      </w:tr>
      <w:tr w14:paraId="1429F8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51BDF529">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8</w:t>
            </w:r>
          </w:p>
        </w:tc>
        <w:tc>
          <w:tcPr>
            <w:tcW w:w="1080" w:type="dxa"/>
            <w:tcBorders>
              <w:tl2br w:val="nil"/>
              <w:tr2bl w:val="nil"/>
            </w:tcBorders>
            <w:noWrap w:val="0"/>
            <w:vAlign w:val="center"/>
          </w:tcPr>
          <w:p w14:paraId="158967FE">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A020602变压器</w:t>
            </w:r>
          </w:p>
        </w:tc>
        <w:tc>
          <w:tcPr>
            <w:tcW w:w="1320" w:type="dxa"/>
            <w:tcBorders>
              <w:tl2br w:val="nil"/>
              <w:tr2bl w:val="nil"/>
            </w:tcBorders>
            <w:noWrap w:val="0"/>
            <w:vAlign w:val="center"/>
          </w:tcPr>
          <w:p w14:paraId="2601B8BA">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配电变压器</w:t>
            </w:r>
          </w:p>
        </w:tc>
        <w:tc>
          <w:tcPr>
            <w:tcW w:w="1620" w:type="dxa"/>
            <w:tcBorders>
              <w:tl2br w:val="nil"/>
              <w:tr2bl w:val="nil"/>
            </w:tcBorders>
            <w:noWrap w:val="0"/>
            <w:vAlign w:val="center"/>
          </w:tcPr>
          <w:p w14:paraId="714C1C5F">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1698B34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《三相配电变压器能效限定值及能效等级》（GB20052）</w:t>
            </w:r>
          </w:p>
        </w:tc>
      </w:tr>
      <w:tr w14:paraId="17F5F6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6566966A">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9</w:t>
            </w:r>
          </w:p>
        </w:tc>
        <w:tc>
          <w:tcPr>
            <w:tcW w:w="1080" w:type="dxa"/>
            <w:tcBorders>
              <w:tl2br w:val="nil"/>
              <w:tr2bl w:val="nil"/>
            </w:tcBorders>
            <w:noWrap w:val="0"/>
            <w:vAlign w:val="center"/>
          </w:tcPr>
          <w:p w14:paraId="62EAAE08">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★A020609镇流器</w:t>
            </w:r>
          </w:p>
        </w:tc>
        <w:tc>
          <w:tcPr>
            <w:tcW w:w="1320" w:type="dxa"/>
            <w:tcBorders>
              <w:tl2br w:val="nil"/>
              <w:tr2bl w:val="nil"/>
            </w:tcBorders>
            <w:noWrap w:val="0"/>
            <w:vAlign w:val="center"/>
          </w:tcPr>
          <w:p w14:paraId="3E216695">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管型荧光灯镇流器</w:t>
            </w:r>
          </w:p>
        </w:tc>
        <w:tc>
          <w:tcPr>
            <w:tcW w:w="1620" w:type="dxa"/>
            <w:tcBorders>
              <w:tl2br w:val="nil"/>
              <w:tr2bl w:val="nil"/>
            </w:tcBorders>
            <w:noWrap w:val="0"/>
            <w:vAlign w:val="center"/>
          </w:tcPr>
          <w:p w14:paraId="640372E1">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01502B8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《管形荧光灯镇流器能效限定值及能效等级》（GB17896）</w:t>
            </w:r>
          </w:p>
        </w:tc>
      </w:tr>
      <w:tr w14:paraId="1BA6F3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vMerge w:val="restart"/>
            <w:tcBorders>
              <w:tl2br w:val="nil"/>
              <w:tr2bl w:val="nil"/>
            </w:tcBorders>
            <w:noWrap w:val="0"/>
            <w:vAlign w:val="center"/>
          </w:tcPr>
          <w:p w14:paraId="6EEDBF7B">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10</w:t>
            </w:r>
          </w:p>
        </w:tc>
        <w:tc>
          <w:tcPr>
            <w:tcW w:w="1080" w:type="dxa"/>
            <w:vMerge w:val="restart"/>
            <w:tcBorders>
              <w:tl2br w:val="nil"/>
              <w:tr2bl w:val="nil"/>
            </w:tcBorders>
            <w:noWrap w:val="0"/>
            <w:vAlign w:val="center"/>
          </w:tcPr>
          <w:p w14:paraId="12DE3878">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A020618生活用电器</w:t>
            </w:r>
          </w:p>
        </w:tc>
        <w:tc>
          <w:tcPr>
            <w:tcW w:w="1320" w:type="dxa"/>
            <w:tcBorders>
              <w:tl2br w:val="nil"/>
              <w:tr2bl w:val="nil"/>
            </w:tcBorders>
            <w:noWrap w:val="0"/>
            <w:vAlign w:val="center"/>
          </w:tcPr>
          <w:p w14:paraId="7B90BFB4">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A0206180101电冰箱</w:t>
            </w:r>
          </w:p>
        </w:tc>
        <w:tc>
          <w:tcPr>
            <w:tcW w:w="1620" w:type="dxa"/>
            <w:tcBorders>
              <w:tl2br w:val="nil"/>
              <w:tr2bl w:val="nil"/>
            </w:tcBorders>
            <w:noWrap w:val="0"/>
            <w:vAlign w:val="center"/>
          </w:tcPr>
          <w:p w14:paraId="514A2CA1">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2C70537A">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《家用电冰箱耗电量限定值及能效等级》（GB 12021.2）</w:t>
            </w:r>
          </w:p>
        </w:tc>
      </w:tr>
      <w:tr w14:paraId="4568D2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75" w:hRule="atLeast"/>
        </w:trPr>
        <w:tc>
          <w:tcPr>
            <w:tcW w:w="0" w:type="auto"/>
            <w:vMerge w:val="continue"/>
            <w:tcBorders>
              <w:tl2br w:val="nil"/>
              <w:tr2bl w:val="nil"/>
            </w:tcBorders>
            <w:noWrap w:val="0"/>
            <w:vAlign w:val="center"/>
          </w:tcPr>
          <w:p w14:paraId="49FE77E6">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266DA954">
            <w:pPr>
              <w:widowControl/>
              <w:shd w:val="clear"/>
              <w:jc w:val="left"/>
              <w:rPr>
                <w:rFonts w:ascii="宋体" w:hAnsi="宋体" w:cs="宋体"/>
                <w:color w:val="auto"/>
                <w:kern w:val="0"/>
                <w:szCs w:val="21"/>
                <w:highlight w:val="none"/>
              </w:rPr>
            </w:pPr>
          </w:p>
        </w:tc>
        <w:tc>
          <w:tcPr>
            <w:tcW w:w="1320" w:type="dxa"/>
            <w:vMerge w:val="restart"/>
            <w:tcBorders>
              <w:tl2br w:val="nil"/>
              <w:tr2bl w:val="nil"/>
            </w:tcBorders>
            <w:noWrap w:val="0"/>
            <w:vAlign w:val="center"/>
          </w:tcPr>
          <w:p w14:paraId="4A3E16FA">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★A0206180203空调机</w:t>
            </w:r>
          </w:p>
        </w:tc>
        <w:tc>
          <w:tcPr>
            <w:tcW w:w="1620" w:type="dxa"/>
            <w:tcBorders>
              <w:tl2br w:val="nil"/>
              <w:tr2bl w:val="nil"/>
            </w:tcBorders>
            <w:noWrap w:val="0"/>
            <w:vAlign w:val="center"/>
          </w:tcPr>
          <w:p w14:paraId="7E8DFA06">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房间空气调节器</w:t>
            </w:r>
          </w:p>
        </w:tc>
        <w:tc>
          <w:tcPr>
            <w:tcW w:w="4540" w:type="dxa"/>
            <w:tcBorders>
              <w:tl2br w:val="nil"/>
              <w:tr2bl w:val="nil"/>
            </w:tcBorders>
            <w:noWrap w:val="0"/>
            <w:vAlign w:val="center"/>
          </w:tcPr>
          <w:p w14:paraId="4A6F64D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《转速可控型房间空气调节器能效限定值及能效等级》（GB21455-2013），待2019年修订发布后，按《房间空气调节器能效限定值及能效等级》（GB21455-2019实施。</w:t>
            </w:r>
          </w:p>
        </w:tc>
      </w:tr>
      <w:tr w14:paraId="1C1B10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7C9FABEA">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06A97EE3">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61D3A37F">
            <w:pPr>
              <w:widowControl/>
              <w:shd w:val="clear"/>
              <w:jc w:val="left"/>
              <w:rPr>
                <w:rFonts w:ascii="宋体" w:hAnsi="宋体" w:cs="宋体"/>
                <w:color w:val="auto"/>
                <w:kern w:val="0"/>
                <w:szCs w:val="21"/>
                <w:highlight w:val="none"/>
              </w:rPr>
            </w:pPr>
          </w:p>
        </w:tc>
        <w:tc>
          <w:tcPr>
            <w:tcW w:w="1620" w:type="dxa"/>
            <w:tcBorders>
              <w:tl2br w:val="nil"/>
              <w:tr2bl w:val="nil"/>
            </w:tcBorders>
            <w:noWrap w:val="0"/>
            <w:vAlign w:val="center"/>
          </w:tcPr>
          <w:p w14:paraId="7B428259">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多联式空调（热泵）机组（制冷量≤ 14000W）</w:t>
            </w:r>
          </w:p>
        </w:tc>
        <w:tc>
          <w:tcPr>
            <w:tcW w:w="4540" w:type="dxa"/>
            <w:tcBorders>
              <w:tl2br w:val="nil"/>
              <w:tr2bl w:val="nil"/>
            </w:tcBorders>
            <w:noWrap w:val="0"/>
            <w:vAlign w:val="center"/>
          </w:tcPr>
          <w:p w14:paraId="07F9FA8C">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《多联式空调（热泵）机组能效限定值及能源效率等级》（GB21454）</w:t>
            </w:r>
          </w:p>
        </w:tc>
      </w:tr>
      <w:tr w14:paraId="313A5B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27081586">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7DDD1F9A">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5521F3D0">
            <w:pPr>
              <w:widowControl/>
              <w:shd w:val="clear"/>
              <w:jc w:val="left"/>
              <w:rPr>
                <w:rFonts w:ascii="宋体" w:hAnsi="宋体" w:cs="宋体"/>
                <w:color w:val="auto"/>
                <w:kern w:val="0"/>
                <w:szCs w:val="21"/>
                <w:highlight w:val="none"/>
              </w:rPr>
            </w:pPr>
          </w:p>
        </w:tc>
        <w:tc>
          <w:tcPr>
            <w:tcW w:w="1620" w:type="dxa"/>
            <w:tcBorders>
              <w:tl2br w:val="nil"/>
              <w:tr2bl w:val="nil"/>
            </w:tcBorders>
            <w:noWrap w:val="0"/>
            <w:vAlign w:val="center"/>
          </w:tcPr>
          <w:p w14:paraId="5F265BDF">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制冷量≤14000W</w:t>
            </w:r>
            <w:r>
              <w:rPr>
                <w:rFonts w:hint="eastAsia" w:ascii="宋体" w:hAnsi="宋体" w:cs="宋体"/>
                <w:color w:val="auto"/>
                <w:kern w:val="0"/>
                <w:szCs w:val="21"/>
                <w:highlight w:val="none"/>
                <w:lang w:eastAsia="zh-CN"/>
              </w:rPr>
              <w:t>）</w:t>
            </w:r>
          </w:p>
        </w:tc>
        <w:tc>
          <w:tcPr>
            <w:tcW w:w="4540" w:type="dxa"/>
            <w:tcBorders>
              <w:tl2br w:val="nil"/>
              <w:tr2bl w:val="nil"/>
            </w:tcBorders>
            <w:noWrap w:val="0"/>
            <w:vAlign w:val="center"/>
          </w:tcPr>
          <w:p w14:paraId="5CAFF29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《单元式空气调节机能效限定值及能源效率等级》（GB19576）《风管送风式空调机组能效限定值及能效等级》（GB37479）</w:t>
            </w:r>
          </w:p>
        </w:tc>
      </w:tr>
      <w:tr w14:paraId="58F61C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1DB6D5F0">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4FE4F60C">
            <w:pPr>
              <w:widowControl/>
              <w:shd w:val="clear"/>
              <w:jc w:val="left"/>
              <w:rPr>
                <w:rFonts w:ascii="宋体" w:hAnsi="宋体" w:cs="宋体"/>
                <w:color w:val="auto"/>
                <w:kern w:val="0"/>
                <w:szCs w:val="21"/>
                <w:highlight w:val="none"/>
              </w:rPr>
            </w:pPr>
          </w:p>
        </w:tc>
        <w:tc>
          <w:tcPr>
            <w:tcW w:w="1320" w:type="dxa"/>
            <w:tcBorders>
              <w:tl2br w:val="nil"/>
              <w:tr2bl w:val="nil"/>
            </w:tcBorders>
            <w:noWrap w:val="0"/>
            <w:vAlign w:val="center"/>
          </w:tcPr>
          <w:p w14:paraId="2A2486C2">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A0206180301洗衣机</w:t>
            </w:r>
          </w:p>
        </w:tc>
        <w:tc>
          <w:tcPr>
            <w:tcW w:w="1620" w:type="dxa"/>
            <w:tcBorders>
              <w:tl2br w:val="nil"/>
              <w:tr2bl w:val="nil"/>
            </w:tcBorders>
            <w:noWrap w:val="0"/>
            <w:vAlign w:val="center"/>
          </w:tcPr>
          <w:p w14:paraId="3670A5FD">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6A09125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《电动洗衣机能效水效限定值及等级》（GB12021.4）</w:t>
            </w:r>
          </w:p>
        </w:tc>
      </w:tr>
      <w:tr w14:paraId="5B5AF5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20335B1D">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49953EFC">
            <w:pPr>
              <w:widowControl/>
              <w:shd w:val="clear"/>
              <w:jc w:val="left"/>
              <w:rPr>
                <w:rFonts w:ascii="宋体" w:hAnsi="宋体" w:cs="宋体"/>
                <w:color w:val="auto"/>
                <w:kern w:val="0"/>
                <w:szCs w:val="21"/>
                <w:highlight w:val="none"/>
              </w:rPr>
            </w:pPr>
          </w:p>
        </w:tc>
        <w:tc>
          <w:tcPr>
            <w:tcW w:w="1320" w:type="dxa"/>
            <w:vMerge w:val="restart"/>
            <w:tcBorders>
              <w:tl2br w:val="nil"/>
              <w:tr2bl w:val="nil"/>
            </w:tcBorders>
            <w:noWrap w:val="0"/>
            <w:vAlign w:val="center"/>
          </w:tcPr>
          <w:p w14:paraId="4B436283">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A02061808热水器</w:t>
            </w:r>
          </w:p>
        </w:tc>
        <w:tc>
          <w:tcPr>
            <w:tcW w:w="1620" w:type="dxa"/>
            <w:tcBorders>
              <w:tl2br w:val="nil"/>
              <w:tr2bl w:val="nil"/>
            </w:tcBorders>
            <w:noWrap w:val="0"/>
            <w:vAlign w:val="center"/>
          </w:tcPr>
          <w:p w14:paraId="18857EBD">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★电热水器</w:t>
            </w:r>
          </w:p>
        </w:tc>
        <w:tc>
          <w:tcPr>
            <w:tcW w:w="4540" w:type="dxa"/>
            <w:tcBorders>
              <w:tl2br w:val="nil"/>
              <w:tr2bl w:val="nil"/>
            </w:tcBorders>
            <w:noWrap w:val="0"/>
            <w:vAlign w:val="center"/>
          </w:tcPr>
          <w:p w14:paraId="7A8B365B">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《储水式电热水器能效限定值及能效等级》（GB21519）</w:t>
            </w:r>
          </w:p>
        </w:tc>
      </w:tr>
      <w:tr w14:paraId="170A6F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6FC20EF8">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6E429FEC">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273847C2">
            <w:pPr>
              <w:widowControl/>
              <w:shd w:val="clear"/>
              <w:jc w:val="left"/>
              <w:rPr>
                <w:rFonts w:ascii="宋体" w:hAnsi="宋体" w:cs="宋体"/>
                <w:color w:val="auto"/>
                <w:kern w:val="0"/>
                <w:szCs w:val="21"/>
                <w:highlight w:val="none"/>
              </w:rPr>
            </w:pPr>
          </w:p>
        </w:tc>
        <w:tc>
          <w:tcPr>
            <w:tcW w:w="1620" w:type="dxa"/>
            <w:tcBorders>
              <w:tl2br w:val="nil"/>
              <w:tr2bl w:val="nil"/>
            </w:tcBorders>
            <w:noWrap w:val="0"/>
            <w:vAlign w:val="center"/>
          </w:tcPr>
          <w:p w14:paraId="7A7828CD">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燃气热水器</w:t>
            </w:r>
          </w:p>
        </w:tc>
        <w:tc>
          <w:tcPr>
            <w:tcW w:w="4540" w:type="dxa"/>
            <w:tcBorders>
              <w:tl2br w:val="nil"/>
              <w:tr2bl w:val="nil"/>
            </w:tcBorders>
            <w:noWrap w:val="0"/>
            <w:vAlign w:val="center"/>
          </w:tcPr>
          <w:p w14:paraId="423D5E0A">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《家用燃气快速热水器和燃气采暖热水炉能效限定值及能效等级》（GB20665）</w:t>
            </w:r>
          </w:p>
        </w:tc>
      </w:tr>
      <w:tr w14:paraId="00C34A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0C2240DB">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6B855313">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74F3B62C">
            <w:pPr>
              <w:widowControl/>
              <w:shd w:val="clear"/>
              <w:jc w:val="left"/>
              <w:rPr>
                <w:rFonts w:ascii="宋体" w:hAnsi="宋体" w:cs="宋体"/>
                <w:color w:val="auto"/>
                <w:kern w:val="0"/>
                <w:szCs w:val="21"/>
                <w:highlight w:val="none"/>
              </w:rPr>
            </w:pPr>
          </w:p>
        </w:tc>
        <w:tc>
          <w:tcPr>
            <w:tcW w:w="1620" w:type="dxa"/>
            <w:tcBorders>
              <w:tl2br w:val="nil"/>
              <w:tr2bl w:val="nil"/>
            </w:tcBorders>
            <w:noWrap w:val="0"/>
            <w:vAlign w:val="center"/>
          </w:tcPr>
          <w:p w14:paraId="3E86737B">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热泵热水器</w:t>
            </w:r>
          </w:p>
        </w:tc>
        <w:tc>
          <w:tcPr>
            <w:tcW w:w="4540" w:type="dxa"/>
            <w:tcBorders>
              <w:tl2br w:val="nil"/>
              <w:tr2bl w:val="nil"/>
            </w:tcBorders>
            <w:noWrap w:val="0"/>
            <w:vAlign w:val="center"/>
          </w:tcPr>
          <w:p w14:paraId="4D2F84D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《热泵热水机（器）能效限定值及能效等级》（GB29541）</w:t>
            </w:r>
          </w:p>
        </w:tc>
      </w:tr>
      <w:tr w14:paraId="0A9A9A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73DAC1D6">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29713200">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69B8EE79">
            <w:pPr>
              <w:widowControl/>
              <w:shd w:val="clear"/>
              <w:jc w:val="left"/>
              <w:rPr>
                <w:rFonts w:ascii="宋体" w:hAnsi="宋体" w:cs="宋体"/>
                <w:color w:val="auto"/>
                <w:kern w:val="0"/>
                <w:szCs w:val="21"/>
                <w:highlight w:val="none"/>
              </w:rPr>
            </w:pPr>
          </w:p>
        </w:tc>
        <w:tc>
          <w:tcPr>
            <w:tcW w:w="1620" w:type="dxa"/>
            <w:tcBorders>
              <w:tl2br w:val="nil"/>
              <w:tr2bl w:val="nil"/>
            </w:tcBorders>
            <w:noWrap w:val="0"/>
            <w:vAlign w:val="center"/>
          </w:tcPr>
          <w:p w14:paraId="238AE3CA">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太阳能热水系统</w:t>
            </w:r>
          </w:p>
        </w:tc>
        <w:tc>
          <w:tcPr>
            <w:tcW w:w="4540" w:type="dxa"/>
            <w:tcBorders>
              <w:tl2br w:val="nil"/>
              <w:tr2bl w:val="nil"/>
            </w:tcBorders>
            <w:noWrap w:val="0"/>
            <w:vAlign w:val="center"/>
          </w:tcPr>
          <w:p w14:paraId="3B648C3C">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《家用太阳能热水系统能效限定值及能效等级》（GB26969）</w:t>
            </w:r>
          </w:p>
        </w:tc>
      </w:tr>
      <w:tr w14:paraId="058D84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vMerge w:val="restart"/>
            <w:tcBorders>
              <w:tl2br w:val="nil"/>
              <w:tr2bl w:val="nil"/>
            </w:tcBorders>
            <w:noWrap w:val="0"/>
            <w:vAlign w:val="center"/>
          </w:tcPr>
          <w:p w14:paraId="09BDB573">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11</w:t>
            </w:r>
          </w:p>
        </w:tc>
        <w:tc>
          <w:tcPr>
            <w:tcW w:w="1080" w:type="dxa"/>
            <w:vMerge w:val="restart"/>
            <w:tcBorders>
              <w:tl2br w:val="nil"/>
              <w:tr2bl w:val="nil"/>
            </w:tcBorders>
            <w:noWrap w:val="0"/>
            <w:vAlign w:val="center"/>
          </w:tcPr>
          <w:p w14:paraId="346C225C">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A020619照明设备</w:t>
            </w:r>
          </w:p>
        </w:tc>
        <w:tc>
          <w:tcPr>
            <w:tcW w:w="1320" w:type="dxa"/>
            <w:tcBorders>
              <w:tl2br w:val="nil"/>
              <w:tr2bl w:val="nil"/>
            </w:tcBorders>
            <w:noWrap w:val="0"/>
            <w:vAlign w:val="center"/>
          </w:tcPr>
          <w:p w14:paraId="3BA37AD4">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★普通照明用双端荧光灯</w:t>
            </w:r>
          </w:p>
        </w:tc>
        <w:tc>
          <w:tcPr>
            <w:tcW w:w="1620" w:type="dxa"/>
            <w:tcBorders>
              <w:tl2br w:val="nil"/>
              <w:tr2bl w:val="nil"/>
            </w:tcBorders>
            <w:noWrap w:val="0"/>
            <w:vAlign w:val="center"/>
          </w:tcPr>
          <w:p w14:paraId="55CF8AF7">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2810B9CA">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《普通照明用双端荧光灯能效限定值及能效等级》（GB19043）</w:t>
            </w:r>
          </w:p>
        </w:tc>
      </w:tr>
      <w:tr w14:paraId="6627B5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4B37EC8F">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50A7D4D8">
            <w:pPr>
              <w:widowControl/>
              <w:shd w:val="clear"/>
              <w:jc w:val="left"/>
              <w:rPr>
                <w:rFonts w:ascii="宋体" w:hAnsi="宋体" w:cs="宋体"/>
                <w:color w:val="auto"/>
                <w:kern w:val="0"/>
                <w:szCs w:val="21"/>
                <w:highlight w:val="none"/>
              </w:rPr>
            </w:pPr>
          </w:p>
        </w:tc>
        <w:tc>
          <w:tcPr>
            <w:tcW w:w="1320" w:type="dxa"/>
            <w:tcBorders>
              <w:tl2br w:val="nil"/>
              <w:tr2bl w:val="nil"/>
            </w:tcBorders>
            <w:noWrap w:val="0"/>
            <w:vAlign w:val="center"/>
          </w:tcPr>
          <w:p w14:paraId="45A1D995">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LED道路/隧道照明产品</w:t>
            </w:r>
          </w:p>
        </w:tc>
        <w:tc>
          <w:tcPr>
            <w:tcW w:w="1620" w:type="dxa"/>
            <w:tcBorders>
              <w:tl2br w:val="nil"/>
              <w:tr2bl w:val="nil"/>
            </w:tcBorders>
            <w:noWrap w:val="0"/>
            <w:vAlign w:val="center"/>
          </w:tcPr>
          <w:p w14:paraId="5B8E9571">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65C1ADAB">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《道路和隧道照明用LED灯具能效限定值及能效等级》（GB37478）</w:t>
            </w:r>
          </w:p>
        </w:tc>
      </w:tr>
      <w:tr w14:paraId="2A85AC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6EA51034">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6402E615">
            <w:pPr>
              <w:widowControl/>
              <w:shd w:val="clear"/>
              <w:jc w:val="left"/>
              <w:rPr>
                <w:rFonts w:ascii="宋体" w:hAnsi="宋体" w:cs="宋体"/>
                <w:color w:val="auto"/>
                <w:kern w:val="0"/>
                <w:szCs w:val="21"/>
                <w:highlight w:val="none"/>
              </w:rPr>
            </w:pPr>
          </w:p>
        </w:tc>
        <w:tc>
          <w:tcPr>
            <w:tcW w:w="1320" w:type="dxa"/>
            <w:tcBorders>
              <w:tl2br w:val="nil"/>
              <w:tr2bl w:val="nil"/>
            </w:tcBorders>
            <w:noWrap w:val="0"/>
            <w:vAlign w:val="center"/>
          </w:tcPr>
          <w:p w14:paraId="76D39133">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LED筒灯</w:t>
            </w:r>
          </w:p>
        </w:tc>
        <w:tc>
          <w:tcPr>
            <w:tcW w:w="1620" w:type="dxa"/>
            <w:tcBorders>
              <w:tl2br w:val="nil"/>
              <w:tr2bl w:val="nil"/>
            </w:tcBorders>
            <w:noWrap w:val="0"/>
            <w:vAlign w:val="center"/>
          </w:tcPr>
          <w:p w14:paraId="248290BE">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2F36298D">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《室内照明用LED产品能效限定值及能效等级》（GB30255）</w:t>
            </w:r>
          </w:p>
        </w:tc>
      </w:tr>
      <w:tr w14:paraId="32F4FD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38DA7CBD">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1DF8C2DD">
            <w:pPr>
              <w:widowControl/>
              <w:shd w:val="clear"/>
              <w:jc w:val="left"/>
              <w:rPr>
                <w:rFonts w:ascii="宋体" w:hAnsi="宋体" w:cs="宋体"/>
                <w:color w:val="auto"/>
                <w:kern w:val="0"/>
                <w:szCs w:val="21"/>
                <w:highlight w:val="none"/>
              </w:rPr>
            </w:pPr>
          </w:p>
        </w:tc>
        <w:tc>
          <w:tcPr>
            <w:tcW w:w="1320" w:type="dxa"/>
            <w:tcBorders>
              <w:tl2br w:val="nil"/>
              <w:tr2bl w:val="nil"/>
            </w:tcBorders>
            <w:noWrap w:val="0"/>
            <w:vAlign w:val="center"/>
          </w:tcPr>
          <w:p w14:paraId="439D04EF">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普通照明用非定向自镇流LED灯</w:t>
            </w:r>
          </w:p>
        </w:tc>
        <w:tc>
          <w:tcPr>
            <w:tcW w:w="1620" w:type="dxa"/>
            <w:tcBorders>
              <w:tl2br w:val="nil"/>
              <w:tr2bl w:val="nil"/>
            </w:tcBorders>
            <w:noWrap w:val="0"/>
            <w:vAlign w:val="center"/>
          </w:tcPr>
          <w:p w14:paraId="2BABD81F">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0CB00ED9">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《室内照明用LED产品能效限定值及能效等级》（GB30255）</w:t>
            </w:r>
          </w:p>
        </w:tc>
      </w:tr>
      <w:tr w14:paraId="4E66CC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60" w:type="dxa"/>
            <w:tcBorders>
              <w:tl2br w:val="nil"/>
              <w:tr2bl w:val="nil"/>
            </w:tcBorders>
            <w:noWrap w:val="0"/>
            <w:vAlign w:val="center"/>
          </w:tcPr>
          <w:p w14:paraId="2D8A5EFA">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12</w:t>
            </w:r>
          </w:p>
        </w:tc>
        <w:tc>
          <w:tcPr>
            <w:tcW w:w="1080" w:type="dxa"/>
            <w:tcBorders>
              <w:tl2br w:val="nil"/>
              <w:tr2bl w:val="nil"/>
            </w:tcBorders>
            <w:noWrap w:val="0"/>
            <w:vAlign w:val="center"/>
          </w:tcPr>
          <w:p w14:paraId="51D6BE44">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★A020910电视设备</w:t>
            </w:r>
          </w:p>
        </w:tc>
        <w:tc>
          <w:tcPr>
            <w:tcW w:w="1320" w:type="dxa"/>
            <w:tcBorders>
              <w:tl2br w:val="nil"/>
              <w:tr2bl w:val="nil"/>
            </w:tcBorders>
            <w:noWrap w:val="0"/>
            <w:vAlign w:val="center"/>
          </w:tcPr>
          <w:p w14:paraId="23D48F6E">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A02091001普通电视设备（电视机）</w:t>
            </w:r>
          </w:p>
        </w:tc>
        <w:tc>
          <w:tcPr>
            <w:tcW w:w="1620" w:type="dxa"/>
            <w:tcBorders>
              <w:tl2br w:val="nil"/>
              <w:tr2bl w:val="nil"/>
            </w:tcBorders>
            <w:noWrap w:val="0"/>
            <w:vAlign w:val="center"/>
          </w:tcPr>
          <w:p w14:paraId="2BDD808E">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7BAA410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《平板电视能效限定值及能效等级》（GB24850）</w:t>
            </w:r>
          </w:p>
        </w:tc>
      </w:tr>
      <w:tr w14:paraId="5A599F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75" w:hRule="atLeast"/>
        </w:trPr>
        <w:tc>
          <w:tcPr>
            <w:tcW w:w="660" w:type="dxa"/>
            <w:tcBorders>
              <w:tl2br w:val="nil"/>
              <w:tr2bl w:val="nil"/>
            </w:tcBorders>
            <w:noWrap w:val="0"/>
            <w:vAlign w:val="center"/>
          </w:tcPr>
          <w:p w14:paraId="2E7A6766">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13</w:t>
            </w:r>
          </w:p>
        </w:tc>
        <w:tc>
          <w:tcPr>
            <w:tcW w:w="1080" w:type="dxa"/>
            <w:tcBorders>
              <w:tl2br w:val="nil"/>
              <w:tr2bl w:val="nil"/>
            </w:tcBorders>
            <w:noWrap w:val="0"/>
            <w:vAlign w:val="center"/>
          </w:tcPr>
          <w:p w14:paraId="534D5C9D">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★A020911视频设备</w:t>
            </w:r>
          </w:p>
        </w:tc>
        <w:tc>
          <w:tcPr>
            <w:tcW w:w="1320" w:type="dxa"/>
            <w:tcBorders>
              <w:tl2br w:val="nil"/>
              <w:tr2bl w:val="nil"/>
            </w:tcBorders>
            <w:noWrap w:val="0"/>
            <w:vAlign w:val="center"/>
          </w:tcPr>
          <w:p w14:paraId="1FBCF0E5">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A02091107视频监控设备</w:t>
            </w:r>
          </w:p>
        </w:tc>
        <w:tc>
          <w:tcPr>
            <w:tcW w:w="1620" w:type="dxa"/>
            <w:tcBorders>
              <w:tl2br w:val="nil"/>
              <w:tr2bl w:val="nil"/>
            </w:tcBorders>
            <w:noWrap w:val="0"/>
            <w:vAlign w:val="center"/>
          </w:tcPr>
          <w:p w14:paraId="78BD3B0D">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监视器</w:t>
            </w:r>
          </w:p>
        </w:tc>
        <w:tc>
          <w:tcPr>
            <w:tcW w:w="4540" w:type="dxa"/>
            <w:tcBorders>
              <w:tl2br w:val="nil"/>
              <w:tr2bl w:val="nil"/>
            </w:tcBorders>
            <w:noWrap w:val="0"/>
            <w:vAlign w:val="center"/>
          </w:tcPr>
          <w:p w14:paraId="002B7CE1">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以射频信号为主要信号输入的监视器应符合《平板电视能效限定值及能效等级》（GB24850），以数字信号为主要信号输入的监视器应符合《计算机显示器能效限定值及能效等级》（GB21520）</w:t>
            </w:r>
          </w:p>
        </w:tc>
      </w:tr>
      <w:tr w14:paraId="02A587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7CBB0378">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14</w:t>
            </w:r>
          </w:p>
        </w:tc>
        <w:tc>
          <w:tcPr>
            <w:tcW w:w="1080" w:type="dxa"/>
            <w:tcBorders>
              <w:tl2br w:val="nil"/>
              <w:tr2bl w:val="nil"/>
            </w:tcBorders>
            <w:noWrap w:val="0"/>
            <w:vAlign w:val="center"/>
          </w:tcPr>
          <w:p w14:paraId="36D33FFD">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A031210饮食炊事机械</w:t>
            </w:r>
          </w:p>
        </w:tc>
        <w:tc>
          <w:tcPr>
            <w:tcW w:w="1320" w:type="dxa"/>
            <w:tcBorders>
              <w:tl2br w:val="nil"/>
              <w:tr2bl w:val="nil"/>
            </w:tcBorders>
            <w:noWrap w:val="0"/>
            <w:vAlign w:val="center"/>
          </w:tcPr>
          <w:p w14:paraId="53085F71">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商用燃气灶具</w:t>
            </w:r>
          </w:p>
        </w:tc>
        <w:tc>
          <w:tcPr>
            <w:tcW w:w="1620" w:type="dxa"/>
            <w:tcBorders>
              <w:tl2br w:val="nil"/>
              <w:tr2bl w:val="nil"/>
            </w:tcBorders>
            <w:noWrap w:val="0"/>
            <w:vAlign w:val="center"/>
          </w:tcPr>
          <w:p w14:paraId="640B7ABB">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15B3EA8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《商用燃气灶具能效限定值及能效等级》（GB30531）</w:t>
            </w:r>
          </w:p>
        </w:tc>
      </w:tr>
      <w:tr w14:paraId="1C3B82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5" w:hRule="atLeast"/>
        </w:trPr>
        <w:tc>
          <w:tcPr>
            <w:tcW w:w="660" w:type="dxa"/>
            <w:vMerge w:val="restart"/>
            <w:tcBorders>
              <w:tl2br w:val="nil"/>
              <w:tr2bl w:val="nil"/>
            </w:tcBorders>
            <w:noWrap w:val="0"/>
            <w:vAlign w:val="center"/>
          </w:tcPr>
          <w:p w14:paraId="33AAE409">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15</w:t>
            </w:r>
          </w:p>
        </w:tc>
        <w:tc>
          <w:tcPr>
            <w:tcW w:w="1080" w:type="dxa"/>
            <w:vMerge w:val="restart"/>
            <w:tcBorders>
              <w:tl2br w:val="nil"/>
              <w:tr2bl w:val="nil"/>
            </w:tcBorders>
            <w:noWrap w:val="0"/>
            <w:vAlign w:val="center"/>
          </w:tcPr>
          <w:p w14:paraId="6F20361B">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★A060805便器</w:t>
            </w:r>
          </w:p>
        </w:tc>
        <w:tc>
          <w:tcPr>
            <w:tcW w:w="1320" w:type="dxa"/>
            <w:tcBorders>
              <w:tl2br w:val="nil"/>
              <w:tr2bl w:val="nil"/>
            </w:tcBorders>
            <w:noWrap w:val="0"/>
            <w:vAlign w:val="center"/>
          </w:tcPr>
          <w:p w14:paraId="38738380">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坐便器</w:t>
            </w:r>
          </w:p>
        </w:tc>
        <w:tc>
          <w:tcPr>
            <w:tcW w:w="1620" w:type="dxa"/>
            <w:tcBorders>
              <w:tl2br w:val="nil"/>
              <w:tr2bl w:val="nil"/>
            </w:tcBorders>
            <w:noWrap w:val="0"/>
            <w:vAlign w:val="center"/>
          </w:tcPr>
          <w:p w14:paraId="03008EDE">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0F878FD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《坐便器水效限定值及水效等级》（GB25502）</w:t>
            </w:r>
          </w:p>
        </w:tc>
      </w:tr>
      <w:tr w14:paraId="0351FA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630CFDF8">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15D3945C">
            <w:pPr>
              <w:widowControl/>
              <w:shd w:val="clear"/>
              <w:jc w:val="left"/>
              <w:rPr>
                <w:rFonts w:ascii="宋体" w:hAnsi="宋体" w:cs="宋体"/>
                <w:color w:val="auto"/>
                <w:kern w:val="0"/>
                <w:szCs w:val="21"/>
                <w:highlight w:val="none"/>
              </w:rPr>
            </w:pPr>
          </w:p>
        </w:tc>
        <w:tc>
          <w:tcPr>
            <w:tcW w:w="1320" w:type="dxa"/>
            <w:tcBorders>
              <w:tl2br w:val="nil"/>
              <w:tr2bl w:val="nil"/>
            </w:tcBorders>
            <w:noWrap w:val="0"/>
            <w:vAlign w:val="center"/>
          </w:tcPr>
          <w:p w14:paraId="476E5935">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蹲便器</w:t>
            </w:r>
          </w:p>
        </w:tc>
        <w:tc>
          <w:tcPr>
            <w:tcW w:w="1620" w:type="dxa"/>
            <w:tcBorders>
              <w:tl2br w:val="nil"/>
              <w:tr2bl w:val="nil"/>
            </w:tcBorders>
            <w:noWrap w:val="0"/>
            <w:vAlign w:val="center"/>
          </w:tcPr>
          <w:p w14:paraId="4D1B9EC1">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3F79BC41">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《蹲便器用水效率限定值及用水效率等级》（GB30717）</w:t>
            </w:r>
          </w:p>
        </w:tc>
      </w:tr>
      <w:tr w14:paraId="718119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1AD92588">
            <w:pPr>
              <w:widowControl/>
              <w:shd w:val="clear"/>
              <w:jc w:val="left"/>
              <w:rPr>
                <w:rFonts w:ascii="宋体" w:hAnsi="宋体" w:cs="宋体"/>
                <w:color w:val="auto"/>
                <w:kern w:val="0"/>
                <w:szCs w:val="21"/>
                <w:highlight w:val="none"/>
              </w:rPr>
            </w:pPr>
          </w:p>
        </w:tc>
        <w:tc>
          <w:tcPr>
            <w:tcW w:w="0" w:type="auto"/>
            <w:vMerge w:val="continue"/>
            <w:tcBorders>
              <w:tl2br w:val="nil"/>
              <w:tr2bl w:val="nil"/>
            </w:tcBorders>
            <w:noWrap w:val="0"/>
            <w:vAlign w:val="center"/>
          </w:tcPr>
          <w:p w14:paraId="0ECB6D97">
            <w:pPr>
              <w:widowControl/>
              <w:shd w:val="clear"/>
              <w:jc w:val="left"/>
              <w:rPr>
                <w:rFonts w:ascii="宋体" w:hAnsi="宋体" w:cs="宋体"/>
                <w:color w:val="auto"/>
                <w:kern w:val="0"/>
                <w:szCs w:val="21"/>
                <w:highlight w:val="none"/>
              </w:rPr>
            </w:pPr>
          </w:p>
        </w:tc>
        <w:tc>
          <w:tcPr>
            <w:tcW w:w="1320" w:type="dxa"/>
            <w:tcBorders>
              <w:tl2br w:val="nil"/>
              <w:tr2bl w:val="nil"/>
            </w:tcBorders>
            <w:noWrap w:val="0"/>
            <w:vAlign w:val="center"/>
          </w:tcPr>
          <w:p w14:paraId="6311832F">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小便器</w:t>
            </w:r>
          </w:p>
        </w:tc>
        <w:tc>
          <w:tcPr>
            <w:tcW w:w="1620" w:type="dxa"/>
            <w:tcBorders>
              <w:tl2br w:val="nil"/>
              <w:tr2bl w:val="nil"/>
            </w:tcBorders>
            <w:noWrap w:val="0"/>
            <w:vAlign w:val="center"/>
          </w:tcPr>
          <w:p w14:paraId="0EA8E3E6">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0431AFD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《小便器用水效率限定值及用水效率等级》（GB28377）</w:t>
            </w:r>
          </w:p>
        </w:tc>
      </w:tr>
      <w:tr w14:paraId="4AB074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4184F002">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16</w:t>
            </w:r>
          </w:p>
        </w:tc>
        <w:tc>
          <w:tcPr>
            <w:tcW w:w="1080" w:type="dxa"/>
            <w:tcBorders>
              <w:tl2br w:val="nil"/>
              <w:tr2bl w:val="nil"/>
            </w:tcBorders>
            <w:noWrap w:val="0"/>
            <w:vAlign w:val="center"/>
          </w:tcPr>
          <w:p w14:paraId="038CA6D6">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★A060806水嘴</w:t>
            </w:r>
          </w:p>
        </w:tc>
        <w:tc>
          <w:tcPr>
            <w:tcW w:w="1320" w:type="dxa"/>
            <w:tcBorders>
              <w:tl2br w:val="nil"/>
              <w:tr2bl w:val="nil"/>
            </w:tcBorders>
            <w:noWrap w:val="0"/>
            <w:vAlign w:val="center"/>
          </w:tcPr>
          <w:p w14:paraId="13458DB2">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l2br w:val="nil"/>
              <w:tr2bl w:val="nil"/>
            </w:tcBorders>
            <w:noWrap w:val="0"/>
            <w:vAlign w:val="center"/>
          </w:tcPr>
          <w:p w14:paraId="20AB182A">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46F324C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《水嘴用水效率限定值及用水效率等级》（GB 25501）</w:t>
            </w:r>
          </w:p>
        </w:tc>
      </w:tr>
      <w:tr w14:paraId="19F05D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48C1660D">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17</w:t>
            </w:r>
          </w:p>
        </w:tc>
        <w:tc>
          <w:tcPr>
            <w:tcW w:w="1080" w:type="dxa"/>
            <w:tcBorders>
              <w:tl2br w:val="nil"/>
              <w:tr2bl w:val="nil"/>
            </w:tcBorders>
            <w:noWrap w:val="0"/>
            <w:vAlign w:val="center"/>
          </w:tcPr>
          <w:p w14:paraId="07A4EC66">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A060807便器冲洗阀</w:t>
            </w:r>
          </w:p>
        </w:tc>
        <w:tc>
          <w:tcPr>
            <w:tcW w:w="1320" w:type="dxa"/>
            <w:tcBorders>
              <w:tl2br w:val="nil"/>
              <w:tr2bl w:val="nil"/>
            </w:tcBorders>
            <w:noWrap w:val="0"/>
            <w:vAlign w:val="center"/>
          </w:tcPr>
          <w:p w14:paraId="298481D1">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l2br w:val="nil"/>
              <w:tr2bl w:val="nil"/>
            </w:tcBorders>
            <w:noWrap w:val="0"/>
            <w:vAlign w:val="center"/>
          </w:tcPr>
          <w:p w14:paraId="33D36F10">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20EDCF0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《便器冲洗阀用水效率限定值及用水效率等级》（GB28379）</w:t>
            </w:r>
          </w:p>
        </w:tc>
      </w:tr>
      <w:tr w14:paraId="03EE77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62926069">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18</w:t>
            </w:r>
          </w:p>
        </w:tc>
        <w:tc>
          <w:tcPr>
            <w:tcW w:w="1080" w:type="dxa"/>
            <w:tcBorders>
              <w:tl2br w:val="nil"/>
              <w:tr2bl w:val="nil"/>
            </w:tcBorders>
            <w:noWrap w:val="0"/>
            <w:vAlign w:val="center"/>
          </w:tcPr>
          <w:p w14:paraId="30602ACB">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A060810淋浴器</w:t>
            </w:r>
          </w:p>
        </w:tc>
        <w:tc>
          <w:tcPr>
            <w:tcW w:w="1320" w:type="dxa"/>
            <w:tcBorders>
              <w:tl2br w:val="nil"/>
              <w:tr2bl w:val="nil"/>
            </w:tcBorders>
            <w:noWrap w:val="0"/>
            <w:vAlign w:val="center"/>
          </w:tcPr>
          <w:p w14:paraId="04E0AB95">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l2br w:val="nil"/>
              <w:tr2bl w:val="nil"/>
            </w:tcBorders>
            <w:noWrap w:val="0"/>
            <w:vAlign w:val="center"/>
          </w:tcPr>
          <w:p w14:paraId="532837CC">
            <w:pPr>
              <w:widowControl/>
              <w:shd w:val="clea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l2br w:val="nil"/>
              <w:tr2bl w:val="nil"/>
            </w:tcBorders>
            <w:noWrap w:val="0"/>
            <w:vAlign w:val="center"/>
          </w:tcPr>
          <w:p w14:paraId="4984B9C5">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《淋浴器用水效率限定值及用水效率等级》（GB28378）</w:t>
            </w:r>
          </w:p>
        </w:tc>
      </w:tr>
    </w:tbl>
    <w:p w14:paraId="3B702DFA">
      <w:pPr>
        <w:pStyle w:val="19"/>
        <w:shd w:val="clear"/>
        <w:spacing w:line="360" w:lineRule="auto"/>
        <w:rPr>
          <w:rFonts w:hint="eastAsia"/>
          <w:color w:val="auto"/>
          <w:spacing w:val="-3"/>
          <w:sz w:val="21"/>
          <w:szCs w:val="21"/>
          <w:highlight w:val="none"/>
        </w:rPr>
      </w:pPr>
    </w:p>
    <w:p w14:paraId="49DA02DA">
      <w:pPr>
        <w:pStyle w:val="19"/>
        <w:shd w:val="clear"/>
        <w:spacing w:line="360" w:lineRule="auto"/>
        <w:rPr>
          <w:rFonts w:ascii="宋体" w:hAnsi="宋体"/>
          <w:color w:val="auto"/>
          <w:sz w:val="21"/>
          <w:szCs w:val="21"/>
          <w:highlight w:val="none"/>
        </w:rPr>
      </w:pPr>
      <w:r>
        <w:rPr>
          <w:rFonts w:hint="eastAsia"/>
          <w:color w:val="auto"/>
          <w:spacing w:val="-3"/>
          <w:sz w:val="21"/>
          <w:szCs w:val="21"/>
          <w:highlight w:val="none"/>
        </w:rPr>
        <w:t>注：</w:t>
      </w:r>
      <w:r>
        <w:rPr>
          <w:color w:val="auto"/>
          <w:spacing w:val="-3"/>
          <w:sz w:val="21"/>
          <w:szCs w:val="21"/>
          <w:highlight w:val="none"/>
        </w:rPr>
        <w:t>1.</w:t>
      </w:r>
      <w:r>
        <w:rPr>
          <w:rFonts w:hint="eastAsia"/>
          <w:color w:val="auto"/>
          <w:spacing w:val="-3"/>
          <w:sz w:val="21"/>
          <w:szCs w:val="21"/>
          <w:highlight w:val="none"/>
        </w:rPr>
        <w:t>节能产品认证应依据相关国家标准的最新版本，依据国家标准中二级能效（水效）</w:t>
      </w:r>
      <w:r>
        <w:rPr>
          <w:rFonts w:hint="eastAsia"/>
          <w:color w:val="auto"/>
          <w:sz w:val="21"/>
          <w:szCs w:val="21"/>
          <w:highlight w:val="none"/>
        </w:rPr>
        <w:t>指标。</w:t>
      </w:r>
    </w:p>
    <w:p w14:paraId="4998C971">
      <w:pPr>
        <w:shd w:val="clear"/>
        <w:jc w:val="left"/>
        <w:rPr>
          <w:b/>
          <w:bCs/>
          <w:color w:val="auto"/>
          <w:szCs w:val="21"/>
          <w:highlight w:val="none"/>
        </w:rPr>
      </w:pPr>
      <w:r>
        <w:rPr>
          <w:rFonts w:hint="eastAsia" w:ascii="宋体" w:hAnsi="宋体"/>
          <w:color w:val="auto"/>
          <w:szCs w:val="21"/>
          <w:highlight w:val="none"/>
        </w:rPr>
        <w:t xml:space="preserve">    </w:t>
      </w:r>
      <w:r>
        <w:rPr>
          <w:color w:val="auto"/>
          <w:szCs w:val="21"/>
          <w:highlight w:val="none"/>
        </w:rPr>
        <w:t>2</w:t>
      </w:r>
      <w:r>
        <w:rPr>
          <w:b/>
          <w:bCs/>
          <w:color w:val="auto"/>
          <w:szCs w:val="21"/>
          <w:highlight w:val="none"/>
        </w:rPr>
        <w:t>.</w:t>
      </w:r>
      <w:r>
        <w:rPr>
          <w:rFonts w:hint="eastAsia"/>
          <w:b/>
          <w:bCs/>
          <w:color w:val="auto"/>
          <w:szCs w:val="21"/>
          <w:highlight w:val="none"/>
        </w:rPr>
        <w:t>以</w:t>
      </w:r>
      <w:r>
        <w:rPr>
          <w:b/>
          <w:bCs/>
          <w:color w:val="auto"/>
          <w:szCs w:val="21"/>
          <w:highlight w:val="none"/>
        </w:rPr>
        <w:t>“</w:t>
      </w:r>
      <w:r>
        <w:rPr>
          <w:rFonts w:hint="eastAsia"/>
          <w:b/>
          <w:bCs/>
          <w:color w:val="auto"/>
          <w:szCs w:val="21"/>
          <w:highlight w:val="none"/>
        </w:rPr>
        <w:t>★</w:t>
      </w:r>
      <w:r>
        <w:rPr>
          <w:b/>
          <w:bCs/>
          <w:color w:val="auto"/>
          <w:szCs w:val="21"/>
          <w:highlight w:val="none"/>
        </w:rPr>
        <w:t>”</w:t>
      </w:r>
      <w:r>
        <w:rPr>
          <w:rFonts w:hint="eastAsia"/>
          <w:b/>
          <w:bCs/>
          <w:color w:val="auto"/>
          <w:szCs w:val="21"/>
          <w:highlight w:val="none"/>
        </w:rPr>
        <w:t>标注的为政府强制采购产品。</w:t>
      </w:r>
    </w:p>
    <w:p w14:paraId="56743204">
      <w:pPr>
        <w:shd w:val="clear"/>
        <w:jc w:val="left"/>
        <w:rPr>
          <w:rFonts w:hint="eastAsia" w:ascii="宋体"/>
          <w:color w:val="auto"/>
          <w:sz w:val="32"/>
          <w:szCs w:val="32"/>
          <w:highlight w:val="none"/>
        </w:rPr>
      </w:pPr>
      <w:r>
        <w:rPr>
          <w:b/>
          <w:bCs/>
          <w:color w:val="auto"/>
          <w:szCs w:val="21"/>
          <w:highlight w:val="none"/>
        </w:rPr>
        <w:br w:type="page"/>
      </w:r>
      <w:r>
        <w:rPr>
          <w:rFonts w:hint="eastAsia" w:ascii="楷体" w:eastAsia="楷体"/>
          <w:color w:val="auto"/>
          <w:kern w:val="0"/>
          <w:sz w:val="32"/>
          <w:szCs w:val="32"/>
          <w:highlight w:val="none"/>
        </w:rPr>
        <w:t xml:space="preserve"> </w:t>
      </w:r>
    </w:p>
    <w:p w14:paraId="33B852D2">
      <w:pPr>
        <w:shd w:val="clear"/>
        <w:spacing w:line="400" w:lineRule="exact"/>
        <w:jc w:val="center"/>
        <w:rPr>
          <w:rFonts w:hint="eastAsia" w:ascii="宋体"/>
          <w:color w:val="auto"/>
          <w:sz w:val="32"/>
          <w:szCs w:val="32"/>
          <w:highlight w:val="none"/>
        </w:rPr>
      </w:pPr>
    </w:p>
    <w:p w14:paraId="3A8A20EB">
      <w:pPr>
        <w:shd w:val="clear"/>
        <w:spacing w:line="400" w:lineRule="exact"/>
        <w:jc w:val="center"/>
        <w:rPr>
          <w:rFonts w:hint="eastAsia" w:ascii="宋体"/>
          <w:color w:val="auto"/>
          <w:sz w:val="32"/>
          <w:szCs w:val="32"/>
          <w:highlight w:val="none"/>
        </w:rPr>
      </w:pPr>
    </w:p>
    <w:p w14:paraId="30D3B6CC">
      <w:pPr>
        <w:shd w:val="clear"/>
        <w:spacing w:line="400" w:lineRule="exact"/>
        <w:jc w:val="center"/>
        <w:rPr>
          <w:rFonts w:hint="eastAsia" w:ascii="宋体"/>
          <w:color w:val="auto"/>
          <w:sz w:val="32"/>
          <w:szCs w:val="32"/>
          <w:highlight w:val="none"/>
        </w:rPr>
      </w:pPr>
    </w:p>
    <w:p w14:paraId="101E6E20">
      <w:pPr>
        <w:shd w:val="clear"/>
        <w:spacing w:line="400" w:lineRule="exact"/>
        <w:jc w:val="center"/>
        <w:rPr>
          <w:rFonts w:hint="eastAsia" w:ascii="宋体"/>
          <w:color w:val="auto"/>
          <w:sz w:val="32"/>
          <w:szCs w:val="32"/>
          <w:highlight w:val="none"/>
        </w:rPr>
      </w:pPr>
    </w:p>
    <w:p w14:paraId="1AD62B17">
      <w:pPr>
        <w:shd w:val="clear"/>
        <w:spacing w:line="400" w:lineRule="exact"/>
        <w:jc w:val="center"/>
        <w:rPr>
          <w:rFonts w:hint="eastAsia" w:ascii="宋体"/>
          <w:color w:val="auto"/>
          <w:sz w:val="32"/>
          <w:szCs w:val="32"/>
          <w:highlight w:val="none"/>
        </w:rPr>
      </w:pPr>
    </w:p>
    <w:p w14:paraId="433DFD1C">
      <w:pPr>
        <w:shd w:val="clear"/>
        <w:spacing w:line="400" w:lineRule="exact"/>
        <w:jc w:val="center"/>
        <w:rPr>
          <w:rFonts w:hint="eastAsia" w:ascii="宋体"/>
          <w:color w:val="auto"/>
          <w:sz w:val="32"/>
          <w:szCs w:val="32"/>
          <w:highlight w:val="none"/>
        </w:rPr>
      </w:pPr>
    </w:p>
    <w:p w14:paraId="5B90D12D">
      <w:pPr>
        <w:shd w:val="clear"/>
        <w:spacing w:line="400" w:lineRule="exact"/>
        <w:jc w:val="center"/>
        <w:rPr>
          <w:rFonts w:hint="eastAsia" w:ascii="宋体"/>
          <w:color w:val="auto"/>
          <w:sz w:val="32"/>
          <w:szCs w:val="32"/>
          <w:highlight w:val="none"/>
        </w:rPr>
      </w:pPr>
    </w:p>
    <w:p w14:paraId="59023A20">
      <w:pPr>
        <w:shd w:val="clear"/>
        <w:spacing w:line="400" w:lineRule="exact"/>
        <w:jc w:val="center"/>
        <w:rPr>
          <w:rFonts w:hint="eastAsia" w:ascii="宋体"/>
          <w:color w:val="auto"/>
          <w:sz w:val="32"/>
          <w:szCs w:val="32"/>
          <w:highlight w:val="none"/>
        </w:rPr>
      </w:pPr>
    </w:p>
    <w:p w14:paraId="6476C11C">
      <w:pPr>
        <w:shd w:val="clear"/>
        <w:spacing w:line="400" w:lineRule="exact"/>
        <w:jc w:val="center"/>
        <w:rPr>
          <w:rFonts w:hint="eastAsia" w:ascii="宋体"/>
          <w:color w:val="auto"/>
          <w:sz w:val="32"/>
          <w:szCs w:val="32"/>
          <w:highlight w:val="none"/>
        </w:rPr>
      </w:pPr>
    </w:p>
    <w:p w14:paraId="7850935B">
      <w:pPr>
        <w:shd w:val="clear"/>
        <w:spacing w:line="400" w:lineRule="exact"/>
        <w:jc w:val="center"/>
        <w:rPr>
          <w:rFonts w:hint="eastAsia" w:ascii="宋体"/>
          <w:color w:val="auto"/>
          <w:sz w:val="32"/>
          <w:szCs w:val="32"/>
          <w:highlight w:val="none"/>
        </w:rPr>
      </w:pPr>
    </w:p>
    <w:p w14:paraId="333D75A7">
      <w:pPr>
        <w:shd w:val="clear"/>
        <w:spacing w:line="400" w:lineRule="exact"/>
        <w:jc w:val="center"/>
        <w:rPr>
          <w:rFonts w:hint="eastAsia" w:ascii="宋体"/>
          <w:color w:val="auto"/>
          <w:sz w:val="32"/>
          <w:szCs w:val="32"/>
          <w:highlight w:val="none"/>
        </w:rPr>
      </w:pPr>
    </w:p>
    <w:p w14:paraId="2399F5BF">
      <w:pPr>
        <w:shd w:val="clear"/>
        <w:spacing w:line="400" w:lineRule="exact"/>
        <w:rPr>
          <w:rFonts w:hint="eastAsia" w:ascii="宋体"/>
          <w:color w:val="auto"/>
          <w:sz w:val="32"/>
          <w:szCs w:val="32"/>
          <w:highlight w:val="none"/>
        </w:rPr>
      </w:pPr>
    </w:p>
    <w:bookmarkEnd w:id="98"/>
    <w:bookmarkEnd w:id="99"/>
    <w:p w14:paraId="27316641">
      <w:pPr>
        <w:pStyle w:val="46"/>
        <w:shd w:val="clear"/>
        <w:rPr>
          <w:rFonts w:hint="eastAsia"/>
          <w:color w:val="auto"/>
          <w:sz w:val="44"/>
          <w:szCs w:val="44"/>
          <w:highlight w:val="none"/>
        </w:rPr>
      </w:pPr>
      <w:bookmarkStart w:id="100" w:name="_Toc476436175"/>
      <w:bookmarkStart w:id="101" w:name="_Toc476436434"/>
      <w:r>
        <w:rPr>
          <w:rFonts w:hint="eastAsia"/>
          <w:color w:val="auto"/>
          <w:sz w:val="44"/>
          <w:szCs w:val="44"/>
          <w:highlight w:val="none"/>
          <w:lang w:val="en-US" w:eastAsia="zh-CN"/>
        </w:rPr>
        <w:t xml:space="preserve"> </w:t>
      </w:r>
      <w:r>
        <w:rPr>
          <w:rFonts w:hint="eastAsia"/>
          <w:color w:val="auto"/>
          <w:sz w:val="44"/>
          <w:szCs w:val="44"/>
          <w:highlight w:val="none"/>
        </w:rPr>
        <w:t>第四章  评标方法及评分标准</w:t>
      </w:r>
      <w:bookmarkEnd w:id="100"/>
      <w:bookmarkEnd w:id="101"/>
    </w:p>
    <w:p w14:paraId="6F6B119E">
      <w:pPr>
        <w:pStyle w:val="26"/>
        <w:shd w:val="clear"/>
        <w:spacing w:line="360" w:lineRule="exact"/>
        <w:rPr>
          <w:rFonts w:hint="eastAsia"/>
          <w:b/>
          <w:bCs/>
          <w:color w:val="auto"/>
          <w:highlight w:val="none"/>
        </w:rPr>
      </w:pPr>
      <w:bookmarkStart w:id="102" w:name="_Toc254970549"/>
      <w:bookmarkStart w:id="103" w:name="_Toc254970690"/>
    </w:p>
    <w:p w14:paraId="5C84B2B2">
      <w:pPr>
        <w:pStyle w:val="26"/>
        <w:shd w:val="clear"/>
        <w:spacing w:line="360" w:lineRule="exact"/>
        <w:rPr>
          <w:rFonts w:hint="eastAsia"/>
          <w:b/>
          <w:bCs/>
          <w:color w:val="auto"/>
          <w:highlight w:val="none"/>
        </w:rPr>
      </w:pPr>
    </w:p>
    <w:p w14:paraId="47358D2A">
      <w:pPr>
        <w:pStyle w:val="26"/>
        <w:shd w:val="clear"/>
        <w:spacing w:line="360" w:lineRule="exact"/>
        <w:rPr>
          <w:rFonts w:hint="eastAsia"/>
          <w:b/>
          <w:bCs/>
          <w:color w:val="auto"/>
          <w:highlight w:val="none"/>
        </w:rPr>
      </w:pPr>
    </w:p>
    <w:p w14:paraId="6A895DB1">
      <w:pPr>
        <w:pStyle w:val="26"/>
        <w:shd w:val="clear"/>
        <w:spacing w:line="360" w:lineRule="exact"/>
        <w:rPr>
          <w:rFonts w:hint="eastAsia"/>
          <w:b/>
          <w:bCs/>
          <w:color w:val="auto"/>
          <w:highlight w:val="none"/>
        </w:rPr>
      </w:pPr>
    </w:p>
    <w:p w14:paraId="2C50474E">
      <w:pPr>
        <w:pStyle w:val="26"/>
        <w:shd w:val="clear"/>
        <w:spacing w:line="360" w:lineRule="exact"/>
        <w:rPr>
          <w:rFonts w:hint="eastAsia"/>
          <w:b/>
          <w:bCs/>
          <w:color w:val="auto"/>
          <w:highlight w:val="none"/>
        </w:rPr>
      </w:pPr>
    </w:p>
    <w:p w14:paraId="696888D5">
      <w:pPr>
        <w:pStyle w:val="26"/>
        <w:shd w:val="clear"/>
        <w:spacing w:line="360" w:lineRule="exact"/>
        <w:rPr>
          <w:rFonts w:hint="eastAsia"/>
          <w:b/>
          <w:bCs/>
          <w:color w:val="auto"/>
          <w:highlight w:val="none"/>
        </w:rPr>
      </w:pPr>
    </w:p>
    <w:p w14:paraId="76D7D872">
      <w:pPr>
        <w:pStyle w:val="26"/>
        <w:shd w:val="clear"/>
        <w:spacing w:line="360" w:lineRule="exact"/>
        <w:rPr>
          <w:rFonts w:hint="eastAsia"/>
          <w:b/>
          <w:bCs/>
          <w:color w:val="auto"/>
          <w:highlight w:val="none"/>
        </w:rPr>
      </w:pPr>
    </w:p>
    <w:p w14:paraId="0F9BD116">
      <w:pPr>
        <w:pStyle w:val="26"/>
        <w:shd w:val="clear"/>
        <w:spacing w:line="360" w:lineRule="exact"/>
        <w:rPr>
          <w:rFonts w:hint="eastAsia"/>
          <w:b/>
          <w:bCs/>
          <w:color w:val="auto"/>
          <w:highlight w:val="none"/>
        </w:rPr>
      </w:pPr>
    </w:p>
    <w:p w14:paraId="60722964">
      <w:pPr>
        <w:pStyle w:val="26"/>
        <w:shd w:val="clear"/>
        <w:spacing w:line="360" w:lineRule="exact"/>
        <w:rPr>
          <w:rFonts w:hint="eastAsia"/>
          <w:b/>
          <w:bCs/>
          <w:color w:val="auto"/>
          <w:highlight w:val="none"/>
        </w:rPr>
      </w:pPr>
    </w:p>
    <w:p w14:paraId="290E8906">
      <w:pPr>
        <w:pStyle w:val="26"/>
        <w:shd w:val="clear"/>
        <w:spacing w:line="360" w:lineRule="exact"/>
        <w:rPr>
          <w:rFonts w:hint="eastAsia"/>
          <w:b/>
          <w:bCs/>
          <w:color w:val="auto"/>
          <w:highlight w:val="none"/>
        </w:rPr>
      </w:pPr>
    </w:p>
    <w:bookmarkEnd w:id="102"/>
    <w:bookmarkEnd w:id="103"/>
    <w:p w14:paraId="2ABDFF86">
      <w:pPr>
        <w:pStyle w:val="26"/>
        <w:shd w:val="clear"/>
        <w:spacing w:line="360" w:lineRule="exact"/>
        <w:ind w:firstLine="3184" w:firstLineChars="995"/>
        <w:rPr>
          <w:rFonts w:hint="eastAsia" w:ascii="仿宋_GB2312" w:eastAsia="仿宋_GB2312"/>
          <w:b/>
          <w:color w:val="auto"/>
          <w:sz w:val="32"/>
          <w:szCs w:val="32"/>
          <w:highlight w:val="none"/>
        </w:rPr>
      </w:pPr>
    </w:p>
    <w:p w14:paraId="0BE38B1E">
      <w:pPr>
        <w:pStyle w:val="26"/>
        <w:shd w:val="clear"/>
        <w:spacing w:line="360" w:lineRule="exact"/>
        <w:ind w:firstLine="3184" w:firstLineChars="995"/>
        <w:rPr>
          <w:rFonts w:hint="eastAsia" w:ascii="仿宋_GB2312" w:eastAsia="仿宋_GB2312"/>
          <w:b/>
          <w:color w:val="auto"/>
          <w:sz w:val="32"/>
          <w:szCs w:val="32"/>
          <w:highlight w:val="none"/>
        </w:rPr>
      </w:pPr>
    </w:p>
    <w:p w14:paraId="21B3701A">
      <w:pPr>
        <w:pStyle w:val="26"/>
        <w:shd w:val="clear"/>
        <w:spacing w:line="360" w:lineRule="exact"/>
        <w:ind w:firstLine="3184" w:firstLineChars="995"/>
        <w:rPr>
          <w:rFonts w:hint="eastAsia" w:ascii="仿宋_GB2312" w:eastAsia="仿宋_GB2312"/>
          <w:b/>
          <w:color w:val="auto"/>
          <w:sz w:val="32"/>
          <w:szCs w:val="32"/>
          <w:highlight w:val="none"/>
        </w:rPr>
      </w:pPr>
    </w:p>
    <w:p w14:paraId="5A5E23F5">
      <w:pPr>
        <w:pStyle w:val="26"/>
        <w:shd w:val="clear"/>
        <w:spacing w:line="560" w:lineRule="exact"/>
        <w:jc w:val="center"/>
        <w:rPr>
          <w:rFonts w:hint="eastAsia"/>
          <w:b/>
          <w:color w:val="auto"/>
          <w:sz w:val="32"/>
          <w:szCs w:val="32"/>
          <w:highlight w:val="none"/>
        </w:rPr>
      </w:pPr>
      <w:r>
        <w:rPr>
          <w:rFonts w:hint="eastAsia" w:ascii="仿宋_GB2312" w:eastAsia="仿宋_GB2312"/>
          <w:b/>
          <w:color w:val="auto"/>
          <w:sz w:val="32"/>
          <w:szCs w:val="32"/>
          <w:highlight w:val="none"/>
        </w:rPr>
        <w:br w:type="page"/>
      </w:r>
      <w:r>
        <w:rPr>
          <w:rFonts w:hint="eastAsia"/>
          <w:b/>
          <w:color w:val="auto"/>
          <w:sz w:val="32"/>
          <w:szCs w:val="32"/>
          <w:highlight w:val="none"/>
        </w:rPr>
        <w:t>评标方法及评分标准</w:t>
      </w:r>
    </w:p>
    <w:p w14:paraId="296ED5FA">
      <w:pPr>
        <w:pStyle w:val="41"/>
        <w:keepNext w:val="0"/>
        <w:keepLines w:val="0"/>
        <w:pageBreakBefore w:val="0"/>
        <w:shd w:val="clear"/>
        <w:kinsoku/>
        <w:wordWrap/>
        <w:overflowPunct/>
        <w:topLinePunct w:val="0"/>
        <w:autoSpaceDE/>
        <w:autoSpaceDN/>
        <w:bidi w:val="0"/>
        <w:adjustRightInd/>
        <w:snapToGrid/>
        <w:spacing w:line="400" w:lineRule="exact"/>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一、评标原则</w:t>
      </w:r>
    </w:p>
    <w:p w14:paraId="0F5E92D9">
      <w:pPr>
        <w:pStyle w:val="41"/>
        <w:keepNext w:val="0"/>
        <w:keepLines w:val="0"/>
        <w:pageBreakBefore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（一）评委组成：</w:t>
      </w:r>
      <w:r>
        <w:rPr>
          <w:rFonts w:hint="eastAsia" w:ascii="宋体" w:hAnsi="宋体" w:eastAsia="宋体" w:cs="宋体"/>
          <w:bCs/>
          <w:color w:val="auto"/>
          <w:szCs w:val="21"/>
          <w:highlight w:val="none"/>
        </w:rPr>
        <w:t>本招标采购项目的评标委员会由采购人代表和评审专家组成，成员人数应当为</w:t>
      </w:r>
      <w:r>
        <w:rPr>
          <w:rFonts w:hint="eastAsia" w:ascii="宋体" w:hAnsi="宋体" w:cs="宋体"/>
          <w:bCs/>
          <w:color w:val="auto"/>
          <w:szCs w:val="21"/>
          <w:highlight w:val="none"/>
          <w:lang w:eastAsia="zh-CN"/>
        </w:rPr>
        <w:t>七</w:t>
      </w:r>
      <w:r>
        <w:rPr>
          <w:rFonts w:hint="eastAsia" w:ascii="宋体" w:hAnsi="宋体" w:eastAsia="宋体" w:cs="宋体"/>
          <w:bCs/>
          <w:color w:val="auto"/>
          <w:szCs w:val="21"/>
          <w:highlight w:val="none"/>
        </w:rPr>
        <w:t>人以上单数。其中，评审专家不得少于成员总数的三分之二。</w:t>
      </w:r>
    </w:p>
    <w:p w14:paraId="6CF79C2D">
      <w:pPr>
        <w:pStyle w:val="41"/>
        <w:keepNext w:val="0"/>
        <w:keepLines w:val="0"/>
        <w:pageBreakBefore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
          <w:bCs/>
          <w:color w:val="auto"/>
          <w:highlight w:val="none"/>
        </w:rPr>
      </w:pPr>
      <w:r>
        <w:rPr>
          <w:rFonts w:hint="eastAsia" w:ascii="宋体" w:hAnsi="宋体" w:eastAsia="宋体" w:cs="宋体"/>
          <w:bCs/>
          <w:color w:val="auto"/>
          <w:highlight w:val="none"/>
        </w:rPr>
        <w:t>（二）评标依据：</w:t>
      </w:r>
      <w:r>
        <w:rPr>
          <w:rFonts w:hint="eastAsia" w:ascii="宋体" w:hAnsi="宋体" w:eastAsia="宋体" w:cs="宋体"/>
          <w:bCs/>
          <w:color w:val="auto"/>
          <w:szCs w:val="21"/>
          <w:highlight w:val="none"/>
        </w:rPr>
        <w:t>评委将以招投标文件为评标依据，对投标人的投标文件内容按百分制打分。</w:t>
      </w:r>
    </w:p>
    <w:p w14:paraId="66C2334A">
      <w:pPr>
        <w:pStyle w:val="41"/>
        <w:keepNext w:val="0"/>
        <w:keepLines w:val="0"/>
        <w:pageBreakBefore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（三）评标方式：以封闭方式进行。</w:t>
      </w:r>
    </w:p>
    <w:p w14:paraId="4B8EC7E9">
      <w:pPr>
        <w:pStyle w:val="41"/>
        <w:keepNext w:val="0"/>
        <w:keepLines w:val="0"/>
        <w:pageBreakBefore w:val="0"/>
        <w:shd w:val="clear"/>
        <w:kinsoku/>
        <w:wordWrap/>
        <w:overflowPunct/>
        <w:topLinePunct w:val="0"/>
        <w:autoSpaceDE/>
        <w:autoSpaceDN/>
        <w:bidi w:val="0"/>
        <w:adjustRightInd/>
        <w:snapToGrid/>
        <w:spacing w:line="400" w:lineRule="exact"/>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二、评标方法</w:t>
      </w:r>
    </w:p>
    <w:p w14:paraId="050C3DFB">
      <w:pPr>
        <w:pStyle w:val="41"/>
        <w:keepNext w:val="0"/>
        <w:keepLines w:val="0"/>
        <w:pageBreakBefore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（一）对进入详评的，采用百分制综合评分法。</w:t>
      </w:r>
    </w:p>
    <w:p w14:paraId="2104B94D">
      <w:pPr>
        <w:pStyle w:val="41"/>
        <w:keepNext w:val="0"/>
        <w:keepLines w:val="0"/>
        <w:pageBreakBefore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（二）计分办法（按四舍五入取至百分位）：</w:t>
      </w:r>
    </w:p>
    <w:p w14:paraId="4C233398">
      <w:pPr>
        <w:keepNext w:val="0"/>
        <w:keepLines w:val="0"/>
        <w:pageBreakBefore w:val="0"/>
        <w:shd w:val="clear"/>
        <w:kinsoku/>
        <w:wordWrap/>
        <w:overflowPunct/>
        <w:topLinePunct w:val="0"/>
        <w:autoSpaceDE/>
        <w:autoSpaceDN/>
        <w:bidi w:val="0"/>
        <w:adjustRightInd/>
        <w:snapToGrid/>
        <w:spacing w:line="400" w:lineRule="exact"/>
        <w:rPr>
          <w:rFonts w:hint="eastAsia" w:ascii="宋体" w:hAnsi="宋体" w:eastAsia="宋体" w:cs="宋体"/>
          <w:b/>
          <w:color w:val="auto"/>
          <w:highlight w:val="none"/>
        </w:rPr>
      </w:pPr>
      <w:r>
        <w:rPr>
          <w:rFonts w:hint="eastAsia" w:ascii="宋体" w:hAnsi="宋体" w:eastAsia="宋体" w:cs="宋体"/>
          <w:b/>
          <w:color w:val="auto"/>
          <w:highlight w:val="none"/>
        </w:rPr>
        <w:t>1、价格分……………………………………………………………………………………………………30分</w:t>
      </w:r>
    </w:p>
    <w:p w14:paraId="71CFE550">
      <w:pPr>
        <w:pStyle w:val="26"/>
        <w:keepNext w:val="0"/>
        <w:keepLines w:val="0"/>
        <w:pageBreakBefore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（1）评标报价为投标人的投标报价进行政策性扣除后的价格，评标报价</w:t>
      </w:r>
      <w:r>
        <w:rPr>
          <w:rFonts w:hint="eastAsia" w:hAnsi="宋体" w:eastAsia="宋体" w:cs="宋体"/>
          <w:color w:val="auto"/>
          <w:highlight w:val="none"/>
          <w:lang w:eastAsia="zh-CN"/>
        </w:rPr>
        <w:t>只</w:t>
      </w:r>
      <w:r>
        <w:rPr>
          <w:rFonts w:hint="eastAsia" w:ascii="宋体" w:hAnsi="宋体" w:eastAsia="宋体" w:cs="宋体"/>
          <w:color w:val="auto"/>
          <w:highlight w:val="none"/>
        </w:rPr>
        <w:t>作为评标时使用。最终中标人的中标金额等于投标报价。</w:t>
      </w:r>
    </w:p>
    <w:p w14:paraId="0BA3A57D">
      <w:pPr>
        <w:keepNext w:val="0"/>
        <w:keepLines w:val="0"/>
        <w:pageBreakBefore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16BC6085">
      <w:pPr>
        <w:keepNext w:val="0"/>
        <w:keepLines w:val="0"/>
        <w:pageBreakBefore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 w:val="21"/>
          <w:szCs w:val="21"/>
          <w:highlight w:val="none"/>
          <w:u w:val="none"/>
        </w:rPr>
      </w:pPr>
      <w:r>
        <w:rPr>
          <w:rFonts w:hint="eastAsia" w:ascii="宋体" w:hAnsi="宋体" w:eastAsia="宋体" w:cs="宋体"/>
          <w:bCs/>
          <w:color w:val="auto"/>
          <w:sz w:val="21"/>
          <w:szCs w:val="21"/>
          <w:highlight w:val="none"/>
          <w:u w:val="none"/>
        </w:rPr>
        <w:t>根据《政府采购促进中小企业发展管理办法》（财库〔2020〕46号）及</w:t>
      </w:r>
      <w:r>
        <w:rPr>
          <w:rFonts w:hint="eastAsia" w:ascii="宋体" w:hAnsi="宋体" w:eastAsia="宋体" w:cs="宋体"/>
          <w:b w:val="0"/>
          <w:bCs w:val="0"/>
          <w:color w:val="auto"/>
          <w:sz w:val="21"/>
          <w:szCs w:val="21"/>
          <w:highlight w:val="none"/>
          <w:u w:val="none"/>
        </w:rPr>
        <w:t>《广西壮族自治区财政厅关于持续优化政府采购营商环境推动高质量发展的通知》（桂财采〔2024〕55号）</w:t>
      </w:r>
      <w:r>
        <w:rPr>
          <w:rFonts w:hint="eastAsia" w:ascii="宋体" w:hAnsi="宋体" w:eastAsia="宋体" w:cs="宋体"/>
          <w:bCs/>
          <w:color w:val="auto"/>
          <w:sz w:val="21"/>
          <w:szCs w:val="21"/>
          <w:highlight w:val="none"/>
          <w:u w:val="none"/>
        </w:rPr>
        <w:t>的规定，投标人在其投标文件中提供《中小企业声明函》，且其投标全部货物由小微企业制造的，对其投标报价给予10%的扣除，扣除后的价格为评标报价，即评标报价=投标报价×（1-10%）。除上述情况外，评标报价=投标报价。</w:t>
      </w:r>
    </w:p>
    <w:p w14:paraId="3CEC9A40">
      <w:pPr>
        <w:keepNext w:val="0"/>
        <w:keepLines w:val="0"/>
        <w:pageBreakBefore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 w:val="21"/>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 w:val="21"/>
          <w:szCs w:val="21"/>
          <w:highlight w:val="none"/>
        </w:rPr>
        <w:t>监狱企业属于小型、微型企业的，不重复享受政策。</w:t>
      </w:r>
    </w:p>
    <w:p w14:paraId="1A6B4408">
      <w:pPr>
        <w:keepNext w:val="0"/>
        <w:keepLines w:val="0"/>
        <w:pageBreakBefore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（4）按照</w:t>
      </w:r>
      <w:r>
        <w:rPr>
          <w:rFonts w:hint="eastAsia" w:ascii="宋体" w:hAnsi="宋体" w:eastAsia="宋体" w:cs="宋体"/>
          <w:bCs/>
          <w:color w:val="auto"/>
          <w:sz w:val="21"/>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 w:val="21"/>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 w:val="21"/>
          <w:szCs w:val="21"/>
          <w:highlight w:val="none"/>
        </w:rPr>
        <w:t>残疾人福利性单位属于小型、微型企业的，不重复享受政策。</w:t>
      </w:r>
    </w:p>
    <w:p w14:paraId="1E2F4136">
      <w:pPr>
        <w:keepNext w:val="0"/>
        <w:keepLines w:val="0"/>
        <w:pageBreakBefore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w:t>
      </w:r>
      <w:r>
        <w:rPr>
          <w:rFonts w:hint="eastAsia" w:ascii="宋体" w:hAnsi="宋体" w:eastAsia="宋体" w:cs="宋体"/>
          <w:b w:val="0"/>
          <w:bCs w:val="0"/>
          <w:color w:val="auto"/>
          <w:sz w:val="21"/>
          <w:szCs w:val="21"/>
          <w:highlight w:val="none"/>
        </w:rPr>
        <w:t>根据《国务院办公厅关于在政府采购中实施本国产品标准及相关政策的通知》（国办发〔2025〕34号）的规定，供应商对其提供的产品出具符合要求的《关于符合本国产品标准的声明函》</w:t>
      </w:r>
      <w:r>
        <w:rPr>
          <w:rFonts w:hint="eastAsia" w:ascii="宋体" w:hAnsi="宋体" w:eastAsia="宋体" w:cs="宋体"/>
          <w:b w:val="0"/>
          <w:bCs w:val="0"/>
          <w:color w:val="auto"/>
          <w:sz w:val="21"/>
          <w:szCs w:val="21"/>
          <w:highlight w:val="none"/>
          <w:lang w:eastAsia="zh-CN"/>
        </w:rPr>
        <w:t>，该产品视为本国产品。</w:t>
      </w:r>
      <w:r>
        <w:rPr>
          <w:rFonts w:hint="eastAsia" w:ascii="宋体" w:hAnsi="宋体" w:eastAsia="宋体" w:cs="宋体"/>
          <w:b w:val="0"/>
          <w:bCs w:val="0"/>
          <w:color w:val="auto"/>
          <w:sz w:val="21"/>
          <w:szCs w:val="21"/>
          <w:highlight w:val="none"/>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80B271F">
      <w:pPr>
        <w:keepNext w:val="0"/>
        <w:keepLines w:val="0"/>
        <w:pageBreakBefore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满足招标文件要求且评标报价最低的评标报价为评标基准价，其价格分为满分。</w:t>
      </w:r>
    </w:p>
    <w:p w14:paraId="30698564">
      <w:pPr>
        <w:keepNext w:val="0"/>
        <w:keepLines w:val="0"/>
        <w:pageBreakBefore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w:t>
      </w:r>
      <w:r>
        <w:rPr>
          <w:rFonts w:hint="eastAsia" w:ascii="宋体" w:hAnsi="宋体" w:eastAsia="宋体" w:cs="宋体"/>
          <w:bCs/>
          <w:color w:val="auto"/>
          <w:sz w:val="21"/>
          <w:szCs w:val="21"/>
          <w:highlight w:val="none"/>
          <w:u w:val="none"/>
          <w:lang w:val="en-US" w:eastAsia="zh-CN"/>
        </w:rPr>
        <w:t>7</w:t>
      </w:r>
      <w:r>
        <w:rPr>
          <w:rFonts w:hint="eastAsia" w:ascii="宋体" w:hAnsi="宋体" w:eastAsia="宋体" w:cs="宋体"/>
          <w:bCs/>
          <w:color w:val="auto"/>
          <w:sz w:val="21"/>
          <w:szCs w:val="21"/>
          <w:highlight w:val="none"/>
          <w:u w:val="none"/>
        </w:rPr>
        <w:t>）价格分计算公式：</w:t>
      </w:r>
    </w:p>
    <w:p w14:paraId="21C0EDBE">
      <w:pPr>
        <w:keepNext w:val="0"/>
        <w:keepLines w:val="0"/>
        <w:pageBreakBefore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 xml:space="preserve">价格分=（评标基准价／评标报价）×30分 </w:t>
      </w:r>
      <w:r>
        <w:rPr>
          <w:rFonts w:hint="eastAsia" w:ascii="宋体" w:hAnsi="宋体" w:eastAsia="宋体" w:cs="宋体"/>
          <w:color w:val="auto"/>
          <w:sz w:val="21"/>
          <w:szCs w:val="21"/>
          <w:highlight w:val="none"/>
          <w:u w:val="none"/>
        </w:rPr>
        <w:t xml:space="preserve">  </w:t>
      </w:r>
    </w:p>
    <w:p w14:paraId="3D7D089A">
      <w:pPr>
        <w:keepNext w:val="0"/>
        <w:keepLines w:val="0"/>
        <w:pageBreakBefore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注：本国产品价格扣除政策与中小企业、监狱企业、残疾人福利性单位价格扣除政策可重复享受。</w:t>
      </w:r>
    </w:p>
    <w:p w14:paraId="240F877D">
      <w:pPr>
        <w:pStyle w:val="41"/>
        <w:keepNext w:val="0"/>
        <w:keepLines w:val="0"/>
        <w:pageBreakBefore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Cs w:val="21"/>
          <w:highlight w:val="none"/>
        </w:rPr>
        <w:t>异常低价审查</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 w:val="21"/>
          <w:szCs w:val="21"/>
          <w:highlight w:val="none"/>
          <w:lang w:val="en-US" w:eastAsia="zh-CN"/>
        </w:rPr>
        <w:t>具体详见第三章《投标人须知》内容</w:t>
      </w:r>
      <w:r>
        <w:rPr>
          <w:rFonts w:hint="eastAsia" w:ascii="宋体" w:hAnsi="宋体" w:eastAsia="宋体" w:cs="宋体"/>
          <w:bCs/>
          <w:color w:val="auto"/>
          <w:sz w:val="21"/>
          <w:szCs w:val="21"/>
          <w:highlight w:val="none"/>
          <w:lang w:eastAsia="zh-CN"/>
        </w:rPr>
        <w:t>。</w:t>
      </w:r>
    </w:p>
    <w:p w14:paraId="184CF161">
      <w:pPr>
        <w:widowControl w:val="0"/>
        <w:shd w:val="clear"/>
        <w:tabs>
          <w:tab w:val="right" w:leader="dot" w:pos="9185"/>
        </w:tabs>
        <w:adjustRightInd w:val="0"/>
        <w:spacing w:line="380" w:lineRule="exact"/>
        <w:ind w:left="0"/>
        <w:jc w:val="both"/>
        <w:textAlignment w:val="baseline"/>
        <w:rPr>
          <w:rFonts w:hint="eastAsia" w:ascii="宋体" w:hAnsi="宋体" w:eastAsia="宋体" w:cs="宋体"/>
          <w:b/>
          <w:color w:val="auto"/>
          <w:kern w:val="0"/>
          <w:sz w:val="21"/>
          <w:szCs w:val="20"/>
          <w:highlight w:val="none"/>
          <w:lang w:val="en-US" w:eastAsia="zh-CN" w:bidi="ar-SA"/>
        </w:rPr>
      </w:pPr>
      <w:r>
        <w:rPr>
          <w:rFonts w:hint="eastAsia" w:ascii="宋体" w:hAnsi="宋体" w:eastAsia="宋体" w:cs="宋体"/>
          <w:b/>
          <w:color w:val="auto"/>
          <w:kern w:val="0"/>
          <w:sz w:val="21"/>
          <w:szCs w:val="20"/>
          <w:highlight w:val="none"/>
          <w:lang w:val="en-US" w:eastAsia="zh-CN" w:bidi="ar-SA"/>
        </w:rPr>
        <w:t>2、技术分……………………………………………………………………………………………………5</w:t>
      </w:r>
      <w:r>
        <w:rPr>
          <w:rFonts w:hint="eastAsia" w:ascii="宋体" w:hAnsi="宋体" w:cs="宋体"/>
          <w:b/>
          <w:color w:val="auto"/>
          <w:kern w:val="0"/>
          <w:sz w:val="21"/>
          <w:szCs w:val="20"/>
          <w:highlight w:val="none"/>
          <w:lang w:val="en-US" w:eastAsia="zh-CN" w:bidi="ar-SA"/>
        </w:rPr>
        <w:t>9</w:t>
      </w:r>
      <w:r>
        <w:rPr>
          <w:rFonts w:hint="eastAsia" w:ascii="宋体" w:hAnsi="宋体" w:eastAsia="宋体" w:cs="宋体"/>
          <w:b/>
          <w:color w:val="auto"/>
          <w:kern w:val="0"/>
          <w:sz w:val="21"/>
          <w:szCs w:val="20"/>
          <w:highlight w:val="none"/>
          <w:lang w:val="en-US" w:eastAsia="zh-CN" w:bidi="ar-SA"/>
        </w:rPr>
        <w:t>分</w:t>
      </w:r>
    </w:p>
    <w:p w14:paraId="5AD4E3A3">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（1）技术参数（满分</w:t>
      </w:r>
      <w:r>
        <w:rPr>
          <w:rFonts w:hint="eastAsia" w:ascii="宋体" w:hAnsi="宋体" w:eastAsia="宋体" w:cs="宋体"/>
          <w:color w:val="auto"/>
          <w:sz w:val="21"/>
          <w:szCs w:val="21"/>
          <w:highlight w:val="none"/>
          <w:lang w:val="en-US" w:eastAsia="zh-CN"/>
        </w:rPr>
        <w:t>32</w:t>
      </w:r>
      <w:r>
        <w:rPr>
          <w:rFonts w:hint="eastAsia" w:ascii="宋体" w:hAnsi="宋体" w:eastAsia="宋体" w:cs="宋体"/>
          <w:color w:val="auto"/>
          <w:sz w:val="21"/>
          <w:szCs w:val="21"/>
          <w:highlight w:val="none"/>
        </w:rPr>
        <w:t>分）</w:t>
      </w:r>
    </w:p>
    <w:p w14:paraId="342DD668">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lang w:val="en-US" w:eastAsia="zh-CN"/>
        </w:rPr>
        <w:t>由</w:t>
      </w:r>
      <w:r>
        <w:rPr>
          <w:rFonts w:hint="eastAsia" w:ascii="宋体" w:hAnsi="宋体" w:eastAsia="宋体" w:cs="宋体"/>
          <w:color w:val="auto"/>
          <w:sz w:val="21"/>
          <w:szCs w:val="21"/>
          <w:highlight w:val="none"/>
        </w:rPr>
        <w:t>评标委员会</w:t>
      </w:r>
      <w:r>
        <w:rPr>
          <w:rFonts w:hint="eastAsia" w:ascii="宋体" w:hAnsi="宋体" w:eastAsia="宋体" w:cs="宋体"/>
          <w:color w:val="auto"/>
          <w:sz w:val="21"/>
          <w:szCs w:val="21"/>
          <w:highlight w:val="none"/>
          <w:lang w:val="en-US" w:eastAsia="zh-CN"/>
        </w:rPr>
        <w:t>依据</w:t>
      </w:r>
      <w:r>
        <w:rPr>
          <w:rFonts w:hint="eastAsia" w:ascii="宋体" w:hAnsi="宋体" w:eastAsia="宋体" w:cs="宋体"/>
          <w:color w:val="auto"/>
          <w:sz w:val="21"/>
          <w:szCs w:val="21"/>
          <w:highlight w:val="none"/>
        </w:rPr>
        <w:t>投标人提供的产品技术参数</w:t>
      </w:r>
      <w:r>
        <w:rPr>
          <w:rFonts w:hint="eastAsia" w:ascii="宋体" w:hAnsi="宋体" w:eastAsia="宋体" w:cs="宋体"/>
          <w:color w:val="auto"/>
          <w:sz w:val="21"/>
          <w:szCs w:val="21"/>
          <w:highlight w:val="none"/>
          <w:lang w:val="en-US" w:eastAsia="zh-CN"/>
        </w:rPr>
        <w:t>及证明材料</w:t>
      </w:r>
      <w:r>
        <w:rPr>
          <w:rFonts w:hint="eastAsia" w:ascii="宋体" w:hAnsi="宋体" w:eastAsia="宋体" w:cs="宋体"/>
          <w:color w:val="auto"/>
          <w:sz w:val="21"/>
          <w:szCs w:val="21"/>
          <w:highlight w:val="none"/>
        </w:rPr>
        <w:t>，对照招标文件“第二章  招标项目采购需求”中“技术参数及性能（配置）要求”进行评审：</w:t>
      </w:r>
    </w:p>
    <w:p w14:paraId="5D8726BA">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标注</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”号</w:t>
      </w:r>
      <w:r>
        <w:rPr>
          <w:rFonts w:hint="eastAsia" w:ascii="宋体" w:hAnsi="宋体" w:eastAsia="宋体" w:cs="宋体"/>
          <w:color w:val="auto"/>
          <w:sz w:val="21"/>
          <w:szCs w:val="21"/>
          <w:highlight w:val="none"/>
          <w:lang w:val="en-US" w:eastAsia="zh-CN"/>
        </w:rPr>
        <w:t>的技术</w:t>
      </w:r>
      <w:r>
        <w:rPr>
          <w:rFonts w:hint="eastAsia" w:ascii="宋体" w:hAnsi="宋体" w:eastAsia="宋体" w:cs="宋体"/>
          <w:color w:val="auto"/>
          <w:sz w:val="21"/>
          <w:szCs w:val="21"/>
          <w:highlight w:val="none"/>
        </w:rPr>
        <w:t>参数</w:t>
      </w:r>
      <w:r>
        <w:rPr>
          <w:rFonts w:hint="eastAsia" w:ascii="宋体" w:hAnsi="宋体" w:eastAsia="宋体" w:cs="宋体"/>
          <w:color w:val="auto"/>
          <w:sz w:val="21"/>
          <w:szCs w:val="21"/>
          <w:highlight w:val="none"/>
          <w:lang w:val="en-US" w:eastAsia="zh-CN"/>
        </w:rPr>
        <w:t>完全</w:t>
      </w:r>
      <w:r>
        <w:rPr>
          <w:rFonts w:hint="eastAsia" w:ascii="宋体" w:hAnsi="宋体" w:eastAsia="宋体" w:cs="宋体"/>
          <w:color w:val="auto"/>
          <w:sz w:val="21"/>
          <w:szCs w:val="21"/>
          <w:highlight w:val="none"/>
        </w:rPr>
        <w:t>满足</w:t>
      </w:r>
      <w:r>
        <w:rPr>
          <w:rFonts w:hint="eastAsia" w:ascii="宋体" w:hAnsi="宋体" w:eastAsia="宋体" w:cs="宋体"/>
          <w:color w:val="auto"/>
          <w:sz w:val="21"/>
          <w:szCs w:val="21"/>
          <w:highlight w:val="none"/>
          <w:lang w:val="en-US" w:eastAsia="zh-CN"/>
        </w:rPr>
        <w:t>或优于招标文件要求的，每满足</w:t>
      </w: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lang w:val="en-US" w:eastAsia="zh-CN"/>
        </w:rPr>
        <w:t>项</w:t>
      </w:r>
      <w:r>
        <w:rPr>
          <w:rFonts w:hint="eastAsia" w:ascii="宋体" w:hAnsi="宋体" w:eastAsia="宋体" w:cs="宋体"/>
          <w:color w:val="auto"/>
          <w:sz w:val="21"/>
          <w:szCs w:val="21"/>
          <w:highlight w:val="none"/>
        </w:rPr>
        <w:t>得2分，</w:t>
      </w:r>
      <w:r>
        <w:rPr>
          <w:rFonts w:hint="eastAsia" w:ascii="宋体" w:hAnsi="宋体" w:eastAsia="宋体" w:cs="宋体"/>
          <w:color w:val="auto"/>
          <w:sz w:val="21"/>
          <w:szCs w:val="21"/>
          <w:highlight w:val="none"/>
          <w:lang w:val="en-US" w:eastAsia="zh-CN"/>
        </w:rPr>
        <w:t>累计</w:t>
      </w:r>
      <w:r>
        <w:rPr>
          <w:rFonts w:hint="eastAsia" w:ascii="宋体" w:hAnsi="宋体" w:eastAsia="宋体" w:cs="宋体"/>
          <w:color w:val="auto"/>
          <w:sz w:val="21"/>
          <w:szCs w:val="21"/>
          <w:highlight w:val="none"/>
        </w:rPr>
        <w:t>最</w:t>
      </w:r>
      <w:r>
        <w:rPr>
          <w:rFonts w:hint="eastAsia" w:ascii="宋体" w:hAnsi="宋体" w:eastAsia="宋体" w:cs="宋体"/>
          <w:color w:val="auto"/>
          <w:sz w:val="21"/>
          <w:szCs w:val="21"/>
          <w:highlight w:val="none"/>
          <w:lang w:val="en-US" w:eastAsia="zh-CN"/>
        </w:rPr>
        <w:t>高得</w:t>
      </w:r>
      <w:r>
        <w:rPr>
          <w:rFonts w:hint="eastAsia" w:ascii="宋体" w:hAnsi="宋体" w:cs="宋体"/>
          <w:color w:val="auto"/>
          <w:sz w:val="21"/>
          <w:szCs w:val="21"/>
          <w:highlight w:val="none"/>
          <w:lang w:val="en-US" w:eastAsia="zh-CN"/>
        </w:rPr>
        <w:t>26</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投标人须</w:t>
      </w:r>
      <w:r>
        <w:rPr>
          <w:rFonts w:hint="eastAsia" w:ascii="宋体" w:hAnsi="宋体" w:eastAsia="宋体" w:cs="宋体"/>
          <w:color w:val="auto"/>
          <w:sz w:val="21"/>
          <w:szCs w:val="21"/>
          <w:highlight w:val="none"/>
        </w:rPr>
        <w:t>严格</w:t>
      </w:r>
      <w:r>
        <w:rPr>
          <w:rFonts w:hint="eastAsia" w:ascii="宋体" w:hAnsi="宋体" w:eastAsia="宋体" w:cs="宋体"/>
          <w:color w:val="auto"/>
          <w:sz w:val="21"/>
          <w:szCs w:val="21"/>
          <w:highlight w:val="none"/>
          <w:lang w:val="en-US" w:eastAsia="zh-CN"/>
        </w:rPr>
        <w:t>按照参数要求提供证明材料</w:t>
      </w:r>
      <w:r>
        <w:rPr>
          <w:rFonts w:hint="eastAsia" w:ascii="宋体" w:hAnsi="宋体" w:eastAsia="宋体" w:cs="宋体"/>
          <w:color w:val="auto"/>
          <w:sz w:val="21"/>
          <w:szCs w:val="21"/>
          <w:highlight w:val="none"/>
        </w:rPr>
        <w:t>，凡未提供有效证明材料，或提供的证明材料内容与</w:t>
      </w:r>
      <w:r>
        <w:rPr>
          <w:rFonts w:hint="eastAsia" w:ascii="宋体" w:hAnsi="宋体" w:eastAsia="宋体" w:cs="宋体"/>
          <w:color w:val="auto"/>
          <w:sz w:val="21"/>
          <w:szCs w:val="21"/>
          <w:highlight w:val="none"/>
          <w:lang w:val="en-US" w:eastAsia="zh-CN"/>
        </w:rPr>
        <w:t>参数要求</w:t>
      </w:r>
      <w:r>
        <w:rPr>
          <w:rFonts w:hint="eastAsia" w:ascii="宋体" w:hAnsi="宋体" w:eastAsia="宋体" w:cs="宋体"/>
          <w:color w:val="auto"/>
          <w:sz w:val="21"/>
          <w:szCs w:val="21"/>
          <w:highlight w:val="none"/>
        </w:rPr>
        <w:t>不一致，或未达到</w:t>
      </w:r>
      <w:r>
        <w:rPr>
          <w:rFonts w:hint="eastAsia" w:ascii="宋体" w:hAnsi="宋体" w:eastAsia="宋体" w:cs="宋体"/>
          <w:color w:val="auto"/>
          <w:sz w:val="21"/>
          <w:szCs w:val="21"/>
          <w:highlight w:val="none"/>
          <w:lang w:val="en-US" w:eastAsia="zh-CN"/>
        </w:rPr>
        <w:t>参数</w:t>
      </w:r>
      <w:r>
        <w:rPr>
          <w:rFonts w:hint="eastAsia" w:ascii="宋体" w:hAnsi="宋体" w:eastAsia="宋体" w:cs="宋体"/>
          <w:color w:val="auto"/>
          <w:sz w:val="21"/>
          <w:szCs w:val="21"/>
          <w:highlight w:val="none"/>
        </w:rPr>
        <w:t>中明确的证明材料要求</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，均视</w:t>
      </w:r>
      <w:r>
        <w:rPr>
          <w:rFonts w:hint="eastAsia" w:ascii="宋体" w:hAnsi="宋体" w:eastAsia="宋体" w:cs="宋体"/>
          <w:color w:val="auto"/>
          <w:sz w:val="21"/>
          <w:szCs w:val="21"/>
          <w:highlight w:val="none"/>
          <w:lang w:val="en-US" w:eastAsia="zh-CN"/>
        </w:rPr>
        <w:t>为该项参数</w:t>
      </w:r>
      <w:r>
        <w:rPr>
          <w:rFonts w:hint="eastAsia" w:ascii="宋体" w:hAnsi="宋体" w:eastAsia="宋体" w:cs="宋体"/>
          <w:color w:val="auto"/>
          <w:sz w:val="21"/>
          <w:szCs w:val="21"/>
          <w:highlight w:val="none"/>
        </w:rPr>
        <w:t>负偏离，不予计分。</w:t>
      </w:r>
    </w:p>
    <w:p w14:paraId="402A600F">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w:t>
      </w:r>
      <w:r>
        <w:rPr>
          <w:rFonts w:hint="eastAsia" w:ascii="宋体" w:hAnsi="宋体" w:cs="宋体"/>
          <w:color w:val="auto"/>
          <w:sz w:val="21"/>
          <w:szCs w:val="21"/>
          <w:highlight w:val="none"/>
          <w:lang w:eastAsia="zh-CN"/>
        </w:rPr>
        <w:t>同时</w:t>
      </w:r>
      <w:r>
        <w:rPr>
          <w:rFonts w:hint="eastAsia" w:ascii="宋体" w:hAnsi="宋体" w:eastAsia="宋体" w:cs="宋体"/>
          <w:color w:val="auto"/>
          <w:sz w:val="21"/>
          <w:szCs w:val="21"/>
          <w:highlight w:val="none"/>
          <w:lang w:val="en-US" w:eastAsia="zh-CN"/>
        </w:rPr>
        <w:t>满足</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bidi="ar"/>
        </w:rPr>
        <w:t>区级</w:t>
      </w:r>
      <w:r>
        <w:rPr>
          <w:rFonts w:hint="eastAsia" w:ascii="宋体" w:hAnsi="宋体" w:eastAsia="宋体" w:cs="宋体"/>
          <w:color w:val="auto"/>
          <w:kern w:val="0"/>
          <w:sz w:val="21"/>
          <w:szCs w:val="21"/>
          <w:highlight w:val="none"/>
          <w:lang w:val="en-US" w:eastAsia="zh-CN" w:bidi="ar"/>
        </w:rPr>
        <w:t>指挥调度视频终端</w:t>
      </w:r>
      <w:r>
        <w:rPr>
          <w:rFonts w:hint="eastAsia" w:ascii="宋体" w:hAnsi="宋体" w:eastAsia="宋体" w:cs="宋体"/>
          <w:color w:val="auto"/>
          <w:kern w:val="0"/>
          <w:sz w:val="21"/>
          <w:szCs w:val="21"/>
          <w:highlight w:val="none"/>
          <w:lang w:bidi="ar"/>
        </w:rPr>
        <w:t>①</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bidi="ar"/>
        </w:rPr>
        <w:t>区级</w:t>
      </w:r>
      <w:r>
        <w:rPr>
          <w:rFonts w:hint="eastAsia" w:ascii="宋体" w:hAnsi="宋体" w:eastAsia="宋体" w:cs="宋体"/>
          <w:color w:val="auto"/>
          <w:kern w:val="0"/>
          <w:sz w:val="21"/>
          <w:szCs w:val="21"/>
          <w:highlight w:val="none"/>
          <w:lang w:val="en-US" w:eastAsia="zh-CN" w:bidi="ar"/>
        </w:rPr>
        <w:t>指挥调度视频终端</w:t>
      </w:r>
      <w:r>
        <w:rPr>
          <w:rFonts w:hint="eastAsia" w:ascii="宋体" w:hAnsi="宋体" w:eastAsia="宋体" w:cs="宋体"/>
          <w:color w:val="auto"/>
          <w:sz w:val="21"/>
          <w:szCs w:val="21"/>
          <w:highlight w:val="none"/>
        </w:rPr>
        <w:t>②”、“</w:t>
      </w:r>
      <w:r>
        <w:rPr>
          <w:rFonts w:hint="eastAsia" w:ascii="宋体" w:hAnsi="宋体" w:eastAsia="宋体" w:cs="宋体"/>
          <w:color w:val="auto"/>
          <w:sz w:val="21"/>
          <w:szCs w:val="21"/>
          <w:highlight w:val="none"/>
          <w:lang w:val="en-US" w:eastAsia="zh-CN"/>
        </w:rPr>
        <w:t>市</w:t>
      </w:r>
      <w:r>
        <w:rPr>
          <w:rFonts w:hint="eastAsia" w:ascii="宋体" w:hAnsi="宋体" w:eastAsia="宋体" w:cs="宋体"/>
          <w:color w:val="auto"/>
          <w:kern w:val="0"/>
          <w:sz w:val="21"/>
          <w:szCs w:val="21"/>
          <w:highlight w:val="none"/>
          <w:lang w:bidi="ar"/>
        </w:rPr>
        <w:t>级</w:t>
      </w:r>
      <w:r>
        <w:rPr>
          <w:rFonts w:hint="eastAsia" w:ascii="宋体" w:hAnsi="宋体" w:eastAsia="宋体" w:cs="宋体"/>
          <w:color w:val="auto"/>
          <w:kern w:val="0"/>
          <w:sz w:val="21"/>
          <w:szCs w:val="21"/>
          <w:highlight w:val="none"/>
          <w:lang w:val="en-US" w:eastAsia="zh-CN" w:bidi="ar"/>
        </w:rPr>
        <w:t>指挥调度视频终端</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的</w:t>
      </w:r>
      <w:r>
        <w:rPr>
          <w:rFonts w:hint="eastAsia" w:ascii="宋体" w:hAnsi="宋体" w:eastAsia="宋体" w:cs="宋体"/>
          <w:b/>
          <w:color w:val="auto"/>
          <w:sz w:val="21"/>
          <w:szCs w:val="21"/>
          <w:highlight w:val="none"/>
        </w:rPr>
        <w:t>技术参数及性能（配置）要求</w:t>
      </w:r>
      <w:r>
        <w:rPr>
          <w:rFonts w:hint="eastAsia" w:ascii="宋体" w:hAnsi="宋体" w:eastAsia="宋体" w:cs="宋体"/>
          <w:b/>
          <w:color w:val="auto"/>
          <w:sz w:val="21"/>
          <w:szCs w:val="21"/>
          <w:highlight w:val="none"/>
          <w:lang w:val="en-US" w:eastAsia="zh-CN"/>
        </w:rPr>
        <w:t>中</w:t>
      </w:r>
      <w:r>
        <w:rPr>
          <w:rFonts w:hint="eastAsia" w:ascii="宋体" w:hAnsi="宋体" w:cs="宋体"/>
          <w:color w:val="auto"/>
          <w:sz w:val="21"/>
          <w:szCs w:val="21"/>
          <w:highlight w:val="none"/>
          <w:lang w:val="en-US" w:eastAsia="zh-CN"/>
        </w:rPr>
        <w:t>标注“</w:t>
      </w:r>
      <w:r>
        <w:rPr>
          <w:rFonts w:hint="eastAsia" w:ascii="宋体" w:hAnsi="宋体" w:cs="宋体"/>
          <w:color w:val="auto"/>
          <w:kern w:val="0"/>
          <w:sz w:val="21"/>
          <w:szCs w:val="21"/>
          <w:highlight w:val="none"/>
          <w:lang w:eastAsia="zh-CN" w:bidi="ar"/>
        </w:rPr>
        <w:t>■</w:t>
      </w:r>
      <w:r>
        <w:rPr>
          <w:rFonts w:hint="eastAsia" w:ascii="宋体" w:hAnsi="宋体" w:cs="宋体"/>
          <w:color w:val="auto"/>
          <w:sz w:val="21"/>
          <w:szCs w:val="21"/>
          <w:highlight w:val="none"/>
          <w:lang w:val="en-US" w:eastAsia="zh-CN"/>
        </w:rPr>
        <w:t>”号的</w:t>
      </w:r>
      <w:r>
        <w:rPr>
          <w:rFonts w:hint="eastAsia" w:ascii="宋体" w:hAnsi="宋体" w:eastAsia="宋体" w:cs="宋体"/>
          <w:color w:val="auto"/>
          <w:sz w:val="21"/>
          <w:szCs w:val="21"/>
          <w:highlight w:val="none"/>
          <w:lang w:val="en-US" w:eastAsia="zh-CN"/>
        </w:rPr>
        <w:t>这3项的技术要求</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分。投标人</w:t>
      </w:r>
      <w:r>
        <w:rPr>
          <w:rFonts w:hint="default" w:ascii="宋体" w:hAnsi="宋体" w:eastAsia="宋体" w:cs="宋体"/>
          <w:color w:val="auto"/>
          <w:sz w:val="21"/>
          <w:szCs w:val="21"/>
          <w:highlight w:val="none"/>
          <w:lang w:val="en-US"/>
        </w:rPr>
        <w:t>须严格按照参数要求</w:t>
      </w:r>
      <w:r>
        <w:rPr>
          <w:rFonts w:hint="eastAsia" w:ascii="宋体" w:hAnsi="宋体" w:eastAsia="宋体" w:cs="宋体"/>
          <w:color w:val="auto"/>
          <w:sz w:val="21"/>
          <w:szCs w:val="21"/>
          <w:highlight w:val="none"/>
        </w:rPr>
        <w:t>提供</w:t>
      </w:r>
      <w:r>
        <w:rPr>
          <w:rFonts w:hint="eastAsia" w:ascii="宋体" w:hAnsi="宋体" w:cs="宋体"/>
          <w:color w:val="auto"/>
          <w:sz w:val="21"/>
          <w:szCs w:val="21"/>
          <w:highlight w:val="none"/>
          <w:lang w:val="en-US" w:eastAsia="zh-CN"/>
        </w:rPr>
        <w:t>承诺函（格式自拟）及</w:t>
      </w:r>
      <w:r>
        <w:rPr>
          <w:rFonts w:hint="eastAsia" w:ascii="宋体" w:hAnsi="宋体" w:eastAsia="宋体" w:cs="宋体"/>
          <w:color w:val="auto"/>
          <w:sz w:val="21"/>
          <w:szCs w:val="21"/>
          <w:highlight w:val="none"/>
          <w:lang w:val="en-US" w:eastAsia="zh-CN"/>
        </w:rPr>
        <w:t>下列</w:t>
      </w:r>
      <w:r>
        <w:rPr>
          <w:rFonts w:hint="eastAsia" w:ascii="宋体" w:hAnsi="宋体" w:eastAsia="宋体" w:cs="宋体"/>
          <w:color w:val="auto"/>
          <w:sz w:val="21"/>
          <w:szCs w:val="21"/>
          <w:highlight w:val="none"/>
        </w:rPr>
        <w:t>证明材料</w:t>
      </w:r>
      <w:r>
        <w:rPr>
          <w:rFonts w:hint="eastAsia" w:ascii="宋体" w:hAnsi="宋体" w:eastAsia="宋体" w:cs="宋体"/>
          <w:color w:val="auto"/>
          <w:sz w:val="21"/>
          <w:szCs w:val="21"/>
          <w:highlight w:val="none"/>
          <w:lang w:val="en-US" w:eastAsia="zh-CN"/>
        </w:rPr>
        <w:t>之一：产品彩页、出厂测试报告或</w:t>
      </w:r>
      <w:r>
        <w:rPr>
          <w:rFonts w:hint="eastAsia" w:ascii="宋体" w:hAnsi="宋体" w:eastAsia="宋体" w:cs="宋体"/>
          <w:color w:val="auto"/>
          <w:sz w:val="21"/>
          <w:szCs w:val="21"/>
          <w:highlight w:val="none"/>
        </w:rPr>
        <w:t>第三方检测报告</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凡未提供有效证明材料，或提供的证明材料内容与参数要求不一致，或未达到参数中明确的证明材料要求的，均视为该项参数负偏离，不予计分。</w:t>
      </w:r>
    </w:p>
    <w:p w14:paraId="1553E9D0">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（2）项目需求理解（满分</w:t>
      </w:r>
      <w:r>
        <w:rPr>
          <w:rFonts w:hint="eastAsia" w:ascii="宋体" w:hAnsi="宋体" w:cs="宋体"/>
          <w:b w:val="0"/>
          <w:bCs w:val="0"/>
          <w:color w:val="auto"/>
          <w:kern w:val="2"/>
          <w:sz w:val="21"/>
          <w:szCs w:val="21"/>
          <w:highlight w:val="none"/>
          <w:lang w:val="en-US" w:eastAsia="zh-CN" w:bidi="ar-SA"/>
        </w:rPr>
        <w:t>5</w:t>
      </w:r>
      <w:r>
        <w:rPr>
          <w:rFonts w:hint="eastAsia" w:ascii="宋体" w:hAnsi="宋体" w:eastAsia="宋体" w:cs="宋体"/>
          <w:b w:val="0"/>
          <w:bCs w:val="0"/>
          <w:color w:val="auto"/>
          <w:kern w:val="2"/>
          <w:sz w:val="21"/>
          <w:szCs w:val="21"/>
          <w:highlight w:val="none"/>
          <w:lang w:val="en-US" w:eastAsia="zh-CN" w:bidi="ar-SA"/>
        </w:rPr>
        <w:t>分）</w:t>
      </w:r>
    </w:p>
    <w:p w14:paraId="2A710806">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由评标委员会依据投标人提供的项目需求理解方案，</w:t>
      </w:r>
      <w:r>
        <w:rPr>
          <w:rFonts w:hint="eastAsia" w:ascii="宋体" w:hAnsi="宋体" w:eastAsia="宋体" w:cs="宋体"/>
          <w:bCs/>
          <w:color w:val="auto"/>
          <w:kern w:val="2"/>
          <w:sz w:val="21"/>
          <w:szCs w:val="21"/>
          <w:highlight w:val="none"/>
          <w:lang w:val="en-US" w:eastAsia="zh-CN" w:bidi="ar"/>
        </w:rPr>
        <w:t>围绕以下4项核心内容进行综合评审：</w:t>
      </w:r>
    </w:p>
    <w:p w14:paraId="4D4D8793">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①阐述“国-区域-区-市-县-作业点/飞机外场”六级联动及端到端调度目标。</w:t>
      </w:r>
    </w:p>
    <w:p w14:paraId="3256F17D">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②准确区分并论述“指挥端、作业端、调度端”三类对象（如固定/机动/便携指挥、飞机/单兵/作业点等）的业务需求。</w:t>
      </w:r>
    </w:p>
    <w:p w14:paraId="4C7B0F24">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③体现“人工影响天气七段式业务流程”在音视频调度中的支撑作用。</w:t>
      </w:r>
    </w:p>
    <w:p w14:paraId="2800C3E7">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④论述基于“气象宽带网+互联网”的内外网安全跨域调度及“双重审批与三员审批”的安全管控机制。</w:t>
      </w:r>
    </w:p>
    <w:p w14:paraId="40683701">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一档（1分）：方案未完全涵盖上述4项核心内容。</w:t>
      </w:r>
    </w:p>
    <w:p w14:paraId="35ADFE2A">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二档（2分）：方案涵盖了上述4项核心内容，并结合“机动集成作业系统使用”、“飞机作业”和“地面作业”等具体业务场景进行分析。</w:t>
      </w:r>
    </w:p>
    <w:p w14:paraId="696C7DDA">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三档（</w:t>
      </w:r>
      <w:r>
        <w:rPr>
          <w:rFonts w:hint="eastAsia" w:ascii="宋体" w:hAnsi="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eastAsia="zh-CN" w:bidi="ar-SA"/>
        </w:rPr>
        <w:t>分）：方案内容满足二档前提下，需同时满足以下要求：一是针对“六级联动”、“三类对象”绘制业务需求分析图表或拓扑图；二是结合人工影响天气实战场景，阐述了“人工影响天气七段式业务流程”的具体环节，并对“双重审批与三员审批”安全管控机制进行了论述（包含审批流程图、权限管理逻辑等），体现出对项目需求的深度理解。</w:t>
      </w:r>
    </w:p>
    <w:p w14:paraId="6141F91B">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SA"/>
        </w:rPr>
        <w:t>项目设计方案（满分7分）</w:t>
      </w:r>
    </w:p>
    <w:p w14:paraId="3AFE7D44">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kern w:val="2"/>
          <w:sz w:val="21"/>
          <w:szCs w:val="21"/>
          <w:highlight w:val="none"/>
          <w:lang w:val="en-US" w:eastAsia="zh-CN" w:bidi="ar"/>
        </w:rPr>
        <w:t>由评标委员会依据投标人提供的项目技术方案（至少应包含总体架构、系统组成、应用场景设计等内容），围绕以下6项核心内容进行综合评审：</w:t>
      </w:r>
    </w:p>
    <w:p w14:paraId="50187F3B">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kern w:val="2"/>
          <w:sz w:val="21"/>
          <w:szCs w:val="21"/>
          <w:highlight w:val="none"/>
          <w:lang w:val="en-US" w:eastAsia="zh-CN" w:bidi="ar"/>
        </w:rPr>
        <w:t>①多级级联设计：设计分级分权管理机制，满足人工影响天气“国-区域-区-市-县-作业点/飞机外场”六级联动指挥调度，实现上级平台可调度本级和下级平台的所有资源。</w:t>
      </w:r>
    </w:p>
    <w:p w14:paraId="56D5D8FE">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kern w:val="2"/>
          <w:sz w:val="21"/>
          <w:szCs w:val="21"/>
          <w:highlight w:val="none"/>
          <w:lang w:val="en-US" w:eastAsia="zh-CN" w:bidi="ar"/>
        </w:rPr>
        <w:t>②跨网融合通信设计：设计跨网融合通信方式与安全隔离体系，实现多种网络环境下（例如气象宽带网、电子政务网、互联网、卫星网络、自组网等）的音视频资源融合调度；构建基于三员审批、多级权限管控机制，构建安全隔离的双重审批架构，实现内外网音视频资源的访问管理与标准化管控。</w:t>
      </w:r>
    </w:p>
    <w:p w14:paraId="64F26AF4">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kern w:val="2"/>
          <w:sz w:val="21"/>
          <w:szCs w:val="21"/>
          <w:highlight w:val="none"/>
          <w:lang w:val="en-US" w:eastAsia="zh-CN" w:bidi="ar"/>
        </w:rPr>
        <w:t>③跨域联通设计：构建区-市-县-作业点一体化指挥调度体系，实现各级指挥中心任意节点间的直接联通、音视频调显与双向呼叫。支持区、市、县三级终端与机动集成作业系统指挥模组、作业端、手机端等多类型终端的协同分享，具备多域跨网环境下信号源界面、组合画面及标注内容的实时推送与协同交互能力。</w:t>
      </w:r>
    </w:p>
    <w:p w14:paraId="42FDF4F2">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kern w:val="2"/>
          <w:sz w:val="21"/>
          <w:szCs w:val="21"/>
          <w:highlight w:val="none"/>
          <w:lang w:val="en-US" w:eastAsia="zh-CN" w:bidi="ar"/>
        </w:rPr>
        <w:t>④跨省协同设计：设计省与省之间多域跨网界面资源安全双向推送与调取机制，实现各类多域跨网信号源界面、组合界面、标注界面的实时推送协同。</w:t>
      </w:r>
    </w:p>
    <w:p w14:paraId="23AACDBE">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kern w:val="2"/>
          <w:sz w:val="21"/>
          <w:szCs w:val="21"/>
          <w:highlight w:val="none"/>
          <w:lang w:val="en-US" w:eastAsia="zh-CN" w:bidi="ar"/>
        </w:rPr>
        <w:t>⑤“端到端”互联互通设计：构建基于互联网的“端到端”安全接入，设计指挥端、作业端、调度端的音视频交互，实现移动作业场景下的远程实时调显与内容控制。</w:t>
      </w:r>
    </w:p>
    <w:p w14:paraId="6DFBEA0A">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kern w:val="2"/>
          <w:sz w:val="21"/>
          <w:szCs w:val="21"/>
          <w:highlight w:val="none"/>
          <w:lang w:val="en-US" w:eastAsia="zh-CN" w:bidi="ar"/>
        </w:rPr>
        <w:t>⑥系统集成对接设计：规划与“天工”平台、机动集成作业系统的集成对接方案，定义接口协议，设计操控交互流程及界面融合方式，实现异构系统的无缝衔接。</w:t>
      </w:r>
    </w:p>
    <w:p w14:paraId="3DA6ECD0">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kern w:val="2"/>
          <w:sz w:val="21"/>
          <w:szCs w:val="21"/>
          <w:highlight w:val="none"/>
          <w:lang w:val="en-US" w:eastAsia="zh-CN" w:bidi="ar"/>
        </w:rPr>
        <w:t>一档（1分）：方案未完全涵盖上述6项核心内容。</w:t>
      </w:r>
    </w:p>
    <w:p w14:paraId="47D7BF4E">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kern w:val="2"/>
          <w:sz w:val="21"/>
          <w:szCs w:val="21"/>
          <w:highlight w:val="none"/>
          <w:lang w:val="en-US" w:eastAsia="zh-CN" w:bidi="ar"/>
        </w:rPr>
        <w:t>二档（3分）：方案涵盖上述全部6项核心内容，同时满足以下要求：一是提供系统总体架构图、网络拓扑图及应用场景流程图；二是针对六级联动指挥调度、跨网融合通信等核心需求有指挥调度流程图和音视频跨网传输流程图。</w:t>
      </w:r>
    </w:p>
    <w:p w14:paraId="29BCA739">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kern w:val="2"/>
          <w:sz w:val="21"/>
          <w:szCs w:val="21"/>
          <w:highlight w:val="none"/>
          <w:lang w:val="en-US" w:eastAsia="zh-CN" w:bidi="ar"/>
        </w:rPr>
        <w:t>三档（7分）：方案在满足二档的前提下，同时满足以下要求：针对“天工”平台提出具体的对接接口方案，方案内容包含视频调度、会议调度、语音调度、LBS（基于位置的服务）调度、即时通讯、短信接口调度等功能的接口设计。</w:t>
      </w:r>
    </w:p>
    <w:p w14:paraId="5E5E1E61">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（4）项目实施方案（满分7分）</w:t>
      </w:r>
    </w:p>
    <w:p w14:paraId="70217F0B">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由评标委员会依据投标人提供的项目实施方案，围绕以下5项核心内容进行综合评审：①实施组织与团队保障 ②项目整体实施进度计划 ③区市县多级部署方案（须包含单向物理链路传输方式的跨网融合通信、音视频存储管理软件部署内容） ④</w:t>
      </w:r>
      <w:r>
        <w:rPr>
          <w:rFonts w:hint="eastAsia" w:ascii="宋体" w:hAnsi="宋体" w:cs="宋体"/>
          <w:color w:val="auto"/>
          <w:kern w:val="2"/>
          <w:sz w:val="21"/>
          <w:szCs w:val="21"/>
          <w:highlight w:val="none"/>
          <w:lang w:val="en-US" w:eastAsia="zh-CN" w:bidi="ar-SA"/>
        </w:rPr>
        <w:t>多源</w:t>
      </w:r>
      <w:r>
        <w:rPr>
          <w:rFonts w:hint="eastAsia" w:ascii="宋体" w:hAnsi="宋体" w:eastAsia="宋体" w:cs="宋体"/>
          <w:color w:val="auto"/>
          <w:kern w:val="2"/>
          <w:sz w:val="21"/>
          <w:szCs w:val="21"/>
          <w:highlight w:val="none"/>
          <w:lang w:val="en-US" w:eastAsia="zh-CN" w:bidi="ar-SA"/>
        </w:rPr>
        <w:t>融合集成方案（须包含天工平台对接、存量视频会议集成、机动集成作业系统指挥模组对接内容） ⑤项目验收方案。</w:t>
      </w:r>
    </w:p>
    <w:p w14:paraId="7DC87304">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一档（1分）：</w:t>
      </w:r>
      <w:r>
        <w:rPr>
          <w:rFonts w:hint="eastAsia" w:ascii="宋体" w:hAnsi="宋体" w:eastAsia="宋体" w:cs="宋体"/>
          <w:bCs/>
          <w:color w:val="auto"/>
          <w:kern w:val="2"/>
          <w:sz w:val="21"/>
          <w:szCs w:val="21"/>
          <w:highlight w:val="none"/>
          <w:lang w:val="en-US" w:eastAsia="zh-CN" w:bidi="ar"/>
        </w:rPr>
        <w:t>方案未完全涵盖上述5项核心内容。</w:t>
      </w:r>
    </w:p>
    <w:p w14:paraId="0DF1600F">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二档（3分）：方案完整包含全部5项核心内容</w:t>
      </w:r>
      <w:r>
        <w:rPr>
          <w:rFonts w:hint="eastAsia" w:ascii="宋体" w:hAnsi="宋体" w:eastAsia="宋体" w:cs="宋体"/>
          <w:bCs/>
          <w:color w:val="auto"/>
          <w:kern w:val="2"/>
          <w:sz w:val="21"/>
          <w:szCs w:val="21"/>
          <w:highlight w:val="none"/>
          <w:lang w:val="en-US" w:eastAsia="zh-CN" w:bidi="ar"/>
        </w:rPr>
        <w:t>，同时满足以下要求：</w:t>
      </w:r>
      <w:r>
        <w:rPr>
          <w:rFonts w:hint="eastAsia" w:ascii="宋体" w:hAnsi="宋体" w:eastAsia="宋体" w:cs="宋体"/>
          <w:color w:val="auto"/>
          <w:kern w:val="2"/>
          <w:sz w:val="21"/>
          <w:szCs w:val="21"/>
          <w:highlight w:val="none"/>
          <w:lang w:val="en-US" w:eastAsia="zh-CN" w:bidi="ar-SA"/>
        </w:rPr>
        <w:t>一是提供区市县实施进度甘特图及人员分工表。二是提供跨网融合通信网络拓扑图（须体现安全隔离机制）以及音视频存储管理软件部署所需存储、计算、网络等资源说明内容。</w:t>
      </w:r>
    </w:p>
    <w:p w14:paraId="4BD77F8A">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三档（7分）：</w:t>
      </w:r>
      <w:r>
        <w:rPr>
          <w:rFonts w:hint="eastAsia" w:ascii="宋体" w:hAnsi="宋体" w:eastAsia="宋体" w:cs="宋体"/>
          <w:bCs/>
          <w:color w:val="auto"/>
          <w:kern w:val="2"/>
          <w:sz w:val="21"/>
          <w:szCs w:val="21"/>
          <w:highlight w:val="none"/>
          <w:lang w:val="en-US" w:eastAsia="zh-CN" w:bidi="ar"/>
        </w:rPr>
        <w:t>方案在满足二档的前提下，同时满足以下要求：</w:t>
      </w:r>
      <w:r>
        <w:rPr>
          <w:rFonts w:hint="eastAsia" w:ascii="宋体" w:hAnsi="宋体" w:eastAsia="宋体" w:cs="宋体"/>
          <w:color w:val="auto"/>
          <w:sz w:val="21"/>
          <w:szCs w:val="21"/>
          <w:highlight w:val="none"/>
        </w:rPr>
        <w:t>一是</w:t>
      </w:r>
      <w:r>
        <w:rPr>
          <w:rFonts w:hint="eastAsia" w:ascii="宋体" w:hAnsi="宋体" w:eastAsia="宋体" w:cs="宋体"/>
          <w:color w:val="auto"/>
          <w:kern w:val="2"/>
          <w:sz w:val="21"/>
          <w:szCs w:val="21"/>
          <w:highlight w:val="none"/>
          <w:lang w:val="en-US" w:eastAsia="zh-CN" w:bidi="ar-SA"/>
        </w:rPr>
        <w:t>明确</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val="en-US" w:eastAsia="zh-CN"/>
        </w:rPr>
        <w:t>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天</w:t>
      </w:r>
      <w:r>
        <w:rPr>
          <w:rFonts w:hint="eastAsia" w:ascii="宋体" w:hAnsi="宋体" w:eastAsia="宋体" w:cs="宋体"/>
          <w:color w:val="auto"/>
          <w:kern w:val="2"/>
          <w:sz w:val="21"/>
          <w:szCs w:val="21"/>
          <w:highlight w:val="none"/>
          <w:lang w:val="en-US" w:eastAsia="zh-CN" w:bidi="ar-SA"/>
        </w:rPr>
        <w:t>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平台、</w:t>
      </w:r>
      <w:r>
        <w:rPr>
          <w:rFonts w:hint="eastAsia" w:ascii="宋体" w:hAnsi="宋体" w:eastAsia="宋体" w:cs="宋体"/>
          <w:color w:val="auto"/>
          <w:kern w:val="2"/>
          <w:sz w:val="21"/>
          <w:szCs w:val="21"/>
          <w:highlight w:val="none"/>
          <w:lang w:val="en-US" w:eastAsia="zh-CN" w:bidi="ar-SA"/>
        </w:rPr>
        <w:t>视频会议系统、机动集成作业系统的集成测试方法。二是提供自开标前36个月内（不含开标当日），投标人所投产品在可视化音视频调度类系统的测试合格证明文件。证明文件明确体现系统相关功能测试合格，涵盖“音视频跨网接入”、“融合显控”、“多域调度”中的至少一项核心功能测试验收内容，并附有项目/测试负责人签字或检测机构公章。</w:t>
      </w:r>
    </w:p>
    <w:p w14:paraId="0DC3474E">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（5）售后服务方案（满分4分）</w:t>
      </w:r>
    </w:p>
    <w:p w14:paraId="6FAD4D3E">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由评标委员会依据投标人提供的售后服务方案，围绕以下4项核心内容进行综合评审：①驻场团队保障 ②故障分级响应与处置机制 ③常态化巡检运维服务 ④重大/大型活动专项保障能力。</w:t>
      </w:r>
    </w:p>
    <w:p w14:paraId="3C4233BE">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一档（1分）：</w:t>
      </w:r>
      <w:r>
        <w:rPr>
          <w:rFonts w:hint="eastAsia" w:ascii="宋体" w:hAnsi="宋体" w:eastAsia="宋体" w:cs="宋体"/>
          <w:bCs/>
          <w:color w:val="auto"/>
          <w:kern w:val="2"/>
          <w:sz w:val="21"/>
          <w:szCs w:val="21"/>
          <w:highlight w:val="none"/>
          <w:lang w:val="en-US" w:eastAsia="zh-CN" w:bidi="ar"/>
        </w:rPr>
        <w:t>方案未完全涵盖上述4项核心内容。</w:t>
      </w:r>
    </w:p>
    <w:p w14:paraId="22D5449F">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二档（2分）：方案完整包含全部4项核心内容</w:t>
      </w:r>
      <w:r>
        <w:rPr>
          <w:rFonts w:hint="eastAsia" w:ascii="宋体" w:hAnsi="宋体" w:eastAsia="宋体" w:cs="宋体"/>
          <w:bCs/>
          <w:color w:val="auto"/>
          <w:kern w:val="2"/>
          <w:sz w:val="21"/>
          <w:szCs w:val="21"/>
          <w:highlight w:val="none"/>
          <w:lang w:val="en-US" w:eastAsia="zh-CN" w:bidi="ar"/>
        </w:rPr>
        <w:t>，同时满足以下要求：</w:t>
      </w:r>
      <w:r>
        <w:rPr>
          <w:rFonts w:hint="eastAsia" w:ascii="宋体" w:hAnsi="宋体" w:eastAsia="宋体" w:cs="宋体"/>
          <w:color w:val="auto"/>
          <w:kern w:val="2"/>
          <w:sz w:val="21"/>
          <w:szCs w:val="21"/>
          <w:highlight w:val="none"/>
          <w:lang w:val="en-US" w:eastAsia="zh-CN" w:bidi="ar-SA"/>
        </w:rPr>
        <w:t>一是明确驻场服务团队配置，提供人员履历表；二是建立分级响应体系，涵盖电话咨询响应时间、一般故障响应到场时间、特殊重大事件响应到场时间，并结合本项目特点制定具体的故障排查流程；三是制定详细的巡检计划（明确巡检频次，如月度/季度巡检），提供巡检记录表模板，涵盖音视频核心设备的状态检查与日志分析。</w:t>
      </w:r>
    </w:p>
    <w:p w14:paraId="6AB64AE6">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三档（4分）：</w:t>
      </w:r>
      <w:r>
        <w:rPr>
          <w:rFonts w:hint="eastAsia" w:ascii="宋体" w:hAnsi="宋体" w:eastAsia="宋体" w:cs="宋体"/>
          <w:bCs/>
          <w:color w:val="auto"/>
          <w:kern w:val="2"/>
          <w:sz w:val="21"/>
          <w:szCs w:val="21"/>
          <w:highlight w:val="none"/>
          <w:lang w:val="en-US" w:eastAsia="zh-CN" w:bidi="ar"/>
        </w:rPr>
        <w:t>方案在满足二档的前提下，同时满足以下要求：</w:t>
      </w:r>
      <w:r>
        <w:rPr>
          <w:rFonts w:hint="eastAsia" w:ascii="宋体" w:hAnsi="宋体" w:eastAsia="宋体" w:cs="宋体"/>
          <w:color w:val="auto"/>
          <w:kern w:val="2"/>
          <w:sz w:val="21"/>
          <w:szCs w:val="21"/>
          <w:highlight w:val="none"/>
          <w:lang w:val="en-US" w:eastAsia="zh-CN" w:bidi="ar-SA"/>
        </w:rPr>
        <w:t>一是提供详细的驻场管理制度；二是制定针对本项目细化不同级别故障（如设备宕机、跨网作业调度失败等）的售后服务预案；三是制定详细的重大/大型活动专项保障方案，涵盖系统联调演练、驻场值守以及总结复盘。</w:t>
      </w:r>
    </w:p>
    <w:p w14:paraId="17170437">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（6）培训方案（满分4分）</w:t>
      </w:r>
    </w:p>
    <w:p w14:paraId="690982AD">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由评标委员会依据投标人提供的培训方案，围绕以下5项核心内容进行综合评审：①培训目标和对象 ②培训内容 ③培训方式与计划 ④培训师资力量与资料 ⑤培训效果评估与改进。</w:t>
      </w:r>
    </w:p>
    <w:p w14:paraId="38ACE819">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一档（1分）：</w:t>
      </w:r>
      <w:r>
        <w:rPr>
          <w:rFonts w:hint="eastAsia" w:ascii="宋体" w:hAnsi="宋体" w:eastAsia="宋体" w:cs="宋体"/>
          <w:bCs/>
          <w:color w:val="auto"/>
          <w:kern w:val="2"/>
          <w:sz w:val="21"/>
          <w:szCs w:val="21"/>
          <w:highlight w:val="none"/>
          <w:lang w:val="en-US" w:eastAsia="zh-CN" w:bidi="ar"/>
        </w:rPr>
        <w:t>方案未完全涵盖上述5项核心内容。</w:t>
      </w:r>
    </w:p>
    <w:p w14:paraId="2BB75197">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二档（2分）：方案完整包含全部5项核心内容</w:t>
      </w:r>
      <w:r>
        <w:rPr>
          <w:rFonts w:hint="eastAsia" w:ascii="宋体" w:hAnsi="宋体" w:eastAsia="宋体" w:cs="宋体"/>
          <w:bCs/>
          <w:color w:val="auto"/>
          <w:kern w:val="2"/>
          <w:sz w:val="21"/>
          <w:szCs w:val="21"/>
          <w:highlight w:val="none"/>
          <w:lang w:val="en-US" w:eastAsia="zh-CN" w:bidi="ar"/>
        </w:rPr>
        <w:t>，同时满足以下要求：</w:t>
      </w:r>
      <w:r>
        <w:rPr>
          <w:rFonts w:hint="eastAsia" w:ascii="宋体" w:hAnsi="宋体" w:eastAsia="宋体" w:cs="宋体"/>
          <w:color w:val="auto"/>
          <w:kern w:val="2"/>
          <w:sz w:val="21"/>
          <w:szCs w:val="21"/>
          <w:highlight w:val="none"/>
          <w:lang w:val="en-US" w:eastAsia="zh-CN" w:bidi="ar-SA"/>
        </w:rPr>
        <w:t>一是方案针对不同岗位（如管理员、操作员、维护员）细分课程内容与考核标准。二是提供详细的培训日程安排表（总学时不少于8学时）及电子版培训教材目录。三是配备至少1名培训讲师，具有3年以上从业经验，提供相关证明材料（如社保缴纳记录或劳动合同）。</w:t>
      </w:r>
    </w:p>
    <w:p w14:paraId="77E0BBD4">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三档（4分）：</w:t>
      </w:r>
      <w:r>
        <w:rPr>
          <w:rFonts w:hint="eastAsia" w:ascii="宋体" w:hAnsi="宋体" w:eastAsia="宋体" w:cs="宋体"/>
          <w:bCs/>
          <w:color w:val="auto"/>
          <w:kern w:val="2"/>
          <w:sz w:val="21"/>
          <w:szCs w:val="21"/>
          <w:highlight w:val="none"/>
          <w:lang w:val="en-US" w:eastAsia="zh-CN" w:bidi="ar"/>
        </w:rPr>
        <w:t>方案在满足二档的前提下，同时满足以下要求：</w:t>
      </w:r>
      <w:r>
        <w:rPr>
          <w:rFonts w:hint="eastAsia" w:ascii="宋体" w:hAnsi="宋体" w:eastAsia="宋体" w:cs="宋体"/>
          <w:color w:val="auto"/>
          <w:kern w:val="2"/>
          <w:sz w:val="21"/>
          <w:szCs w:val="21"/>
          <w:highlight w:val="none"/>
          <w:lang w:val="en-US" w:eastAsia="zh-CN" w:bidi="ar-SA"/>
        </w:rPr>
        <w:t>一是培训方式采用“线上理论+线下实操”相结合。二是交付材料包含教材、视频教程、常见问题FAQ库及考核试题，建立培训效果闭环评估机制（如随堂测试、培训满意度调查等）。三是配备至少2名培训讲师，其中主讲讲师具有3年及以上从业经验，持有与本项目运行所需技术相关的人力资源和社会保障部门颁发的职业资格证书。</w:t>
      </w:r>
    </w:p>
    <w:p w14:paraId="031BBEA3">
      <w:pPr>
        <w:keepNext w:val="0"/>
        <w:keepLines w:val="0"/>
        <w:pageBreakBefore w:val="0"/>
        <w:widowControl w:val="0"/>
        <w:shd w:val="clear"/>
        <w:tabs>
          <w:tab w:val="right" w:leader="dot" w:pos="9185"/>
        </w:tabs>
        <w:kinsoku/>
        <w:wordWrap/>
        <w:overflowPunct/>
        <w:topLinePunct w:val="0"/>
        <w:autoSpaceDE/>
        <w:autoSpaceDN/>
        <w:bidi w:val="0"/>
        <w:adjustRightInd w:val="0"/>
        <w:snapToGrid/>
        <w:spacing w:line="400" w:lineRule="exact"/>
        <w:ind w:left="0"/>
        <w:jc w:val="both"/>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3、商务分……………………………………………………………………………………………………1</w:t>
      </w:r>
      <w:r>
        <w:rPr>
          <w:rFonts w:hint="eastAsia" w:ascii="宋体" w:hAnsi="宋体" w:cs="宋体"/>
          <w:b/>
          <w:color w:val="auto"/>
          <w:kern w:val="0"/>
          <w:sz w:val="21"/>
          <w:szCs w:val="21"/>
          <w:highlight w:val="none"/>
          <w:lang w:val="en-US" w:eastAsia="zh-CN" w:bidi="ar-SA"/>
        </w:rPr>
        <w:t>1</w:t>
      </w:r>
      <w:r>
        <w:rPr>
          <w:rFonts w:hint="eastAsia" w:ascii="宋体" w:hAnsi="宋体" w:eastAsia="宋体" w:cs="宋体"/>
          <w:b/>
          <w:color w:val="auto"/>
          <w:kern w:val="0"/>
          <w:sz w:val="21"/>
          <w:szCs w:val="21"/>
          <w:highlight w:val="none"/>
          <w:lang w:val="en-US" w:eastAsia="zh-CN" w:bidi="ar-SA"/>
        </w:rPr>
        <w:t>分</w:t>
      </w:r>
    </w:p>
    <w:p w14:paraId="78C44007">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（1）企业实力（满分</w:t>
      </w:r>
      <w:r>
        <w:rPr>
          <w:rFonts w:hint="eastAsia" w:ascii="宋体" w:hAnsi="宋体" w:cs="宋体"/>
          <w:color w:val="auto"/>
          <w:kern w:val="2"/>
          <w:sz w:val="21"/>
          <w:szCs w:val="21"/>
          <w:highlight w:val="none"/>
          <w:lang w:val="en-US" w:eastAsia="zh-CN" w:bidi="ar-SA"/>
        </w:rPr>
        <w:t>8.5</w:t>
      </w:r>
      <w:r>
        <w:rPr>
          <w:rFonts w:hint="eastAsia" w:ascii="宋体" w:hAnsi="宋体" w:eastAsia="宋体" w:cs="宋体"/>
          <w:color w:val="auto"/>
          <w:kern w:val="2"/>
          <w:sz w:val="21"/>
          <w:szCs w:val="21"/>
          <w:highlight w:val="none"/>
          <w:lang w:val="en-US" w:eastAsia="zh-CN" w:bidi="ar-SA"/>
        </w:rPr>
        <w:t>分）</w:t>
      </w:r>
    </w:p>
    <w:p w14:paraId="6028E3AB">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1）业绩（满分2分）</w:t>
      </w:r>
    </w:p>
    <w:p w14:paraId="14EDFAEA">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投标人提供近三年（2023年1月1日至投标截止日，按合同签订时间判定）</w:t>
      </w:r>
      <w:r>
        <w:rPr>
          <w:rFonts w:hint="eastAsia"/>
          <w:color w:val="auto"/>
          <w:highlight w:val="none"/>
          <w:lang w:val="en-US" w:eastAsia="zh-CN"/>
        </w:rPr>
        <w:t>音视频指挥信息化或信息系统集成等同类项目业绩</w:t>
      </w:r>
      <w:r>
        <w:rPr>
          <w:rFonts w:hint="eastAsia" w:ascii="宋体" w:hAnsi="宋体" w:eastAsia="宋体" w:cs="宋体"/>
          <w:color w:val="auto"/>
          <w:kern w:val="2"/>
          <w:sz w:val="21"/>
          <w:szCs w:val="21"/>
          <w:highlight w:val="none"/>
          <w:lang w:val="en-US" w:eastAsia="zh-CN" w:bidi="ar-SA"/>
        </w:rPr>
        <w:t>，每份有效业绩得0.5分，最高2分。每份业绩需同时提供：</w:t>
      </w:r>
    </w:p>
    <w:p w14:paraId="78CA36EC">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①合同关键页复印件</w:t>
      </w:r>
      <w:r>
        <w:rPr>
          <w:rFonts w:hint="eastAsia" w:ascii="宋体" w:hAnsi="宋体" w:cs="宋体"/>
          <w:color w:val="auto"/>
          <w:kern w:val="2"/>
          <w:sz w:val="21"/>
          <w:szCs w:val="21"/>
          <w:highlight w:val="none"/>
          <w:lang w:val="en-US" w:eastAsia="zh-CN" w:bidi="ar-SA"/>
        </w:rPr>
        <w:t>并</w:t>
      </w:r>
      <w:r>
        <w:rPr>
          <w:rFonts w:hint="eastAsia" w:ascii="宋体" w:hAnsi="宋体" w:eastAsia="宋体" w:cs="宋体"/>
          <w:color w:val="auto"/>
          <w:kern w:val="2"/>
          <w:sz w:val="21"/>
          <w:szCs w:val="21"/>
          <w:highlight w:val="none"/>
          <w:lang w:val="en-US" w:eastAsia="zh-CN" w:bidi="ar-SA"/>
        </w:rPr>
        <w:t>加盖投标人公章（含首页、甲乙双方盖章页、项目内容页）。</w:t>
      </w:r>
    </w:p>
    <w:p w14:paraId="6998F9D0">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w:t>
      </w:r>
      <w:r>
        <w:rPr>
          <w:rFonts w:hint="eastAsia" w:ascii="宋体" w:hAnsi="宋体" w:cs="宋体"/>
          <w:color w:val="auto"/>
          <w:kern w:val="2"/>
          <w:sz w:val="21"/>
          <w:szCs w:val="21"/>
          <w:highlight w:val="none"/>
          <w:lang w:val="en-US" w:eastAsia="zh-CN" w:bidi="ar-SA"/>
        </w:rPr>
        <w:t>含有甲方</w:t>
      </w:r>
      <w:r>
        <w:rPr>
          <w:rFonts w:hint="eastAsia" w:ascii="宋体" w:hAnsi="宋体" w:eastAsia="宋体" w:cs="宋体"/>
          <w:color w:val="auto"/>
          <w:kern w:val="2"/>
          <w:sz w:val="21"/>
          <w:szCs w:val="21"/>
          <w:highlight w:val="none"/>
          <w:lang w:val="en-US" w:eastAsia="zh-CN" w:bidi="ar-SA"/>
        </w:rPr>
        <w:t>公章的项目验收证明或运行证明</w:t>
      </w:r>
      <w:r>
        <w:rPr>
          <w:rFonts w:hint="eastAsia" w:ascii="宋体" w:hAnsi="宋体" w:cs="宋体"/>
          <w:color w:val="auto"/>
          <w:kern w:val="2"/>
          <w:sz w:val="21"/>
          <w:szCs w:val="21"/>
          <w:highlight w:val="none"/>
          <w:lang w:val="en-US" w:eastAsia="zh-CN" w:bidi="ar-SA"/>
        </w:rPr>
        <w:t>复印件并加盖投标人公章</w:t>
      </w:r>
      <w:r>
        <w:rPr>
          <w:rFonts w:hint="eastAsia" w:ascii="宋体" w:hAnsi="宋体" w:eastAsia="宋体" w:cs="宋体"/>
          <w:color w:val="auto"/>
          <w:kern w:val="2"/>
          <w:sz w:val="21"/>
          <w:szCs w:val="21"/>
          <w:highlight w:val="none"/>
          <w:lang w:val="en-US" w:eastAsia="zh-CN" w:bidi="ar-SA"/>
        </w:rPr>
        <w:t>。</w:t>
      </w:r>
    </w:p>
    <w:p w14:paraId="52A29253">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仅提供合同、仅提供验收材料或材料缺失的，对应业绩不予计分。</w:t>
      </w:r>
    </w:p>
    <w:p w14:paraId="0FA1340C">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kern w:val="2"/>
          <w:sz w:val="21"/>
          <w:szCs w:val="21"/>
          <w:highlight w:val="none"/>
          <w:lang w:val="en-US" w:eastAsia="zh-CN" w:bidi="ar-SA"/>
        </w:rPr>
        <w:t>实施</w:t>
      </w:r>
      <w:r>
        <w:rPr>
          <w:rFonts w:hint="eastAsia" w:ascii="宋体" w:hAnsi="宋体" w:eastAsia="宋体" w:cs="宋体"/>
          <w:color w:val="auto"/>
          <w:kern w:val="2"/>
          <w:sz w:val="21"/>
          <w:szCs w:val="21"/>
          <w:highlight w:val="none"/>
          <w:lang w:val="en-US" w:eastAsia="zh-CN" w:bidi="ar-SA"/>
        </w:rPr>
        <w:t>团队要求（满分</w:t>
      </w: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.5分）</w:t>
      </w:r>
    </w:p>
    <w:p w14:paraId="716502A3">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w:t>
      </w:r>
      <w:bookmarkStart w:id="104" w:name="OLE_LINK3"/>
      <w:r>
        <w:rPr>
          <w:rFonts w:hint="eastAsia" w:ascii="宋体" w:hAnsi="宋体" w:cs="宋体"/>
          <w:color w:val="auto"/>
          <w:kern w:val="2"/>
          <w:sz w:val="21"/>
          <w:szCs w:val="21"/>
          <w:highlight w:val="none"/>
          <w:lang w:val="en-US" w:eastAsia="zh-CN" w:bidi="ar-SA"/>
        </w:rPr>
        <w:t>建设部署期</w:t>
      </w:r>
      <w:bookmarkEnd w:id="104"/>
      <w:r>
        <w:rPr>
          <w:rFonts w:hint="eastAsia" w:ascii="宋体" w:hAnsi="宋体" w:cs="宋体"/>
          <w:color w:val="auto"/>
          <w:kern w:val="2"/>
          <w:sz w:val="21"/>
          <w:szCs w:val="21"/>
          <w:highlight w:val="none"/>
          <w:lang w:val="en-US" w:eastAsia="zh-CN" w:bidi="ar-SA"/>
        </w:rPr>
        <w:t>间内</w:t>
      </w:r>
      <w:r>
        <w:rPr>
          <w:rFonts w:hint="eastAsia" w:ascii="宋体" w:hAnsi="宋体" w:eastAsia="宋体" w:cs="宋体"/>
          <w:color w:val="auto"/>
          <w:kern w:val="2"/>
          <w:sz w:val="21"/>
          <w:szCs w:val="21"/>
          <w:highlight w:val="none"/>
          <w:lang w:val="en-US" w:eastAsia="zh-CN" w:bidi="ar-SA"/>
        </w:rPr>
        <w:t>本项目要</w:t>
      </w:r>
      <w:r>
        <w:rPr>
          <w:rFonts w:hint="eastAsia" w:ascii="宋体" w:hAnsi="宋体" w:cs="宋体"/>
          <w:color w:val="auto"/>
          <w:kern w:val="2"/>
          <w:sz w:val="21"/>
          <w:szCs w:val="21"/>
          <w:highlight w:val="none"/>
          <w:lang w:val="en-US" w:eastAsia="zh-CN" w:bidi="ar-SA"/>
        </w:rPr>
        <w:t>设立实施</w:t>
      </w:r>
      <w:r>
        <w:rPr>
          <w:rFonts w:hint="eastAsia" w:ascii="宋体" w:hAnsi="宋体" w:eastAsia="宋体" w:cs="宋体"/>
          <w:color w:val="auto"/>
          <w:kern w:val="2"/>
          <w:sz w:val="21"/>
          <w:szCs w:val="21"/>
          <w:highlight w:val="none"/>
          <w:lang w:val="en-US" w:eastAsia="zh-CN" w:bidi="ar-SA"/>
        </w:rPr>
        <w:t>团队，配置一名项目经理及一名技术负责人。团队总人员数量不少于16名，投标人需在14个地市</w:t>
      </w:r>
      <w:r>
        <w:rPr>
          <w:rFonts w:hint="eastAsia" w:ascii="宋体" w:hAnsi="宋体" w:cs="宋体"/>
          <w:color w:val="auto"/>
          <w:kern w:val="2"/>
          <w:sz w:val="21"/>
          <w:szCs w:val="21"/>
          <w:highlight w:val="none"/>
          <w:lang w:val="en-US" w:eastAsia="zh-CN" w:bidi="ar-SA"/>
        </w:rPr>
        <w:t>各</w:t>
      </w:r>
      <w:r>
        <w:rPr>
          <w:rFonts w:hint="eastAsia" w:ascii="宋体" w:hAnsi="宋体" w:eastAsia="宋体" w:cs="宋体"/>
          <w:color w:val="auto"/>
          <w:kern w:val="2"/>
          <w:sz w:val="21"/>
          <w:szCs w:val="21"/>
          <w:highlight w:val="none"/>
          <w:lang w:val="en-US" w:eastAsia="zh-CN" w:bidi="ar-SA"/>
        </w:rPr>
        <w:t>设置一个实施工程师</w:t>
      </w:r>
      <w:r>
        <w:rPr>
          <w:rFonts w:hint="eastAsia" w:ascii="宋体" w:hAnsi="宋体" w:cs="宋体"/>
          <w:color w:val="auto"/>
          <w:kern w:val="2"/>
          <w:sz w:val="21"/>
          <w:szCs w:val="21"/>
          <w:highlight w:val="none"/>
          <w:lang w:val="en-US" w:eastAsia="zh-CN" w:bidi="ar-SA"/>
        </w:rPr>
        <w:t>保障项目实施</w:t>
      </w:r>
      <w:r>
        <w:rPr>
          <w:rFonts w:hint="eastAsia" w:ascii="宋体" w:hAnsi="宋体" w:eastAsia="宋体" w:cs="宋体"/>
          <w:color w:val="auto"/>
          <w:kern w:val="2"/>
          <w:sz w:val="21"/>
          <w:szCs w:val="21"/>
          <w:highlight w:val="none"/>
          <w:lang w:val="en-US" w:eastAsia="zh-CN" w:bidi="ar-SA"/>
        </w:rPr>
        <w:t>，提供实施人员的在职证明以及</w:t>
      </w:r>
      <w:r>
        <w:rPr>
          <w:rFonts w:hint="eastAsia" w:ascii="宋体" w:hAnsi="宋体" w:cs="宋体"/>
          <w:color w:val="auto"/>
          <w:kern w:val="2"/>
          <w:sz w:val="21"/>
          <w:szCs w:val="21"/>
          <w:highlight w:val="none"/>
          <w:lang w:val="en-US" w:eastAsia="zh-CN" w:bidi="ar-SA"/>
        </w:rPr>
        <w:t>近</w:t>
      </w:r>
      <w:r>
        <w:rPr>
          <w:rFonts w:hint="eastAsia" w:ascii="宋体" w:hAnsi="宋体" w:eastAsia="宋体" w:cs="宋体"/>
          <w:color w:val="auto"/>
          <w:kern w:val="2"/>
          <w:sz w:val="21"/>
          <w:szCs w:val="21"/>
          <w:highlight w:val="none"/>
          <w:lang w:val="en-US" w:eastAsia="zh-CN" w:bidi="ar-SA"/>
        </w:rPr>
        <w:t>12个月内至少一个月的社保缴纳证明。所有人员项目期内无</w:t>
      </w:r>
      <w:r>
        <w:rPr>
          <w:rFonts w:hint="eastAsia" w:ascii="宋体" w:hAnsi="宋体" w:cs="宋体"/>
          <w:color w:val="auto"/>
          <w:kern w:val="2"/>
          <w:sz w:val="21"/>
          <w:szCs w:val="21"/>
          <w:highlight w:val="none"/>
          <w:lang w:val="en-US" w:eastAsia="zh-CN" w:bidi="ar-SA"/>
        </w:rPr>
        <w:t>采购人</w:t>
      </w:r>
      <w:r>
        <w:rPr>
          <w:rFonts w:hint="eastAsia" w:ascii="宋体" w:hAnsi="宋体" w:eastAsia="宋体" w:cs="宋体"/>
          <w:color w:val="auto"/>
          <w:kern w:val="2"/>
          <w:sz w:val="21"/>
          <w:szCs w:val="21"/>
          <w:highlight w:val="none"/>
          <w:lang w:val="en-US" w:eastAsia="zh-CN" w:bidi="ar-SA"/>
        </w:rPr>
        <w:t>批准不准更换。所有人员均为投标单位正式在职员工，提供完整佐证材料得2.5分，否则不得分。</w:t>
      </w:r>
    </w:p>
    <w:p w14:paraId="5A0F120A">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②拟派本项目项目经理持有由人力资源社会保障部门或工业和信息化部门颁发的下列证书之一：通信工程工程师、高级信息项目管理师、高级系统架构师、高级系统分析师。每提供1个对应有效证书得0.5分，满分</w:t>
      </w: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分。</w:t>
      </w:r>
    </w:p>
    <w:p w14:paraId="624EBCEA">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③项目</w:t>
      </w:r>
      <w:r>
        <w:rPr>
          <w:rFonts w:hint="eastAsia" w:ascii="宋体" w:hAnsi="宋体" w:cs="宋体"/>
          <w:strike w:val="0"/>
          <w:color w:val="auto"/>
          <w:kern w:val="2"/>
          <w:sz w:val="21"/>
          <w:szCs w:val="21"/>
          <w:highlight w:val="none"/>
          <w:lang w:val="en-US" w:eastAsia="zh-CN" w:bidi="ar-SA"/>
        </w:rPr>
        <w:t>实施</w:t>
      </w:r>
      <w:r>
        <w:rPr>
          <w:rFonts w:hint="eastAsia" w:ascii="宋体" w:hAnsi="宋体" w:eastAsia="宋体" w:cs="宋体"/>
          <w:strike w:val="0"/>
          <w:color w:val="auto"/>
          <w:kern w:val="2"/>
          <w:sz w:val="21"/>
          <w:szCs w:val="21"/>
          <w:highlight w:val="none"/>
          <w:lang w:val="en-US" w:eastAsia="zh-CN" w:bidi="ar-SA"/>
        </w:rPr>
        <w:t>团队配备持有以下</w:t>
      </w:r>
      <w:r>
        <w:rPr>
          <w:rFonts w:hint="eastAsia" w:ascii="宋体" w:hAnsi="宋体" w:cs="宋体"/>
          <w:strike w:val="0"/>
          <w:color w:val="auto"/>
          <w:kern w:val="2"/>
          <w:sz w:val="21"/>
          <w:szCs w:val="21"/>
          <w:highlight w:val="none"/>
          <w:lang w:val="en-US" w:eastAsia="zh-CN" w:bidi="ar-SA"/>
        </w:rPr>
        <w:t>任意</w:t>
      </w:r>
      <w:r>
        <w:rPr>
          <w:rFonts w:hint="eastAsia" w:ascii="宋体" w:hAnsi="宋体" w:eastAsia="宋体" w:cs="宋体"/>
          <w:strike w:val="0"/>
          <w:color w:val="auto"/>
          <w:kern w:val="2"/>
          <w:sz w:val="21"/>
          <w:szCs w:val="21"/>
          <w:highlight w:val="none"/>
          <w:lang w:val="en-US" w:eastAsia="zh-CN" w:bidi="ar-SA"/>
        </w:rPr>
        <w:t>专业证书：系统规划与管理师（高级）、高级网络信息安全工程师、注册信息安全工程师、高级网络规划设计师。每</w:t>
      </w:r>
      <w:r>
        <w:rPr>
          <w:rFonts w:hint="eastAsia" w:ascii="宋体" w:hAnsi="宋体" w:cs="宋体"/>
          <w:color w:val="auto"/>
          <w:kern w:val="2"/>
          <w:sz w:val="21"/>
          <w:szCs w:val="21"/>
          <w:highlight w:val="none"/>
          <w:lang w:val="en-US" w:eastAsia="zh-CN" w:bidi="ar-SA"/>
        </w:rPr>
        <w:t>持证</w:t>
      </w:r>
      <w:r>
        <w:rPr>
          <w:rFonts w:hint="eastAsia" w:ascii="宋体" w:hAnsi="宋体" w:eastAsia="宋体" w:cs="宋体"/>
          <w:color w:val="auto"/>
          <w:kern w:val="2"/>
          <w:sz w:val="21"/>
          <w:szCs w:val="21"/>
          <w:highlight w:val="none"/>
          <w:lang w:val="en-US" w:eastAsia="zh-CN" w:bidi="ar-SA"/>
        </w:rPr>
        <w:t>一人的得0.5分，满分1分。</w:t>
      </w:r>
    </w:p>
    <w:p w14:paraId="26AF6FF8">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3）本地化服务保障（满分2分）</w:t>
      </w:r>
    </w:p>
    <w:p w14:paraId="17E7421B">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投标人针对本项目产品提供备品备件保障方案的，提供备件清单及供应承诺函。承诺发生硬件故障时，</w:t>
      </w:r>
      <w:r>
        <w:rPr>
          <w:rFonts w:hint="eastAsia" w:ascii="宋体" w:hAnsi="宋体" w:eastAsia="宋体" w:cs="宋体"/>
          <w:color w:val="auto"/>
          <w:kern w:val="2"/>
          <w:sz w:val="21"/>
          <w:szCs w:val="21"/>
          <w:highlight w:val="none"/>
          <w:lang w:val="en-US" w:eastAsia="zh-CN" w:bidi="ar-SA"/>
        </w:rPr>
        <w:t>响应时间不超过0.5小时，并在6</w:t>
      </w:r>
      <w:r>
        <w:rPr>
          <w:rFonts w:hint="eastAsia" w:ascii="宋体" w:hAnsi="宋体" w:eastAsia="宋体" w:cs="宋体"/>
          <w:color w:val="auto"/>
          <w:sz w:val="21"/>
          <w:szCs w:val="21"/>
          <w:highlight w:val="none"/>
        </w:rPr>
        <w:t>小时</w:t>
      </w:r>
      <w:r>
        <w:rPr>
          <w:rFonts w:hint="eastAsia" w:ascii="宋体" w:hAnsi="宋体" w:eastAsia="宋体" w:cs="宋体"/>
          <w:color w:val="auto"/>
          <w:kern w:val="2"/>
          <w:sz w:val="21"/>
          <w:szCs w:val="21"/>
          <w:highlight w:val="none"/>
          <w:lang w:val="en-US" w:eastAsia="zh-CN" w:bidi="ar-SA"/>
        </w:rPr>
        <w:t>（含）</w:t>
      </w:r>
      <w:r>
        <w:rPr>
          <w:rFonts w:hint="eastAsia" w:ascii="宋体" w:hAnsi="宋体" w:eastAsia="宋体" w:cs="宋体"/>
          <w:color w:val="auto"/>
          <w:sz w:val="21"/>
          <w:szCs w:val="21"/>
          <w:highlight w:val="none"/>
        </w:rPr>
        <w:t>内提供相应备件进行替换的，得</w:t>
      </w: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分；未提供备件清单或供应承诺的</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rPr>
        <w:t>得</w:t>
      </w:r>
      <w:r>
        <w:rPr>
          <w:rFonts w:hint="eastAsia" w:ascii="宋体" w:hAnsi="宋体" w:eastAsia="宋体" w:cs="宋体"/>
          <w:color w:val="auto"/>
          <w:kern w:val="2"/>
          <w:sz w:val="21"/>
          <w:szCs w:val="21"/>
          <w:highlight w:val="none"/>
          <w:lang w:val="en-US" w:eastAsia="zh-CN" w:bidi="ar-SA"/>
        </w:rPr>
        <w:t>0</w:t>
      </w:r>
      <w:r>
        <w:rPr>
          <w:rFonts w:hint="eastAsia" w:ascii="宋体" w:hAnsi="宋体" w:eastAsia="宋体" w:cs="宋体"/>
          <w:color w:val="auto"/>
          <w:sz w:val="21"/>
          <w:szCs w:val="21"/>
          <w:highlight w:val="none"/>
        </w:rPr>
        <w:t>分。</w:t>
      </w:r>
    </w:p>
    <w:p w14:paraId="738FF53B">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（2）维保期（满分1.5分）</w:t>
      </w:r>
    </w:p>
    <w:p w14:paraId="74BFE06D">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在满足采购需求质保期的基础上，投标人对音视频调度及可视调度指挥显示支撑系统有维保承诺。即5年质保期届满后开展维保期服务，维保期内不收取采购人的维护人工费用，仅收取维保备件成本费用。每提供1年维保服务得0.5分，满分1.5分。</w:t>
      </w:r>
    </w:p>
    <w:p w14:paraId="0011A984">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（3）政策功能分（满分1分）</w:t>
      </w:r>
    </w:p>
    <w:p w14:paraId="76CEADA2">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投标产品属于节能产品政府采购品目清单范围内优先采购的，每有一项得0.25分，最多得0.5分。采购内容中的强制产品不加分。（注：在投标文件中列明属于节能产品的投标产品列表，并提供中国政府采购网“节能产品查询”结果截屏，评标委员会通过比对进行评审。）</w:t>
      </w:r>
    </w:p>
    <w:p w14:paraId="6D5CB649">
      <w:pPr>
        <w:keepNext w:val="0"/>
        <w:keepLines w:val="0"/>
        <w:pageBreakBefore w:val="0"/>
        <w:widowControl w:val="0"/>
        <w:shd w:val="clear"/>
        <w:kinsoku/>
        <w:wordWrap/>
        <w:overflowPunct/>
        <w:topLinePunct w:val="0"/>
        <w:autoSpaceDE/>
        <w:autoSpaceDN/>
        <w:bidi w:val="0"/>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投标产品属于环境标志产品政府采购品目清单范围内优先采购的，每有一项得0.25分，最多得0.5分。（注：在投标文件中列明属于节能产品的投标产品列表，并提供中国政府采购网“节能产品查询”结果截屏，评标委员会通过比对进行评审。）</w:t>
      </w:r>
    </w:p>
    <w:p w14:paraId="3D029F85">
      <w:pPr>
        <w:shd w:val="clear"/>
        <w:spacing w:line="380" w:lineRule="exact"/>
        <w:ind w:firstLine="420" w:firstLineChars="200"/>
        <w:rPr>
          <w:rFonts w:hint="eastAsia" w:ascii="宋体" w:hAnsi="宋体" w:eastAsia="宋体" w:cs="宋体"/>
          <w:bCs/>
          <w:color w:val="auto"/>
          <w:highlight w:val="none"/>
        </w:rPr>
      </w:pPr>
      <w:r>
        <w:rPr>
          <w:rFonts w:hint="eastAsia" w:ascii="宋体" w:hAnsi="宋体" w:eastAsia="宋体" w:cs="宋体"/>
          <w:b/>
          <w:color w:val="auto"/>
          <w:szCs w:val="21"/>
          <w:highlight w:val="none"/>
        </w:rPr>
        <w:t>（三）总得分=1 + 2 + 3 。</w:t>
      </w:r>
      <w:r>
        <w:rPr>
          <w:rFonts w:hint="eastAsia" w:ascii="宋体" w:hAnsi="宋体" w:eastAsia="宋体" w:cs="宋体"/>
          <w:b/>
          <w:color w:val="auto"/>
          <w:szCs w:val="21"/>
          <w:highlight w:val="none"/>
          <w:lang w:val="en-US" w:eastAsia="zh-CN"/>
        </w:rPr>
        <w:t>价格分30分+技术分</w:t>
      </w:r>
      <w:r>
        <w:rPr>
          <w:rFonts w:hint="eastAsia" w:ascii="宋体" w:hAnsi="宋体" w:cs="宋体"/>
          <w:b/>
          <w:color w:val="auto"/>
          <w:szCs w:val="21"/>
          <w:highlight w:val="none"/>
          <w:lang w:val="en-US" w:eastAsia="zh-CN"/>
        </w:rPr>
        <w:t>59</w:t>
      </w:r>
      <w:r>
        <w:rPr>
          <w:rFonts w:hint="eastAsia" w:ascii="宋体" w:hAnsi="宋体" w:eastAsia="宋体" w:cs="宋体"/>
          <w:b/>
          <w:color w:val="auto"/>
          <w:szCs w:val="21"/>
          <w:highlight w:val="none"/>
          <w:lang w:val="en-US" w:eastAsia="zh-CN"/>
        </w:rPr>
        <w:t>分+商务分</w:t>
      </w:r>
      <w:r>
        <w:rPr>
          <w:rFonts w:hint="eastAsia" w:ascii="宋体" w:hAnsi="宋体" w:cs="宋体"/>
          <w:b/>
          <w:color w:val="auto"/>
          <w:szCs w:val="21"/>
          <w:highlight w:val="none"/>
          <w:lang w:val="en-US" w:eastAsia="zh-CN"/>
        </w:rPr>
        <w:t>11</w:t>
      </w:r>
      <w:r>
        <w:rPr>
          <w:rFonts w:hint="eastAsia" w:ascii="宋体" w:hAnsi="宋体" w:eastAsia="宋体" w:cs="宋体"/>
          <w:b/>
          <w:color w:val="auto"/>
          <w:szCs w:val="21"/>
          <w:highlight w:val="none"/>
          <w:lang w:val="en-US" w:eastAsia="zh-CN"/>
        </w:rPr>
        <w:t>分=100分。</w:t>
      </w:r>
    </w:p>
    <w:p w14:paraId="45553DB8">
      <w:pPr>
        <w:pStyle w:val="41"/>
        <w:keepNext w:val="0"/>
        <w:keepLines w:val="0"/>
        <w:pageBreakBefore w:val="0"/>
        <w:shd w:val="clear"/>
        <w:kinsoku/>
        <w:wordWrap/>
        <w:overflowPunct/>
        <w:topLinePunct w:val="0"/>
        <w:autoSpaceDE/>
        <w:autoSpaceDN/>
        <w:bidi w:val="0"/>
        <w:adjustRightInd/>
        <w:snapToGrid/>
        <w:spacing w:line="400" w:lineRule="exact"/>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三、中标候选人推荐原则</w:t>
      </w:r>
    </w:p>
    <w:p w14:paraId="41D48DD7">
      <w:pPr>
        <w:pStyle w:val="41"/>
        <w:keepNext w:val="0"/>
        <w:keepLines w:val="0"/>
        <w:pageBreakBefore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一）评标委员会将根据评审后得分由高到低顺序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7B0E6C70">
      <w:pPr>
        <w:pStyle w:val="41"/>
        <w:keepNext w:val="0"/>
        <w:keepLines w:val="0"/>
        <w:pageBreakBefore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采购人应当确定评审委员会推荐排名第一的中标候选人为</w:t>
      </w:r>
      <w:r>
        <w:rPr>
          <w:rFonts w:hint="eastAsia" w:ascii="宋体" w:hAnsi="宋体" w:eastAsia="宋体" w:cs="宋体"/>
          <w:color w:val="auto"/>
          <w:highlight w:val="none"/>
        </w:rPr>
        <w:t>中标人</w:t>
      </w:r>
      <w:r>
        <w:rPr>
          <w:rFonts w:hint="eastAsia" w:ascii="宋体" w:hAnsi="宋体" w:eastAsia="宋体" w:cs="宋体"/>
          <w:bCs/>
          <w:color w:val="auto"/>
          <w:highlight w:val="none"/>
        </w:rPr>
        <w:t>。排名第一的中标候选人放弃中标、因不可抗力或者自身原因提出不能履行合同，采购人可以确定排名第二的中标候选人为</w:t>
      </w:r>
      <w:r>
        <w:rPr>
          <w:rFonts w:hint="eastAsia" w:ascii="宋体" w:hAnsi="宋体" w:eastAsia="宋体" w:cs="宋体"/>
          <w:color w:val="auto"/>
          <w:highlight w:val="none"/>
        </w:rPr>
        <w:t>中标人</w:t>
      </w:r>
      <w:r>
        <w:rPr>
          <w:rFonts w:hint="eastAsia" w:ascii="宋体" w:hAnsi="宋体" w:eastAsia="宋体" w:cs="宋体"/>
          <w:bCs/>
          <w:color w:val="auto"/>
          <w:highlight w:val="none"/>
        </w:rPr>
        <w:t>。排名第二的中标候选人因前款规定的同样原因不能签订合同的，采购人、采购代理机构可以确定排名第三的中标候选人为中标人，采购人也可以决定重新采购。对采购过程、中标结果提出的质疑，合格供应商符合法定数量时，可以从合格的中标候选人中另行确定中标供应商的，应当依法另行确定中标供应商；否则应当重新开展采购活动。</w:t>
      </w:r>
    </w:p>
    <w:p w14:paraId="5AFA8C4E">
      <w:pPr>
        <w:pStyle w:val="41"/>
        <w:keepNext w:val="0"/>
        <w:keepLines w:val="0"/>
        <w:pageBreakBefore w:val="0"/>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（二）异常低价审查：</w:t>
      </w:r>
      <w:r>
        <w:rPr>
          <w:rFonts w:hint="eastAsia" w:ascii="宋体" w:hAnsi="宋体" w:eastAsia="宋体" w:cs="宋体"/>
          <w:bCs/>
          <w:color w:val="auto"/>
          <w:sz w:val="21"/>
          <w:szCs w:val="21"/>
          <w:highlight w:val="none"/>
          <w:lang w:val="en-US" w:eastAsia="zh-CN"/>
        </w:rPr>
        <w:t>具体详见第三章《投标人须知》内容</w:t>
      </w:r>
      <w:r>
        <w:rPr>
          <w:rFonts w:hint="eastAsia" w:ascii="宋体" w:hAnsi="宋体" w:eastAsia="宋体" w:cs="宋体"/>
          <w:bCs/>
          <w:color w:val="auto"/>
          <w:sz w:val="21"/>
          <w:szCs w:val="21"/>
          <w:highlight w:val="none"/>
          <w:lang w:eastAsia="zh-CN"/>
        </w:rPr>
        <w:t>。</w:t>
      </w:r>
    </w:p>
    <w:p w14:paraId="7A805584">
      <w:pPr>
        <w:pStyle w:val="41"/>
        <w:shd w:val="clear"/>
        <w:spacing w:line="380" w:lineRule="exact"/>
        <w:ind w:left="0"/>
        <w:rPr>
          <w:rFonts w:hint="eastAsia" w:ascii="宋体" w:hAnsi="宋体"/>
          <w:color w:val="auto"/>
          <w:highlight w:val="none"/>
        </w:rPr>
      </w:pPr>
    </w:p>
    <w:p w14:paraId="07562FC6">
      <w:pPr>
        <w:shd w:val="clear"/>
        <w:spacing w:line="400" w:lineRule="exact"/>
        <w:jc w:val="center"/>
        <w:rPr>
          <w:rFonts w:hint="eastAsia" w:ascii="宋体" w:hAnsi="宋体"/>
          <w:color w:val="auto"/>
          <w:sz w:val="32"/>
          <w:szCs w:val="32"/>
          <w:highlight w:val="none"/>
        </w:rPr>
      </w:pPr>
      <w:r>
        <w:rPr>
          <w:rFonts w:ascii="宋体" w:hAnsi="宋体"/>
          <w:color w:val="auto"/>
          <w:sz w:val="32"/>
          <w:szCs w:val="32"/>
          <w:highlight w:val="none"/>
        </w:rPr>
        <w:br w:type="page"/>
      </w:r>
    </w:p>
    <w:p w14:paraId="4211C48C">
      <w:pPr>
        <w:shd w:val="clear"/>
        <w:spacing w:line="400" w:lineRule="exact"/>
        <w:jc w:val="center"/>
        <w:rPr>
          <w:rFonts w:hint="eastAsia" w:ascii="宋体"/>
          <w:color w:val="auto"/>
          <w:sz w:val="32"/>
          <w:szCs w:val="32"/>
          <w:highlight w:val="none"/>
        </w:rPr>
      </w:pPr>
    </w:p>
    <w:p w14:paraId="7D436BA8">
      <w:pPr>
        <w:shd w:val="clear"/>
        <w:spacing w:line="400" w:lineRule="exact"/>
        <w:jc w:val="center"/>
        <w:rPr>
          <w:rFonts w:hint="eastAsia" w:ascii="宋体"/>
          <w:color w:val="auto"/>
          <w:sz w:val="32"/>
          <w:szCs w:val="32"/>
          <w:highlight w:val="none"/>
        </w:rPr>
      </w:pPr>
    </w:p>
    <w:p w14:paraId="3A9B3CC6">
      <w:pPr>
        <w:shd w:val="clear"/>
        <w:spacing w:line="400" w:lineRule="exact"/>
        <w:jc w:val="center"/>
        <w:rPr>
          <w:rFonts w:hint="eastAsia" w:ascii="宋体"/>
          <w:color w:val="auto"/>
          <w:sz w:val="32"/>
          <w:szCs w:val="32"/>
          <w:highlight w:val="none"/>
        </w:rPr>
      </w:pPr>
    </w:p>
    <w:p w14:paraId="2FB93A8F">
      <w:pPr>
        <w:shd w:val="clear"/>
        <w:spacing w:line="400" w:lineRule="exact"/>
        <w:jc w:val="center"/>
        <w:rPr>
          <w:rFonts w:hint="eastAsia" w:ascii="宋体"/>
          <w:color w:val="auto"/>
          <w:sz w:val="32"/>
          <w:szCs w:val="32"/>
          <w:highlight w:val="none"/>
        </w:rPr>
      </w:pPr>
    </w:p>
    <w:p w14:paraId="27516C26">
      <w:pPr>
        <w:shd w:val="clear"/>
        <w:spacing w:line="400" w:lineRule="exact"/>
        <w:jc w:val="center"/>
        <w:rPr>
          <w:rFonts w:hint="eastAsia" w:ascii="宋体"/>
          <w:color w:val="auto"/>
          <w:sz w:val="32"/>
          <w:szCs w:val="32"/>
          <w:highlight w:val="none"/>
        </w:rPr>
      </w:pPr>
    </w:p>
    <w:p w14:paraId="6E524706">
      <w:pPr>
        <w:shd w:val="clear"/>
        <w:spacing w:line="400" w:lineRule="exact"/>
        <w:jc w:val="center"/>
        <w:rPr>
          <w:rFonts w:hint="eastAsia" w:ascii="宋体"/>
          <w:color w:val="auto"/>
          <w:sz w:val="32"/>
          <w:szCs w:val="32"/>
          <w:highlight w:val="none"/>
        </w:rPr>
      </w:pPr>
    </w:p>
    <w:p w14:paraId="178665B0">
      <w:pPr>
        <w:shd w:val="clear"/>
        <w:spacing w:line="400" w:lineRule="exact"/>
        <w:jc w:val="center"/>
        <w:rPr>
          <w:rFonts w:hint="eastAsia" w:ascii="宋体"/>
          <w:color w:val="auto"/>
          <w:sz w:val="32"/>
          <w:szCs w:val="32"/>
          <w:highlight w:val="none"/>
        </w:rPr>
      </w:pPr>
    </w:p>
    <w:p w14:paraId="517057B3">
      <w:pPr>
        <w:shd w:val="clear"/>
        <w:spacing w:line="400" w:lineRule="exact"/>
        <w:jc w:val="center"/>
        <w:rPr>
          <w:rFonts w:hint="eastAsia" w:ascii="宋体"/>
          <w:color w:val="auto"/>
          <w:sz w:val="32"/>
          <w:szCs w:val="32"/>
          <w:highlight w:val="none"/>
        </w:rPr>
      </w:pPr>
    </w:p>
    <w:p w14:paraId="47F21A9E">
      <w:pPr>
        <w:shd w:val="clear"/>
        <w:spacing w:line="400" w:lineRule="exact"/>
        <w:jc w:val="center"/>
        <w:rPr>
          <w:rFonts w:hint="eastAsia" w:ascii="宋体"/>
          <w:color w:val="auto"/>
          <w:sz w:val="32"/>
          <w:szCs w:val="32"/>
          <w:highlight w:val="none"/>
        </w:rPr>
      </w:pPr>
    </w:p>
    <w:p w14:paraId="5F8A015B">
      <w:pPr>
        <w:shd w:val="clear"/>
        <w:spacing w:line="400" w:lineRule="exact"/>
        <w:jc w:val="center"/>
        <w:rPr>
          <w:rFonts w:hint="eastAsia" w:ascii="宋体"/>
          <w:color w:val="auto"/>
          <w:sz w:val="32"/>
          <w:szCs w:val="32"/>
          <w:highlight w:val="none"/>
        </w:rPr>
      </w:pPr>
    </w:p>
    <w:p w14:paraId="01970F42">
      <w:pPr>
        <w:shd w:val="clear"/>
        <w:spacing w:line="400" w:lineRule="exact"/>
        <w:jc w:val="center"/>
        <w:rPr>
          <w:rFonts w:hint="eastAsia" w:ascii="宋体"/>
          <w:color w:val="auto"/>
          <w:sz w:val="32"/>
          <w:szCs w:val="32"/>
          <w:highlight w:val="none"/>
        </w:rPr>
      </w:pPr>
    </w:p>
    <w:p w14:paraId="7AA440F6">
      <w:pPr>
        <w:shd w:val="clear"/>
        <w:spacing w:line="400" w:lineRule="exact"/>
        <w:jc w:val="center"/>
        <w:rPr>
          <w:rFonts w:hint="eastAsia" w:ascii="宋体"/>
          <w:color w:val="auto"/>
          <w:sz w:val="32"/>
          <w:szCs w:val="32"/>
          <w:highlight w:val="none"/>
        </w:rPr>
      </w:pPr>
    </w:p>
    <w:p w14:paraId="5A2277BA">
      <w:pPr>
        <w:shd w:val="clear"/>
        <w:spacing w:line="400" w:lineRule="exact"/>
        <w:rPr>
          <w:rFonts w:hint="eastAsia" w:ascii="宋体"/>
          <w:color w:val="auto"/>
          <w:sz w:val="32"/>
          <w:szCs w:val="32"/>
          <w:highlight w:val="none"/>
        </w:rPr>
      </w:pPr>
    </w:p>
    <w:p w14:paraId="203CF44C">
      <w:pPr>
        <w:pStyle w:val="46"/>
        <w:shd w:val="clear"/>
        <w:rPr>
          <w:rFonts w:hint="eastAsia"/>
          <w:color w:val="auto"/>
          <w:sz w:val="44"/>
          <w:szCs w:val="44"/>
          <w:highlight w:val="none"/>
        </w:rPr>
      </w:pPr>
      <w:bookmarkStart w:id="105" w:name="_Toc476436176"/>
      <w:bookmarkStart w:id="106" w:name="_Toc476436435"/>
      <w:r>
        <w:rPr>
          <w:rFonts w:hint="eastAsia"/>
          <w:color w:val="auto"/>
          <w:sz w:val="44"/>
          <w:szCs w:val="44"/>
          <w:highlight w:val="none"/>
        </w:rPr>
        <w:t>第五章  政府采购合同主要条款</w:t>
      </w:r>
      <w:bookmarkEnd w:id="105"/>
      <w:bookmarkEnd w:id="106"/>
    </w:p>
    <w:p w14:paraId="2B6C7184">
      <w:pPr>
        <w:pStyle w:val="26"/>
        <w:shd w:val="clear"/>
        <w:jc w:val="center"/>
        <w:rPr>
          <w:rFonts w:hint="eastAsia"/>
          <w:b/>
          <w:color w:val="auto"/>
          <w:sz w:val="52"/>
          <w:szCs w:val="52"/>
          <w:highlight w:val="none"/>
        </w:rPr>
      </w:pPr>
    </w:p>
    <w:p w14:paraId="1CAA5960">
      <w:pPr>
        <w:pStyle w:val="26"/>
        <w:shd w:val="clear"/>
        <w:spacing w:line="720" w:lineRule="auto"/>
        <w:jc w:val="center"/>
        <w:rPr>
          <w:rFonts w:hint="eastAsia" w:ascii="宋体" w:hAnsi="Times New Roman" w:eastAsia="宋体" w:cs="Times New Roman"/>
          <w:b/>
          <w:bCs/>
          <w:color w:val="auto"/>
          <w:sz w:val="32"/>
          <w:szCs w:val="32"/>
          <w:highlight w:val="none"/>
        </w:rPr>
      </w:pPr>
      <w:r>
        <w:rPr>
          <w:b/>
          <w:color w:val="auto"/>
          <w:sz w:val="52"/>
          <w:szCs w:val="52"/>
          <w:highlight w:val="none"/>
        </w:rPr>
        <w:br w:type="page"/>
      </w:r>
      <w:r>
        <w:rPr>
          <w:rFonts w:hint="eastAsia" w:ascii="宋体" w:hAnsi="Times New Roman" w:eastAsia="宋体" w:cs="Times New Roman"/>
          <w:b/>
          <w:bCs/>
          <w:color w:val="auto"/>
          <w:sz w:val="32"/>
          <w:szCs w:val="32"/>
          <w:highlight w:val="none"/>
        </w:rPr>
        <w:t>广西壮族自治区政府采购合同（格式）</w:t>
      </w:r>
    </w:p>
    <w:p w14:paraId="4E338AAC">
      <w:pPr>
        <w:shd w:val="clear"/>
        <w:snapToGrid w:val="0"/>
        <w:spacing w:line="360" w:lineRule="exact"/>
        <w:ind w:right="480" w:firstLine="5985" w:firstLineChars="2850"/>
        <w:rPr>
          <w:rFonts w:hint="eastAsia" w:ascii="宋体" w:hAnsi="Times New Roman" w:eastAsia="宋体" w:cs="Times New Roman"/>
          <w:bCs/>
          <w:color w:val="auto"/>
          <w:szCs w:val="21"/>
          <w:highlight w:val="none"/>
          <w:u w:val="single"/>
        </w:rPr>
      </w:pPr>
      <w:r>
        <w:rPr>
          <w:rFonts w:hint="eastAsia" w:ascii="宋体" w:hAnsi="Times New Roman" w:eastAsia="宋体" w:cs="Times New Roman"/>
          <w:bCs/>
          <w:color w:val="auto"/>
          <w:szCs w:val="21"/>
          <w:highlight w:val="none"/>
        </w:rPr>
        <w:t xml:space="preserve">            合同编号：</w:t>
      </w:r>
    </w:p>
    <w:p w14:paraId="2A5BB750">
      <w:pPr>
        <w:shd w:val="clear"/>
        <w:snapToGrid w:val="0"/>
        <w:spacing w:line="380" w:lineRule="exact"/>
        <w:rPr>
          <w:rFonts w:hint="eastAsia" w:ascii="宋体" w:hAnsi="Times New Roman" w:eastAsia="宋体" w:cs="Times New Roman"/>
          <w:color w:val="auto"/>
          <w:szCs w:val="21"/>
          <w:highlight w:val="none"/>
        </w:rPr>
      </w:pPr>
    </w:p>
    <w:p w14:paraId="1B942ED6">
      <w:pPr>
        <w:shd w:val="clear"/>
        <w:snapToGrid w:val="0"/>
        <w:spacing w:line="380" w:lineRule="exact"/>
        <w:rPr>
          <w:rFonts w:hint="eastAsia" w:ascii="宋体" w:hAnsi="Times New Roman" w:eastAsia="宋体" w:cs="Times New Roman"/>
          <w:color w:val="auto"/>
          <w:szCs w:val="21"/>
          <w:highlight w:val="none"/>
          <w:u w:val="single"/>
        </w:rPr>
      </w:pPr>
      <w:r>
        <w:rPr>
          <w:rFonts w:hint="eastAsia" w:ascii="宋体" w:hAnsi="Times New Roman" w:eastAsia="宋体" w:cs="Times New Roman"/>
          <w:color w:val="auto"/>
          <w:szCs w:val="21"/>
          <w:highlight w:val="none"/>
        </w:rPr>
        <w:t>采购人（甲方）：</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 xml:space="preserve">        </w:t>
      </w:r>
      <w:r>
        <w:rPr>
          <w:rFonts w:hint="eastAsia" w:ascii="宋体" w:hAnsi="Times New Roman" w:eastAsia="宋体" w:cs="Times New Roman"/>
          <w:color w:val="auto"/>
          <w:spacing w:val="-20"/>
          <w:szCs w:val="21"/>
          <w:highlight w:val="none"/>
        </w:rPr>
        <w:t>采 购 计 划 号：</w:t>
      </w:r>
      <w:r>
        <w:rPr>
          <w:rFonts w:hint="eastAsia" w:ascii="宋体" w:hAnsi="Times New Roman" w:eastAsia="宋体" w:cs="Times New Roman"/>
          <w:color w:val="auto"/>
          <w:szCs w:val="21"/>
          <w:highlight w:val="none"/>
          <w:u w:val="single"/>
        </w:rPr>
        <w:t xml:space="preserve">                         </w:t>
      </w:r>
    </w:p>
    <w:p w14:paraId="1ED5991E">
      <w:pPr>
        <w:shd w:val="clear"/>
        <w:snapToGrid w:val="0"/>
        <w:spacing w:line="380" w:lineRule="exact"/>
        <w:rPr>
          <w:rFonts w:hint="eastAsia" w:ascii="宋体" w:hAnsi="Times New Roman" w:eastAsia="宋体" w:cs="Times New Roman"/>
          <w:color w:val="auto"/>
          <w:szCs w:val="21"/>
          <w:highlight w:val="none"/>
          <w:u w:val="single"/>
        </w:rPr>
      </w:pPr>
      <w:r>
        <w:rPr>
          <w:rFonts w:hint="eastAsia" w:ascii="宋体" w:hAnsi="Times New Roman" w:eastAsia="宋体" w:cs="Times New Roman"/>
          <w:color w:val="auto"/>
          <w:szCs w:val="21"/>
          <w:highlight w:val="none"/>
        </w:rPr>
        <w:t>供应商（乙方）：</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 xml:space="preserve">        采购项目名称和</w:t>
      </w:r>
      <w:r>
        <w:rPr>
          <w:rFonts w:hint="eastAsia" w:ascii="宋体" w:hAnsi="Times New Roman" w:eastAsia="宋体" w:cs="Times New Roman"/>
          <w:color w:val="auto"/>
          <w:spacing w:val="-20"/>
          <w:szCs w:val="21"/>
          <w:highlight w:val="none"/>
        </w:rPr>
        <w:t>编号：</w:t>
      </w:r>
      <w:r>
        <w:rPr>
          <w:rFonts w:hint="eastAsia" w:ascii="宋体" w:hAnsi="Times New Roman" w:eastAsia="宋体" w:cs="Times New Roman"/>
          <w:color w:val="auto"/>
          <w:szCs w:val="21"/>
          <w:highlight w:val="none"/>
          <w:u w:val="single"/>
        </w:rPr>
        <w:t xml:space="preserve">                       </w:t>
      </w:r>
    </w:p>
    <w:p w14:paraId="035FD16B">
      <w:pPr>
        <w:shd w:val="clear"/>
        <w:snapToGrid w:val="0"/>
        <w:spacing w:line="380" w:lineRule="exact"/>
        <w:rPr>
          <w:rFonts w:hint="eastAsia" w:ascii="宋体" w:hAnsi="Times New Roman" w:eastAsia="宋体" w:cs="Times New Roman"/>
          <w:color w:val="auto"/>
          <w:szCs w:val="21"/>
          <w:highlight w:val="none"/>
          <w:u w:val="single"/>
        </w:rPr>
      </w:pPr>
      <w:r>
        <w:rPr>
          <w:rFonts w:hint="eastAsia" w:ascii="宋体" w:hAnsi="Times New Roman" w:eastAsia="宋体" w:cs="Times New Roman"/>
          <w:color w:val="auto"/>
          <w:szCs w:val="21"/>
          <w:highlight w:val="none"/>
        </w:rPr>
        <w:t>签  订  地  点：</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 xml:space="preserve">         签 订 时 间：</w:t>
      </w:r>
      <w:r>
        <w:rPr>
          <w:rFonts w:hint="eastAsia" w:ascii="宋体" w:hAnsi="Times New Roman" w:eastAsia="宋体" w:cs="Times New Roman"/>
          <w:color w:val="auto"/>
          <w:szCs w:val="21"/>
          <w:highlight w:val="none"/>
          <w:u w:val="single"/>
        </w:rPr>
        <w:t xml:space="preserve">                       </w:t>
      </w:r>
    </w:p>
    <w:p w14:paraId="0DF1AE38">
      <w:pPr>
        <w:shd w:val="clear"/>
        <w:spacing w:line="3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w:t>
      </w:r>
    </w:p>
    <w:p w14:paraId="0BB5649A">
      <w:pPr>
        <w:shd w:val="clea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根据《中华人民共和国政府采购法》《中华人民共和国民法典》等法律法规规定，按照招标文件规定条款和中标人投标文件及其承诺，甲乙双方签订本合同。</w:t>
      </w:r>
    </w:p>
    <w:p w14:paraId="48E11BA5">
      <w:pPr>
        <w:shd w:val="clear"/>
        <w:spacing w:line="38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 xml:space="preserve"> 第一条　合同标的</w:t>
      </w:r>
    </w:p>
    <w:p w14:paraId="7EEE6F84">
      <w:pPr>
        <w:numPr>
          <w:ilvl w:val="0"/>
          <w:numId w:val="0"/>
        </w:numPr>
        <w:shd w:val="clear"/>
        <w:spacing w:line="380" w:lineRule="exact"/>
        <w:ind w:left="795" w:leftChars="0" w:hanging="36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供货一览表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14:paraId="7F90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496" w:type="dxa"/>
            <w:vAlign w:val="center"/>
          </w:tcPr>
          <w:p w14:paraId="1C390E58">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04" w:type="dxa"/>
            <w:vAlign w:val="center"/>
          </w:tcPr>
          <w:p w14:paraId="53E81551">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w:t>
            </w:r>
          </w:p>
          <w:p w14:paraId="0986ABFB">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p>
        </w:tc>
        <w:tc>
          <w:tcPr>
            <w:tcW w:w="1081" w:type="dxa"/>
            <w:vAlign w:val="center"/>
          </w:tcPr>
          <w:p w14:paraId="0E8070B6">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商标</w:t>
            </w:r>
          </w:p>
          <w:p w14:paraId="7070B641">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品牌</w:t>
            </w:r>
          </w:p>
        </w:tc>
        <w:tc>
          <w:tcPr>
            <w:tcW w:w="1194" w:type="dxa"/>
            <w:vAlign w:val="center"/>
          </w:tcPr>
          <w:p w14:paraId="2F0CC809">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w:t>
            </w:r>
          </w:p>
          <w:p w14:paraId="1862D4D1">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型号</w:t>
            </w:r>
          </w:p>
        </w:tc>
        <w:tc>
          <w:tcPr>
            <w:tcW w:w="1193" w:type="dxa"/>
            <w:vAlign w:val="center"/>
          </w:tcPr>
          <w:p w14:paraId="228B1DB6">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w:t>
            </w:r>
          </w:p>
          <w:p w14:paraId="4DFF830B">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厂家</w:t>
            </w:r>
          </w:p>
        </w:tc>
        <w:tc>
          <w:tcPr>
            <w:tcW w:w="672" w:type="dxa"/>
            <w:vAlign w:val="center"/>
          </w:tcPr>
          <w:p w14:paraId="5E53121D">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  量</w:t>
            </w:r>
          </w:p>
        </w:tc>
        <w:tc>
          <w:tcPr>
            <w:tcW w:w="1080" w:type="dxa"/>
            <w:vAlign w:val="center"/>
          </w:tcPr>
          <w:p w14:paraId="33EAC990">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1080" w:type="dxa"/>
            <w:vAlign w:val="center"/>
          </w:tcPr>
          <w:p w14:paraId="514369C9">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  价</w:t>
            </w:r>
          </w:p>
          <w:p w14:paraId="223E2102">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（元）</w:t>
            </w:r>
          </w:p>
        </w:tc>
        <w:tc>
          <w:tcPr>
            <w:tcW w:w="1440" w:type="dxa"/>
            <w:vAlign w:val="center"/>
          </w:tcPr>
          <w:p w14:paraId="44850D29">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  额</w:t>
            </w:r>
          </w:p>
          <w:p w14:paraId="3F56CA04">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（元）</w:t>
            </w:r>
          </w:p>
        </w:tc>
      </w:tr>
      <w:tr w14:paraId="309E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6" w:type="dxa"/>
            <w:vAlign w:val="center"/>
          </w:tcPr>
          <w:p w14:paraId="72F188CD">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04" w:type="dxa"/>
            <w:vAlign w:val="center"/>
          </w:tcPr>
          <w:p w14:paraId="371A23D3">
            <w:pPr>
              <w:shd w:val="clear"/>
              <w:snapToGrid w:val="0"/>
              <w:spacing w:line="380" w:lineRule="exact"/>
              <w:jc w:val="center"/>
              <w:rPr>
                <w:rFonts w:hint="eastAsia" w:ascii="宋体" w:hAnsi="宋体" w:eastAsia="宋体" w:cs="宋体"/>
                <w:color w:val="auto"/>
                <w:sz w:val="21"/>
                <w:szCs w:val="21"/>
                <w:highlight w:val="none"/>
              </w:rPr>
            </w:pPr>
          </w:p>
        </w:tc>
        <w:tc>
          <w:tcPr>
            <w:tcW w:w="1081" w:type="dxa"/>
            <w:vAlign w:val="center"/>
          </w:tcPr>
          <w:p w14:paraId="00DD192B">
            <w:pPr>
              <w:shd w:val="clear"/>
              <w:snapToGrid w:val="0"/>
              <w:spacing w:line="380" w:lineRule="exact"/>
              <w:jc w:val="center"/>
              <w:rPr>
                <w:rFonts w:hint="eastAsia" w:ascii="宋体" w:hAnsi="宋体" w:eastAsia="宋体" w:cs="宋体"/>
                <w:color w:val="auto"/>
                <w:sz w:val="21"/>
                <w:szCs w:val="21"/>
                <w:highlight w:val="none"/>
              </w:rPr>
            </w:pPr>
          </w:p>
        </w:tc>
        <w:tc>
          <w:tcPr>
            <w:tcW w:w="1194" w:type="dxa"/>
            <w:vAlign w:val="center"/>
          </w:tcPr>
          <w:p w14:paraId="3D1B2CFC">
            <w:pPr>
              <w:shd w:val="clear"/>
              <w:snapToGrid w:val="0"/>
              <w:spacing w:line="380" w:lineRule="exact"/>
              <w:jc w:val="center"/>
              <w:rPr>
                <w:rFonts w:hint="eastAsia" w:ascii="宋体" w:hAnsi="宋体" w:eastAsia="宋体" w:cs="宋体"/>
                <w:color w:val="auto"/>
                <w:sz w:val="21"/>
                <w:szCs w:val="21"/>
                <w:highlight w:val="none"/>
              </w:rPr>
            </w:pPr>
          </w:p>
        </w:tc>
        <w:tc>
          <w:tcPr>
            <w:tcW w:w="1193" w:type="dxa"/>
          </w:tcPr>
          <w:p w14:paraId="56999963">
            <w:pPr>
              <w:shd w:val="clear"/>
              <w:snapToGrid w:val="0"/>
              <w:spacing w:line="380" w:lineRule="exact"/>
              <w:jc w:val="center"/>
              <w:rPr>
                <w:rFonts w:hint="eastAsia" w:ascii="宋体" w:hAnsi="宋体" w:eastAsia="宋体" w:cs="宋体"/>
                <w:color w:val="auto"/>
                <w:sz w:val="21"/>
                <w:szCs w:val="21"/>
                <w:highlight w:val="none"/>
              </w:rPr>
            </w:pPr>
          </w:p>
        </w:tc>
        <w:tc>
          <w:tcPr>
            <w:tcW w:w="672" w:type="dxa"/>
          </w:tcPr>
          <w:p w14:paraId="5D9E4819">
            <w:pPr>
              <w:shd w:val="clear"/>
              <w:snapToGrid w:val="0"/>
              <w:spacing w:line="380" w:lineRule="exact"/>
              <w:jc w:val="center"/>
              <w:rPr>
                <w:rFonts w:hint="eastAsia" w:ascii="宋体" w:hAnsi="宋体" w:eastAsia="宋体" w:cs="宋体"/>
                <w:color w:val="auto"/>
                <w:sz w:val="21"/>
                <w:szCs w:val="21"/>
                <w:highlight w:val="none"/>
              </w:rPr>
            </w:pPr>
          </w:p>
        </w:tc>
        <w:tc>
          <w:tcPr>
            <w:tcW w:w="1080" w:type="dxa"/>
          </w:tcPr>
          <w:p w14:paraId="1C40DED2">
            <w:pPr>
              <w:shd w:val="clear"/>
              <w:snapToGrid w:val="0"/>
              <w:spacing w:line="380" w:lineRule="exact"/>
              <w:jc w:val="center"/>
              <w:rPr>
                <w:rFonts w:hint="eastAsia" w:ascii="宋体" w:hAnsi="宋体" w:eastAsia="宋体" w:cs="宋体"/>
                <w:color w:val="auto"/>
                <w:sz w:val="21"/>
                <w:szCs w:val="21"/>
                <w:highlight w:val="none"/>
              </w:rPr>
            </w:pPr>
          </w:p>
        </w:tc>
        <w:tc>
          <w:tcPr>
            <w:tcW w:w="1080" w:type="dxa"/>
            <w:vAlign w:val="center"/>
          </w:tcPr>
          <w:p w14:paraId="7FB0DBCD">
            <w:pPr>
              <w:shd w:val="clear"/>
              <w:snapToGrid w:val="0"/>
              <w:spacing w:line="380" w:lineRule="exact"/>
              <w:jc w:val="center"/>
              <w:rPr>
                <w:rFonts w:hint="eastAsia" w:ascii="宋体" w:hAnsi="宋体" w:eastAsia="宋体" w:cs="宋体"/>
                <w:color w:val="auto"/>
                <w:sz w:val="21"/>
                <w:szCs w:val="21"/>
                <w:highlight w:val="none"/>
              </w:rPr>
            </w:pPr>
          </w:p>
        </w:tc>
        <w:tc>
          <w:tcPr>
            <w:tcW w:w="1440" w:type="dxa"/>
            <w:vAlign w:val="center"/>
          </w:tcPr>
          <w:p w14:paraId="3EED4C8C">
            <w:pPr>
              <w:shd w:val="clear"/>
              <w:snapToGrid w:val="0"/>
              <w:spacing w:line="380" w:lineRule="exact"/>
              <w:jc w:val="center"/>
              <w:rPr>
                <w:rFonts w:hint="eastAsia" w:ascii="宋体" w:hAnsi="宋体" w:eastAsia="宋体" w:cs="宋体"/>
                <w:color w:val="auto"/>
                <w:sz w:val="21"/>
                <w:szCs w:val="21"/>
                <w:highlight w:val="none"/>
              </w:rPr>
            </w:pPr>
          </w:p>
        </w:tc>
      </w:tr>
      <w:tr w14:paraId="3B75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6" w:type="dxa"/>
            <w:vAlign w:val="center"/>
          </w:tcPr>
          <w:p w14:paraId="47006F99">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304" w:type="dxa"/>
            <w:vAlign w:val="center"/>
          </w:tcPr>
          <w:p w14:paraId="76C62728">
            <w:pPr>
              <w:shd w:val="clear"/>
              <w:snapToGrid w:val="0"/>
              <w:spacing w:line="380" w:lineRule="exact"/>
              <w:jc w:val="center"/>
              <w:rPr>
                <w:rFonts w:hint="eastAsia" w:ascii="宋体" w:hAnsi="宋体" w:eastAsia="宋体" w:cs="宋体"/>
                <w:color w:val="auto"/>
                <w:sz w:val="21"/>
                <w:szCs w:val="21"/>
                <w:highlight w:val="none"/>
              </w:rPr>
            </w:pPr>
          </w:p>
        </w:tc>
        <w:tc>
          <w:tcPr>
            <w:tcW w:w="1081" w:type="dxa"/>
            <w:vAlign w:val="center"/>
          </w:tcPr>
          <w:p w14:paraId="2AD91CEC">
            <w:pPr>
              <w:shd w:val="clear"/>
              <w:snapToGrid w:val="0"/>
              <w:spacing w:line="380" w:lineRule="exact"/>
              <w:jc w:val="center"/>
              <w:rPr>
                <w:rFonts w:hint="eastAsia" w:ascii="宋体" w:hAnsi="宋体" w:eastAsia="宋体" w:cs="宋体"/>
                <w:color w:val="auto"/>
                <w:sz w:val="21"/>
                <w:szCs w:val="21"/>
                <w:highlight w:val="none"/>
              </w:rPr>
            </w:pPr>
          </w:p>
        </w:tc>
        <w:tc>
          <w:tcPr>
            <w:tcW w:w="1194" w:type="dxa"/>
            <w:vAlign w:val="center"/>
          </w:tcPr>
          <w:p w14:paraId="66375915">
            <w:pPr>
              <w:shd w:val="clear"/>
              <w:snapToGrid w:val="0"/>
              <w:spacing w:line="380" w:lineRule="exact"/>
              <w:jc w:val="center"/>
              <w:rPr>
                <w:rFonts w:hint="eastAsia" w:ascii="宋体" w:hAnsi="宋体" w:eastAsia="宋体" w:cs="宋体"/>
                <w:color w:val="auto"/>
                <w:sz w:val="21"/>
                <w:szCs w:val="21"/>
                <w:highlight w:val="none"/>
              </w:rPr>
            </w:pPr>
          </w:p>
        </w:tc>
        <w:tc>
          <w:tcPr>
            <w:tcW w:w="1193" w:type="dxa"/>
          </w:tcPr>
          <w:p w14:paraId="7461622D">
            <w:pPr>
              <w:shd w:val="clear"/>
              <w:snapToGrid w:val="0"/>
              <w:spacing w:line="380" w:lineRule="exact"/>
              <w:jc w:val="center"/>
              <w:rPr>
                <w:rFonts w:hint="eastAsia" w:ascii="宋体" w:hAnsi="宋体" w:eastAsia="宋体" w:cs="宋体"/>
                <w:color w:val="auto"/>
                <w:sz w:val="21"/>
                <w:szCs w:val="21"/>
                <w:highlight w:val="none"/>
              </w:rPr>
            </w:pPr>
          </w:p>
        </w:tc>
        <w:tc>
          <w:tcPr>
            <w:tcW w:w="672" w:type="dxa"/>
          </w:tcPr>
          <w:p w14:paraId="57005999">
            <w:pPr>
              <w:shd w:val="clear"/>
              <w:snapToGrid w:val="0"/>
              <w:spacing w:line="380" w:lineRule="exact"/>
              <w:jc w:val="center"/>
              <w:rPr>
                <w:rFonts w:hint="eastAsia" w:ascii="宋体" w:hAnsi="宋体" w:eastAsia="宋体" w:cs="宋体"/>
                <w:color w:val="auto"/>
                <w:sz w:val="21"/>
                <w:szCs w:val="21"/>
                <w:highlight w:val="none"/>
              </w:rPr>
            </w:pPr>
          </w:p>
        </w:tc>
        <w:tc>
          <w:tcPr>
            <w:tcW w:w="1080" w:type="dxa"/>
          </w:tcPr>
          <w:p w14:paraId="437A2929">
            <w:pPr>
              <w:shd w:val="clear"/>
              <w:snapToGrid w:val="0"/>
              <w:spacing w:line="380" w:lineRule="exact"/>
              <w:jc w:val="center"/>
              <w:rPr>
                <w:rFonts w:hint="eastAsia" w:ascii="宋体" w:hAnsi="宋体" w:eastAsia="宋体" w:cs="宋体"/>
                <w:color w:val="auto"/>
                <w:sz w:val="21"/>
                <w:szCs w:val="21"/>
                <w:highlight w:val="none"/>
              </w:rPr>
            </w:pPr>
          </w:p>
        </w:tc>
        <w:tc>
          <w:tcPr>
            <w:tcW w:w="1080" w:type="dxa"/>
            <w:vAlign w:val="center"/>
          </w:tcPr>
          <w:p w14:paraId="4089D6EC">
            <w:pPr>
              <w:shd w:val="clear"/>
              <w:snapToGrid w:val="0"/>
              <w:spacing w:line="380" w:lineRule="exact"/>
              <w:jc w:val="center"/>
              <w:rPr>
                <w:rFonts w:hint="eastAsia" w:ascii="宋体" w:hAnsi="宋体" w:eastAsia="宋体" w:cs="宋体"/>
                <w:color w:val="auto"/>
                <w:sz w:val="21"/>
                <w:szCs w:val="21"/>
                <w:highlight w:val="none"/>
              </w:rPr>
            </w:pPr>
          </w:p>
        </w:tc>
        <w:tc>
          <w:tcPr>
            <w:tcW w:w="1440" w:type="dxa"/>
            <w:vAlign w:val="center"/>
          </w:tcPr>
          <w:p w14:paraId="0306EB16">
            <w:pPr>
              <w:shd w:val="clear"/>
              <w:snapToGrid w:val="0"/>
              <w:spacing w:line="380" w:lineRule="exact"/>
              <w:jc w:val="center"/>
              <w:rPr>
                <w:rFonts w:hint="eastAsia" w:ascii="宋体" w:hAnsi="宋体" w:eastAsia="宋体" w:cs="宋体"/>
                <w:color w:val="auto"/>
                <w:sz w:val="21"/>
                <w:szCs w:val="21"/>
                <w:highlight w:val="none"/>
              </w:rPr>
            </w:pPr>
          </w:p>
        </w:tc>
      </w:tr>
      <w:tr w14:paraId="3661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6" w:type="dxa"/>
            <w:vAlign w:val="center"/>
          </w:tcPr>
          <w:p w14:paraId="22C3FB9A">
            <w:pPr>
              <w:shd w:val="clea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04" w:type="dxa"/>
            <w:vAlign w:val="center"/>
          </w:tcPr>
          <w:p w14:paraId="53981A16">
            <w:pPr>
              <w:shd w:val="clear"/>
              <w:snapToGrid w:val="0"/>
              <w:spacing w:line="380" w:lineRule="exact"/>
              <w:jc w:val="center"/>
              <w:rPr>
                <w:rFonts w:hint="eastAsia" w:ascii="宋体" w:hAnsi="宋体" w:eastAsia="宋体" w:cs="宋体"/>
                <w:color w:val="auto"/>
                <w:sz w:val="21"/>
                <w:szCs w:val="21"/>
                <w:highlight w:val="none"/>
              </w:rPr>
            </w:pPr>
          </w:p>
        </w:tc>
        <w:tc>
          <w:tcPr>
            <w:tcW w:w="1081" w:type="dxa"/>
            <w:vAlign w:val="center"/>
          </w:tcPr>
          <w:p w14:paraId="0D2DA15A">
            <w:pPr>
              <w:shd w:val="clear"/>
              <w:snapToGrid w:val="0"/>
              <w:spacing w:line="380" w:lineRule="exact"/>
              <w:jc w:val="center"/>
              <w:rPr>
                <w:rFonts w:hint="eastAsia" w:ascii="宋体" w:hAnsi="宋体" w:eastAsia="宋体" w:cs="宋体"/>
                <w:color w:val="auto"/>
                <w:sz w:val="21"/>
                <w:szCs w:val="21"/>
                <w:highlight w:val="none"/>
              </w:rPr>
            </w:pPr>
          </w:p>
        </w:tc>
        <w:tc>
          <w:tcPr>
            <w:tcW w:w="1194" w:type="dxa"/>
            <w:vAlign w:val="center"/>
          </w:tcPr>
          <w:p w14:paraId="2A93A7A1">
            <w:pPr>
              <w:shd w:val="clear"/>
              <w:snapToGrid w:val="0"/>
              <w:spacing w:line="380" w:lineRule="exact"/>
              <w:jc w:val="center"/>
              <w:rPr>
                <w:rFonts w:hint="eastAsia" w:ascii="宋体" w:hAnsi="宋体" w:eastAsia="宋体" w:cs="宋体"/>
                <w:color w:val="auto"/>
                <w:sz w:val="21"/>
                <w:szCs w:val="21"/>
                <w:highlight w:val="none"/>
              </w:rPr>
            </w:pPr>
          </w:p>
        </w:tc>
        <w:tc>
          <w:tcPr>
            <w:tcW w:w="1193" w:type="dxa"/>
          </w:tcPr>
          <w:p w14:paraId="7D928C39">
            <w:pPr>
              <w:shd w:val="clear"/>
              <w:snapToGrid w:val="0"/>
              <w:spacing w:line="380" w:lineRule="exact"/>
              <w:jc w:val="center"/>
              <w:rPr>
                <w:rFonts w:hint="eastAsia" w:ascii="宋体" w:hAnsi="宋体" w:eastAsia="宋体" w:cs="宋体"/>
                <w:color w:val="auto"/>
                <w:sz w:val="21"/>
                <w:szCs w:val="21"/>
                <w:highlight w:val="none"/>
              </w:rPr>
            </w:pPr>
          </w:p>
        </w:tc>
        <w:tc>
          <w:tcPr>
            <w:tcW w:w="672" w:type="dxa"/>
          </w:tcPr>
          <w:p w14:paraId="7A1A6482">
            <w:pPr>
              <w:shd w:val="clear"/>
              <w:snapToGrid w:val="0"/>
              <w:spacing w:line="380" w:lineRule="exact"/>
              <w:jc w:val="center"/>
              <w:rPr>
                <w:rFonts w:hint="eastAsia" w:ascii="宋体" w:hAnsi="宋体" w:eastAsia="宋体" w:cs="宋体"/>
                <w:color w:val="auto"/>
                <w:sz w:val="21"/>
                <w:szCs w:val="21"/>
                <w:highlight w:val="none"/>
              </w:rPr>
            </w:pPr>
          </w:p>
        </w:tc>
        <w:tc>
          <w:tcPr>
            <w:tcW w:w="1080" w:type="dxa"/>
          </w:tcPr>
          <w:p w14:paraId="618ECE87">
            <w:pPr>
              <w:shd w:val="clear"/>
              <w:snapToGrid w:val="0"/>
              <w:spacing w:line="380" w:lineRule="exact"/>
              <w:jc w:val="center"/>
              <w:rPr>
                <w:rFonts w:hint="eastAsia" w:ascii="宋体" w:hAnsi="宋体" w:eastAsia="宋体" w:cs="宋体"/>
                <w:color w:val="auto"/>
                <w:sz w:val="21"/>
                <w:szCs w:val="21"/>
                <w:highlight w:val="none"/>
              </w:rPr>
            </w:pPr>
          </w:p>
        </w:tc>
        <w:tc>
          <w:tcPr>
            <w:tcW w:w="1080" w:type="dxa"/>
            <w:vAlign w:val="center"/>
          </w:tcPr>
          <w:p w14:paraId="3E960243">
            <w:pPr>
              <w:shd w:val="clear"/>
              <w:snapToGrid w:val="0"/>
              <w:spacing w:line="380" w:lineRule="exact"/>
              <w:jc w:val="center"/>
              <w:rPr>
                <w:rFonts w:hint="eastAsia" w:ascii="宋体" w:hAnsi="宋体" w:eastAsia="宋体" w:cs="宋体"/>
                <w:color w:val="auto"/>
                <w:sz w:val="21"/>
                <w:szCs w:val="21"/>
                <w:highlight w:val="none"/>
              </w:rPr>
            </w:pPr>
          </w:p>
        </w:tc>
        <w:tc>
          <w:tcPr>
            <w:tcW w:w="1440" w:type="dxa"/>
            <w:vAlign w:val="center"/>
          </w:tcPr>
          <w:p w14:paraId="1BE1896D">
            <w:pPr>
              <w:shd w:val="clear"/>
              <w:snapToGrid w:val="0"/>
              <w:spacing w:line="380" w:lineRule="exact"/>
              <w:jc w:val="center"/>
              <w:rPr>
                <w:rFonts w:hint="eastAsia" w:ascii="宋体" w:hAnsi="宋体" w:eastAsia="宋体" w:cs="宋体"/>
                <w:color w:val="auto"/>
                <w:sz w:val="21"/>
                <w:szCs w:val="21"/>
                <w:highlight w:val="none"/>
              </w:rPr>
            </w:pPr>
          </w:p>
        </w:tc>
      </w:tr>
      <w:tr w14:paraId="1B80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540" w:type="dxa"/>
            <w:gridSpan w:val="9"/>
            <w:vAlign w:val="center"/>
          </w:tcPr>
          <w:p w14:paraId="63E32147">
            <w:pPr>
              <w:shd w:val="clea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人民币合计金额（大写）                          （小写）                 </w:t>
            </w:r>
          </w:p>
        </w:tc>
      </w:tr>
    </w:tbl>
    <w:p w14:paraId="2AE1EB0B">
      <w:pPr>
        <w:shd w:val="clea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2.合同合计金额包括货物价款，备件、专用工具、安装、调试、检验、技术培训及技术资料和包装、运输</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保险、质保维护、仓储</w:t>
      </w:r>
      <w:r>
        <w:rPr>
          <w:rFonts w:hint="eastAsia" w:ascii="宋体" w:hAnsi="宋体" w:eastAsia="宋体" w:cs="宋体"/>
          <w:color w:val="auto"/>
          <w:sz w:val="21"/>
          <w:szCs w:val="21"/>
          <w:highlight w:val="none"/>
        </w:rPr>
        <w:t>等全部费用。如招投标文件对其另有规定的，从其规定。</w:t>
      </w:r>
    </w:p>
    <w:p w14:paraId="3802C882">
      <w:pPr>
        <w:shd w:val="clear"/>
        <w:spacing w:line="38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第二条　质量保证</w:t>
      </w:r>
    </w:p>
    <w:p w14:paraId="5DD2EFF4">
      <w:pPr>
        <w:shd w:val="clear"/>
        <w:spacing w:line="380" w:lineRule="exac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    1.乙方所提供的货物型号、技术规格、技术参数等质量必须与招投标文件和承诺相一致。乙方提供的节能和环保产品必须是列入品目清单的产品。</w:t>
      </w:r>
    </w:p>
    <w:p w14:paraId="004C3D7C">
      <w:pPr>
        <w:shd w:val="clear"/>
        <w:spacing w:line="380" w:lineRule="exac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    2.乙方所提供的货物必须是全新、未使用的原装产品，且在正常安装、使用和保养条件下，其使用寿命期内各项指标均达到质量要求。</w:t>
      </w:r>
    </w:p>
    <w:p w14:paraId="07DF695C">
      <w:pPr>
        <w:shd w:val="clear"/>
        <w:spacing w:line="38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第三条　权利保证</w:t>
      </w:r>
    </w:p>
    <w:p w14:paraId="20D9A174">
      <w:pPr>
        <w:shd w:val="clear"/>
        <w:spacing w:line="380" w:lineRule="exac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    </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乙方应保证所提供货物在使用时不会侵犯任何第三方的专利权、商标权、工业设计权或其他权利。</w:t>
      </w:r>
    </w:p>
    <w:p w14:paraId="58139561">
      <w:pPr>
        <w:shd w:val="clea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乙方应按招标文件规定的时间向甲方提供使用货物的有关技术资料。</w:t>
      </w:r>
    </w:p>
    <w:p w14:paraId="02568851">
      <w:pPr>
        <w:shd w:val="clea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4CB82D98">
      <w:pPr>
        <w:shd w:val="clea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乙方保证所交付的货物的所有权完全属于乙方且无任何抵押、质押、查封等产权瑕疵。</w:t>
      </w:r>
    </w:p>
    <w:p w14:paraId="50B9F377">
      <w:pPr>
        <w:shd w:val="clear"/>
        <w:spacing w:line="38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第四条　包装和运输</w:t>
      </w:r>
    </w:p>
    <w:p w14:paraId="0C78DE10">
      <w:pPr>
        <w:shd w:val="clear"/>
        <w:snapToGrid w:val="0"/>
        <w:spacing w:line="440" w:lineRule="exact"/>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 1.乙方应在货物发运前对其进行满足运输距离、防潮、防震、防锈和防破损装卸等要求</w:t>
      </w:r>
      <w:r>
        <w:rPr>
          <w:rFonts w:hint="eastAsia" w:ascii="宋体" w:hAnsi="宋体" w:eastAsia="宋体" w:cs="宋体"/>
          <w:b w:val="0"/>
          <w:bCs/>
          <w:color w:val="auto"/>
          <w:sz w:val="21"/>
          <w:szCs w:val="21"/>
          <w:highlight w:val="none"/>
          <w:lang w:val="en-US" w:eastAsia="zh-CN"/>
        </w:rPr>
        <w:t>以及</w:t>
      </w:r>
      <w:r>
        <w:rPr>
          <w:rFonts w:hint="eastAsia" w:ascii="宋体" w:hAnsi="宋体" w:eastAsia="宋体" w:cs="宋体"/>
          <w:b w:val="0"/>
          <w:bCs/>
          <w:color w:val="auto"/>
          <w:sz w:val="21"/>
          <w:szCs w:val="21"/>
          <w:highlight w:val="none"/>
        </w:rPr>
        <w:t>招标文件要求的包装材料、包装标准、包装方式进行包装，以保证货物安全运达甲方指定地点。每一包装单元内应附详细的交付清单</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使用说明书和质量合格证，如有缺失应及时补齐，否则视为逾期交付。</w:t>
      </w:r>
    </w:p>
    <w:p w14:paraId="41DEB9BB">
      <w:pPr>
        <w:shd w:val="clear"/>
        <w:snapToGrid w:val="0"/>
        <w:spacing w:line="440" w:lineRule="exact"/>
        <w:ind w:firstLine="420" w:firstLineChars="200"/>
        <w:rPr>
          <w:rFonts w:hint="eastAsia" w:ascii="宋体" w:hAnsi="宋体" w:eastAsia="宋体" w:cs="宋体"/>
          <w:b w:val="0"/>
          <w:bCs/>
          <w:color w:val="auto"/>
          <w:sz w:val="21"/>
          <w:szCs w:val="21"/>
          <w:highlight w:val="none"/>
          <w:u w:val="single"/>
        </w:rPr>
      </w:pPr>
      <w:r>
        <w:rPr>
          <w:rFonts w:hint="eastAsia" w:ascii="宋体" w:hAnsi="宋体" w:eastAsia="宋体" w:cs="宋体"/>
          <w:b w:val="0"/>
          <w:bCs/>
          <w:color w:val="auto"/>
          <w:sz w:val="21"/>
          <w:szCs w:val="21"/>
          <w:highlight w:val="none"/>
        </w:rPr>
        <w:t xml:space="preserve"> </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.乙方负责服务交付成果、产品的运输。服务交付成果、产品的运输方式由乙方自定。服务交付成果、产品运输合理损耗及计算方法由乙方负责。</w:t>
      </w:r>
    </w:p>
    <w:p w14:paraId="1FBD407C">
      <w:pPr>
        <w:shd w:val="clear"/>
        <w:spacing w:line="380" w:lineRule="exact"/>
        <w:ind w:firstLine="42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3.乙方负责货物运输，货物运输合理损耗及计算方法：</w:t>
      </w:r>
      <w:r>
        <w:rPr>
          <w:rFonts w:hint="eastAsia" w:ascii="宋体" w:hAnsi="宋体" w:eastAsia="宋体" w:cs="宋体"/>
          <w:b w:val="0"/>
          <w:bCs/>
          <w:color w:val="auto"/>
          <w:sz w:val="21"/>
          <w:szCs w:val="21"/>
          <w:highlight w:val="none"/>
          <w:lang w:val="en-US" w:eastAsia="zh-CN"/>
        </w:rPr>
        <w:t>采购方</w:t>
      </w:r>
      <w:r>
        <w:rPr>
          <w:rFonts w:hint="eastAsia" w:ascii="宋体" w:hAnsi="宋体" w:eastAsia="宋体" w:cs="宋体"/>
          <w:b w:val="0"/>
          <w:bCs/>
          <w:color w:val="auto"/>
          <w:sz w:val="21"/>
          <w:szCs w:val="21"/>
          <w:highlight w:val="none"/>
          <w:u w:val="single"/>
        </w:rPr>
        <w:t>不接受损耗</w:t>
      </w:r>
      <w:r>
        <w:rPr>
          <w:rFonts w:hint="eastAsia" w:ascii="宋体" w:hAnsi="宋体" w:eastAsia="宋体" w:cs="宋体"/>
          <w:b w:val="0"/>
          <w:bCs/>
          <w:color w:val="auto"/>
          <w:sz w:val="21"/>
          <w:szCs w:val="21"/>
          <w:highlight w:val="none"/>
        </w:rPr>
        <w:t>。</w:t>
      </w:r>
    </w:p>
    <w:p w14:paraId="7EFFFD5C">
      <w:pPr>
        <w:shd w:val="clear"/>
        <w:spacing w:line="380" w:lineRule="exact"/>
        <w:ind w:firstLine="42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.乙方在货物发运手续办理完毕后二十四小时内或货到甲方四十八小时前通知甲方，以准备接货。</w:t>
      </w:r>
    </w:p>
    <w:p w14:paraId="4F2A9A2F">
      <w:pPr>
        <w:shd w:val="clear"/>
        <w:spacing w:line="380" w:lineRule="exact"/>
        <w:ind w:firstLine="42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.货物在交付甲方前发生的风险均由乙方负责。</w:t>
      </w:r>
    </w:p>
    <w:p w14:paraId="2BB46630">
      <w:pPr>
        <w:shd w:val="clear"/>
        <w:spacing w:line="380" w:lineRule="exact"/>
        <w:ind w:firstLine="42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rPr>
        <w:t>.货物在规定的交付期限内由乙方送达甲方指定的地点视为交付，乙方同时需通知甲方货物已送达。</w:t>
      </w:r>
    </w:p>
    <w:p w14:paraId="16CEF9F6">
      <w:pPr>
        <w:pStyle w:val="26"/>
        <w:shd w:val="clear"/>
        <w:snapToGrid w:val="0"/>
        <w:spacing w:line="440" w:lineRule="exact"/>
        <w:ind w:firstLineChars="200"/>
        <w:rPr>
          <w:rFonts w:hint="eastAsia" w:ascii="宋体" w:hAnsi="宋体" w:eastAsia="宋体" w:cs="宋体"/>
          <w:b w:val="0"/>
          <w:bCs/>
          <w:color w:val="auto"/>
          <w:sz w:val="21"/>
          <w:szCs w:val="21"/>
          <w:highlight w:val="none"/>
        </w:rPr>
      </w:pPr>
      <w:bookmarkStart w:id="107" w:name="_Hlk60651149"/>
      <w:r>
        <w:rPr>
          <w:rFonts w:hint="eastAsia" w:ascii="宋体" w:hAnsi="宋体" w:eastAsia="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rPr>
        <w:t>.乙方提供的产品包装及快递包装应满足《财政部等三部门联合印发商品包装和快递包装政府采购需求标准（试行）》财办库〔2020〕123号文要求。</w:t>
      </w:r>
      <w:bookmarkEnd w:id="107"/>
    </w:p>
    <w:p w14:paraId="3A5FA3CC">
      <w:pPr>
        <w:shd w:val="clear"/>
        <w:spacing w:line="380" w:lineRule="exact"/>
        <w:ind w:firstLine="42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第五条　交付和验收</w:t>
      </w:r>
    </w:p>
    <w:p w14:paraId="0D1027ED">
      <w:pPr>
        <w:shd w:val="clear"/>
        <w:snapToGrid/>
        <w:spacing w:line="380" w:lineRule="exact"/>
        <w:ind w:firstLine="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交付</w:t>
      </w:r>
      <w:r>
        <w:rPr>
          <w:rFonts w:hint="eastAsia" w:ascii="宋体" w:hAnsi="宋体" w:eastAsia="宋体" w:cs="宋体"/>
          <w:b w:val="0"/>
          <w:bCs/>
          <w:color w:val="auto"/>
          <w:sz w:val="21"/>
          <w:szCs w:val="21"/>
          <w:highlight w:val="none"/>
          <w:lang w:val="en-US" w:eastAsia="zh-CN"/>
        </w:rPr>
        <w:t>使用</w:t>
      </w:r>
      <w:r>
        <w:rPr>
          <w:rFonts w:hint="eastAsia" w:ascii="宋体" w:hAnsi="宋体" w:eastAsia="宋体" w:cs="宋体"/>
          <w:b w:val="0"/>
          <w:bCs/>
          <w:color w:val="auto"/>
          <w:sz w:val="21"/>
          <w:szCs w:val="21"/>
          <w:highlight w:val="none"/>
        </w:rPr>
        <w:t>时间：</w:t>
      </w:r>
      <w:r>
        <w:rPr>
          <w:rFonts w:hint="eastAsia" w:ascii="宋体" w:hAnsi="宋体" w:eastAsia="宋体" w:cs="宋体"/>
          <w:b w:val="0"/>
          <w:bCs/>
          <w:color w:val="auto"/>
          <w:sz w:val="21"/>
          <w:szCs w:val="21"/>
          <w:highlight w:val="none"/>
          <w:u w:val="single"/>
        </w:rPr>
        <w:t>按乙方投标文件中所承诺的时间</w:t>
      </w:r>
      <w:r>
        <w:rPr>
          <w:rFonts w:hint="eastAsia" w:ascii="宋体" w:hAnsi="宋体" w:eastAsia="宋体" w:cs="宋体"/>
          <w:b w:val="0"/>
          <w:bCs/>
          <w:color w:val="auto"/>
          <w:sz w:val="21"/>
          <w:szCs w:val="21"/>
          <w:highlight w:val="none"/>
        </w:rPr>
        <w:t>；地点：</w:t>
      </w:r>
      <w:r>
        <w:rPr>
          <w:rFonts w:hint="eastAsia" w:ascii="宋体" w:hAnsi="宋体" w:eastAsia="宋体" w:cs="宋体"/>
          <w:b w:val="0"/>
          <w:bCs/>
          <w:color w:val="auto"/>
          <w:sz w:val="21"/>
          <w:szCs w:val="21"/>
          <w:highlight w:val="none"/>
          <w:u w:val="single"/>
        </w:rPr>
        <w:t>甲方指定地点</w:t>
      </w:r>
      <w:r>
        <w:rPr>
          <w:rFonts w:hint="eastAsia" w:ascii="宋体" w:hAnsi="宋体" w:eastAsia="宋体" w:cs="宋体"/>
          <w:b w:val="0"/>
          <w:bCs/>
          <w:color w:val="auto"/>
          <w:sz w:val="21"/>
          <w:szCs w:val="21"/>
          <w:highlight w:val="none"/>
        </w:rPr>
        <w:t>。</w:t>
      </w:r>
    </w:p>
    <w:p w14:paraId="09FD3B39">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2.交付标准：乙方交付前应对产品或服务成果作出全面检查后，将符合合同文件要求的产品或服务成果交付给甲方。</w:t>
      </w:r>
    </w:p>
    <w:p w14:paraId="047B5645">
      <w:pPr>
        <w:shd w:val="clear"/>
        <w:snapToGrid w:val="0"/>
        <w:spacing w:line="44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3.验收程序：</w:t>
      </w:r>
    </w:p>
    <w:p w14:paraId="3D23EF36">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bookmarkStart w:id="108" w:name="tip_risk_bookmark_18"/>
      <w:r>
        <w:rPr>
          <w:rFonts w:hint="eastAsia" w:ascii="宋体" w:hAnsi="宋体" w:eastAsia="宋体" w:cs="宋体"/>
          <w:color w:val="auto"/>
          <w:sz w:val="21"/>
          <w:szCs w:val="21"/>
          <w:highlight w:val="none"/>
          <w:lang w:val="en-US" w:eastAsia="zh-CN"/>
        </w:rPr>
        <w:t>到货</w:t>
      </w:r>
      <w:r>
        <w:rPr>
          <w:rFonts w:hint="eastAsia" w:ascii="宋体" w:hAnsi="宋体" w:eastAsia="宋体" w:cs="宋体"/>
          <w:color w:val="auto"/>
          <w:sz w:val="21"/>
          <w:szCs w:val="21"/>
          <w:highlight w:val="none"/>
        </w:rPr>
        <w:t>验收</w:t>
      </w:r>
    </w:p>
    <w:p w14:paraId="29B71A22">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应在合同签订后3个月内</w:t>
      </w:r>
      <w:r>
        <w:rPr>
          <w:rFonts w:hint="eastAsia" w:ascii="宋体" w:hAnsi="宋体" w:eastAsia="宋体" w:cs="宋体"/>
          <w:color w:val="auto"/>
          <w:sz w:val="21"/>
          <w:szCs w:val="21"/>
          <w:highlight w:val="none"/>
        </w:rPr>
        <w:t>完成</w:t>
      </w:r>
      <w:r>
        <w:rPr>
          <w:rFonts w:hint="eastAsia" w:ascii="宋体" w:hAnsi="宋体" w:eastAsia="宋体" w:cs="宋体"/>
          <w:color w:val="auto"/>
          <w:sz w:val="21"/>
          <w:szCs w:val="21"/>
          <w:highlight w:val="none"/>
          <w:lang w:val="en-US" w:eastAsia="zh-CN"/>
        </w:rPr>
        <w:t>全部货物</w:t>
      </w:r>
      <w:r>
        <w:rPr>
          <w:rFonts w:hint="eastAsia" w:ascii="宋体" w:hAnsi="宋体" w:eastAsia="宋体" w:cs="宋体"/>
          <w:color w:val="auto"/>
          <w:sz w:val="21"/>
          <w:szCs w:val="21"/>
          <w:highlight w:val="none"/>
        </w:rPr>
        <w:t>采购，</w:t>
      </w:r>
      <w:r>
        <w:rPr>
          <w:rFonts w:hint="eastAsia" w:ascii="宋体" w:hAnsi="宋体" w:eastAsia="宋体" w:cs="宋体"/>
          <w:color w:val="auto"/>
          <w:sz w:val="21"/>
          <w:szCs w:val="21"/>
          <w:highlight w:val="none"/>
          <w:lang w:val="en-US" w:eastAsia="zh-CN"/>
        </w:rPr>
        <w:t>运抵甲方指定地点，经</w:t>
      </w:r>
      <w:r>
        <w:rPr>
          <w:rFonts w:hint="eastAsia" w:ascii="宋体" w:hAnsi="宋体" w:eastAsia="宋体" w:cs="宋体"/>
          <w:color w:val="auto"/>
          <w:sz w:val="21"/>
          <w:szCs w:val="21"/>
          <w:highlight w:val="none"/>
        </w:rPr>
        <w:t>甲方与乙方</w:t>
      </w:r>
      <w:r>
        <w:rPr>
          <w:rFonts w:hint="eastAsia" w:ascii="宋体" w:hAnsi="宋体" w:eastAsia="宋体" w:cs="宋体"/>
          <w:color w:val="auto"/>
          <w:sz w:val="21"/>
          <w:szCs w:val="21"/>
          <w:highlight w:val="none"/>
          <w:lang w:val="en-US" w:eastAsia="zh-CN"/>
        </w:rPr>
        <w:t>委托的验收人员</w:t>
      </w:r>
      <w:r>
        <w:rPr>
          <w:rFonts w:hint="eastAsia" w:ascii="宋体" w:hAnsi="宋体" w:eastAsia="宋体" w:cs="宋体"/>
          <w:color w:val="auto"/>
          <w:sz w:val="21"/>
          <w:szCs w:val="21"/>
          <w:highlight w:val="none"/>
        </w:rPr>
        <w:t>共同在现场</w:t>
      </w:r>
      <w:r>
        <w:rPr>
          <w:rFonts w:hint="eastAsia" w:ascii="宋体" w:hAnsi="宋体" w:eastAsia="宋体" w:cs="宋体"/>
          <w:color w:val="auto"/>
          <w:sz w:val="21"/>
          <w:szCs w:val="21"/>
          <w:highlight w:val="none"/>
          <w:lang w:val="en-US" w:eastAsia="zh-CN"/>
        </w:rPr>
        <w:t>对货物进行开箱清点并</w:t>
      </w:r>
      <w:r>
        <w:rPr>
          <w:rFonts w:hint="eastAsia" w:ascii="宋体" w:hAnsi="宋体" w:eastAsia="宋体" w:cs="宋体"/>
          <w:color w:val="auto"/>
          <w:sz w:val="21"/>
          <w:szCs w:val="21"/>
          <w:highlight w:val="none"/>
        </w:rPr>
        <w:t>签字确认，</w:t>
      </w:r>
      <w:r>
        <w:rPr>
          <w:rFonts w:hint="eastAsia" w:ascii="宋体" w:hAnsi="宋体" w:eastAsia="宋体" w:cs="宋体"/>
          <w:color w:val="auto"/>
          <w:sz w:val="21"/>
          <w:szCs w:val="21"/>
          <w:highlight w:val="none"/>
          <w:lang w:val="en-US" w:eastAsia="zh-CN"/>
        </w:rPr>
        <w:t>完成到货</w:t>
      </w:r>
      <w:r>
        <w:rPr>
          <w:rFonts w:hint="eastAsia" w:ascii="宋体" w:hAnsi="宋体" w:eastAsia="宋体" w:cs="宋体"/>
          <w:color w:val="auto"/>
          <w:sz w:val="21"/>
          <w:szCs w:val="21"/>
          <w:highlight w:val="none"/>
        </w:rPr>
        <w:t>验收。</w:t>
      </w:r>
    </w:p>
    <w:p w14:paraId="79BAAFDA">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当满足以下条件时，甲方</w:t>
      </w:r>
      <w:r>
        <w:rPr>
          <w:rFonts w:hint="eastAsia" w:ascii="宋体" w:hAnsi="宋体" w:eastAsia="宋体" w:cs="宋体"/>
          <w:color w:val="auto"/>
          <w:sz w:val="21"/>
          <w:szCs w:val="21"/>
          <w:highlight w:val="none"/>
          <w:lang w:val="en-US" w:eastAsia="zh-CN"/>
        </w:rPr>
        <w:t>可进行签字确认</w:t>
      </w:r>
      <w:r>
        <w:rPr>
          <w:rFonts w:hint="eastAsia" w:ascii="宋体" w:hAnsi="宋体" w:eastAsia="宋体" w:cs="宋体"/>
          <w:color w:val="auto"/>
          <w:sz w:val="21"/>
          <w:szCs w:val="21"/>
          <w:highlight w:val="none"/>
        </w:rPr>
        <w:t>：</w:t>
      </w:r>
    </w:p>
    <w:p w14:paraId="4484AF7D">
      <w:pPr>
        <w:numPr>
          <w:ilvl w:val="0"/>
          <w:numId w:val="3"/>
        </w:numPr>
        <w:shd w:val="clear"/>
        <w:snapToGrid w:val="0"/>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乙方已按照应标文件中货物清单及投标承诺完成全部货物采购并交付。</w:t>
      </w:r>
    </w:p>
    <w:p w14:paraId="4AF7A46A">
      <w:pPr>
        <w:numPr>
          <w:ilvl w:val="0"/>
          <w:numId w:val="3"/>
        </w:numPr>
        <w:shd w:val="clear"/>
        <w:snapToGrid w:val="0"/>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货物外表完好无明显损坏</w:t>
      </w:r>
      <w:r>
        <w:rPr>
          <w:rFonts w:hint="eastAsia" w:ascii="宋体" w:hAnsi="宋体" w:cs="宋体"/>
          <w:color w:val="auto"/>
          <w:sz w:val="21"/>
          <w:szCs w:val="21"/>
          <w:highlight w:val="none"/>
          <w:lang w:val="en-US" w:eastAsia="zh-CN"/>
        </w:rPr>
        <w:t>，通电运行正常后</w:t>
      </w:r>
      <w:r>
        <w:rPr>
          <w:rFonts w:hint="eastAsia" w:ascii="宋体" w:hAnsi="宋体" w:eastAsia="宋体" w:cs="宋体"/>
          <w:color w:val="auto"/>
          <w:sz w:val="21"/>
          <w:szCs w:val="21"/>
          <w:highlight w:val="none"/>
          <w:lang w:val="en-US" w:eastAsia="zh-CN"/>
        </w:rPr>
        <w:t>，检查后做好原包装封存。</w:t>
      </w:r>
    </w:p>
    <w:p w14:paraId="59590DC1">
      <w:pPr>
        <w:numPr>
          <w:ilvl w:val="0"/>
          <w:numId w:val="3"/>
        </w:numPr>
        <w:shd w:val="clear"/>
        <w:snapToGrid w:val="0"/>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随货物出厂运输单据、说明书和质量合格证等材料齐全。</w:t>
      </w:r>
    </w:p>
    <w:p w14:paraId="552B51F4">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lang w:val="en-US" w:eastAsia="zh-CN"/>
        </w:rPr>
        <w:t>合同</w:t>
      </w:r>
      <w:r>
        <w:rPr>
          <w:rFonts w:hint="eastAsia" w:ascii="宋体" w:hAnsi="宋体" w:eastAsia="宋体" w:cs="宋体"/>
          <w:color w:val="auto"/>
          <w:sz w:val="21"/>
          <w:szCs w:val="21"/>
          <w:highlight w:val="none"/>
        </w:rPr>
        <w:t>验收</w:t>
      </w:r>
    </w:p>
    <w:p w14:paraId="44EE3022">
      <w:pPr>
        <w:shd w:val="clear"/>
        <w:snapToGrid w:val="0"/>
        <w:spacing w:line="440" w:lineRule="exact"/>
        <w:ind w:firstLine="420" w:firstLineChars="200"/>
        <w:rPr>
          <w:rFonts w:hint="eastAsia" w:ascii="宋体" w:hAnsi="宋体" w:eastAsia="宋体" w:cs="宋体"/>
          <w:color w:val="auto"/>
          <w:sz w:val="21"/>
          <w:szCs w:val="21"/>
          <w:highlight w:val="none"/>
        </w:rPr>
      </w:pPr>
      <w:bookmarkStart w:id="109" w:name="auto_fouce_19"/>
      <w:r>
        <w:rPr>
          <w:rFonts w:hint="eastAsia" w:ascii="宋体" w:hAnsi="宋体" w:eastAsia="宋体" w:cs="宋体"/>
          <w:color w:val="auto"/>
          <w:sz w:val="21"/>
          <w:szCs w:val="21"/>
          <w:highlight w:val="none"/>
        </w:rPr>
        <w:t>乙方应在</w:t>
      </w:r>
      <w:r>
        <w:rPr>
          <w:rFonts w:hint="eastAsia" w:ascii="宋体" w:hAnsi="宋体" w:eastAsia="宋体" w:cs="宋体"/>
          <w:color w:val="auto"/>
          <w:sz w:val="21"/>
          <w:szCs w:val="21"/>
          <w:highlight w:val="none"/>
          <w:lang w:val="en-US" w:eastAsia="zh-CN"/>
        </w:rPr>
        <w:t>到货验收后</w:t>
      </w:r>
      <w:r>
        <w:rPr>
          <w:rFonts w:hint="default" w:ascii="宋体" w:hAnsi="宋体" w:eastAsia="宋体" w:cs="宋体"/>
          <w:color w:val="auto"/>
          <w:sz w:val="21"/>
          <w:szCs w:val="21"/>
          <w:highlight w:val="none"/>
          <w:lang w:val="en-US"/>
        </w:rPr>
        <w:t>5</w:t>
      </w:r>
      <w:r>
        <w:rPr>
          <w:rFonts w:hint="eastAsia" w:ascii="宋体" w:hAnsi="宋体" w:eastAsia="宋体" w:cs="宋体"/>
          <w:color w:val="auto"/>
          <w:sz w:val="21"/>
          <w:szCs w:val="21"/>
          <w:highlight w:val="none"/>
        </w:rPr>
        <w:t>个月内完成</w:t>
      </w:r>
      <w:r>
        <w:rPr>
          <w:rFonts w:hint="eastAsia" w:ascii="宋体" w:hAnsi="宋体" w:eastAsia="宋体" w:cs="宋体"/>
          <w:color w:val="auto"/>
          <w:sz w:val="21"/>
          <w:szCs w:val="21"/>
          <w:highlight w:val="none"/>
          <w:lang w:val="en-US" w:eastAsia="zh-CN"/>
        </w:rPr>
        <w:t>安装、系统部署、调试工作</w:t>
      </w:r>
      <w:r>
        <w:rPr>
          <w:rFonts w:hint="eastAsia" w:ascii="宋体" w:hAnsi="宋体" w:eastAsia="宋体" w:cs="宋体"/>
          <w:color w:val="auto"/>
          <w:sz w:val="21"/>
          <w:szCs w:val="21"/>
          <w:highlight w:val="none"/>
        </w:rPr>
        <w:t>，向甲方</w:t>
      </w:r>
      <w:r>
        <w:rPr>
          <w:rFonts w:hint="eastAsia" w:ascii="宋体" w:hAnsi="宋体" w:eastAsia="宋体" w:cs="宋体"/>
          <w:color w:val="auto"/>
          <w:sz w:val="21"/>
          <w:szCs w:val="21"/>
          <w:highlight w:val="none"/>
          <w:lang w:val="en-US" w:eastAsia="zh-CN"/>
        </w:rPr>
        <w:t>书面提交合同验收申请，并附总结报告</w:t>
      </w:r>
      <w:r>
        <w:rPr>
          <w:rFonts w:hint="eastAsia" w:ascii="宋体" w:hAnsi="宋体" w:eastAsia="宋体" w:cs="宋体"/>
          <w:color w:val="auto"/>
          <w:sz w:val="21"/>
          <w:szCs w:val="21"/>
          <w:highlight w:val="none"/>
        </w:rPr>
        <w:t>，总结报告内容包括：</w:t>
      </w:r>
      <w:r>
        <w:rPr>
          <w:rFonts w:hint="eastAsia" w:ascii="宋体" w:hAnsi="宋体" w:eastAsia="宋体" w:cs="宋体"/>
          <w:color w:val="auto"/>
          <w:sz w:val="21"/>
          <w:szCs w:val="21"/>
          <w:highlight w:val="none"/>
          <w:lang w:val="en-US" w:eastAsia="zh-CN"/>
        </w:rPr>
        <w:t>音视频系统部署</w:t>
      </w:r>
      <w:r>
        <w:rPr>
          <w:rFonts w:hint="eastAsia" w:ascii="宋体" w:hAnsi="宋体" w:eastAsia="宋体" w:cs="宋体"/>
          <w:color w:val="auto"/>
          <w:sz w:val="21"/>
          <w:szCs w:val="21"/>
          <w:highlight w:val="none"/>
        </w:rPr>
        <w:t>概况、</w:t>
      </w:r>
      <w:r>
        <w:rPr>
          <w:rFonts w:hint="eastAsia" w:ascii="宋体" w:hAnsi="宋体" w:eastAsia="宋体" w:cs="宋体"/>
          <w:color w:val="auto"/>
          <w:sz w:val="21"/>
          <w:szCs w:val="21"/>
          <w:highlight w:val="none"/>
          <w:lang w:val="en-US" w:eastAsia="zh-CN"/>
        </w:rPr>
        <w:t>安装测试清单、功能测试截图</w:t>
      </w:r>
      <w:r>
        <w:rPr>
          <w:rFonts w:hint="eastAsia" w:ascii="宋体" w:hAnsi="宋体" w:eastAsia="宋体" w:cs="宋体"/>
          <w:color w:val="auto"/>
          <w:sz w:val="21"/>
          <w:szCs w:val="21"/>
          <w:highlight w:val="none"/>
        </w:rPr>
        <w:t>、售后维修服务条款，由甲方组织制定验收技术大纲并组织验收出具验收</w:t>
      </w:r>
      <w:r>
        <w:rPr>
          <w:rFonts w:hint="eastAsia" w:ascii="宋体" w:hAnsi="宋体" w:eastAsia="宋体" w:cs="宋体"/>
          <w:color w:val="auto"/>
          <w:sz w:val="21"/>
          <w:szCs w:val="21"/>
          <w:highlight w:val="none"/>
          <w:lang w:val="en-US" w:eastAsia="zh-CN"/>
        </w:rPr>
        <w:t>书</w:t>
      </w:r>
      <w:r>
        <w:rPr>
          <w:rFonts w:hint="eastAsia" w:ascii="宋体" w:hAnsi="宋体" w:eastAsia="宋体" w:cs="宋体"/>
          <w:color w:val="auto"/>
          <w:sz w:val="21"/>
          <w:szCs w:val="21"/>
          <w:highlight w:val="none"/>
        </w:rPr>
        <w:t>。</w:t>
      </w:r>
      <w:bookmarkEnd w:id="109"/>
    </w:p>
    <w:bookmarkEnd w:id="108"/>
    <w:p w14:paraId="46562111">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当满足以下条件时，甲方才向乙方签发验收</w:t>
      </w:r>
      <w:r>
        <w:rPr>
          <w:rFonts w:hint="eastAsia" w:ascii="宋体" w:hAnsi="宋体" w:eastAsia="宋体" w:cs="宋体"/>
          <w:color w:val="auto"/>
          <w:sz w:val="21"/>
          <w:szCs w:val="21"/>
          <w:highlight w:val="none"/>
          <w:lang w:val="en-US" w:eastAsia="zh-CN"/>
        </w:rPr>
        <w:t>书</w:t>
      </w:r>
      <w:r>
        <w:rPr>
          <w:rFonts w:hint="eastAsia" w:ascii="宋体" w:hAnsi="宋体" w:eastAsia="宋体" w:cs="宋体"/>
          <w:color w:val="auto"/>
          <w:sz w:val="21"/>
          <w:szCs w:val="21"/>
          <w:highlight w:val="none"/>
        </w:rPr>
        <w:t>：</w:t>
      </w:r>
    </w:p>
    <w:p w14:paraId="308EC640">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（1）乙方已按照合同规定提供了全部产品及完整的技术资料。</w:t>
      </w:r>
    </w:p>
    <w:p w14:paraId="59083A8F">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（2）货物各项参数完全符合《技术参数及性能（配置）要求》的要求，性能满足要求。</w:t>
      </w:r>
    </w:p>
    <w:p w14:paraId="4357F317">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w:t>
      </w:r>
      <w:r>
        <w:rPr>
          <w:rFonts w:hint="eastAsia" w:ascii="宋体" w:hAnsi="宋体" w:eastAsia="宋体" w:cs="宋体"/>
          <w:color w:val="auto"/>
          <w:sz w:val="21"/>
          <w:szCs w:val="21"/>
          <w:highlight w:val="none"/>
          <w:lang w:val="en-US" w:eastAsia="zh-CN"/>
        </w:rPr>
        <w:t>已完成</w:t>
      </w:r>
      <w:r>
        <w:rPr>
          <w:rFonts w:hint="eastAsia" w:ascii="宋体" w:hAnsi="宋体" w:eastAsia="宋体" w:cs="宋体"/>
          <w:color w:val="auto"/>
          <w:sz w:val="21"/>
          <w:szCs w:val="21"/>
          <w:highlight w:val="none"/>
        </w:rPr>
        <w:t>安装、</w:t>
      </w:r>
      <w:r>
        <w:rPr>
          <w:rFonts w:hint="eastAsia" w:ascii="宋体" w:hAnsi="宋体" w:eastAsia="宋体" w:cs="宋体"/>
          <w:color w:val="auto"/>
          <w:sz w:val="21"/>
          <w:szCs w:val="21"/>
          <w:highlight w:val="none"/>
          <w:lang w:val="en-US" w:eastAsia="zh-CN"/>
        </w:rPr>
        <w:t>系统部署、</w:t>
      </w:r>
      <w:r>
        <w:rPr>
          <w:rFonts w:hint="eastAsia" w:ascii="宋体" w:hAnsi="宋体" w:eastAsia="宋体" w:cs="宋体"/>
          <w:color w:val="auto"/>
          <w:sz w:val="21"/>
          <w:szCs w:val="21"/>
          <w:highlight w:val="none"/>
        </w:rPr>
        <w:t>调试（测试）</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操作培训</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w:t>
      </w:r>
    </w:p>
    <w:p w14:paraId="7F46B10D">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110" w:name="tip_risk_bookmark_20"/>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验收过程中所产生的一切费用均由乙方承担。</w:t>
      </w:r>
      <w:bookmarkEnd w:id="110"/>
    </w:p>
    <w:p w14:paraId="55FBF499">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中标产品不能涉及任何法律纠纷。</w:t>
      </w:r>
    </w:p>
    <w:p w14:paraId="7AB116E8">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4.验收标准：按国家有关标准以及甲方招标文件的采购需求、乙方的投标文件响应及承诺与本</w:t>
      </w:r>
      <w:r>
        <w:rPr>
          <w:rFonts w:hint="eastAsia" w:ascii="宋体" w:hAnsi="宋体" w:cs="宋体"/>
          <w:color w:val="auto"/>
          <w:sz w:val="21"/>
          <w:szCs w:val="21"/>
          <w:highlight w:val="none"/>
          <w:lang w:eastAsia="zh-CN"/>
        </w:rPr>
        <w:t>项目</w:t>
      </w:r>
      <w:r>
        <w:rPr>
          <w:rFonts w:hint="eastAsia" w:ascii="宋体" w:hAnsi="宋体" w:eastAsia="宋体" w:cs="宋体"/>
          <w:color w:val="auto"/>
          <w:sz w:val="21"/>
          <w:szCs w:val="21"/>
          <w:highlight w:val="none"/>
        </w:rPr>
        <w:t>合同约定进行验收；上述标准如有不一致事项，以招标文件与投标文件中对应要求或指标中较优作为验收标准。如果交付的产品或服务成果中有执行国家强制标准的，则验收标准不得低于国家强制标准。</w:t>
      </w:r>
    </w:p>
    <w:p w14:paraId="4117F123">
      <w:pPr>
        <w:pStyle w:val="26"/>
        <w:shd w:val="clear"/>
        <w:snapToGrid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验收结果：在任一单项验收环节，甲、乙双方代表均应在场，交付的产品或服务成果符合验收标准的为单项验收合格，不符合验收标准的为单项验收不合格。验收结果由甲方出具验收结果报告或验收书，列明各项标准的验收情况，由甲、乙双方代表共同签字确认并加盖甲方公章，甲乙双方各执一份。验收结果报告或验收书经双方代表签字后即视为验收结果已通知甲、乙双方。如乙方对验收结果有异议的，应在验收现场以书面的形式出具说明，否则视为认可验收结果。</w:t>
      </w:r>
    </w:p>
    <w:p w14:paraId="3FFE0F47">
      <w:pPr>
        <w:pStyle w:val="26"/>
        <w:shd w:val="clear"/>
        <w:snapToGrid w:val="0"/>
        <w:spacing w:line="44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.不予签收或单项验收不合格的，乙方应在当次验收后</w:t>
      </w:r>
      <w:r>
        <w:rPr>
          <w:rFonts w:hint="eastAsia" w:ascii="宋体" w:hAnsi="宋体" w:eastAsia="宋体" w:cs="宋体"/>
          <w:color w:val="auto"/>
          <w:sz w:val="21"/>
          <w:szCs w:val="21"/>
          <w:highlight w:val="none"/>
          <w:u w:val="single"/>
        </w:rPr>
        <w:t>5</w:t>
      </w:r>
      <w:r>
        <w:rPr>
          <w:rFonts w:hint="eastAsia" w:ascii="宋体" w:hAnsi="宋体" w:eastAsia="宋体" w:cs="宋体"/>
          <w:color w:val="auto"/>
          <w:sz w:val="21"/>
          <w:szCs w:val="21"/>
          <w:highlight w:val="none"/>
        </w:rPr>
        <w:t>个工作日内就不符合要求项以补充、更换、修理等甲方认可的方式进行整改并重新验收，未按时进行整改或整改后重新验收仍不合格的视为逾期交付，逾期交付最长不得超过</w:t>
      </w:r>
      <w:r>
        <w:rPr>
          <w:rFonts w:hint="eastAsia" w:ascii="宋体" w:hAnsi="宋体" w:eastAsia="宋体" w:cs="宋体"/>
          <w:color w:val="auto"/>
          <w:sz w:val="21"/>
          <w:szCs w:val="21"/>
          <w:highlight w:val="none"/>
          <w:u w:val="single"/>
        </w:rPr>
        <w:t>30</w:t>
      </w:r>
      <w:r>
        <w:rPr>
          <w:rFonts w:hint="eastAsia" w:ascii="宋体" w:hAnsi="宋体" w:eastAsia="宋体" w:cs="宋体"/>
          <w:color w:val="auto"/>
          <w:sz w:val="21"/>
          <w:szCs w:val="21"/>
          <w:highlight w:val="none"/>
        </w:rPr>
        <w:t>日，超过</w:t>
      </w:r>
      <w:r>
        <w:rPr>
          <w:rFonts w:hint="eastAsia" w:ascii="宋体" w:hAnsi="宋体" w:eastAsia="宋体" w:cs="宋体"/>
          <w:color w:val="auto"/>
          <w:sz w:val="21"/>
          <w:szCs w:val="21"/>
          <w:highlight w:val="none"/>
          <w:u w:val="single"/>
        </w:rPr>
        <w:t>30</w:t>
      </w:r>
      <w:r>
        <w:rPr>
          <w:rFonts w:hint="eastAsia" w:ascii="宋体" w:hAnsi="宋体" w:eastAsia="宋体" w:cs="宋体"/>
          <w:color w:val="auto"/>
          <w:sz w:val="21"/>
          <w:szCs w:val="21"/>
          <w:highlight w:val="none"/>
        </w:rPr>
        <w:t>日则视为最终验收不合格。逾期交付不影响本条第1款约定的使用时间。</w:t>
      </w:r>
      <w:bookmarkStart w:id="111" w:name="auto_fouce_21"/>
    </w:p>
    <w:p w14:paraId="0ADE3E28">
      <w:pPr>
        <w:pStyle w:val="26"/>
        <w:shd w:val="clear"/>
        <w:snapToGrid w:val="0"/>
        <w:spacing w:line="440" w:lineRule="exact"/>
        <w:ind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z w:val="21"/>
          <w:szCs w:val="21"/>
          <w:highlight w:val="none"/>
          <w:lang w:eastAsia="zh-CN"/>
        </w:rPr>
        <w:t>最终验收不合格的，乙方应于10日内退还甲方已支付的全部款项，并按合同总金额的10%向甲方支付违约金。</w:t>
      </w:r>
      <w:bookmarkEnd w:id="111"/>
      <w:bookmarkStart w:id="112" w:name="auto_fouce_22"/>
      <w:r>
        <w:rPr>
          <w:rFonts w:hint="eastAsia" w:ascii="宋体" w:hAnsi="宋体" w:eastAsia="宋体" w:cs="宋体"/>
          <w:color w:val="auto"/>
          <w:kern w:val="2"/>
          <w:sz w:val="21"/>
          <w:szCs w:val="21"/>
          <w:highlight w:val="none"/>
          <w:lang w:eastAsia="zh-CN"/>
        </w:rPr>
        <w:t>乙方针对验收不合格项的整改次数不得超过</w:t>
      </w: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eastAsia="zh-CN"/>
        </w:rPr>
        <w:t>次，超出整改次数仍不符合验收标准的，甲方有权拒绝接收相关成果。</w:t>
      </w:r>
      <w:bookmarkEnd w:id="112"/>
    </w:p>
    <w:p w14:paraId="29075F1B">
      <w:pPr>
        <w:numPr>
          <w:ilvl w:val="-1"/>
          <w:numId w:val="0"/>
        </w:num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甲方有权委托第三方机构组织验收，验收按上述规定执行，乙方应予以配合。甲方委托第三方机构组织或专业检测机构参与验收的，验收费用由乙方负责。费用标准参照国家或自治区有关规定执行。</w:t>
      </w:r>
    </w:p>
    <w:p w14:paraId="1F613EE1">
      <w:pPr>
        <w:numPr>
          <w:ilvl w:val="-1"/>
          <w:numId w:val="0"/>
        </w:num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甲方委托第三方组织验收的，其验收时间、验收程序以该项目验收方案确定的验收时间、验收程序为准，验收结果以该项目验收报告结论为准。</w:t>
      </w:r>
    </w:p>
    <w:p w14:paraId="4D50B8C0">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0A0218DD">
      <w:pPr>
        <w:shd w:val="clear"/>
        <w:spacing w:line="38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第六条　安装和培训</w:t>
      </w:r>
    </w:p>
    <w:p w14:paraId="71C2A02B">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eastAsia="宋体" w:cs="宋体"/>
          <w:color w:val="auto"/>
          <w:sz w:val="21"/>
          <w:szCs w:val="21"/>
          <w:highlight w:val="none"/>
        </w:rPr>
        <w:t>甲方应提供必要安装条件（如场地、电源、水源等）</w:t>
      </w:r>
      <w:r>
        <w:rPr>
          <w:rFonts w:hint="eastAsia" w:ascii="宋体" w:hAnsi="宋体" w:eastAsia="宋体" w:cs="宋体"/>
          <w:color w:val="auto"/>
          <w:sz w:val="21"/>
          <w:szCs w:val="21"/>
          <w:highlight w:val="none"/>
          <w:lang w:eastAsia="zh-CN"/>
        </w:rPr>
        <w:t>，超出约定范围的配套设施、施工及相关费用均由乙方自行承担</w:t>
      </w:r>
      <w:r>
        <w:rPr>
          <w:rFonts w:hint="eastAsia" w:ascii="宋体" w:hAnsi="宋体" w:eastAsia="宋体" w:cs="宋体"/>
          <w:color w:val="auto"/>
          <w:sz w:val="21"/>
          <w:szCs w:val="21"/>
          <w:highlight w:val="none"/>
        </w:rPr>
        <w:t>。。</w:t>
      </w:r>
    </w:p>
    <w:p w14:paraId="17A4CA57">
      <w:pPr>
        <w:shd w:val="clea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2.乙方负责甲方有关人员的培训。培训时间、地点：</w:t>
      </w:r>
      <w:r>
        <w:rPr>
          <w:rFonts w:hint="eastAsia" w:ascii="宋体" w:hAnsi="宋体" w:eastAsia="宋体" w:cs="宋体"/>
          <w:color w:val="auto"/>
          <w:sz w:val="21"/>
          <w:szCs w:val="21"/>
          <w:highlight w:val="none"/>
          <w:u w:val="single"/>
        </w:rPr>
        <w:t xml:space="preserve">  按甲方要求  </w:t>
      </w:r>
      <w:r>
        <w:rPr>
          <w:rFonts w:hint="eastAsia" w:ascii="宋体" w:hAnsi="宋体" w:eastAsia="宋体" w:cs="宋体"/>
          <w:color w:val="auto"/>
          <w:sz w:val="21"/>
          <w:szCs w:val="21"/>
          <w:highlight w:val="none"/>
        </w:rPr>
        <w:t>。</w:t>
      </w:r>
    </w:p>
    <w:p w14:paraId="27F3399C">
      <w:pPr>
        <w:shd w:val="clear"/>
        <w:spacing w:line="38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第七条  售后服务、</w:t>
      </w:r>
      <w:r>
        <w:rPr>
          <w:rFonts w:hint="eastAsia" w:ascii="宋体" w:hAnsi="宋体" w:cs="宋体"/>
          <w:b/>
          <w:color w:val="auto"/>
          <w:sz w:val="21"/>
          <w:szCs w:val="21"/>
          <w:highlight w:val="none"/>
          <w:lang w:eastAsia="zh-CN"/>
        </w:rPr>
        <w:t>质保</w:t>
      </w:r>
      <w:r>
        <w:rPr>
          <w:rFonts w:hint="eastAsia" w:ascii="宋体" w:hAnsi="宋体" w:eastAsia="宋体" w:cs="宋体"/>
          <w:b/>
          <w:color w:val="auto"/>
          <w:sz w:val="21"/>
          <w:szCs w:val="21"/>
          <w:highlight w:val="none"/>
        </w:rPr>
        <w:t>期</w:t>
      </w:r>
    </w:p>
    <w:p w14:paraId="38F5CC85">
      <w:pPr>
        <w:shd w:val="clear"/>
        <w:spacing w:line="380" w:lineRule="exact"/>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rPr>
        <w:t xml:space="preserve">    1.乙方应按照国家有关法律法规和“三包”规定以及招投标文件和本合同所附的《服务承诺》，为</w:t>
      </w:r>
      <w:r>
        <w:rPr>
          <w:rFonts w:hint="eastAsia" w:ascii="宋体" w:hAnsi="宋体" w:eastAsia="宋体" w:cs="宋体"/>
          <w:color w:val="auto"/>
          <w:sz w:val="21"/>
          <w:szCs w:val="21"/>
          <w:highlight w:val="none"/>
        </w:rPr>
        <w:t>甲方提供售后服务。</w:t>
      </w:r>
    </w:p>
    <w:p w14:paraId="48B3E2A8">
      <w:pPr>
        <w:shd w:val="clea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2.货物</w:t>
      </w:r>
      <w:r>
        <w:rPr>
          <w:rFonts w:hint="eastAsia" w:ascii="宋体" w:hAnsi="宋体" w:cs="宋体"/>
          <w:color w:val="auto"/>
          <w:sz w:val="21"/>
          <w:szCs w:val="21"/>
          <w:highlight w:val="none"/>
          <w:lang w:eastAsia="zh-CN"/>
        </w:rPr>
        <w:t>质保</w:t>
      </w:r>
      <w:r>
        <w:rPr>
          <w:rFonts w:hint="eastAsia" w:ascii="宋体" w:hAnsi="宋体" w:eastAsia="宋体" w:cs="宋体"/>
          <w:color w:val="auto"/>
          <w:sz w:val="21"/>
          <w:szCs w:val="21"/>
          <w:highlight w:val="none"/>
        </w:rPr>
        <w:t>期：与</w:t>
      </w:r>
      <w:r>
        <w:rPr>
          <w:rFonts w:hint="eastAsia" w:ascii="宋体" w:hAnsi="宋体" w:cs="宋体"/>
          <w:color w:val="auto"/>
          <w:sz w:val="21"/>
          <w:szCs w:val="21"/>
          <w:highlight w:val="none"/>
          <w:lang w:val="en-US" w:eastAsia="zh-CN"/>
        </w:rPr>
        <w:t>招</w:t>
      </w:r>
      <w:r>
        <w:rPr>
          <w:rFonts w:hint="eastAsia" w:ascii="宋体" w:hAnsi="宋体" w:eastAsia="宋体" w:cs="宋体"/>
          <w:color w:val="auto"/>
          <w:sz w:val="21"/>
          <w:szCs w:val="21"/>
          <w:highlight w:val="none"/>
        </w:rPr>
        <w:t>标文件和承诺</w:t>
      </w:r>
      <w:r>
        <w:rPr>
          <w:rFonts w:hint="eastAsia" w:ascii="宋体" w:hAnsi="宋体" w:eastAsia="宋体" w:cs="宋体"/>
          <w:color w:val="auto"/>
          <w:sz w:val="21"/>
          <w:szCs w:val="21"/>
          <w:highlight w:val="none"/>
          <w:lang w:val="en-US" w:eastAsia="zh-CN"/>
        </w:rPr>
        <w:t>时间</w:t>
      </w:r>
      <w:r>
        <w:rPr>
          <w:rFonts w:hint="eastAsia" w:ascii="宋体" w:hAnsi="宋体" w:eastAsia="宋体" w:cs="宋体"/>
          <w:color w:val="auto"/>
          <w:sz w:val="21"/>
          <w:szCs w:val="21"/>
          <w:highlight w:val="none"/>
        </w:rPr>
        <w:t>相一致</w:t>
      </w:r>
      <w:r>
        <w:rPr>
          <w:rFonts w:hint="eastAsia" w:ascii="宋体" w:hAnsi="宋体" w:eastAsia="宋体" w:cs="宋体"/>
          <w:b/>
          <w:color w:val="auto"/>
          <w:sz w:val="21"/>
          <w:szCs w:val="21"/>
          <w:highlight w:val="none"/>
          <w:u w:val="single"/>
        </w:rPr>
        <w:t>，无要求的按国家标准实行“三包”</w:t>
      </w:r>
      <w:r>
        <w:rPr>
          <w:rFonts w:hint="eastAsia" w:ascii="宋体" w:hAnsi="宋体" w:eastAsia="宋体" w:cs="宋体"/>
          <w:color w:val="auto"/>
          <w:sz w:val="21"/>
          <w:szCs w:val="21"/>
          <w:highlight w:val="none"/>
        </w:rPr>
        <w:t xml:space="preserve">。 </w:t>
      </w:r>
    </w:p>
    <w:p w14:paraId="16494742">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3.按招标文件规定的服务质量标准，并达到或优于中标人承诺的标准。</w:t>
      </w:r>
    </w:p>
    <w:p w14:paraId="29FDFA86">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4.乙方所提供的服务内容、标准必须与</w:t>
      </w:r>
      <w:bookmarkStart w:id="113" w:name="_Hlk19187447"/>
      <w:r>
        <w:rPr>
          <w:rFonts w:hint="eastAsia" w:ascii="宋体" w:hAnsi="宋体" w:eastAsia="宋体" w:cs="宋体"/>
          <w:color w:val="auto"/>
          <w:sz w:val="21"/>
          <w:szCs w:val="21"/>
          <w:highlight w:val="none"/>
        </w:rPr>
        <w:t>招标文件、投标文件</w:t>
      </w:r>
      <w:bookmarkEnd w:id="113"/>
      <w:r>
        <w:rPr>
          <w:rFonts w:hint="eastAsia" w:ascii="宋体" w:hAnsi="宋体" w:eastAsia="宋体" w:cs="宋体"/>
          <w:color w:val="auto"/>
          <w:sz w:val="21"/>
          <w:szCs w:val="21"/>
          <w:highlight w:val="none"/>
        </w:rPr>
        <w:t>和承诺相一致。</w:t>
      </w:r>
    </w:p>
    <w:p w14:paraId="56CDDC1B">
      <w:pPr>
        <w:shd w:val="clear"/>
        <w:snapToGrid w:val="0"/>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5.如在使用过程中发生质量问题，乙方</w:t>
      </w:r>
      <w:r>
        <w:rPr>
          <w:rFonts w:hint="eastAsia" w:ascii="宋体" w:hAnsi="宋体" w:eastAsia="宋体" w:cs="宋体"/>
          <w:color w:val="auto"/>
          <w:sz w:val="21"/>
          <w:szCs w:val="21"/>
          <w:highlight w:val="none"/>
          <w:lang w:val="en-US" w:eastAsia="zh-CN"/>
        </w:rPr>
        <w:t>应按售后服务承诺时间到达甲方现场。</w:t>
      </w:r>
    </w:p>
    <w:p w14:paraId="582D1200">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6.在质保期内，乙方应对产品或服务成果出现的质量及安全问题负责处理解决并承担一切费用。</w:t>
      </w:r>
    </w:p>
    <w:p w14:paraId="3309B5B7">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7.乙方提供的服务承诺和售后服务及质保期责任等其他具体约定事项。</w:t>
      </w:r>
    </w:p>
    <w:p w14:paraId="1EDBF278">
      <w:pPr>
        <w:shd w:val="clear"/>
        <w:spacing w:line="38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第八条　付款方式</w:t>
      </w:r>
    </w:p>
    <w:p w14:paraId="4F03B6FB">
      <w:pPr>
        <w:shd w:val="clear"/>
        <w:snapToGrid w:val="0"/>
        <w:spacing w:line="440" w:lineRule="exact"/>
        <w:ind w:firstLine="420" w:firstLineChars="200"/>
        <w:rPr>
          <w:color w:val="auto"/>
          <w:szCs w:val="21"/>
          <w:highlight w:val="none"/>
        </w:rPr>
      </w:pPr>
      <w:r>
        <w:rPr>
          <w:color w:val="auto"/>
          <w:szCs w:val="21"/>
          <w:highlight w:val="none"/>
        </w:rPr>
        <w:t>1.资金性质：</w:t>
      </w:r>
      <w:r>
        <w:rPr>
          <w:color w:val="auto"/>
          <w:szCs w:val="21"/>
          <w:highlight w:val="none"/>
          <w:u w:val="single"/>
        </w:rPr>
        <w:t>财政性资金。</w:t>
      </w:r>
    </w:p>
    <w:p w14:paraId="55EBFD08">
      <w:pPr>
        <w:shd w:val="clear"/>
        <w:snapToGrid w:val="0"/>
        <w:spacing w:line="440" w:lineRule="exact"/>
        <w:ind w:firstLine="420" w:firstLineChars="200"/>
        <w:rPr>
          <w:color w:val="auto"/>
          <w:szCs w:val="21"/>
          <w:highlight w:val="none"/>
        </w:rPr>
      </w:pPr>
      <w:r>
        <w:rPr>
          <w:color w:val="auto"/>
          <w:szCs w:val="21"/>
          <w:highlight w:val="none"/>
        </w:rPr>
        <w:t>2.付款方式：</w:t>
      </w:r>
    </w:p>
    <w:p w14:paraId="4C6772DC">
      <w:pPr>
        <w:shd w:val="clear"/>
        <w:snapToGrid w:val="0"/>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（1）</w:t>
      </w:r>
      <w:bookmarkStart w:id="114" w:name="auto_fouce_26"/>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按要求缴纳履约保证金、合同签订完成并提交发票和请款申请书后</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甲方1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个工作日内支付合同金额的50%；</w:t>
      </w:r>
      <w:bookmarkEnd w:id="114"/>
    </w:p>
    <w:p w14:paraId="54D32894">
      <w:pPr>
        <w:shd w:val="clear"/>
        <w:snapToGrid w:val="0"/>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（2）完成</w:t>
      </w:r>
      <w:r>
        <w:rPr>
          <w:rFonts w:hint="eastAsia" w:ascii="宋体" w:hAnsi="宋体" w:cs="宋体"/>
          <w:color w:val="auto"/>
          <w:szCs w:val="21"/>
          <w:highlight w:val="none"/>
          <w:lang w:val="en-US" w:eastAsia="zh-CN"/>
        </w:rPr>
        <w:t>到货验收</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乙方提交发票和请款申请书后，甲方10个工作日内</w:t>
      </w:r>
      <w:r>
        <w:rPr>
          <w:rFonts w:hint="eastAsia" w:ascii="宋体" w:hAnsi="宋体" w:cs="宋体"/>
          <w:color w:val="auto"/>
          <w:szCs w:val="21"/>
          <w:highlight w:val="none"/>
        </w:rPr>
        <w:t>支付至合同金额的90%；</w:t>
      </w:r>
    </w:p>
    <w:p w14:paraId="6ABEEDA7">
      <w:pPr>
        <w:shd w:val="clear"/>
        <w:snapToGrid w:val="0"/>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（3）乙方按验收流程要求通过最终合同验收，</w:t>
      </w:r>
      <w:r>
        <w:rPr>
          <w:rFonts w:hint="eastAsia" w:ascii="宋体" w:hAnsi="宋体" w:cs="宋体"/>
          <w:color w:val="auto"/>
          <w:szCs w:val="21"/>
          <w:highlight w:val="none"/>
          <w:lang w:val="en-US" w:eastAsia="zh-CN"/>
        </w:rPr>
        <w:t>乙方提交发票和请款申请书后，甲方</w:t>
      </w:r>
      <w:r>
        <w:rPr>
          <w:rFonts w:hint="eastAsia" w:ascii="宋体" w:hAnsi="宋体" w:cs="宋体"/>
          <w:color w:val="auto"/>
          <w:szCs w:val="21"/>
          <w:highlight w:val="none"/>
        </w:rPr>
        <w:t>10个工作日内付清合同尾款；</w:t>
      </w:r>
    </w:p>
    <w:p w14:paraId="48567F36">
      <w:pPr>
        <w:shd w:val="clear"/>
        <w:snapToGrid w:val="0"/>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票据要求：乙方必须按照甲方要求提供正规的增值税普通发票。一旦发现乙方提供虚假发票，除须向甲方补开合法发票外，须赔偿甲方发票票面金额一倍的违约金，且甲方有权终止合同，乙方不得提出异议，因终止合同而产生的一切损失均由乙方承担；</w:t>
      </w:r>
    </w:p>
    <w:p w14:paraId="755DF4AB">
      <w:pPr>
        <w:shd w:val="clear"/>
        <w:snapToGrid w:val="0"/>
        <w:spacing w:line="380" w:lineRule="exact"/>
        <w:ind w:left="-60" w:leftChars="-29" w:firstLine="514" w:firstLineChars="245"/>
        <w:rPr>
          <w:rFonts w:hint="eastAsia" w:ascii="宋体" w:hAnsi="宋体" w:eastAsia="宋体" w:cs="宋体"/>
          <w:b/>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）合同款支付形式为：转账。</w:t>
      </w:r>
    </w:p>
    <w:p w14:paraId="39F0ACEF">
      <w:pPr>
        <w:shd w:val="clear"/>
        <w:snapToGrid w:val="0"/>
        <w:spacing w:line="380" w:lineRule="exact"/>
        <w:ind w:left="-60" w:leftChars="-29" w:firstLine="514" w:firstLineChars="245"/>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第九条　 履约保证金</w:t>
      </w:r>
    </w:p>
    <w:p w14:paraId="7511F64C">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履约保证金金额及缴纳时间：</w:t>
      </w:r>
      <w:r>
        <w:rPr>
          <w:rFonts w:hint="eastAsia" w:ascii="宋体" w:hAnsi="宋体" w:eastAsia="宋体" w:cs="宋体"/>
          <w:color w:val="auto"/>
          <w:sz w:val="21"/>
          <w:szCs w:val="21"/>
          <w:highlight w:val="none"/>
          <w:u w:val="single"/>
        </w:rPr>
        <w:t>履约保证金金额为中标金额的</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乙方须在签订合同前缴纳履约保证金，未能按时足额缴纳的，或按规定提交方式提交的，或保函有效期低于合同履行期限（即合同中规定的当事人履行自己的义务，如交付标的物、价款或者报酬，履行劳务、完成工作的时间界限）的，不予签订合同。</w:t>
      </w:r>
    </w:p>
    <w:p w14:paraId="2178686E">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履约保证金缴纳形式：供应商可以选择电汇、转账、支票、汇票、本票、保函等形式缴纳或提交；采用保函形式缴纳的，甲方在保证期限届满后及时对收取的保证金进行核实和结算。</w:t>
      </w:r>
    </w:p>
    <w:p w14:paraId="106ABD7A">
      <w:pPr>
        <w:shd w:val="clear"/>
        <w:snapToGrid w:val="0"/>
        <w:spacing w:line="44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履约保证金缴纳的账号信息：</w:t>
      </w:r>
    </w:p>
    <w:p w14:paraId="5F1C580D">
      <w:pPr>
        <w:shd w:val="clear"/>
        <w:snapToGrid w:val="0"/>
        <w:spacing w:line="440" w:lineRule="exact"/>
        <w:ind w:firstLine="420" w:firstLineChars="200"/>
        <w:rPr>
          <w:rFonts w:hint="eastAsia" w:ascii="宋体" w:hAnsi="宋体" w:eastAsia="宋体" w:cs="宋体"/>
          <w:color w:val="auto"/>
          <w:sz w:val="21"/>
          <w:szCs w:val="21"/>
          <w:highlight w:val="none"/>
        </w:rPr>
      </w:pPr>
      <w:bookmarkStart w:id="115" w:name="tip_risk_bookmark_28"/>
      <w:r>
        <w:rPr>
          <w:rFonts w:hint="eastAsia" w:ascii="宋体" w:hAnsi="宋体" w:eastAsia="宋体" w:cs="宋体"/>
          <w:color w:val="auto"/>
          <w:sz w:val="21"/>
          <w:szCs w:val="21"/>
          <w:highlight w:val="none"/>
        </w:rPr>
        <w:t xml:space="preserve">开户名称： </w:t>
      </w:r>
    </w:p>
    <w:p w14:paraId="307BD6D1">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p w14:paraId="40AA3CB6">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bookmarkEnd w:id="115"/>
      <w:r>
        <w:rPr>
          <w:rFonts w:hint="eastAsia" w:ascii="宋体" w:hAnsi="宋体" w:eastAsia="宋体" w:cs="宋体"/>
          <w:color w:val="auto"/>
          <w:sz w:val="21"/>
          <w:szCs w:val="21"/>
          <w:highlight w:val="none"/>
        </w:rPr>
        <w:t xml:space="preserve">                  </w:t>
      </w:r>
    </w:p>
    <w:p w14:paraId="5DE16DBA">
      <w:pPr>
        <w:shd w:val="clear"/>
        <w:snapToGrid w:val="0"/>
        <w:spacing w:line="440" w:lineRule="exact"/>
        <w:ind w:firstLine="420" w:firstLineChars="200"/>
        <w:rPr>
          <w:rFonts w:hint="eastAsia" w:ascii="宋体" w:hAnsi="宋体" w:eastAsia="宋体" w:cs="宋体"/>
          <w:color w:val="auto"/>
          <w:sz w:val="21"/>
          <w:szCs w:val="21"/>
          <w:highlight w:val="none"/>
        </w:rPr>
      </w:pPr>
      <w:bookmarkStart w:id="116" w:name="auto_fouce_29"/>
      <w:r>
        <w:rPr>
          <w:rFonts w:hint="eastAsia" w:ascii="宋体" w:hAnsi="宋体" w:eastAsia="宋体" w:cs="宋体"/>
          <w:color w:val="auto"/>
          <w:sz w:val="21"/>
          <w:szCs w:val="21"/>
          <w:highlight w:val="none"/>
        </w:rPr>
        <w:t>履约保证金自合同生效之日起生效至</w:t>
      </w:r>
      <w:r>
        <w:rPr>
          <w:rFonts w:hint="eastAsia" w:ascii="宋体" w:hAnsi="宋体" w:eastAsia="宋体" w:cs="宋体"/>
          <w:color w:val="auto"/>
          <w:sz w:val="21"/>
          <w:szCs w:val="21"/>
          <w:highlight w:val="none"/>
          <w:lang w:eastAsia="zh-CN"/>
        </w:rPr>
        <w:t>整体</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eastAsia="zh-CN"/>
        </w:rPr>
        <w:t>质保期届满</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eastAsia="zh-CN"/>
        </w:rPr>
        <w:t>30</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eastAsia="zh-CN"/>
        </w:rPr>
        <w:t>失效</w:t>
      </w:r>
      <w:r>
        <w:rPr>
          <w:rFonts w:hint="eastAsia" w:ascii="宋体" w:hAnsi="宋体" w:eastAsia="宋体" w:cs="宋体"/>
          <w:color w:val="auto"/>
          <w:sz w:val="21"/>
          <w:szCs w:val="21"/>
          <w:highlight w:val="none"/>
        </w:rPr>
        <w:t>。履约保证金符合退还条件的，甲方在收到乙方提交的履约保证金退付申请之日起28天内退还履约保证金，如未在规定时间内退还的，乙方可予以书面催告，甲方应按中国人民银行发布的同期同类贷款基准利率向乙方支付自催告日期起的利息。</w:t>
      </w:r>
      <w:bookmarkEnd w:id="116"/>
    </w:p>
    <w:p w14:paraId="35A15DD4">
      <w:pPr>
        <w:shd w:val="clear"/>
        <w:snapToGrid w:val="0"/>
        <w:spacing w:line="380" w:lineRule="exact"/>
        <w:ind w:left="-60" w:leftChars="-29" w:firstLine="514" w:firstLineChars="245"/>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第十条  税费</w:t>
      </w:r>
    </w:p>
    <w:p w14:paraId="0D59801E">
      <w:pPr>
        <w:shd w:val="clear"/>
        <w:snapToGrid w:val="0"/>
        <w:spacing w:line="380" w:lineRule="exact"/>
        <w:ind w:left="-60" w:leftChars="-29" w:firstLine="514" w:firstLineChars="24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本合同执行中相关的一切税费均由乙方负担。</w:t>
      </w:r>
    </w:p>
    <w:p w14:paraId="344B583A">
      <w:pPr>
        <w:shd w:val="clear"/>
        <w:spacing w:line="380" w:lineRule="exact"/>
        <w:ind w:firstLine="42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val="en-US" w:eastAsia="zh-CN"/>
        </w:rPr>
        <w:t>一</w:t>
      </w:r>
      <w:r>
        <w:rPr>
          <w:rFonts w:hint="eastAsia" w:ascii="宋体" w:hAnsi="宋体" w:eastAsia="宋体" w:cs="宋体"/>
          <w:b/>
          <w:color w:val="auto"/>
          <w:sz w:val="21"/>
          <w:szCs w:val="21"/>
          <w:highlight w:val="none"/>
        </w:rPr>
        <w:t>条  违约责任</w:t>
      </w:r>
    </w:p>
    <w:p w14:paraId="56AA1D4E">
      <w:pPr>
        <w:shd w:val="clea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签订合同后</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个日历日内，中标供应商须在实际业务运行环境下对产品核心指标、功能配置进行全面测试，采购人依据招标文件、中标供应商的投标文件及《省市县音视频调度服务系统测试标准》，对中标供应商进行测试验证，验证通过后方能进行设备安装实施。</w:t>
      </w:r>
    </w:p>
    <w:p w14:paraId="38109A6A">
      <w:pPr>
        <w:shd w:val="clear"/>
        <w:spacing w:line="40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测试不通过的，中标供应商须在3个日历日内完成整改、更换直至测试验证通过；逾期未整改或整改后仍不符合采购及合同约定的，视为中标供应商严重违约，采购人有权立即解除合同并不予退还已缴纳的履约保证金。给采购人造成损失的，中标供应商应承担全部赔偿责任，采购人保留依法追究中标供应商全部法律责任及相关损失的权利。</w:t>
      </w:r>
    </w:p>
    <w:p w14:paraId="3939EB30">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 </w:t>
      </w:r>
      <w:bookmarkStart w:id="117" w:name="auto_fouce_31"/>
      <w:r>
        <w:rPr>
          <w:rFonts w:hint="eastAsia" w:ascii="宋体" w:hAnsi="宋体" w:eastAsia="宋体" w:cs="宋体"/>
          <w:color w:val="auto"/>
          <w:sz w:val="21"/>
          <w:szCs w:val="21"/>
          <w:highlight w:val="none"/>
        </w:rPr>
        <w:t>若因乙方原因</w:t>
      </w:r>
      <w:r>
        <w:rPr>
          <w:rFonts w:hint="eastAsia" w:ascii="宋体" w:hAnsi="宋体" w:eastAsia="宋体" w:cs="宋体"/>
          <w:color w:val="auto"/>
          <w:sz w:val="21"/>
          <w:szCs w:val="21"/>
          <w:highlight w:val="none"/>
          <w:lang w:eastAsia="zh-CN"/>
        </w:rPr>
        <w:t>（包括但不限于其提供的设备、技术、服务存在根本性缺陷或不符合合同约定）导致合同无法</w:t>
      </w:r>
      <w:r>
        <w:rPr>
          <w:rFonts w:hint="eastAsia" w:ascii="宋体" w:hAnsi="宋体" w:eastAsia="宋体" w:cs="宋体"/>
          <w:color w:val="auto"/>
          <w:sz w:val="21"/>
          <w:szCs w:val="21"/>
          <w:highlight w:val="none"/>
        </w:rPr>
        <w:t>履行或最终验收不合格的，甲方有权</w:t>
      </w:r>
      <w:r>
        <w:rPr>
          <w:rFonts w:hint="eastAsia" w:ascii="宋体" w:hAnsi="宋体" w:eastAsia="宋体" w:cs="宋体"/>
          <w:color w:val="auto"/>
          <w:sz w:val="21"/>
          <w:szCs w:val="21"/>
          <w:highlight w:val="none"/>
          <w:lang w:eastAsia="zh-CN"/>
        </w:rPr>
        <w:t>单方</w:t>
      </w:r>
      <w:r>
        <w:rPr>
          <w:rFonts w:hint="eastAsia" w:ascii="宋体" w:hAnsi="宋体" w:eastAsia="宋体" w:cs="宋体"/>
          <w:color w:val="auto"/>
          <w:sz w:val="21"/>
          <w:szCs w:val="21"/>
          <w:highlight w:val="none"/>
        </w:rPr>
        <w:t>解除合同，乙方</w:t>
      </w:r>
      <w:r>
        <w:rPr>
          <w:rFonts w:hint="eastAsia" w:ascii="宋体" w:hAnsi="宋体" w:eastAsia="宋体" w:cs="宋体"/>
          <w:color w:val="auto"/>
          <w:sz w:val="21"/>
          <w:szCs w:val="21"/>
          <w:highlight w:val="none"/>
          <w:lang w:eastAsia="zh-CN"/>
        </w:rPr>
        <w:t>应退还甲方已支付的全部款项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并赔偿</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CN"/>
        </w:rPr>
        <w:t>因此遭受的全部</w:t>
      </w:r>
      <w:r>
        <w:rPr>
          <w:rFonts w:hint="eastAsia" w:ascii="宋体" w:hAnsi="宋体" w:eastAsia="宋体" w:cs="宋体"/>
          <w:color w:val="auto"/>
          <w:sz w:val="21"/>
          <w:szCs w:val="21"/>
          <w:highlight w:val="none"/>
        </w:rPr>
        <w:t>损失</w:t>
      </w:r>
      <w:r>
        <w:rPr>
          <w:rFonts w:hint="eastAsia" w:ascii="宋体" w:hAnsi="宋体" w:eastAsia="宋体" w:cs="宋体"/>
          <w:color w:val="auto"/>
          <w:sz w:val="21"/>
          <w:szCs w:val="21"/>
          <w:highlight w:val="none"/>
          <w:lang w:eastAsia="zh-CN"/>
        </w:rPr>
        <w:t>（包括但不限于甲</w:t>
      </w:r>
      <w:r>
        <w:rPr>
          <w:rFonts w:hint="eastAsia" w:ascii="宋体" w:hAnsi="宋体" w:eastAsia="宋体" w:cs="宋体"/>
          <w:color w:val="auto"/>
          <w:sz w:val="21"/>
          <w:szCs w:val="21"/>
          <w:highlight w:val="none"/>
        </w:rPr>
        <w:t>方</w:t>
      </w:r>
      <w:r>
        <w:rPr>
          <w:rFonts w:hint="eastAsia" w:ascii="宋体" w:hAnsi="宋体" w:eastAsia="宋体" w:cs="宋体"/>
          <w:color w:val="auto"/>
          <w:sz w:val="21"/>
          <w:szCs w:val="21"/>
          <w:highlight w:val="none"/>
          <w:lang w:eastAsia="zh-CN"/>
        </w:rPr>
        <w:t>为履</w:t>
      </w:r>
      <w:r>
        <w:rPr>
          <w:rFonts w:hint="eastAsia" w:ascii="宋体" w:hAnsi="宋体" w:eastAsia="宋体" w:cs="宋体"/>
          <w:color w:val="auto"/>
          <w:sz w:val="21"/>
          <w:szCs w:val="21"/>
          <w:highlight w:val="none"/>
        </w:rPr>
        <w:t>行</w:t>
      </w:r>
      <w:r>
        <w:rPr>
          <w:rFonts w:hint="eastAsia" w:ascii="宋体" w:hAnsi="宋体" w:eastAsia="宋体" w:cs="宋体"/>
          <w:color w:val="auto"/>
          <w:sz w:val="21"/>
          <w:szCs w:val="21"/>
          <w:highlight w:val="none"/>
          <w:lang w:eastAsia="zh-CN"/>
        </w:rPr>
        <w:t>合同已支出的费用、</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CN"/>
        </w:rPr>
        <w:t>为获得同等服务需向第三方支付</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额外费用、以及甲方因此遭受的</w:t>
      </w: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lang w:eastAsia="zh-CN"/>
        </w:rPr>
        <w:t>直接及间接经济损失）</w:t>
      </w:r>
      <w:r>
        <w:rPr>
          <w:rFonts w:hint="eastAsia" w:ascii="宋体" w:hAnsi="宋体" w:eastAsia="宋体" w:cs="宋体"/>
          <w:color w:val="auto"/>
          <w:sz w:val="21"/>
          <w:szCs w:val="21"/>
          <w:highlight w:val="none"/>
        </w:rPr>
        <w:t>。</w:t>
      </w:r>
    </w:p>
    <w:p w14:paraId="28CB6829">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bookmarkStart w:id="118" w:name="tip_risk_bookmark_33"/>
      <w:r>
        <w:rPr>
          <w:rFonts w:hint="eastAsia" w:ascii="宋体" w:hAnsi="宋体" w:eastAsia="宋体" w:cs="宋体"/>
          <w:color w:val="auto"/>
          <w:sz w:val="21"/>
          <w:szCs w:val="21"/>
          <w:highlight w:val="none"/>
        </w:rPr>
        <w:t>乙方逾期交付产品或服务成果的，应向甲方支付违约金，标准为合同总价</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/日，但</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违约金累计</w:t>
      </w:r>
      <w:r>
        <w:rPr>
          <w:rFonts w:hint="eastAsia" w:ascii="宋体" w:hAnsi="宋体" w:eastAsia="宋体" w:cs="宋体"/>
          <w:color w:val="auto"/>
          <w:sz w:val="21"/>
          <w:szCs w:val="21"/>
          <w:highlight w:val="none"/>
          <w:lang w:eastAsia="zh-CN"/>
        </w:rPr>
        <w:t>总额</w:t>
      </w:r>
      <w:r>
        <w:rPr>
          <w:rFonts w:hint="eastAsia" w:ascii="宋体" w:hAnsi="宋体" w:eastAsia="宋体" w:cs="宋体"/>
          <w:color w:val="auto"/>
          <w:sz w:val="21"/>
          <w:szCs w:val="21"/>
          <w:highlight w:val="none"/>
        </w:rPr>
        <w:t>不得超过合同总金额</w:t>
      </w:r>
      <w:r>
        <w:rPr>
          <w:rFonts w:hint="eastAsia" w:ascii="宋体" w:hAnsi="宋体" w:eastAsia="宋体" w:cs="宋体"/>
          <w:color w:val="auto"/>
          <w:sz w:val="21"/>
          <w:szCs w:val="21"/>
          <w:highlight w:val="none"/>
          <w:u w:val="single"/>
          <w:lang w:eastAsia="zh-CN"/>
        </w:rPr>
        <w:t>的20</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rPr>
        <w:t>甲方延期支付产品或服务费用的，</w:t>
      </w:r>
      <w:r>
        <w:rPr>
          <w:rFonts w:hint="eastAsia" w:ascii="宋体" w:hAnsi="宋体" w:eastAsia="宋体" w:cs="宋体"/>
          <w:color w:val="auto"/>
          <w:sz w:val="21"/>
          <w:szCs w:val="21"/>
          <w:highlight w:val="none"/>
          <w:lang w:eastAsia="zh-CN"/>
        </w:rPr>
        <w:t>且经乙方书面催告后30日内仍未支付的，</w:t>
      </w:r>
      <w:r>
        <w:rPr>
          <w:rFonts w:hint="eastAsia" w:ascii="宋体" w:hAnsi="宋体" w:eastAsia="宋体" w:cs="宋体"/>
          <w:color w:val="auto"/>
          <w:sz w:val="21"/>
          <w:szCs w:val="21"/>
          <w:highlight w:val="none"/>
        </w:rPr>
        <w:t>应向乙方支付延期滞纳金，标准为合同总价额</w:t>
      </w:r>
      <w:r>
        <w:rPr>
          <w:rFonts w:hint="eastAsia" w:ascii="宋体" w:hAnsi="宋体" w:eastAsia="宋体" w:cs="宋体"/>
          <w:color w:val="auto"/>
          <w:sz w:val="21"/>
          <w:szCs w:val="21"/>
          <w:highlight w:val="none"/>
          <w:u w:val="single"/>
        </w:rPr>
        <w:t>3‰/日</w:t>
      </w:r>
      <w:r>
        <w:rPr>
          <w:rFonts w:hint="eastAsia" w:ascii="宋体" w:hAnsi="宋体" w:eastAsia="宋体" w:cs="宋体"/>
          <w:color w:val="auto"/>
          <w:sz w:val="21"/>
          <w:szCs w:val="21"/>
          <w:highlight w:val="none"/>
        </w:rPr>
        <w:t>，但滞纳金累计不得超过合同总金额</w:t>
      </w:r>
      <w:r>
        <w:rPr>
          <w:rFonts w:hint="eastAsia" w:ascii="宋体" w:hAnsi="宋体" w:eastAsia="宋体" w:cs="宋体"/>
          <w:color w:val="auto"/>
          <w:sz w:val="21"/>
          <w:szCs w:val="21"/>
          <w:highlight w:val="none"/>
          <w:u w:val="single"/>
        </w:rPr>
        <w:t>5%</w:t>
      </w:r>
      <w:r>
        <w:rPr>
          <w:rFonts w:hint="eastAsia" w:ascii="宋体" w:hAnsi="宋体" w:eastAsia="宋体" w:cs="宋体"/>
          <w:color w:val="auto"/>
          <w:sz w:val="21"/>
          <w:szCs w:val="21"/>
          <w:highlight w:val="none"/>
        </w:rPr>
        <w:t>。</w:t>
      </w:r>
    </w:p>
    <w:p w14:paraId="70722885">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未得到甲方同意，擅自更换项目负责人及服务团队成员时，甲方有权书面通知乙方解除合同，且无需支付合同解除后的合同后续费用。同时，乙方必须退还甲方已付出的所有服务费用，并赔偿由此给甲方造成的全部损失。</w:t>
      </w:r>
      <w:bookmarkEnd w:id="118"/>
    </w:p>
    <w:p w14:paraId="3B99EA37">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.乙方违反保密义务时，甲方有权书面通知乙方解除合同，且无需支付合同解除后的合同后续费用。同时，乙方必须退还甲方已付出的所有咨询费用，并赔偿由此给甲方造成的全部损失。</w:t>
      </w:r>
    </w:p>
    <w:p w14:paraId="7DB79352">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.乙方未按本合同</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投标文件</w:t>
      </w:r>
      <w:r>
        <w:rPr>
          <w:rFonts w:hint="eastAsia" w:ascii="宋体" w:hAnsi="宋体" w:eastAsia="宋体" w:cs="宋体"/>
          <w:color w:val="auto"/>
          <w:sz w:val="21"/>
          <w:szCs w:val="21"/>
          <w:highlight w:val="none"/>
          <w:lang w:eastAsia="zh-CN"/>
        </w:rPr>
        <w:t>及其承诺（特别是第二章‘商务要求</w:t>
      </w:r>
      <w:r>
        <w:rPr>
          <w:rFonts w:hint="eastAsia" w:ascii="宋体" w:hAnsi="宋体" w:eastAsia="宋体" w:cs="宋体"/>
          <w:color w:val="auto"/>
          <w:sz w:val="21"/>
          <w:szCs w:val="21"/>
          <w:highlight w:val="none"/>
          <w:lang w:val="en-US" w:eastAsia="zh-CN"/>
        </w:rPr>
        <w:t>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lang w:eastAsia="zh-CN"/>
        </w:rPr>
        <w:t>‘售后</w:t>
      </w:r>
      <w:r>
        <w:rPr>
          <w:rFonts w:hint="eastAsia" w:ascii="宋体" w:hAnsi="宋体" w:eastAsia="宋体" w:cs="宋体"/>
          <w:color w:val="auto"/>
          <w:sz w:val="21"/>
          <w:szCs w:val="21"/>
          <w:highlight w:val="none"/>
        </w:rPr>
        <w:t>服务</w:t>
      </w:r>
      <w:r>
        <w:rPr>
          <w:rFonts w:hint="eastAsia" w:ascii="宋体" w:hAnsi="宋体" w:eastAsia="宋体" w:cs="宋体"/>
          <w:color w:val="auto"/>
          <w:sz w:val="21"/>
          <w:szCs w:val="21"/>
          <w:highlight w:val="none"/>
          <w:lang w:eastAsia="zh-CN"/>
        </w:rPr>
        <w:t>’部分）</w:t>
      </w:r>
      <w:r>
        <w:rPr>
          <w:rFonts w:hint="eastAsia" w:ascii="宋体" w:hAnsi="宋体" w:eastAsia="宋体" w:cs="宋体"/>
          <w:color w:val="auto"/>
          <w:sz w:val="21"/>
          <w:szCs w:val="21"/>
          <w:highlight w:val="none"/>
        </w:rPr>
        <w:t>提供售后服务的，</w:t>
      </w:r>
      <w:r>
        <w:rPr>
          <w:rFonts w:hint="eastAsia" w:ascii="宋体" w:hAnsi="宋体" w:eastAsia="宋体" w:cs="宋体"/>
          <w:color w:val="auto"/>
          <w:sz w:val="21"/>
          <w:szCs w:val="21"/>
          <w:highlight w:val="none"/>
          <w:lang w:eastAsia="zh-CN"/>
        </w:rPr>
        <w:t>每发生一次，</w:t>
      </w:r>
      <w:r>
        <w:rPr>
          <w:rFonts w:hint="eastAsia" w:ascii="宋体" w:hAnsi="宋体" w:eastAsia="宋体" w:cs="宋体"/>
          <w:color w:val="auto"/>
          <w:sz w:val="21"/>
          <w:szCs w:val="21"/>
          <w:highlight w:val="none"/>
        </w:rPr>
        <w:t>乙方应</w:t>
      </w:r>
      <w:r>
        <w:rPr>
          <w:rFonts w:hint="eastAsia" w:ascii="宋体" w:hAnsi="宋体" w:eastAsia="宋体" w:cs="宋体"/>
          <w:color w:val="auto"/>
          <w:sz w:val="21"/>
          <w:szCs w:val="21"/>
          <w:highlight w:val="none"/>
          <w:lang w:eastAsia="zh-CN"/>
        </w:rPr>
        <w:t>向甲方支付</w:t>
      </w:r>
      <w:r>
        <w:rPr>
          <w:rFonts w:hint="eastAsia" w:ascii="宋体" w:hAnsi="宋体" w:eastAsia="宋体" w:cs="宋体"/>
          <w:color w:val="auto"/>
          <w:sz w:val="21"/>
          <w:szCs w:val="21"/>
          <w:highlight w:val="none"/>
        </w:rPr>
        <w:t>合同</w:t>
      </w:r>
      <w:r>
        <w:rPr>
          <w:rStyle w:val="57"/>
          <w:rFonts w:hint="eastAsia" w:ascii="宋体" w:hAnsi="宋体" w:eastAsia="宋体" w:cs="宋体"/>
          <w:color w:val="auto"/>
          <w:sz w:val="21"/>
          <w:szCs w:val="21"/>
          <w:highlight w:val="none"/>
        </w:rPr>
        <w:t>总</w:t>
      </w:r>
      <w:r>
        <w:rPr>
          <w:rFonts w:hint="eastAsia" w:ascii="宋体" w:hAnsi="宋体" w:eastAsia="宋体" w:cs="宋体"/>
          <w:color w:val="auto"/>
          <w:sz w:val="21"/>
          <w:szCs w:val="21"/>
          <w:highlight w:val="none"/>
        </w:rPr>
        <w:t>金额</w:t>
      </w:r>
      <w:r>
        <w:rPr>
          <w:rFonts w:hint="eastAsia" w:ascii="宋体" w:hAnsi="宋体" w:eastAsia="宋体" w:cs="宋体"/>
          <w:color w:val="auto"/>
          <w:sz w:val="21"/>
          <w:szCs w:val="21"/>
          <w:highlight w:val="none"/>
          <w:u w:val="single"/>
          <w:lang w:eastAsia="zh-CN"/>
        </w:rPr>
        <w:t>1</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lang w:eastAsia="zh-CN"/>
        </w:rPr>
        <w:t>的违约金；因此给</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CN"/>
        </w:rPr>
        <w:t>造成损失的，乙方应另行赔偿。因乙方售后服务不及时或不当导致系统故障影响甲方正常使用的，甲方有权从履约保证金或合同尾款中直接扣除相应</w:t>
      </w:r>
      <w:r>
        <w:rPr>
          <w:rFonts w:hint="eastAsia" w:ascii="宋体" w:hAnsi="宋体" w:eastAsia="宋体" w:cs="宋体"/>
          <w:color w:val="auto"/>
          <w:sz w:val="21"/>
          <w:szCs w:val="21"/>
          <w:highlight w:val="none"/>
        </w:rPr>
        <w:t>违约金</w:t>
      </w:r>
      <w:r>
        <w:rPr>
          <w:rFonts w:hint="eastAsia" w:ascii="宋体" w:hAnsi="宋体" w:eastAsia="宋体" w:cs="宋体"/>
          <w:color w:val="auto"/>
          <w:sz w:val="21"/>
          <w:szCs w:val="21"/>
          <w:highlight w:val="none"/>
          <w:lang w:eastAsia="zh-CN"/>
        </w:rPr>
        <w:t>及损失赔偿</w:t>
      </w:r>
      <w:r>
        <w:rPr>
          <w:rFonts w:hint="eastAsia" w:ascii="宋体" w:hAnsi="宋体" w:eastAsia="宋体" w:cs="宋体"/>
          <w:color w:val="auto"/>
          <w:sz w:val="21"/>
          <w:szCs w:val="21"/>
          <w:highlight w:val="none"/>
        </w:rPr>
        <w:t>。</w:t>
      </w:r>
    </w:p>
    <w:p w14:paraId="1C8FCD8B">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在质量保证期内，因</w:t>
      </w:r>
      <w:r>
        <w:rPr>
          <w:rFonts w:hint="eastAsia" w:ascii="宋体" w:hAnsi="宋体" w:eastAsia="宋体" w:cs="宋体"/>
          <w:color w:val="auto"/>
          <w:sz w:val="21"/>
          <w:szCs w:val="21"/>
          <w:highlight w:val="none"/>
        </w:rPr>
        <w:t>乙方提供的产品或服务成果</w:t>
      </w:r>
      <w:r>
        <w:rPr>
          <w:rFonts w:hint="eastAsia" w:ascii="宋体" w:hAnsi="宋体" w:eastAsia="宋体" w:cs="宋体"/>
          <w:color w:val="auto"/>
          <w:sz w:val="21"/>
          <w:szCs w:val="21"/>
          <w:highlight w:val="none"/>
          <w:lang w:eastAsia="zh-CN"/>
        </w:rPr>
        <w:t>存</w:t>
      </w:r>
      <w:r>
        <w:rPr>
          <w:rFonts w:hint="eastAsia" w:ascii="宋体" w:hAnsi="宋体" w:eastAsia="宋体" w:cs="宋体"/>
          <w:color w:val="auto"/>
          <w:sz w:val="21"/>
          <w:szCs w:val="21"/>
          <w:highlight w:val="none"/>
        </w:rPr>
        <w:t>在设计</w:t>
      </w:r>
      <w:r>
        <w:rPr>
          <w:rFonts w:hint="eastAsia" w:ascii="宋体" w:hAnsi="宋体" w:eastAsia="宋体" w:cs="宋体"/>
          <w:color w:val="auto"/>
          <w:sz w:val="21"/>
          <w:szCs w:val="21"/>
          <w:highlight w:val="none"/>
          <w:lang w:eastAsia="zh-CN"/>
        </w:rPr>
        <w:t>缺陷</w:t>
      </w:r>
      <w:r>
        <w:rPr>
          <w:rFonts w:hint="eastAsia" w:ascii="宋体" w:hAnsi="宋体" w:eastAsia="宋体" w:cs="宋体"/>
          <w:color w:val="auto"/>
          <w:sz w:val="21"/>
          <w:szCs w:val="21"/>
          <w:highlight w:val="none"/>
        </w:rPr>
        <w:t>、工艺</w:t>
      </w:r>
      <w:r>
        <w:rPr>
          <w:rFonts w:hint="eastAsia" w:ascii="宋体" w:hAnsi="宋体" w:eastAsia="宋体" w:cs="宋体"/>
          <w:color w:val="auto"/>
          <w:sz w:val="21"/>
          <w:szCs w:val="21"/>
          <w:highlight w:val="none"/>
          <w:lang w:eastAsia="zh-CN"/>
        </w:rPr>
        <w:t>缺陷、</w:t>
      </w:r>
      <w:r>
        <w:rPr>
          <w:rFonts w:hint="eastAsia" w:ascii="宋体" w:hAnsi="宋体" w:eastAsia="宋体" w:cs="宋体"/>
          <w:color w:val="auto"/>
          <w:sz w:val="21"/>
          <w:szCs w:val="21"/>
          <w:highlight w:val="none"/>
        </w:rPr>
        <w:t>材料缺陷</w:t>
      </w:r>
      <w:r>
        <w:rPr>
          <w:rFonts w:hint="eastAsia" w:ascii="宋体" w:hAnsi="宋体" w:eastAsia="宋体" w:cs="宋体"/>
          <w:color w:val="auto"/>
          <w:sz w:val="21"/>
          <w:szCs w:val="21"/>
          <w:highlight w:val="none"/>
          <w:lang w:eastAsia="zh-CN"/>
        </w:rPr>
        <w:t>、安装调试不当或不符合合同约定的</w:t>
      </w:r>
      <w:r>
        <w:rPr>
          <w:rFonts w:hint="eastAsia" w:ascii="宋体" w:hAnsi="宋体" w:eastAsia="宋体" w:cs="宋体"/>
          <w:color w:val="auto"/>
          <w:sz w:val="21"/>
          <w:szCs w:val="21"/>
          <w:highlight w:val="none"/>
        </w:rPr>
        <w:t>质量</w:t>
      </w:r>
      <w:r>
        <w:rPr>
          <w:rFonts w:hint="eastAsia" w:ascii="宋体" w:hAnsi="宋体" w:eastAsia="宋体" w:cs="宋体"/>
          <w:color w:val="auto"/>
          <w:sz w:val="21"/>
          <w:szCs w:val="21"/>
          <w:highlight w:val="none"/>
          <w:lang w:eastAsia="zh-CN"/>
        </w:rPr>
        <w:t>标准等任何质量</w:t>
      </w:r>
      <w:r>
        <w:rPr>
          <w:rFonts w:hint="eastAsia" w:ascii="宋体" w:hAnsi="宋体" w:eastAsia="宋体" w:cs="宋体"/>
          <w:color w:val="auto"/>
          <w:sz w:val="21"/>
          <w:szCs w:val="21"/>
          <w:highlight w:val="none"/>
        </w:rPr>
        <w:t>问题</w:t>
      </w:r>
      <w:r>
        <w:rPr>
          <w:rFonts w:hint="eastAsia" w:ascii="宋体" w:hAnsi="宋体" w:eastAsia="宋体" w:cs="宋体"/>
          <w:color w:val="auto"/>
          <w:sz w:val="21"/>
          <w:szCs w:val="21"/>
          <w:highlight w:val="none"/>
          <w:lang w:eastAsia="zh-CN"/>
        </w:rPr>
        <w:t>（包括但不限于性能故障、安全隐患、不符合适航要求等）导致甲方遭受损失的</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负责</w:t>
      </w:r>
      <w:r>
        <w:rPr>
          <w:rFonts w:hint="eastAsia" w:ascii="宋体" w:hAnsi="宋体" w:eastAsia="宋体" w:cs="宋体"/>
          <w:color w:val="auto"/>
          <w:sz w:val="21"/>
          <w:szCs w:val="21"/>
          <w:highlight w:val="none"/>
          <w:lang w:eastAsia="zh-CN"/>
        </w:rPr>
        <w:t>免费维修、更换或退货</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并承担因此产生的一切</w:t>
      </w:r>
      <w:r>
        <w:rPr>
          <w:rFonts w:hint="eastAsia" w:ascii="宋体" w:hAnsi="宋体" w:eastAsia="宋体" w:cs="宋体"/>
          <w:color w:val="auto"/>
          <w:sz w:val="21"/>
          <w:szCs w:val="21"/>
          <w:highlight w:val="none"/>
        </w:rPr>
        <w:t>费用</w:t>
      </w:r>
      <w:r>
        <w:rPr>
          <w:rFonts w:hint="eastAsia" w:ascii="宋体" w:hAnsi="宋体" w:eastAsia="宋体" w:cs="宋体"/>
          <w:color w:val="auto"/>
          <w:sz w:val="21"/>
          <w:szCs w:val="21"/>
          <w:highlight w:val="none"/>
          <w:lang w:eastAsia="zh-CN"/>
        </w:rPr>
        <w:t>（包括但不限于检测费、运输费、人工费）及甲方的全部损失。相关费用及赔偿金甲方有权优先</w:t>
      </w:r>
      <w:r>
        <w:rPr>
          <w:rFonts w:hint="eastAsia" w:ascii="宋体" w:hAnsi="宋体" w:eastAsia="宋体" w:cs="宋体"/>
          <w:color w:val="auto"/>
          <w:sz w:val="21"/>
          <w:szCs w:val="21"/>
          <w:highlight w:val="none"/>
        </w:rPr>
        <w:t>从质量保证金中扣除，不足</w:t>
      </w:r>
      <w:r>
        <w:rPr>
          <w:rFonts w:hint="eastAsia" w:ascii="宋体" w:hAnsi="宋体" w:eastAsia="宋体" w:cs="宋体"/>
          <w:color w:val="auto"/>
          <w:sz w:val="21"/>
          <w:szCs w:val="21"/>
          <w:highlight w:val="none"/>
          <w:lang w:eastAsia="zh-CN"/>
        </w:rPr>
        <w:t>部分</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应在甲方通知后10</w:t>
      </w:r>
      <w:r>
        <w:rPr>
          <w:rFonts w:hint="eastAsia" w:ascii="宋体" w:hAnsi="宋体" w:eastAsia="宋体" w:cs="宋体"/>
          <w:color w:val="auto"/>
          <w:sz w:val="21"/>
          <w:szCs w:val="21"/>
          <w:highlight w:val="none"/>
          <w:lang w:val="en-US" w:eastAsia="zh-CN"/>
        </w:rPr>
        <w:t>个日历</w:t>
      </w:r>
      <w:r>
        <w:rPr>
          <w:rFonts w:hint="eastAsia" w:ascii="宋体" w:hAnsi="宋体" w:eastAsia="宋体" w:cs="宋体"/>
          <w:color w:val="auto"/>
          <w:sz w:val="21"/>
          <w:szCs w:val="21"/>
          <w:highlight w:val="none"/>
          <w:lang w:eastAsia="zh-CN"/>
        </w:rPr>
        <w:t>日内</w:t>
      </w:r>
      <w:r>
        <w:rPr>
          <w:rFonts w:hint="eastAsia" w:ascii="宋体" w:hAnsi="宋体" w:eastAsia="宋体" w:cs="宋体"/>
          <w:color w:val="auto"/>
          <w:sz w:val="21"/>
          <w:szCs w:val="21"/>
          <w:highlight w:val="none"/>
        </w:rPr>
        <w:t>另行支付。</w:t>
      </w:r>
    </w:p>
    <w:p w14:paraId="3CF7FDA7">
      <w:pPr>
        <w:shd w:val="clear"/>
        <w:snapToGrid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.乙方提供的产品或服务如侵犯了第三方合法权益而引发的任何纠纷或诉讼，均由乙方负责交涉并承担全部责任。</w:t>
      </w:r>
    </w:p>
    <w:p w14:paraId="45B07143">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除本条前述约定外，乙方发生</w:t>
      </w: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lang w:eastAsia="zh-CN"/>
        </w:rPr>
        <w:t>任何</w:t>
      </w:r>
      <w:r>
        <w:rPr>
          <w:rFonts w:hint="eastAsia" w:ascii="宋体" w:hAnsi="宋体" w:eastAsia="宋体" w:cs="宋体"/>
          <w:color w:val="auto"/>
          <w:sz w:val="21"/>
          <w:szCs w:val="21"/>
          <w:highlight w:val="none"/>
        </w:rPr>
        <w:t>违约行为</w:t>
      </w:r>
      <w:r>
        <w:rPr>
          <w:rFonts w:hint="eastAsia" w:ascii="宋体" w:hAnsi="宋体" w:eastAsia="宋体" w:cs="宋体"/>
          <w:color w:val="auto"/>
          <w:sz w:val="21"/>
          <w:szCs w:val="21"/>
          <w:highlight w:val="none"/>
          <w:lang w:eastAsia="zh-CN"/>
        </w:rPr>
        <w:t>（包括但不限于</w:t>
      </w:r>
      <w:r>
        <w:rPr>
          <w:rFonts w:hint="eastAsia" w:ascii="宋体" w:hAnsi="宋体" w:eastAsia="宋体" w:cs="宋体"/>
          <w:color w:val="auto"/>
          <w:sz w:val="21"/>
          <w:szCs w:val="21"/>
          <w:highlight w:val="none"/>
        </w:rPr>
        <w:t>违</w:t>
      </w:r>
      <w:r>
        <w:rPr>
          <w:rFonts w:hint="eastAsia" w:ascii="宋体" w:hAnsi="宋体" w:eastAsia="宋体" w:cs="宋体"/>
          <w:color w:val="auto"/>
          <w:sz w:val="21"/>
          <w:szCs w:val="21"/>
          <w:highlight w:val="none"/>
          <w:lang w:eastAsia="zh-CN"/>
        </w:rPr>
        <w:t>反保密义务、侵犯知识产权、违反分包规定、提供的文件资料存在虚假等）的，甲方有权根据违</w:t>
      </w:r>
      <w:r>
        <w:rPr>
          <w:rFonts w:hint="eastAsia" w:ascii="宋体" w:hAnsi="宋体" w:eastAsia="宋体" w:cs="宋体"/>
          <w:color w:val="auto"/>
          <w:sz w:val="21"/>
          <w:szCs w:val="21"/>
          <w:highlight w:val="none"/>
        </w:rPr>
        <w:t>约</w:t>
      </w:r>
      <w:r>
        <w:rPr>
          <w:rFonts w:hint="eastAsia" w:ascii="宋体" w:hAnsi="宋体" w:eastAsia="宋体" w:cs="宋体"/>
          <w:color w:val="auto"/>
          <w:sz w:val="21"/>
          <w:szCs w:val="21"/>
          <w:highlight w:val="none"/>
          <w:lang w:eastAsia="zh-CN"/>
        </w:rPr>
        <w:t>情节轻重，要求乙方支付合同总</w:t>
      </w:r>
      <w:r>
        <w:rPr>
          <w:rFonts w:hint="eastAsia" w:ascii="宋体" w:hAnsi="宋体" w:eastAsia="宋体" w:cs="宋体"/>
          <w:color w:val="auto"/>
          <w:sz w:val="21"/>
          <w:szCs w:val="21"/>
          <w:highlight w:val="none"/>
        </w:rPr>
        <w:t>金额5%违约金</w:t>
      </w:r>
      <w:r>
        <w:rPr>
          <w:rFonts w:hint="eastAsia" w:ascii="宋体" w:hAnsi="宋体" w:eastAsia="宋体" w:cs="宋体"/>
          <w:color w:val="auto"/>
          <w:sz w:val="21"/>
          <w:szCs w:val="21"/>
          <w:highlight w:val="none"/>
          <w:lang w:eastAsia="zh-CN"/>
        </w:rPr>
        <w:t>；若该违约金不足以弥补甲方损失的，乙方应</w:t>
      </w:r>
      <w:r>
        <w:rPr>
          <w:rFonts w:hint="eastAsia" w:ascii="宋体" w:hAnsi="宋体" w:eastAsia="宋体" w:cs="宋体"/>
          <w:color w:val="auto"/>
          <w:sz w:val="21"/>
          <w:szCs w:val="21"/>
          <w:highlight w:val="none"/>
        </w:rPr>
        <w:t>赔偿</w:t>
      </w:r>
      <w:r>
        <w:rPr>
          <w:rFonts w:hint="eastAsia" w:ascii="宋体" w:hAnsi="宋体" w:eastAsia="宋体" w:cs="宋体"/>
          <w:color w:val="auto"/>
          <w:sz w:val="21"/>
          <w:szCs w:val="21"/>
          <w:highlight w:val="none"/>
          <w:lang w:eastAsia="zh-CN"/>
        </w:rPr>
        <w:t>甲方全部</w:t>
      </w:r>
      <w:r>
        <w:rPr>
          <w:rFonts w:hint="eastAsia" w:ascii="宋体" w:hAnsi="宋体" w:eastAsia="宋体" w:cs="宋体"/>
          <w:color w:val="auto"/>
          <w:sz w:val="21"/>
          <w:szCs w:val="21"/>
          <w:highlight w:val="none"/>
        </w:rPr>
        <w:t>损失。</w:t>
      </w:r>
      <w:bookmarkEnd w:id="117"/>
    </w:p>
    <w:p w14:paraId="5CDCDD6D">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w:t>
      </w:r>
      <w:bookmarkStart w:id="119" w:name="tip_risk_bookmark_36"/>
      <w:r>
        <w:rPr>
          <w:rFonts w:hint="eastAsia" w:ascii="宋体" w:hAnsi="宋体" w:eastAsia="宋体" w:cs="宋体"/>
          <w:color w:val="auto"/>
          <w:sz w:val="21"/>
          <w:szCs w:val="21"/>
          <w:highlight w:val="none"/>
        </w:rPr>
        <w:t>因甲方</w:t>
      </w:r>
      <w:r>
        <w:rPr>
          <w:rFonts w:hint="eastAsia" w:ascii="宋体" w:hAnsi="宋体" w:eastAsia="宋体" w:cs="宋体"/>
          <w:color w:val="auto"/>
          <w:sz w:val="21"/>
          <w:szCs w:val="21"/>
          <w:highlight w:val="none"/>
          <w:lang w:val="en-US" w:eastAsia="zh-CN"/>
        </w:rPr>
        <w:t>违约</w:t>
      </w:r>
      <w:r>
        <w:rPr>
          <w:rFonts w:hint="eastAsia" w:ascii="宋体" w:hAnsi="宋体" w:eastAsia="宋体" w:cs="宋体"/>
          <w:color w:val="auto"/>
          <w:sz w:val="21"/>
          <w:szCs w:val="21"/>
          <w:highlight w:val="none"/>
        </w:rPr>
        <w:t>导致变更、中止或者终止政府采购合同的，应当依照合同约定对乙方受到的损失予以赔偿或者补偿。赔偿（补偿）标准：</w:t>
      </w:r>
      <w:r>
        <w:rPr>
          <w:rFonts w:hint="eastAsia" w:ascii="宋体" w:hAnsi="宋体" w:eastAsia="宋体" w:cs="宋体"/>
          <w:color w:val="auto"/>
          <w:sz w:val="21"/>
          <w:szCs w:val="21"/>
          <w:highlight w:val="none"/>
          <w:u w:val="single"/>
        </w:rPr>
        <w:t xml:space="preserve"> 按实际损失赔偿  </w:t>
      </w:r>
      <w:r>
        <w:rPr>
          <w:rFonts w:hint="eastAsia" w:ascii="宋体" w:hAnsi="宋体" w:eastAsia="宋体" w:cs="宋体"/>
          <w:color w:val="auto"/>
          <w:sz w:val="21"/>
          <w:szCs w:val="21"/>
          <w:highlight w:val="none"/>
        </w:rPr>
        <w:t>。</w:t>
      </w:r>
      <w:bookmarkEnd w:id="119"/>
    </w:p>
    <w:p w14:paraId="344076DD">
      <w:pPr>
        <w:shd w:val="clear"/>
        <w:spacing w:line="38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第十</w:t>
      </w: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条  不可抗力事件处理</w:t>
      </w:r>
    </w:p>
    <w:p w14:paraId="281CBAD1">
      <w:pPr>
        <w:shd w:val="clea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1.在合同有效期内，任何一方因不可抗力事件导致不能履行合同，则合同履行期可延长，其延长期与不可抗力影响期相同。</w:t>
      </w:r>
    </w:p>
    <w:p w14:paraId="71379A6F">
      <w:pPr>
        <w:shd w:val="clear"/>
        <w:spacing w:line="38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2.不可抗力事件发生后，应立即通知对方，并寄送有关权威机构出具的证明。</w:t>
      </w:r>
    </w:p>
    <w:p w14:paraId="7D2C86D9">
      <w:pPr>
        <w:shd w:val="clear"/>
        <w:spacing w:line="38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3.不可抗力事件延续一百二十天以上，双方应通过友好协商，确定是否继续履行合同。</w:t>
      </w:r>
    </w:p>
    <w:p w14:paraId="303E386E">
      <w:pPr>
        <w:shd w:val="clear"/>
        <w:spacing w:line="38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第十</w:t>
      </w:r>
      <w:r>
        <w:rPr>
          <w:rFonts w:hint="eastAsia" w:ascii="宋体" w:hAnsi="宋体" w:eastAsia="宋体" w:cs="宋体"/>
          <w:b/>
          <w:color w:val="auto"/>
          <w:sz w:val="21"/>
          <w:szCs w:val="21"/>
          <w:highlight w:val="none"/>
          <w:lang w:val="en-US" w:eastAsia="zh-CN"/>
        </w:rPr>
        <w:t>三</w:t>
      </w:r>
      <w:r>
        <w:rPr>
          <w:rFonts w:hint="eastAsia" w:ascii="宋体" w:hAnsi="宋体" w:eastAsia="宋体" w:cs="宋体"/>
          <w:b/>
          <w:color w:val="auto"/>
          <w:sz w:val="21"/>
          <w:szCs w:val="21"/>
          <w:highlight w:val="none"/>
        </w:rPr>
        <w:t>条  合同争议解决</w:t>
      </w:r>
    </w:p>
    <w:p w14:paraId="0A637544">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产品或服务成果质量问题或验收结果发生争议的，应邀请国家认定的质量检测机构按照国家标准对产品或服务成果质量进行验收。产品或服务成果符合国家标准的，鉴定费由甲方承担；产品或服务成果不符合国家标准的，鉴定费由乙方承担。</w:t>
      </w:r>
    </w:p>
    <w:p w14:paraId="3B343A24">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2.因履行本合同引起的或与本合同有关的争议，甲乙双方应首先通过友好协商解决，如果协商不能解决，可向甲方所在地人民法院提起诉讼。</w:t>
      </w:r>
    </w:p>
    <w:p w14:paraId="74B7673F">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3.诉讼期间，本合同继续履行。</w:t>
      </w:r>
    </w:p>
    <w:p w14:paraId="27CD7AD1">
      <w:pPr>
        <w:shd w:val="clear"/>
        <w:snapToGrid w:val="0"/>
        <w:spacing w:line="38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val="en-US" w:eastAsia="zh-CN"/>
        </w:rPr>
        <w:t>四</w:t>
      </w:r>
      <w:r>
        <w:rPr>
          <w:rFonts w:hint="eastAsia" w:ascii="宋体" w:hAnsi="宋体" w:eastAsia="宋体" w:cs="宋体"/>
          <w:b/>
          <w:color w:val="auto"/>
          <w:sz w:val="21"/>
          <w:szCs w:val="21"/>
          <w:highlight w:val="none"/>
        </w:rPr>
        <w:t>条  合同生效及其它</w:t>
      </w:r>
    </w:p>
    <w:p w14:paraId="10ED78F9">
      <w:pPr>
        <w:shd w:val="clear"/>
        <w:snapToGrid w:val="0"/>
        <w:spacing w:line="38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1.合同经双方法定代表人（负责人）或授权代表签字并加盖单位公章后生效。</w:t>
      </w:r>
    </w:p>
    <w:p w14:paraId="4FCDF060">
      <w:pPr>
        <w:shd w:val="clear"/>
        <w:snapToGrid w:val="0"/>
        <w:spacing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w:t>
      </w:r>
      <w:bookmarkStart w:id="120" w:name="tip_risk_bookmark_37"/>
      <w:r>
        <w:rPr>
          <w:rFonts w:hint="eastAsia" w:ascii="宋体" w:hAnsi="宋体" w:eastAsia="宋体" w:cs="宋体"/>
          <w:color w:val="auto"/>
          <w:sz w:val="21"/>
          <w:szCs w:val="21"/>
          <w:highlight w:val="none"/>
          <w:u w:val="single"/>
        </w:rPr>
        <w:t>本合同履行期限为：         ；合同履行地点为：                    ；合同履行的方式： 按照本合同约定  。</w:t>
      </w:r>
      <w:bookmarkEnd w:id="120"/>
    </w:p>
    <w:p w14:paraId="193AE590">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121" w:name="auto_fouce_38"/>
      <w:r>
        <w:rPr>
          <w:rFonts w:hint="eastAsia" w:ascii="宋体" w:hAnsi="宋体" w:eastAsia="宋体" w:cs="宋体"/>
          <w:color w:val="auto"/>
          <w:sz w:val="21"/>
          <w:szCs w:val="21"/>
          <w:highlight w:val="none"/>
        </w:rPr>
        <w:t>合同执行中涉及采购资金和采购内容</w:t>
      </w:r>
      <w:r>
        <w:rPr>
          <w:rFonts w:hint="eastAsia" w:ascii="宋体" w:hAnsi="宋体" w:eastAsia="宋体" w:cs="宋体"/>
          <w:color w:val="auto"/>
          <w:sz w:val="21"/>
          <w:szCs w:val="21"/>
          <w:highlight w:val="none"/>
          <w:lang w:eastAsia="zh-CN"/>
        </w:rPr>
        <w:t>需要</w:t>
      </w:r>
      <w:r>
        <w:rPr>
          <w:rFonts w:hint="eastAsia" w:ascii="宋体" w:hAnsi="宋体" w:eastAsia="宋体" w:cs="宋体"/>
          <w:color w:val="auto"/>
          <w:sz w:val="21"/>
          <w:szCs w:val="21"/>
          <w:highlight w:val="none"/>
        </w:rPr>
        <w:t>修改或补充的，须经</w:t>
      </w:r>
      <w:r>
        <w:rPr>
          <w:rFonts w:hint="eastAsia" w:ascii="宋体" w:hAnsi="宋体" w:eastAsia="宋体" w:cs="宋体"/>
          <w:color w:val="auto"/>
          <w:sz w:val="21"/>
          <w:szCs w:val="21"/>
          <w:highlight w:val="none"/>
          <w:lang w:eastAsia="zh-CN"/>
        </w:rPr>
        <w:t>甲乙双方协商一致</w:t>
      </w:r>
      <w:r>
        <w:rPr>
          <w:rFonts w:hint="eastAsia" w:ascii="宋体" w:hAnsi="宋体" w:eastAsia="宋体" w:cs="宋体"/>
          <w:color w:val="auto"/>
          <w:sz w:val="21"/>
          <w:szCs w:val="21"/>
          <w:highlight w:val="none"/>
        </w:rPr>
        <w:t>后签订书面补充协议</w:t>
      </w:r>
      <w:r>
        <w:rPr>
          <w:rFonts w:hint="eastAsia" w:ascii="宋体" w:hAnsi="宋体" w:eastAsia="宋体" w:cs="宋体"/>
          <w:color w:val="auto"/>
          <w:sz w:val="21"/>
          <w:szCs w:val="21"/>
          <w:highlight w:val="none"/>
          <w:lang w:eastAsia="zh-CN"/>
        </w:rPr>
        <w:t>，并按规定报财政部门备案</w:t>
      </w:r>
      <w:r>
        <w:rPr>
          <w:rFonts w:hint="eastAsia" w:ascii="宋体" w:hAnsi="宋体" w:eastAsia="宋体" w:cs="宋体"/>
          <w:color w:val="auto"/>
          <w:sz w:val="21"/>
          <w:szCs w:val="21"/>
          <w:highlight w:val="none"/>
        </w:rPr>
        <w:t>。</w:t>
      </w:r>
      <w:bookmarkEnd w:id="121"/>
    </w:p>
    <w:p w14:paraId="6145C6C8">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4.如无特别说明，本合同使用货币币制为人民币，使用单位为中国国家法定计量单位。</w:t>
      </w:r>
    </w:p>
    <w:p w14:paraId="291421D4">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5.本合同中提及的招标与谈判、磋商、询价、单一来源采购为同一含义，提及的投标与响应为同一含义，提及的中标与成交为同一含义。</w:t>
      </w:r>
    </w:p>
    <w:p w14:paraId="0DC786C4">
      <w:pPr>
        <w:shd w:val="clear"/>
        <w:snapToGrid w:val="0"/>
        <w:spacing w:line="38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.本合同未尽事宜，遵照《中华人民共和国民法典》有关条文执行。</w:t>
      </w:r>
    </w:p>
    <w:p w14:paraId="3A89C374">
      <w:pPr>
        <w:shd w:val="clear"/>
        <w:snapToGrid w:val="0"/>
        <w:spacing w:line="38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val="en-US" w:eastAsia="zh-CN"/>
        </w:rPr>
        <w:t>五</w:t>
      </w:r>
      <w:r>
        <w:rPr>
          <w:rFonts w:hint="eastAsia" w:ascii="宋体" w:hAnsi="宋体" w:eastAsia="宋体" w:cs="宋体"/>
          <w:b/>
          <w:color w:val="auto"/>
          <w:sz w:val="21"/>
          <w:szCs w:val="21"/>
          <w:highlight w:val="none"/>
        </w:rPr>
        <w:t>条　合同的变更、终止与转让</w:t>
      </w:r>
    </w:p>
    <w:p w14:paraId="3A41B25D">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1.除《中华人民共和国政府采购法》第五十条规定的情形外，本合同一经签订，甲乙双方不得擅自变更、中止或终止。</w:t>
      </w:r>
      <w:bookmarkStart w:id="122" w:name="_Hlk155172858"/>
      <w:r>
        <w:rPr>
          <w:rFonts w:hint="eastAsia" w:ascii="宋体" w:hAnsi="宋体" w:eastAsia="宋体" w:cs="宋体"/>
          <w:color w:val="auto"/>
          <w:sz w:val="21"/>
          <w:szCs w:val="21"/>
          <w:highlight w:val="none"/>
        </w:rPr>
        <w:t>如依照政府采购法确需变更合同内容的，甲方应当自合同变更之日起2个工作日内在省级以上财政部门指定的媒体上发布合同变更公告。</w:t>
      </w:r>
      <w:bookmarkEnd w:id="122"/>
    </w:p>
    <w:p w14:paraId="42CAF918">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2.未经甲方书面同意，乙方不得擅自转让其应履行的合同义务。</w:t>
      </w:r>
    </w:p>
    <w:p w14:paraId="2A1174A8">
      <w:pPr>
        <w:shd w:val="clear"/>
        <w:snapToGrid w:val="0"/>
        <w:spacing w:line="38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val="en-US" w:eastAsia="zh-CN"/>
        </w:rPr>
        <w:t>六</w:t>
      </w:r>
      <w:r>
        <w:rPr>
          <w:rFonts w:hint="eastAsia" w:ascii="宋体" w:hAnsi="宋体" w:eastAsia="宋体" w:cs="宋体"/>
          <w:b/>
          <w:color w:val="auto"/>
          <w:sz w:val="21"/>
          <w:szCs w:val="21"/>
          <w:highlight w:val="none"/>
        </w:rPr>
        <w:t>条　签订本合同依据</w:t>
      </w:r>
    </w:p>
    <w:p w14:paraId="365F57DF">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kern w:val="0"/>
          <w:sz w:val="21"/>
          <w:szCs w:val="21"/>
          <w:highlight w:val="none"/>
        </w:rPr>
        <w:t>政府采购合同；</w:t>
      </w:r>
    </w:p>
    <w:p w14:paraId="00FE0FB2">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2.中标通知书；</w:t>
      </w:r>
    </w:p>
    <w:p w14:paraId="5A27820A">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3.乙方的投标文件；</w:t>
      </w:r>
    </w:p>
    <w:p w14:paraId="5F6E0FEC">
      <w:pPr>
        <w:shd w:val="clear"/>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4.采购文件；</w:t>
      </w:r>
    </w:p>
    <w:p w14:paraId="264F4AA9">
      <w:pPr>
        <w:shd w:val="clear"/>
        <w:snapToGrid w:val="0"/>
        <w:spacing w:line="44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5.其他合同文件。</w:t>
      </w:r>
    </w:p>
    <w:p w14:paraId="291DE4DE">
      <w:pPr>
        <w:shd w:val="clear"/>
        <w:snapToGrid w:val="0"/>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val="en-US" w:eastAsia="zh-CN"/>
        </w:rPr>
        <w:t>十七</w:t>
      </w:r>
      <w:r>
        <w:rPr>
          <w:rFonts w:hint="eastAsia" w:ascii="宋体" w:hAnsi="宋体" w:eastAsia="宋体" w:cs="宋体"/>
          <w:b/>
          <w:color w:val="auto"/>
          <w:sz w:val="21"/>
          <w:szCs w:val="21"/>
          <w:highlight w:val="none"/>
        </w:rPr>
        <w:t>条　</w:t>
      </w: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lang w:val="en-US" w:eastAsia="zh-CN"/>
        </w:rPr>
        <w:t>陆</w:t>
      </w:r>
      <w:r>
        <w:rPr>
          <w:rFonts w:hint="eastAsia" w:ascii="宋体" w:hAnsi="宋体" w:eastAsia="宋体" w:cs="宋体"/>
          <w:color w:val="auto"/>
          <w:sz w:val="21"/>
          <w:szCs w:val="21"/>
          <w:highlight w:val="none"/>
        </w:rPr>
        <w:t>份，具有同等法律效力，</w:t>
      </w:r>
      <w:r>
        <w:rPr>
          <w:rFonts w:hint="eastAsia" w:ascii="宋体" w:hAnsi="宋体" w:eastAsia="宋体" w:cs="宋体"/>
          <w:color w:val="auto"/>
          <w:spacing w:val="4"/>
          <w:sz w:val="21"/>
          <w:szCs w:val="21"/>
          <w:highlight w:val="none"/>
        </w:rPr>
        <w:t>广西壮族自治区财政厅政府采购监督管理处、采购代理机构</w:t>
      </w:r>
      <w:r>
        <w:rPr>
          <w:rFonts w:hint="eastAsia" w:ascii="宋体" w:hAnsi="宋体" w:eastAsia="宋体" w:cs="宋体"/>
          <w:color w:val="auto"/>
          <w:sz w:val="21"/>
          <w:szCs w:val="21"/>
          <w:highlight w:val="none"/>
        </w:rPr>
        <w:t>各</w:t>
      </w:r>
      <w:r>
        <w:rPr>
          <w:rFonts w:hint="eastAsia" w:ascii="宋体" w:hAnsi="宋体" w:eastAsia="宋体" w:cs="宋体"/>
          <w:color w:val="auto"/>
          <w:sz w:val="21"/>
          <w:szCs w:val="21"/>
          <w:highlight w:val="none"/>
          <w:lang w:val="en-US" w:eastAsia="zh-CN"/>
        </w:rPr>
        <w:t>壹</w:t>
      </w:r>
      <w:r>
        <w:rPr>
          <w:rFonts w:hint="eastAsia" w:ascii="宋体" w:hAnsi="宋体" w:eastAsia="宋体" w:cs="宋体"/>
          <w:color w:val="auto"/>
          <w:sz w:val="21"/>
          <w:szCs w:val="21"/>
          <w:highlight w:val="none"/>
        </w:rPr>
        <w:t>份，甲乙双方各</w:t>
      </w:r>
      <w:r>
        <w:rPr>
          <w:rFonts w:hint="eastAsia" w:ascii="宋体" w:hAnsi="宋体" w:eastAsia="宋体" w:cs="宋体"/>
          <w:color w:val="auto"/>
          <w:sz w:val="21"/>
          <w:szCs w:val="21"/>
          <w:highlight w:val="none"/>
          <w:lang w:val="en-US" w:eastAsia="zh-CN"/>
        </w:rPr>
        <w:t>贰</w:t>
      </w:r>
      <w:r>
        <w:rPr>
          <w:rFonts w:hint="eastAsia" w:ascii="宋体" w:hAnsi="宋体" w:eastAsia="宋体" w:cs="宋体"/>
          <w:color w:val="auto"/>
          <w:sz w:val="21"/>
          <w:szCs w:val="21"/>
          <w:highlight w:val="none"/>
        </w:rPr>
        <w:t>份。</w:t>
      </w:r>
    </w:p>
    <w:p w14:paraId="7AE1F209">
      <w:pPr>
        <w:shd w:val="clear"/>
        <w:snapToGrid w:val="0"/>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本合同甲乙双方签字盖章后生效，自签订之日起7个工作日内，采购人应当将合同副本报</w:t>
      </w:r>
      <w:r>
        <w:rPr>
          <w:rFonts w:hint="eastAsia" w:ascii="宋体" w:hAnsi="宋体" w:eastAsia="宋体" w:cs="宋体"/>
          <w:color w:val="auto"/>
          <w:spacing w:val="4"/>
          <w:sz w:val="21"/>
          <w:szCs w:val="21"/>
          <w:highlight w:val="none"/>
        </w:rPr>
        <w:t>同级政府采购监督管理部门和有关部门</w:t>
      </w:r>
      <w:r>
        <w:rPr>
          <w:rFonts w:hint="eastAsia" w:ascii="宋体" w:hAnsi="宋体" w:eastAsia="宋体" w:cs="宋体"/>
          <w:color w:val="auto"/>
          <w:sz w:val="21"/>
          <w:szCs w:val="21"/>
          <w:highlight w:val="none"/>
        </w:rPr>
        <w:t>备案，并应当自签订之日起2个工作日内，将政府采购合同在省级以上人民政府财政部门指定的媒体上公告。</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842"/>
      </w:tblGrid>
      <w:tr w14:paraId="0EC0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3" w:hRule="atLeast"/>
          <w:jc w:val="center"/>
        </w:trPr>
        <w:tc>
          <w:tcPr>
            <w:tcW w:w="4582" w:type="dxa"/>
          </w:tcPr>
          <w:p w14:paraId="490F37DC">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甲方（章）           </w:t>
            </w:r>
          </w:p>
          <w:p w14:paraId="67DEBEAC">
            <w:pPr>
              <w:shd w:val="clear"/>
              <w:snapToGrid w:val="0"/>
              <w:spacing w:line="360" w:lineRule="exact"/>
              <w:rPr>
                <w:rFonts w:hint="eastAsia" w:ascii="宋体" w:hAnsi="Times New Roman" w:eastAsia="宋体" w:cs="Times New Roman"/>
                <w:color w:val="auto"/>
                <w:szCs w:val="21"/>
                <w:highlight w:val="none"/>
              </w:rPr>
            </w:pPr>
          </w:p>
          <w:p w14:paraId="6745BED3">
            <w:pPr>
              <w:shd w:val="clear"/>
              <w:snapToGrid w:val="0"/>
              <w:spacing w:line="360" w:lineRule="exact"/>
              <w:rPr>
                <w:rFonts w:hint="eastAsia" w:ascii="宋体" w:hAnsi="Times New Roman" w:eastAsia="宋体" w:cs="Times New Roman"/>
                <w:color w:val="auto"/>
                <w:szCs w:val="21"/>
                <w:highlight w:val="none"/>
              </w:rPr>
            </w:pPr>
          </w:p>
          <w:p w14:paraId="79B68588">
            <w:pPr>
              <w:shd w:val="clear"/>
              <w:snapToGrid w:val="0"/>
              <w:spacing w:line="360" w:lineRule="exact"/>
              <w:rPr>
                <w:rFonts w:hint="eastAsia" w:ascii="宋体" w:hAnsi="Times New Roman" w:eastAsia="宋体" w:cs="Times New Roman"/>
                <w:color w:val="auto"/>
                <w:szCs w:val="21"/>
                <w:highlight w:val="none"/>
              </w:rPr>
            </w:pPr>
          </w:p>
          <w:p w14:paraId="6A2DAD49">
            <w:pPr>
              <w:shd w:val="clear"/>
              <w:snapToGrid w:val="0"/>
              <w:spacing w:line="360" w:lineRule="exact"/>
              <w:rPr>
                <w:rFonts w:hint="eastAsia" w:ascii="宋体" w:hAnsi="Times New Roman" w:eastAsia="宋体" w:cs="Times New Roman"/>
                <w:color w:val="auto"/>
                <w:szCs w:val="21"/>
                <w:highlight w:val="none"/>
              </w:rPr>
            </w:pPr>
          </w:p>
          <w:p w14:paraId="755DC586">
            <w:pPr>
              <w:shd w:val="clear"/>
              <w:snapToGrid w:val="0"/>
              <w:spacing w:line="360" w:lineRule="exact"/>
              <w:ind w:firstLine="945" w:firstLineChars="45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年   月   日</w:t>
            </w:r>
          </w:p>
        </w:tc>
        <w:tc>
          <w:tcPr>
            <w:tcW w:w="4842" w:type="dxa"/>
          </w:tcPr>
          <w:p w14:paraId="296F971F">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乙方（章）              </w:t>
            </w:r>
          </w:p>
          <w:p w14:paraId="39055A67">
            <w:pPr>
              <w:shd w:val="clear"/>
              <w:snapToGrid w:val="0"/>
              <w:spacing w:line="360" w:lineRule="exact"/>
              <w:rPr>
                <w:rFonts w:hint="eastAsia" w:ascii="宋体" w:hAnsi="Times New Roman" w:eastAsia="宋体" w:cs="Times New Roman"/>
                <w:color w:val="auto"/>
                <w:szCs w:val="21"/>
                <w:highlight w:val="none"/>
              </w:rPr>
            </w:pPr>
          </w:p>
          <w:p w14:paraId="1D69E89A">
            <w:pPr>
              <w:shd w:val="clear"/>
              <w:snapToGrid w:val="0"/>
              <w:spacing w:line="360" w:lineRule="exact"/>
              <w:rPr>
                <w:rFonts w:hint="eastAsia" w:ascii="宋体" w:hAnsi="Times New Roman" w:eastAsia="宋体" w:cs="Times New Roman"/>
                <w:color w:val="auto"/>
                <w:szCs w:val="21"/>
                <w:highlight w:val="none"/>
              </w:rPr>
            </w:pPr>
          </w:p>
          <w:p w14:paraId="030D24DB">
            <w:pPr>
              <w:shd w:val="clear"/>
              <w:snapToGrid w:val="0"/>
              <w:spacing w:line="360" w:lineRule="exact"/>
              <w:rPr>
                <w:rFonts w:hint="eastAsia" w:ascii="宋体" w:hAnsi="Times New Roman" w:eastAsia="宋体" w:cs="Times New Roman"/>
                <w:color w:val="auto"/>
                <w:szCs w:val="21"/>
                <w:highlight w:val="none"/>
              </w:rPr>
            </w:pPr>
          </w:p>
          <w:p w14:paraId="2A4B8EEC">
            <w:pPr>
              <w:shd w:val="clear"/>
              <w:snapToGrid w:val="0"/>
              <w:spacing w:line="360" w:lineRule="exact"/>
              <w:rPr>
                <w:rFonts w:hint="eastAsia" w:ascii="宋体" w:hAnsi="Times New Roman" w:eastAsia="宋体" w:cs="Times New Roman"/>
                <w:color w:val="auto"/>
                <w:szCs w:val="21"/>
                <w:highlight w:val="none"/>
              </w:rPr>
            </w:pPr>
          </w:p>
          <w:p w14:paraId="2FB6B167">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年   月   日</w:t>
            </w:r>
          </w:p>
        </w:tc>
      </w:tr>
      <w:tr w14:paraId="1D70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Pr>
          <w:p w14:paraId="0DD56DB4">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单位地址：</w:t>
            </w:r>
          </w:p>
        </w:tc>
        <w:tc>
          <w:tcPr>
            <w:tcW w:w="4842" w:type="dxa"/>
          </w:tcPr>
          <w:p w14:paraId="4FDE47AA">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单位地址：</w:t>
            </w:r>
          </w:p>
        </w:tc>
      </w:tr>
      <w:tr w14:paraId="5CBB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Pr>
          <w:p w14:paraId="722A3B8D">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法定代表人(负责人)：</w:t>
            </w:r>
          </w:p>
        </w:tc>
        <w:tc>
          <w:tcPr>
            <w:tcW w:w="4842" w:type="dxa"/>
          </w:tcPr>
          <w:p w14:paraId="593B8DCD">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法定代表人(负责人)：</w:t>
            </w:r>
          </w:p>
        </w:tc>
      </w:tr>
      <w:tr w14:paraId="0533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Pr>
          <w:p w14:paraId="2DEBF149">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委托代理人：</w:t>
            </w:r>
          </w:p>
        </w:tc>
        <w:tc>
          <w:tcPr>
            <w:tcW w:w="4842" w:type="dxa"/>
          </w:tcPr>
          <w:p w14:paraId="4F943EA2">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委托代理人：</w:t>
            </w:r>
          </w:p>
        </w:tc>
      </w:tr>
      <w:tr w14:paraId="75C0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Pr>
          <w:p w14:paraId="28AB9031">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电话：</w:t>
            </w:r>
          </w:p>
        </w:tc>
        <w:tc>
          <w:tcPr>
            <w:tcW w:w="4842" w:type="dxa"/>
          </w:tcPr>
          <w:p w14:paraId="58C76D7C">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电话：</w:t>
            </w:r>
          </w:p>
        </w:tc>
      </w:tr>
      <w:tr w14:paraId="4FDB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Pr>
          <w:p w14:paraId="628E260D">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电子邮箱：</w:t>
            </w:r>
          </w:p>
        </w:tc>
        <w:tc>
          <w:tcPr>
            <w:tcW w:w="4842" w:type="dxa"/>
          </w:tcPr>
          <w:p w14:paraId="02569D43">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电子邮箱：</w:t>
            </w:r>
          </w:p>
        </w:tc>
      </w:tr>
      <w:tr w14:paraId="6D49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Pr>
          <w:p w14:paraId="3F471C01">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开户银行：</w:t>
            </w:r>
          </w:p>
        </w:tc>
        <w:tc>
          <w:tcPr>
            <w:tcW w:w="4842" w:type="dxa"/>
          </w:tcPr>
          <w:p w14:paraId="260A1EB8">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开户银行：</w:t>
            </w:r>
          </w:p>
        </w:tc>
      </w:tr>
      <w:tr w14:paraId="1DD6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Pr>
          <w:p w14:paraId="2BBD3162">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账号：</w:t>
            </w:r>
          </w:p>
        </w:tc>
        <w:tc>
          <w:tcPr>
            <w:tcW w:w="4842" w:type="dxa"/>
          </w:tcPr>
          <w:p w14:paraId="141C5432">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账号：</w:t>
            </w:r>
          </w:p>
        </w:tc>
      </w:tr>
      <w:tr w14:paraId="4A05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Pr>
          <w:p w14:paraId="52F46FE0">
            <w:pPr>
              <w:shd w:val="clea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highlight w:val="none"/>
              </w:rPr>
              <w:t>纳税人识别号或统一社会信用代码：</w:t>
            </w:r>
          </w:p>
        </w:tc>
        <w:tc>
          <w:tcPr>
            <w:tcW w:w="4842" w:type="dxa"/>
          </w:tcPr>
          <w:p w14:paraId="0674CDBA">
            <w:pPr>
              <w:shd w:val="clea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highlight w:val="none"/>
              </w:rPr>
              <w:t>纳税人识别号或统一社会信用代码：</w:t>
            </w:r>
          </w:p>
        </w:tc>
      </w:tr>
      <w:tr w14:paraId="4499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jc w:val="center"/>
        </w:trPr>
        <w:tc>
          <w:tcPr>
            <w:tcW w:w="4582" w:type="dxa"/>
          </w:tcPr>
          <w:p w14:paraId="40E5206D">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邮政编码：</w:t>
            </w:r>
          </w:p>
        </w:tc>
        <w:tc>
          <w:tcPr>
            <w:tcW w:w="4842" w:type="dxa"/>
          </w:tcPr>
          <w:p w14:paraId="3119C4A6">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邮政编码：</w:t>
            </w:r>
          </w:p>
        </w:tc>
      </w:tr>
    </w:tbl>
    <w:p w14:paraId="5E328B8E">
      <w:pPr>
        <w:shd w:val="clear"/>
        <w:spacing w:line="720" w:lineRule="auto"/>
        <w:jc w:val="center"/>
        <w:rPr>
          <w:rFonts w:hint="eastAsia" w:ascii="Times New Roman" w:hAnsi="Times New Roman" w:eastAsia="宋体" w:cs="Times New Roman"/>
          <w:b/>
          <w:color w:val="auto"/>
          <w:sz w:val="28"/>
          <w:szCs w:val="28"/>
          <w:highlight w:val="none"/>
        </w:rPr>
      </w:pPr>
      <w:r>
        <w:rPr>
          <w:rFonts w:ascii="Times New Roman" w:hAnsi="Times New Roman" w:eastAsia="宋体" w:cs="Times New Roman"/>
          <w:color w:val="auto"/>
          <w:highlight w:val="none"/>
        </w:rPr>
        <w:br w:type="page"/>
      </w:r>
      <w:r>
        <w:rPr>
          <w:rFonts w:hint="eastAsia" w:ascii="Times New Roman" w:hAnsi="Times New Roman" w:eastAsia="宋体" w:cs="Times New Roman"/>
          <w:b/>
          <w:color w:val="auto"/>
          <w:sz w:val="28"/>
          <w:szCs w:val="28"/>
          <w:highlight w:val="none"/>
        </w:rPr>
        <w:t>合 同 附 件</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8"/>
        <w:gridCol w:w="4680"/>
      </w:tblGrid>
      <w:tr w14:paraId="0463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9468" w:type="dxa"/>
            <w:gridSpan w:val="2"/>
            <w:tcBorders>
              <w:top w:val="single" w:color="auto" w:sz="4" w:space="0"/>
              <w:left w:val="single" w:color="auto" w:sz="4" w:space="0"/>
              <w:right w:val="single" w:color="auto" w:sz="4" w:space="0"/>
            </w:tcBorders>
          </w:tcPr>
          <w:p w14:paraId="5420AB97">
            <w:pPr>
              <w:shd w:val="clear"/>
              <w:snapToGrid w:val="0"/>
              <w:spacing w:line="36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1.供应商承诺具体事项：详见</w:t>
            </w:r>
            <w:r>
              <w:rPr>
                <w:rFonts w:hint="eastAsia" w:ascii="宋体" w:hAnsi="宋体" w:eastAsia="宋体" w:cs="Times New Roman"/>
                <w:color w:val="auto"/>
                <w:szCs w:val="21"/>
                <w:highlight w:val="none"/>
              </w:rPr>
              <w:t>投标文件。</w:t>
            </w:r>
          </w:p>
        </w:tc>
      </w:tr>
      <w:tr w14:paraId="3967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9468" w:type="dxa"/>
            <w:gridSpan w:val="2"/>
            <w:tcBorders>
              <w:top w:val="single" w:color="auto" w:sz="4" w:space="0"/>
              <w:left w:val="single" w:color="auto" w:sz="4" w:space="0"/>
              <w:right w:val="single" w:color="auto" w:sz="4" w:space="0"/>
            </w:tcBorders>
          </w:tcPr>
          <w:p w14:paraId="7B319D29">
            <w:pPr>
              <w:shd w:val="clear"/>
              <w:snapToGrid w:val="0"/>
              <w:spacing w:line="36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2.售后服务具体事项：详见</w:t>
            </w:r>
            <w:r>
              <w:rPr>
                <w:rFonts w:hint="eastAsia" w:ascii="宋体" w:hAnsi="宋体" w:eastAsia="宋体" w:cs="Times New Roman"/>
                <w:color w:val="auto"/>
                <w:szCs w:val="21"/>
                <w:highlight w:val="none"/>
              </w:rPr>
              <w:t>投标文件。</w:t>
            </w:r>
          </w:p>
        </w:tc>
      </w:tr>
      <w:tr w14:paraId="0FFE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jc w:val="center"/>
        </w:trPr>
        <w:tc>
          <w:tcPr>
            <w:tcW w:w="9468" w:type="dxa"/>
            <w:gridSpan w:val="2"/>
            <w:tcBorders>
              <w:top w:val="single" w:color="auto" w:sz="4" w:space="0"/>
              <w:left w:val="single" w:color="auto" w:sz="4" w:space="0"/>
              <w:right w:val="single" w:color="auto" w:sz="4" w:space="0"/>
            </w:tcBorders>
          </w:tcPr>
          <w:p w14:paraId="47407CBE">
            <w:pPr>
              <w:shd w:val="clear"/>
              <w:snapToGrid w:val="0"/>
              <w:spacing w:line="36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3.</w:t>
            </w:r>
            <w:r>
              <w:rPr>
                <w:rFonts w:hint="eastAsia" w:cs="Times New Roman"/>
                <w:color w:val="auto"/>
                <w:szCs w:val="21"/>
                <w:highlight w:val="none"/>
                <w:lang w:eastAsia="zh-CN"/>
              </w:rPr>
              <w:t>质保</w:t>
            </w:r>
            <w:r>
              <w:rPr>
                <w:rFonts w:hint="eastAsia" w:ascii="Times New Roman" w:hAnsi="Times New Roman" w:eastAsia="宋体" w:cs="Times New Roman"/>
                <w:color w:val="auto"/>
                <w:szCs w:val="21"/>
                <w:highlight w:val="none"/>
              </w:rPr>
              <w:t>期责任：详见</w:t>
            </w:r>
            <w:r>
              <w:rPr>
                <w:rFonts w:hint="eastAsia" w:ascii="宋体" w:hAnsi="宋体" w:eastAsia="宋体" w:cs="Times New Roman"/>
                <w:color w:val="auto"/>
                <w:szCs w:val="21"/>
                <w:highlight w:val="none"/>
              </w:rPr>
              <w:t>投标文件。</w:t>
            </w:r>
          </w:p>
        </w:tc>
      </w:tr>
      <w:tr w14:paraId="310A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atLeast"/>
          <w:jc w:val="center"/>
        </w:trPr>
        <w:tc>
          <w:tcPr>
            <w:tcW w:w="9468" w:type="dxa"/>
            <w:gridSpan w:val="2"/>
            <w:tcBorders>
              <w:top w:val="single" w:color="auto" w:sz="4" w:space="0"/>
              <w:left w:val="single" w:color="auto" w:sz="4" w:space="0"/>
              <w:right w:val="single" w:color="auto" w:sz="4" w:space="0"/>
            </w:tcBorders>
          </w:tcPr>
          <w:p w14:paraId="2B5683CC">
            <w:pPr>
              <w:shd w:val="clear"/>
              <w:snapToGrid w:val="0"/>
              <w:spacing w:line="36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4.其他具体事项：详见</w:t>
            </w:r>
            <w:r>
              <w:rPr>
                <w:rFonts w:hint="eastAsia" w:ascii="宋体" w:hAnsi="宋体" w:eastAsia="宋体" w:cs="Times New Roman"/>
                <w:color w:val="auto"/>
                <w:szCs w:val="21"/>
                <w:highlight w:val="none"/>
              </w:rPr>
              <w:t>投标文件。</w:t>
            </w:r>
          </w:p>
        </w:tc>
      </w:tr>
      <w:tr w14:paraId="4A8E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4788" w:type="dxa"/>
            <w:tcBorders>
              <w:top w:val="single" w:color="auto" w:sz="4" w:space="0"/>
              <w:left w:val="single" w:color="auto" w:sz="4" w:space="0"/>
              <w:bottom w:val="single" w:color="auto" w:sz="4" w:space="0"/>
              <w:right w:val="single" w:color="auto" w:sz="4" w:space="0"/>
            </w:tcBorders>
            <w:vAlign w:val="center"/>
          </w:tcPr>
          <w:p w14:paraId="0B833839">
            <w:pPr>
              <w:shd w:val="clear"/>
              <w:snapToGrid w:val="0"/>
              <w:spacing w:line="36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甲方（章）</w:t>
            </w:r>
          </w:p>
          <w:p w14:paraId="4410A7A4">
            <w:pPr>
              <w:shd w:val="clear"/>
              <w:snapToGrid w:val="0"/>
              <w:spacing w:line="360" w:lineRule="exact"/>
              <w:ind w:firstLine="422"/>
              <w:rPr>
                <w:rFonts w:hint="eastAsia" w:ascii="Times New Roman" w:hAnsi="Times New Roman" w:eastAsia="宋体" w:cs="Times New Roman"/>
                <w:color w:val="auto"/>
                <w:szCs w:val="21"/>
                <w:highlight w:val="none"/>
              </w:rPr>
            </w:pPr>
          </w:p>
          <w:p w14:paraId="4DFC1C9D">
            <w:pPr>
              <w:shd w:val="clear"/>
              <w:snapToGrid w:val="0"/>
              <w:spacing w:line="360" w:lineRule="exact"/>
              <w:ind w:firstLine="422"/>
              <w:rPr>
                <w:rFonts w:hint="eastAsia" w:ascii="Times New Roman" w:hAnsi="Times New Roman" w:eastAsia="宋体" w:cs="Times New Roman"/>
                <w:color w:val="auto"/>
                <w:szCs w:val="21"/>
                <w:highlight w:val="none"/>
              </w:rPr>
            </w:pPr>
          </w:p>
          <w:p w14:paraId="5BE28B4D">
            <w:pPr>
              <w:shd w:val="clear"/>
              <w:snapToGrid w:val="0"/>
              <w:spacing w:line="360" w:lineRule="exact"/>
              <w:ind w:firstLine="422"/>
              <w:rPr>
                <w:rFonts w:hint="eastAsia" w:ascii="Times New Roman" w:hAnsi="Times New Roman" w:eastAsia="宋体" w:cs="Times New Roman"/>
                <w:color w:val="auto"/>
                <w:szCs w:val="21"/>
                <w:highlight w:val="none"/>
              </w:rPr>
            </w:pPr>
          </w:p>
          <w:p w14:paraId="1D06E1C4">
            <w:pPr>
              <w:shd w:val="clear"/>
              <w:snapToGrid w:val="0"/>
              <w:spacing w:line="360" w:lineRule="exact"/>
              <w:ind w:firstLine="422"/>
              <w:rPr>
                <w:rFonts w:hint="eastAsia" w:ascii="Times New Roman" w:hAnsi="Times New Roman" w:eastAsia="宋体" w:cs="Times New Roman"/>
                <w:color w:val="auto"/>
                <w:szCs w:val="21"/>
                <w:highlight w:val="none"/>
              </w:rPr>
            </w:pPr>
          </w:p>
          <w:p w14:paraId="2C0FD90C">
            <w:pPr>
              <w:shd w:val="clear"/>
              <w:snapToGrid w:val="0"/>
              <w:spacing w:line="360" w:lineRule="exact"/>
              <w:ind w:firstLine="422"/>
              <w:rPr>
                <w:rFonts w:hint="eastAsia" w:ascii="Times New Roman" w:hAnsi="Times New Roman" w:eastAsia="宋体" w:cs="Times New Roman"/>
                <w:color w:val="auto"/>
                <w:szCs w:val="21"/>
                <w:highlight w:val="none"/>
              </w:rPr>
            </w:pPr>
          </w:p>
          <w:p w14:paraId="770667B7">
            <w:pPr>
              <w:shd w:val="clear"/>
              <w:snapToGrid w:val="0"/>
              <w:spacing w:line="360" w:lineRule="exact"/>
              <w:ind w:firstLine="422"/>
              <w:rPr>
                <w:rFonts w:hint="eastAsia" w:ascii="Times New Roman" w:hAnsi="Times New Roman" w:eastAsia="宋体" w:cs="Times New Roman"/>
                <w:color w:val="auto"/>
                <w:szCs w:val="21"/>
                <w:highlight w:val="none"/>
              </w:rPr>
            </w:pPr>
          </w:p>
          <w:p w14:paraId="4BC5C6D3">
            <w:pPr>
              <w:shd w:val="clear"/>
              <w:snapToGrid w:val="0"/>
              <w:spacing w:line="360" w:lineRule="exact"/>
              <w:ind w:firstLine="422"/>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vAlign w:val="center"/>
          </w:tcPr>
          <w:p w14:paraId="7D69637E">
            <w:pPr>
              <w:shd w:val="clear"/>
              <w:snapToGrid w:val="0"/>
              <w:spacing w:line="36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乙方（章）</w:t>
            </w:r>
          </w:p>
          <w:p w14:paraId="4F1AC69E">
            <w:pPr>
              <w:shd w:val="clear"/>
              <w:snapToGrid w:val="0"/>
              <w:spacing w:line="360" w:lineRule="exact"/>
              <w:ind w:firstLine="422"/>
              <w:rPr>
                <w:rFonts w:hint="eastAsia" w:ascii="Times New Roman" w:hAnsi="Times New Roman" w:eastAsia="宋体" w:cs="Times New Roman"/>
                <w:color w:val="auto"/>
                <w:szCs w:val="21"/>
                <w:highlight w:val="none"/>
              </w:rPr>
            </w:pPr>
          </w:p>
          <w:p w14:paraId="51428053">
            <w:pPr>
              <w:shd w:val="clear"/>
              <w:snapToGrid w:val="0"/>
              <w:spacing w:line="360" w:lineRule="exact"/>
              <w:ind w:firstLine="422"/>
              <w:rPr>
                <w:rFonts w:hint="eastAsia" w:ascii="Times New Roman" w:hAnsi="Times New Roman" w:eastAsia="宋体" w:cs="Times New Roman"/>
                <w:color w:val="auto"/>
                <w:szCs w:val="21"/>
                <w:highlight w:val="none"/>
              </w:rPr>
            </w:pPr>
          </w:p>
          <w:p w14:paraId="7F41E3B0">
            <w:pPr>
              <w:shd w:val="clear"/>
              <w:snapToGrid w:val="0"/>
              <w:spacing w:line="360" w:lineRule="exact"/>
              <w:ind w:firstLine="422"/>
              <w:rPr>
                <w:rFonts w:hint="eastAsia" w:ascii="Times New Roman" w:hAnsi="Times New Roman" w:eastAsia="宋体" w:cs="Times New Roman"/>
                <w:color w:val="auto"/>
                <w:szCs w:val="21"/>
                <w:highlight w:val="none"/>
              </w:rPr>
            </w:pPr>
          </w:p>
          <w:p w14:paraId="1DC8DA97">
            <w:pPr>
              <w:shd w:val="clear"/>
              <w:snapToGrid w:val="0"/>
              <w:spacing w:line="360" w:lineRule="exact"/>
              <w:ind w:firstLine="422"/>
              <w:rPr>
                <w:rFonts w:hint="eastAsia" w:ascii="Times New Roman" w:hAnsi="Times New Roman" w:eastAsia="宋体" w:cs="Times New Roman"/>
                <w:color w:val="auto"/>
                <w:szCs w:val="21"/>
                <w:highlight w:val="none"/>
              </w:rPr>
            </w:pPr>
          </w:p>
          <w:p w14:paraId="3D768BE0">
            <w:pPr>
              <w:shd w:val="clear"/>
              <w:snapToGrid w:val="0"/>
              <w:spacing w:line="360" w:lineRule="exact"/>
              <w:ind w:firstLine="422"/>
              <w:rPr>
                <w:rFonts w:hint="eastAsia" w:ascii="Times New Roman" w:hAnsi="Times New Roman" w:eastAsia="宋体" w:cs="Times New Roman"/>
                <w:color w:val="auto"/>
                <w:szCs w:val="21"/>
                <w:highlight w:val="none"/>
              </w:rPr>
            </w:pPr>
          </w:p>
          <w:p w14:paraId="07E0F2FC">
            <w:pPr>
              <w:shd w:val="clear"/>
              <w:snapToGrid w:val="0"/>
              <w:spacing w:line="360" w:lineRule="exact"/>
              <w:ind w:firstLine="422"/>
              <w:rPr>
                <w:rFonts w:hint="eastAsia" w:ascii="Times New Roman" w:hAnsi="Times New Roman" w:eastAsia="宋体" w:cs="Times New Roman"/>
                <w:color w:val="auto"/>
                <w:szCs w:val="21"/>
                <w:highlight w:val="none"/>
              </w:rPr>
            </w:pPr>
          </w:p>
          <w:p w14:paraId="5BD66285">
            <w:pPr>
              <w:shd w:val="clear"/>
              <w:snapToGrid w:val="0"/>
              <w:spacing w:line="360" w:lineRule="exact"/>
              <w:ind w:firstLine="422"/>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年   月   日</w:t>
            </w:r>
          </w:p>
        </w:tc>
      </w:tr>
    </w:tbl>
    <w:p w14:paraId="55C26E66">
      <w:pPr>
        <w:shd w:val="clear"/>
        <w:snapToGrid w:val="0"/>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注：售后服务事项填不下时可另加附页。</w:t>
      </w:r>
    </w:p>
    <w:p w14:paraId="1F1214C6">
      <w:pPr>
        <w:shd w:val="clear"/>
        <w:snapToGrid w:val="0"/>
        <w:spacing w:line="360" w:lineRule="exact"/>
        <w:jc w:val="center"/>
        <w:rPr>
          <w:rFonts w:hint="eastAsia" w:ascii="宋体" w:hAnsi="Times New Roman" w:eastAsia="宋体" w:cs="Times New Roman"/>
          <w:b/>
          <w:color w:val="auto"/>
          <w:szCs w:val="21"/>
          <w:highlight w:val="none"/>
        </w:rPr>
      </w:pPr>
    </w:p>
    <w:p w14:paraId="75BC8109">
      <w:pPr>
        <w:shd w:val="clear"/>
        <w:spacing w:line="400" w:lineRule="exact"/>
        <w:jc w:val="center"/>
        <w:rPr>
          <w:rFonts w:hint="eastAsia" w:ascii="宋体"/>
          <w:color w:val="auto"/>
          <w:sz w:val="32"/>
          <w:szCs w:val="32"/>
          <w:highlight w:val="none"/>
        </w:rPr>
      </w:pPr>
      <w:r>
        <w:rPr>
          <w:color w:val="auto"/>
          <w:highlight w:val="none"/>
        </w:rPr>
        <w:br w:type="page"/>
      </w:r>
    </w:p>
    <w:p w14:paraId="097623EF">
      <w:pPr>
        <w:shd w:val="clear"/>
        <w:spacing w:line="400" w:lineRule="exact"/>
        <w:jc w:val="center"/>
        <w:rPr>
          <w:rFonts w:hint="eastAsia" w:ascii="宋体"/>
          <w:color w:val="auto"/>
          <w:sz w:val="32"/>
          <w:szCs w:val="32"/>
          <w:highlight w:val="none"/>
        </w:rPr>
      </w:pPr>
    </w:p>
    <w:p w14:paraId="023D74C6">
      <w:pPr>
        <w:shd w:val="clear"/>
        <w:spacing w:line="400" w:lineRule="exact"/>
        <w:jc w:val="center"/>
        <w:rPr>
          <w:rFonts w:hint="eastAsia" w:ascii="宋体"/>
          <w:color w:val="auto"/>
          <w:sz w:val="32"/>
          <w:szCs w:val="32"/>
          <w:highlight w:val="none"/>
        </w:rPr>
      </w:pPr>
    </w:p>
    <w:p w14:paraId="03F73DF0">
      <w:pPr>
        <w:shd w:val="clear"/>
        <w:spacing w:line="400" w:lineRule="exact"/>
        <w:jc w:val="center"/>
        <w:rPr>
          <w:rFonts w:hint="eastAsia" w:ascii="宋体"/>
          <w:color w:val="auto"/>
          <w:sz w:val="32"/>
          <w:szCs w:val="32"/>
          <w:highlight w:val="none"/>
        </w:rPr>
      </w:pPr>
    </w:p>
    <w:p w14:paraId="302097A2">
      <w:pPr>
        <w:shd w:val="clear"/>
        <w:spacing w:line="400" w:lineRule="exact"/>
        <w:jc w:val="center"/>
        <w:rPr>
          <w:rFonts w:hint="eastAsia" w:ascii="宋体"/>
          <w:color w:val="auto"/>
          <w:sz w:val="32"/>
          <w:szCs w:val="32"/>
          <w:highlight w:val="none"/>
        </w:rPr>
      </w:pPr>
    </w:p>
    <w:p w14:paraId="18F2D0E6">
      <w:pPr>
        <w:shd w:val="clear"/>
        <w:spacing w:line="400" w:lineRule="exact"/>
        <w:jc w:val="center"/>
        <w:rPr>
          <w:rFonts w:hint="eastAsia" w:ascii="宋体"/>
          <w:color w:val="auto"/>
          <w:sz w:val="32"/>
          <w:szCs w:val="32"/>
          <w:highlight w:val="none"/>
        </w:rPr>
      </w:pPr>
    </w:p>
    <w:p w14:paraId="2FF8B152">
      <w:pPr>
        <w:shd w:val="clear"/>
        <w:spacing w:line="400" w:lineRule="exact"/>
        <w:jc w:val="center"/>
        <w:rPr>
          <w:rFonts w:hint="eastAsia" w:ascii="宋体"/>
          <w:color w:val="auto"/>
          <w:sz w:val="32"/>
          <w:szCs w:val="32"/>
          <w:highlight w:val="none"/>
        </w:rPr>
      </w:pPr>
    </w:p>
    <w:p w14:paraId="203CC4BF">
      <w:pPr>
        <w:shd w:val="clear"/>
        <w:spacing w:line="400" w:lineRule="exact"/>
        <w:jc w:val="center"/>
        <w:rPr>
          <w:rFonts w:hint="eastAsia" w:ascii="宋体"/>
          <w:color w:val="auto"/>
          <w:sz w:val="32"/>
          <w:szCs w:val="32"/>
          <w:highlight w:val="none"/>
        </w:rPr>
      </w:pPr>
    </w:p>
    <w:p w14:paraId="5EF79758">
      <w:pPr>
        <w:shd w:val="clear"/>
        <w:spacing w:line="400" w:lineRule="exact"/>
        <w:jc w:val="center"/>
        <w:rPr>
          <w:rFonts w:hint="eastAsia" w:ascii="宋体"/>
          <w:color w:val="auto"/>
          <w:sz w:val="32"/>
          <w:szCs w:val="32"/>
          <w:highlight w:val="none"/>
        </w:rPr>
      </w:pPr>
    </w:p>
    <w:p w14:paraId="0BF31055">
      <w:pPr>
        <w:shd w:val="clear"/>
        <w:spacing w:line="400" w:lineRule="exact"/>
        <w:jc w:val="center"/>
        <w:rPr>
          <w:rFonts w:hint="eastAsia" w:ascii="宋体"/>
          <w:color w:val="auto"/>
          <w:sz w:val="32"/>
          <w:szCs w:val="32"/>
          <w:highlight w:val="none"/>
        </w:rPr>
      </w:pPr>
    </w:p>
    <w:p w14:paraId="0596E604">
      <w:pPr>
        <w:shd w:val="clear"/>
        <w:spacing w:line="400" w:lineRule="exact"/>
        <w:jc w:val="center"/>
        <w:rPr>
          <w:rFonts w:hint="eastAsia" w:ascii="宋体"/>
          <w:color w:val="auto"/>
          <w:sz w:val="32"/>
          <w:szCs w:val="32"/>
          <w:highlight w:val="none"/>
        </w:rPr>
      </w:pPr>
    </w:p>
    <w:p w14:paraId="4A254981">
      <w:pPr>
        <w:shd w:val="clear"/>
        <w:spacing w:line="400" w:lineRule="exact"/>
        <w:jc w:val="center"/>
        <w:rPr>
          <w:rFonts w:hint="eastAsia" w:ascii="宋体"/>
          <w:color w:val="auto"/>
          <w:sz w:val="32"/>
          <w:szCs w:val="32"/>
          <w:highlight w:val="none"/>
        </w:rPr>
      </w:pPr>
    </w:p>
    <w:p w14:paraId="71684B77">
      <w:pPr>
        <w:shd w:val="clear"/>
        <w:spacing w:line="400" w:lineRule="exact"/>
        <w:rPr>
          <w:rFonts w:hint="eastAsia" w:ascii="宋体"/>
          <w:color w:val="auto"/>
          <w:sz w:val="32"/>
          <w:szCs w:val="32"/>
          <w:highlight w:val="none"/>
        </w:rPr>
      </w:pPr>
    </w:p>
    <w:p w14:paraId="740BE78E">
      <w:pPr>
        <w:pStyle w:val="46"/>
        <w:shd w:val="clear"/>
        <w:rPr>
          <w:rFonts w:hint="eastAsia"/>
          <w:color w:val="auto"/>
          <w:sz w:val="44"/>
          <w:szCs w:val="44"/>
          <w:highlight w:val="none"/>
        </w:rPr>
      </w:pPr>
      <w:bookmarkStart w:id="123" w:name="_Toc476436177"/>
      <w:bookmarkStart w:id="124" w:name="_Toc476436436"/>
      <w:r>
        <w:rPr>
          <w:rFonts w:hint="eastAsia"/>
          <w:color w:val="auto"/>
          <w:sz w:val="44"/>
          <w:szCs w:val="44"/>
          <w:highlight w:val="none"/>
        </w:rPr>
        <w:t>第六章　投标文件格式</w:t>
      </w:r>
      <w:bookmarkEnd w:id="123"/>
      <w:bookmarkEnd w:id="124"/>
    </w:p>
    <w:p w14:paraId="69741EF7">
      <w:pPr>
        <w:shd w:val="clear"/>
        <w:rPr>
          <w:rFonts w:hint="eastAsia"/>
          <w:color w:val="auto"/>
          <w:highlight w:val="none"/>
        </w:rPr>
      </w:pPr>
    </w:p>
    <w:p w14:paraId="7B6D0A71">
      <w:pPr>
        <w:shd w:val="clear"/>
        <w:rPr>
          <w:rFonts w:hint="eastAsia"/>
          <w:color w:val="auto"/>
          <w:highlight w:val="none"/>
        </w:rPr>
      </w:pPr>
      <w:bookmarkStart w:id="125" w:name="_Toc254970697"/>
      <w:bookmarkStart w:id="126" w:name="_Toc254970556"/>
    </w:p>
    <w:p w14:paraId="1E69A363">
      <w:pPr>
        <w:shd w:val="clear"/>
        <w:rPr>
          <w:rFonts w:hint="eastAsia"/>
          <w:color w:val="auto"/>
          <w:highlight w:val="none"/>
        </w:rPr>
      </w:pPr>
    </w:p>
    <w:p w14:paraId="1B426CE5">
      <w:pPr>
        <w:shd w:val="clear"/>
        <w:rPr>
          <w:rFonts w:hint="eastAsia"/>
          <w:color w:val="auto"/>
          <w:highlight w:val="none"/>
        </w:rPr>
      </w:pPr>
    </w:p>
    <w:p w14:paraId="0D422A15">
      <w:pPr>
        <w:shd w:val="clear"/>
        <w:rPr>
          <w:rFonts w:hint="eastAsia"/>
          <w:color w:val="auto"/>
          <w:highlight w:val="none"/>
        </w:rPr>
      </w:pPr>
    </w:p>
    <w:p w14:paraId="3FD4AB54">
      <w:pPr>
        <w:shd w:val="clear"/>
        <w:rPr>
          <w:rFonts w:hint="eastAsia"/>
          <w:color w:val="auto"/>
          <w:highlight w:val="none"/>
        </w:rPr>
      </w:pPr>
    </w:p>
    <w:p w14:paraId="13DA76F7">
      <w:pPr>
        <w:shd w:val="clear"/>
        <w:rPr>
          <w:rFonts w:hint="eastAsia"/>
          <w:color w:val="auto"/>
          <w:highlight w:val="none"/>
        </w:rPr>
      </w:pPr>
    </w:p>
    <w:p w14:paraId="7FA3B887">
      <w:pPr>
        <w:shd w:val="clear"/>
        <w:rPr>
          <w:rFonts w:hint="eastAsia"/>
          <w:color w:val="auto"/>
          <w:highlight w:val="none"/>
        </w:rPr>
      </w:pPr>
    </w:p>
    <w:p w14:paraId="05DD5B77">
      <w:pPr>
        <w:shd w:val="clear"/>
        <w:rPr>
          <w:rFonts w:hint="eastAsia"/>
          <w:color w:val="auto"/>
          <w:highlight w:val="none"/>
        </w:rPr>
      </w:pPr>
    </w:p>
    <w:p w14:paraId="3BDD82AA">
      <w:pPr>
        <w:shd w:val="clear"/>
        <w:rPr>
          <w:rFonts w:hint="eastAsia"/>
          <w:color w:val="auto"/>
          <w:highlight w:val="none"/>
        </w:rPr>
      </w:pPr>
    </w:p>
    <w:p w14:paraId="1E00AB62">
      <w:pPr>
        <w:shd w:val="clear"/>
        <w:rPr>
          <w:rFonts w:hint="eastAsia"/>
          <w:color w:val="auto"/>
          <w:highlight w:val="none"/>
        </w:rPr>
      </w:pPr>
    </w:p>
    <w:p w14:paraId="11307587">
      <w:pPr>
        <w:shd w:val="clear"/>
        <w:rPr>
          <w:rFonts w:hint="eastAsia"/>
          <w:color w:val="auto"/>
          <w:highlight w:val="none"/>
        </w:rPr>
      </w:pPr>
    </w:p>
    <w:bookmarkEnd w:id="125"/>
    <w:bookmarkEnd w:id="126"/>
    <w:p w14:paraId="580C99A6">
      <w:pPr>
        <w:shd w:val="clear"/>
        <w:spacing w:line="720" w:lineRule="auto"/>
        <w:jc w:val="center"/>
        <w:rPr>
          <w:rFonts w:hint="eastAsia"/>
          <w:color w:val="auto"/>
          <w:sz w:val="32"/>
          <w:szCs w:val="32"/>
          <w:highlight w:val="none"/>
        </w:rPr>
      </w:pPr>
      <w:r>
        <w:rPr>
          <w:color w:val="auto"/>
          <w:highlight w:val="none"/>
        </w:rPr>
        <w:br w:type="page"/>
      </w:r>
      <w:r>
        <w:rPr>
          <w:rFonts w:hint="eastAsia"/>
          <w:color w:val="auto"/>
          <w:sz w:val="32"/>
          <w:szCs w:val="32"/>
          <w:highlight w:val="none"/>
        </w:rPr>
        <w:t>投标文件格式</w:t>
      </w:r>
    </w:p>
    <w:p w14:paraId="60A277A2">
      <w:pPr>
        <w:shd w:val="clear"/>
        <w:spacing w:line="480" w:lineRule="auto"/>
        <w:jc w:val="center"/>
        <w:rPr>
          <w:rFonts w:hint="eastAsia"/>
          <w:b/>
          <w:color w:val="auto"/>
          <w:highlight w:val="none"/>
        </w:rPr>
      </w:pPr>
      <w:r>
        <w:rPr>
          <w:rFonts w:hint="eastAsia"/>
          <w:b/>
          <w:color w:val="auto"/>
          <w:highlight w:val="none"/>
        </w:rPr>
        <w:t>一、投标文件封面格式</w:t>
      </w:r>
    </w:p>
    <w:p w14:paraId="7E3E7DCE">
      <w:pPr>
        <w:shd w:val="clear"/>
        <w:spacing w:line="360" w:lineRule="exact"/>
        <w:rPr>
          <w:rFonts w:hint="eastAsia"/>
          <w:b/>
          <w:color w:val="auto"/>
          <w:highlight w:val="none"/>
        </w:rPr>
      </w:pPr>
    </w:p>
    <w:p w14:paraId="1F72C1F5">
      <w:pPr>
        <w:shd w:val="clear"/>
        <w:snapToGrid w:val="0"/>
        <w:spacing w:before="156" w:beforeLines="50" w:after="50" w:line="360" w:lineRule="exact"/>
        <w:rPr>
          <w:rFonts w:hint="eastAsia" w:ascii="宋体"/>
          <w:color w:val="auto"/>
          <w:szCs w:val="21"/>
          <w:highlight w:val="none"/>
        </w:rPr>
      </w:pPr>
    </w:p>
    <w:p w14:paraId="19D45EF9">
      <w:pPr>
        <w:shd w:val="clear"/>
        <w:snapToGrid w:val="0"/>
        <w:spacing w:before="156" w:beforeLines="50" w:after="50" w:line="360" w:lineRule="exact"/>
        <w:rPr>
          <w:rFonts w:hint="eastAsia" w:ascii="仿宋_GB2312" w:eastAsia="仿宋_GB2312"/>
          <w:bCs/>
          <w:color w:val="auto"/>
          <w:sz w:val="24"/>
          <w:highlight w:val="none"/>
        </w:rPr>
      </w:pPr>
      <w:bookmarkStart w:id="127" w:name="_Toc254970698"/>
      <w:bookmarkStart w:id="128" w:name="_Toc254970557"/>
      <w:r>
        <w:rPr>
          <w:rFonts w:hint="eastAsia" w:ascii="仿宋_GB2312" w:eastAsia="仿宋_GB2312"/>
          <w:color w:val="auto"/>
          <w:sz w:val="24"/>
          <w:highlight w:val="none"/>
        </w:rPr>
        <w:t xml:space="preserve">                   </w:t>
      </w:r>
    </w:p>
    <w:p w14:paraId="766F85C8">
      <w:pPr>
        <w:shd w:val="clear"/>
        <w:snapToGrid w:val="0"/>
        <w:spacing w:before="156" w:beforeLines="50" w:after="50" w:line="360" w:lineRule="exact"/>
        <w:jc w:val="center"/>
        <w:rPr>
          <w:rFonts w:hint="eastAsia" w:ascii="宋体"/>
          <w:b/>
          <w:bCs/>
          <w:color w:val="auto"/>
          <w:sz w:val="32"/>
          <w:szCs w:val="32"/>
          <w:highlight w:val="none"/>
        </w:rPr>
      </w:pPr>
      <w:r>
        <w:rPr>
          <w:rFonts w:hint="eastAsia" w:ascii="宋体"/>
          <w:b/>
          <w:bCs/>
          <w:color w:val="auto"/>
          <w:sz w:val="32"/>
          <w:szCs w:val="32"/>
          <w:highlight w:val="none"/>
        </w:rPr>
        <w:t>投标文件</w:t>
      </w:r>
    </w:p>
    <w:p w14:paraId="78160A52">
      <w:pPr>
        <w:shd w:val="clear"/>
        <w:snapToGrid w:val="0"/>
        <w:spacing w:before="156" w:beforeLines="50" w:after="50" w:line="360" w:lineRule="exact"/>
        <w:rPr>
          <w:rFonts w:hint="eastAsia" w:ascii="仿宋_GB2312" w:eastAsia="仿宋_GB2312"/>
          <w:bCs/>
          <w:color w:val="auto"/>
          <w:sz w:val="24"/>
          <w:highlight w:val="none"/>
        </w:rPr>
      </w:pPr>
    </w:p>
    <w:p w14:paraId="4D798114">
      <w:pPr>
        <w:shd w:val="clear"/>
        <w:snapToGrid w:val="0"/>
        <w:spacing w:before="156" w:beforeLines="50" w:after="50" w:line="360" w:lineRule="exact"/>
        <w:ind w:firstLine="630" w:firstLineChars="300"/>
        <w:rPr>
          <w:rFonts w:hint="eastAsia" w:ascii="宋体"/>
          <w:bCs/>
          <w:color w:val="auto"/>
          <w:szCs w:val="21"/>
          <w:highlight w:val="none"/>
        </w:rPr>
      </w:pPr>
      <w:r>
        <w:rPr>
          <w:rFonts w:hint="eastAsia" w:ascii="宋体"/>
          <w:bCs/>
          <w:color w:val="auto"/>
          <w:szCs w:val="21"/>
          <w:highlight w:val="none"/>
        </w:rPr>
        <w:t xml:space="preserve">采购项目名称： </w:t>
      </w:r>
    </w:p>
    <w:p w14:paraId="6272C89D">
      <w:pPr>
        <w:shd w:val="clear"/>
        <w:snapToGrid w:val="0"/>
        <w:spacing w:before="156" w:beforeLines="50" w:after="50" w:line="360" w:lineRule="exact"/>
        <w:ind w:firstLine="630" w:firstLineChars="300"/>
        <w:rPr>
          <w:rFonts w:hint="eastAsia" w:ascii="宋体"/>
          <w:bCs/>
          <w:color w:val="auto"/>
          <w:szCs w:val="21"/>
          <w:highlight w:val="none"/>
        </w:rPr>
      </w:pPr>
      <w:r>
        <w:rPr>
          <w:rFonts w:hint="eastAsia" w:ascii="宋体"/>
          <w:bCs/>
          <w:color w:val="auto"/>
          <w:szCs w:val="21"/>
          <w:highlight w:val="none"/>
        </w:rPr>
        <w:t xml:space="preserve">采购项目编号： </w:t>
      </w:r>
    </w:p>
    <w:p w14:paraId="7FDC8EF6">
      <w:pPr>
        <w:shd w:val="clear"/>
        <w:snapToGrid w:val="0"/>
        <w:spacing w:before="156" w:beforeLines="50" w:after="50" w:line="360" w:lineRule="exact"/>
        <w:ind w:firstLine="630" w:firstLineChars="300"/>
        <w:rPr>
          <w:rFonts w:hint="eastAsia" w:ascii="宋体"/>
          <w:bCs/>
          <w:color w:val="auto"/>
          <w:szCs w:val="21"/>
          <w:highlight w:val="none"/>
        </w:rPr>
      </w:pPr>
      <w:r>
        <w:rPr>
          <w:rFonts w:hint="eastAsia" w:ascii="宋体"/>
          <w:bCs/>
          <w:color w:val="auto"/>
          <w:szCs w:val="21"/>
          <w:highlight w:val="none"/>
        </w:rPr>
        <w:t>所投分标（如有）：</w:t>
      </w:r>
    </w:p>
    <w:p w14:paraId="697DE1C0">
      <w:pPr>
        <w:shd w:val="clear"/>
        <w:snapToGrid w:val="0"/>
        <w:spacing w:before="156" w:beforeLines="50" w:after="50" w:line="360" w:lineRule="exact"/>
        <w:ind w:firstLine="630" w:firstLineChars="300"/>
        <w:rPr>
          <w:rFonts w:hint="eastAsia" w:ascii="宋体"/>
          <w:bCs/>
          <w:color w:val="auto"/>
          <w:szCs w:val="21"/>
          <w:highlight w:val="none"/>
        </w:rPr>
      </w:pPr>
      <w:r>
        <w:rPr>
          <w:rFonts w:hint="eastAsia" w:ascii="宋体"/>
          <w:bCs/>
          <w:color w:val="auto"/>
          <w:szCs w:val="21"/>
          <w:highlight w:val="none"/>
        </w:rPr>
        <w:t>投标人名称：（盖章）</w:t>
      </w:r>
    </w:p>
    <w:p w14:paraId="5F3EB8E0">
      <w:pPr>
        <w:shd w:val="clear"/>
        <w:snapToGrid w:val="0"/>
        <w:spacing w:before="156" w:beforeLines="50" w:after="50" w:line="360" w:lineRule="exact"/>
        <w:ind w:firstLine="630" w:firstLineChars="300"/>
        <w:rPr>
          <w:rFonts w:hint="eastAsia" w:ascii="宋体"/>
          <w:bCs/>
          <w:color w:val="auto"/>
          <w:szCs w:val="21"/>
          <w:highlight w:val="none"/>
        </w:rPr>
      </w:pPr>
      <w:r>
        <w:rPr>
          <w:rFonts w:hint="eastAsia" w:ascii="宋体"/>
          <w:bCs/>
          <w:color w:val="auto"/>
          <w:szCs w:val="21"/>
          <w:highlight w:val="none"/>
        </w:rPr>
        <w:t>投标人地址：</w:t>
      </w:r>
    </w:p>
    <w:p w14:paraId="6017AA96">
      <w:pPr>
        <w:shd w:val="clear"/>
        <w:spacing w:line="360" w:lineRule="exact"/>
        <w:rPr>
          <w:rFonts w:hint="eastAsia"/>
          <w:color w:val="auto"/>
          <w:highlight w:val="none"/>
        </w:rPr>
      </w:pPr>
      <w:r>
        <w:rPr>
          <w:rFonts w:hint="eastAsia"/>
          <w:color w:val="auto"/>
          <w:highlight w:val="none"/>
        </w:rPr>
        <w:t xml:space="preserve">                                                   年  月  日</w:t>
      </w:r>
    </w:p>
    <w:p w14:paraId="3EABEA86">
      <w:pPr>
        <w:shd w:val="clear"/>
        <w:spacing w:line="360" w:lineRule="exact"/>
        <w:rPr>
          <w:rFonts w:hint="eastAsia"/>
          <w:color w:val="auto"/>
          <w:highlight w:val="none"/>
        </w:rPr>
      </w:pPr>
    </w:p>
    <w:p w14:paraId="537FAE70">
      <w:pPr>
        <w:shd w:val="clear"/>
        <w:spacing w:line="360" w:lineRule="exact"/>
        <w:rPr>
          <w:rFonts w:hint="eastAsia"/>
          <w:color w:val="auto"/>
          <w:highlight w:val="none"/>
        </w:rPr>
      </w:pPr>
      <w:r>
        <w:rPr>
          <w:rFonts w:hint="eastAsia" w:ascii="宋体" w:hAnsi="宋体"/>
          <w:bCs/>
          <w:color w:val="auto"/>
          <w:szCs w:val="21"/>
          <w:highlight w:val="none"/>
        </w:rPr>
        <w:t>[注：</w:t>
      </w:r>
      <w:r>
        <w:rPr>
          <w:rFonts w:hint="eastAsia" w:ascii="宋体" w:hAnsi="宋体"/>
          <w:color w:val="auto"/>
          <w:highlight w:val="none"/>
        </w:rPr>
        <w:t>投标文件由资格文件、商务技术文件、报价文件</w:t>
      </w:r>
      <w:r>
        <w:rPr>
          <w:rFonts w:hint="eastAsia" w:ascii="宋体"/>
          <w:b/>
          <w:color w:val="auto"/>
          <w:szCs w:val="21"/>
          <w:highlight w:val="none"/>
        </w:rPr>
        <w:t>三部分</w:t>
      </w:r>
      <w:r>
        <w:rPr>
          <w:rFonts w:hint="eastAsia" w:ascii="宋体"/>
          <w:color w:val="auto"/>
          <w:szCs w:val="21"/>
          <w:highlight w:val="none"/>
        </w:rPr>
        <w:t>组成</w:t>
      </w:r>
      <w:r>
        <w:rPr>
          <w:rFonts w:hint="eastAsia" w:ascii="宋体" w:hAnsi="宋体"/>
          <w:bCs/>
          <w:color w:val="auto"/>
          <w:szCs w:val="21"/>
          <w:highlight w:val="none"/>
        </w:rPr>
        <w:t>]</w:t>
      </w:r>
    </w:p>
    <w:p w14:paraId="5AA36F81">
      <w:pPr>
        <w:shd w:val="clear"/>
        <w:spacing w:line="360" w:lineRule="exact"/>
        <w:rPr>
          <w:rFonts w:hint="eastAsia" w:ascii="宋体" w:hAnsi="宋体"/>
          <w:bCs/>
          <w:color w:val="auto"/>
          <w:szCs w:val="21"/>
          <w:highlight w:val="none"/>
        </w:rPr>
      </w:pPr>
    </w:p>
    <w:p w14:paraId="3F28E0DA">
      <w:pPr>
        <w:shd w:val="clear"/>
        <w:spacing w:line="720" w:lineRule="auto"/>
        <w:jc w:val="center"/>
        <w:rPr>
          <w:rFonts w:hint="eastAsia"/>
          <w:b/>
          <w:color w:val="auto"/>
          <w:highlight w:val="none"/>
        </w:rPr>
      </w:pPr>
      <w:r>
        <w:rPr>
          <w:b/>
          <w:color w:val="auto"/>
          <w:highlight w:val="none"/>
        </w:rPr>
        <w:br w:type="page"/>
      </w:r>
      <w:r>
        <w:rPr>
          <w:rFonts w:hint="eastAsia"/>
          <w:b/>
          <w:color w:val="auto"/>
          <w:highlight w:val="none"/>
        </w:rPr>
        <w:t>二、投标文件目录</w:t>
      </w:r>
    </w:p>
    <w:p w14:paraId="744468CD">
      <w:pPr>
        <w:shd w:val="clear"/>
        <w:snapToGrid w:val="0"/>
        <w:spacing w:before="156" w:beforeLines="50" w:line="360" w:lineRule="exact"/>
        <w:ind w:firstLine="411" w:firstLineChars="196"/>
        <w:jc w:val="left"/>
        <w:rPr>
          <w:rFonts w:hint="eastAsia" w:ascii="宋体" w:hAnsi="宋体"/>
          <w:b/>
          <w:color w:val="auto"/>
          <w:szCs w:val="21"/>
          <w:highlight w:val="none"/>
        </w:rPr>
      </w:pPr>
      <w:r>
        <w:rPr>
          <w:rFonts w:hint="eastAsia" w:ascii="宋体" w:hAnsi="宋体"/>
          <w:b/>
          <w:color w:val="auto"/>
          <w:szCs w:val="21"/>
          <w:highlight w:val="none"/>
        </w:rPr>
        <w:t>1.资格文件：</w:t>
      </w:r>
    </w:p>
    <w:p w14:paraId="15D32327">
      <w:pPr>
        <w:shd w:val="clear"/>
        <w:snapToGrid w:val="0"/>
        <w:spacing w:line="360" w:lineRule="exact"/>
        <w:ind w:firstLine="411" w:firstLineChars="196"/>
        <w:jc w:val="left"/>
        <w:rPr>
          <w:rFonts w:hint="eastAsia" w:ascii="宋体" w:hAnsi="宋体" w:eastAsia="宋体"/>
          <w:color w:val="auto"/>
          <w:szCs w:val="21"/>
          <w:highlight w:val="none"/>
          <w:lang w:eastAsia="zh-CN"/>
        </w:rPr>
      </w:pPr>
      <w:r>
        <w:rPr>
          <w:rFonts w:hint="eastAsia" w:ascii="宋体" w:hAnsi="宋体"/>
          <w:color w:val="auto"/>
          <w:szCs w:val="21"/>
          <w:highlight w:val="none"/>
        </w:rPr>
        <w:t>（1）有效的主体资格证明文件</w:t>
      </w:r>
    </w:p>
    <w:p w14:paraId="6AACBBA0">
      <w:pPr>
        <w:shd w:val="clear"/>
        <w:spacing w:line="370" w:lineRule="exact"/>
        <w:rPr>
          <w:rFonts w:hint="eastAsia" w:eastAsia="宋体"/>
          <w:b/>
          <w:color w:val="auto"/>
          <w:highlight w:val="none"/>
          <w:lang w:eastAsia="zh-CN"/>
        </w:rPr>
      </w:pPr>
      <w:r>
        <w:rPr>
          <w:rFonts w:hint="eastAsia"/>
          <w:b/>
          <w:color w:val="auto"/>
          <w:highlight w:val="none"/>
        </w:rPr>
        <w:t xml:space="preserve">    </w:t>
      </w:r>
      <w:r>
        <w:rPr>
          <w:rFonts w:hint="eastAsia" w:ascii="宋体" w:hAnsi="宋体"/>
          <w:color w:val="auto"/>
          <w:highlight w:val="none"/>
        </w:rPr>
        <w:t xml:space="preserve"> 投标人有效的“主体资格证明文件”（如营业执照、事业单位法人证书、执业许可证、自然人身份证等）</w:t>
      </w:r>
      <w:r>
        <w:rPr>
          <w:rFonts w:hint="eastAsia" w:hAnsi="宋体"/>
          <w:color w:val="auto"/>
          <w:highlight w:val="none"/>
        </w:rPr>
        <w:t>复印件</w:t>
      </w:r>
      <w:r>
        <w:rPr>
          <w:rFonts w:hint="eastAsia" w:ascii="宋体" w:hAnsi="宋体"/>
          <w:color w:val="auto"/>
          <w:highlight w:val="none"/>
        </w:rPr>
        <w:t>，同时要加盖单位公章</w:t>
      </w:r>
      <w:r>
        <w:rPr>
          <w:rFonts w:hint="eastAsia" w:ascii="宋体" w:hAnsi="宋体"/>
          <w:b/>
          <w:color w:val="auto"/>
          <w:highlight w:val="none"/>
          <w:lang w:eastAsia="zh-CN"/>
        </w:rPr>
        <w:t>[必须提供]</w:t>
      </w:r>
      <w:r>
        <w:rPr>
          <w:rFonts w:hint="eastAsia"/>
          <w:b/>
          <w:color w:val="auto"/>
          <w:highlight w:val="none"/>
        </w:rPr>
        <w:t xml:space="preserve">   </w:t>
      </w:r>
    </w:p>
    <w:p w14:paraId="059D6CED">
      <w:pPr>
        <w:shd w:val="clear"/>
        <w:snapToGrid w:val="0"/>
        <w:spacing w:line="360" w:lineRule="exact"/>
        <w:ind w:firstLine="411" w:firstLineChars="196"/>
        <w:jc w:val="left"/>
        <w:rPr>
          <w:rFonts w:hint="eastAsia" w:ascii="宋体" w:hAnsi="宋体" w:eastAsia="宋体"/>
          <w:color w:val="auto"/>
          <w:szCs w:val="21"/>
          <w:highlight w:val="none"/>
          <w:lang w:eastAsia="zh-CN"/>
        </w:rPr>
      </w:pPr>
      <w:r>
        <w:rPr>
          <w:rFonts w:hint="eastAsia" w:ascii="宋体" w:hAnsi="宋体"/>
          <w:color w:val="auto"/>
          <w:szCs w:val="21"/>
          <w:highlight w:val="none"/>
        </w:rPr>
        <w:t>（2）投标截止之日前一年内投标人</w:t>
      </w:r>
      <w:r>
        <w:rPr>
          <w:rFonts w:hint="eastAsia" w:ascii="宋体" w:hAnsi="宋体"/>
          <w:color w:val="auto"/>
          <w:szCs w:val="21"/>
          <w:highlight w:val="none"/>
          <w:lang w:eastAsia="zh-CN"/>
        </w:rPr>
        <w:t>任意</w:t>
      </w:r>
      <w:r>
        <w:rPr>
          <w:rFonts w:hint="eastAsia" w:ascii="宋体" w:hAnsi="宋体"/>
          <w:color w:val="auto"/>
          <w:szCs w:val="21"/>
          <w:highlight w:val="none"/>
        </w:rPr>
        <w:t>三个月的依法缴纳税费或依法免缴税费的证明；无纳税记录的，应提供由投标人所在地的税务部门出具的《依法纳税或依法免税证明》</w:t>
      </w:r>
      <w:r>
        <w:rPr>
          <w:rFonts w:hint="eastAsia" w:ascii="宋体" w:hAnsi="宋体"/>
          <w:b/>
          <w:color w:val="auto"/>
          <w:szCs w:val="21"/>
          <w:highlight w:val="none"/>
          <w:lang w:eastAsia="zh-CN"/>
        </w:rPr>
        <w:t>[必须提供，新成立单位按实际提供]</w:t>
      </w:r>
    </w:p>
    <w:p w14:paraId="268F2BF4">
      <w:pPr>
        <w:shd w:val="clear"/>
        <w:snapToGrid w:val="0"/>
        <w:spacing w:line="360" w:lineRule="exact"/>
        <w:ind w:firstLine="411" w:firstLineChars="196"/>
        <w:jc w:val="left"/>
        <w:rPr>
          <w:rFonts w:hint="eastAsia" w:ascii="宋体" w:hAnsi="宋体" w:eastAsia="宋体"/>
          <w:color w:val="auto"/>
          <w:szCs w:val="21"/>
          <w:highlight w:val="none"/>
          <w:lang w:eastAsia="zh-CN"/>
        </w:rPr>
      </w:pPr>
      <w:r>
        <w:rPr>
          <w:rFonts w:hint="eastAsia" w:ascii="宋体" w:hAnsi="宋体"/>
          <w:color w:val="auto"/>
          <w:szCs w:val="21"/>
          <w:highlight w:val="none"/>
        </w:rPr>
        <w:t>（3）投标截止之日前一年内投标人</w:t>
      </w:r>
      <w:r>
        <w:rPr>
          <w:rFonts w:hint="eastAsia" w:ascii="宋体" w:hAnsi="宋体"/>
          <w:color w:val="auto"/>
          <w:szCs w:val="21"/>
          <w:highlight w:val="none"/>
          <w:lang w:eastAsia="zh-CN"/>
        </w:rPr>
        <w:t>任意</w:t>
      </w:r>
      <w:r>
        <w:rPr>
          <w:rFonts w:hint="eastAsia" w:ascii="宋体" w:hAnsi="宋体"/>
          <w:color w:val="auto"/>
          <w:szCs w:val="21"/>
          <w:highlight w:val="none"/>
        </w:rPr>
        <w:t>三个月的依法缴纳社保费的缴费凭证；无缴费记录的，应提供由投标人所在地社保等相关部门出具的《依法缴纳或依法免缴社保费证明》</w:t>
      </w:r>
      <w:r>
        <w:rPr>
          <w:rFonts w:hint="eastAsia" w:ascii="宋体" w:hAnsi="宋体"/>
          <w:b/>
          <w:color w:val="auto"/>
          <w:szCs w:val="21"/>
          <w:highlight w:val="none"/>
          <w:lang w:eastAsia="zh-CN"/>
        </w:rPr>
        <w:t>[必须提供，新成立单位按实际提供]</w:t>
      </w:r>
    </w:p>
    <w:p w14:paraId="356AAB0F">
      <w:pPr>
        <w:shd w:val="clear"/>
        <w:snapToGrid w:val="0"/>
        <w:spacing w:line="360" w:lineRule="exact"/>
        <w:jc w:val="left"/>
        <w:rPr>
          <w:rFonts w:hint="eastAsia" w:ascii="宋体" w:hAnsi="宋体" w:eastAsia="宋体"/>
          <w:b/>
          <w:color w:val="auto"/>
          <w:szCs w:val="21"/>
          <w:highlight w:val="none"/>
          <w:lang w:eastAsia="zh-CN"/>
        </w:rPr>
      </w:pPr>
      <w:r>
        <w:rPr>
          <w:rFonts w:hint="eastAsia" w:ascii="宋体" w:hAnsi="宋体"/>
          <w:b/>
          <w:color w:val="auto"/>
          <w:szCs w:val="21"/>
          <w:highlight w:val="none"/>
        </w:rPr>
        <w:t xml:space="preserve">    </w:t>
      </w:r>
      <w:r>
        <w:rPr>
          <w:rFonts w:hint="eastAsia" w:ascii="宋体" w:hAnsi="宋体"/>
          <w:color w:val="auto"/>
          <w:szCs w:val="21"/>
          <w:highlight w:val="none"/>
        </w:rPr>
        <w:t>（4）</w:t>
      </w:r>
      <w:r>
        <w:rPr>
          <w:rFonts w:ascii="宋体" w:hAnsi="宋体"/>
          <w:color w:val="auto"/>
          <w:szCs w:val="21"/>
          <w:highlight w:val="none"/>
        </w:rPr>
        <w:t>财务状况报告</w:t>
      </w:r>
      <w:r>
        <w:rPr>
          <w:rFonts w:hint="eastAsia" w:ascii="宋体" w:hAnsi="宋体"/>
          <w:b/>
          <w:color w:val="auto"/>
          <w:szCs w:val="21"/>
          <w:highlight w:val="none"/>
          <w:lang w:eastAsia="zh-CN"/>
        </w:rPr>
        <w:t>[格式自拟，必须提供]</w:t>
      </w:r>
    </w:p>
    <w:p w14:paraId="0C410A39">
      <w:pPr>
        <w:shd w:val="clear"/>
        <w:snapToGrid w:val="0"/>
        <w:spacing w:line="360" w:lineRule="exact"/>
        <w:ind w:firstLine="411" w:firstLineChars="196"/>
        <w:jc w:val="left"/>
        <w:rPr>
          <w:rFonts w:hint="eastAsia" w:ascii="宋体" w:hAnsi="宋体" w:eastAsia="宋体" w:cs="宋体"/>
          <w:b/>
          <w:color w:val="auto"/>
          <w:kern w:val="0"/>
          <w:szCs w:val="21"/>
          <w:highlight w:val="none"/>
          <w:lang w:eastAsia="zh-CN"/>
        </w:rPr>
      </w:pPr>
      <w:r>
        <w:rPr>
          <w:rFonts w:hint="eastAsia" w:ascii="宋体" w:hAnsi="宋体" w:cs="宋体"/>
          <w:color w:val="auto"/>
          <w:kern w:val="0"/>
          <w:szCs w:val="21"/>
          <w:highlight w:val="none"/>
        </w:rPr>
        <w:t>（5）</w:t>
      </w:r>
      <w:r>
        <w:rPr>
          <w:rFonts w:ascii="宋体" w:hAnsi="宋体"/>
          <w:color w:val="auto"/>
          <w:szCs w:val="21"/>
          <w:highlight w:val="none"/>
        </w:rPr>
        <w:t>具备履行合同所必需的设备和专业技术能力的证明材料</w:t>
      </w:r>
      <w:r>
        <w:rPr>
          <w:rFonts w:hint="eastAsia" w:ascii="宋体" w:hAnsi="宋体"/>
          <w:b/>
          <w:color w:val="auto"/>
          <w:szCs w:val="21"/>
          <w:highlight w:val="none"/>
          <w:lang w:eastAsia="zh-CN"/>
        </w:rPr>
        <w:t>[内容、格式自拟，必须提供]</w:t>
      </w:r>
    </w:p>
    <w:p w14:paraId="5EFB5BAE">
      <w:pPr>
        <w:shd w:val="clear"/>
        <w:snapToGrid w:val="0"/>
        <w:spacing w:line="360" w:lineRule="exact"/>
        <w:ind w:firstLine="411" w:firstLineChars="196"/>
        <w:jc w:val="left"/>
        <w:rPr>
          <w:rFonts w:hint="eastAsia" w:ascii="宋体" w:hAnsi="宋体" w:eastAsia="宋体"/>
          <w:color w:val="auto"/>
          <w:szCs w:val="21"/>
          <w:highlight w:val="none"/>
          <w:lang w:eastAsia="zh-CN"/>
        </w:rPr>
      </w:pPr>
      <w:r>
        <w:rPr>
          <w:rFonts w:hint="eastAsia" w:ascii="宋体" w:hAnsi="宋体" w:cs="宋体"/>
          <w:color w:val="auto"/>
          <w:kern w:val="0"/>
          <w:szCs w:val="21"/>
          <w:highlight w:val="none"/>
        </w:rPr>
        <w:t>（6）</w:t>
      </w:r>
      <w:r>
        <w:rPr>
          <w:rFonts w:hint="eastAsia" w:ascii="宋体" w:hAnsi="宋体"/>
          <w:color w:val="auto"/>
          <w:szCs w:val="21"/>
          <w:highlight w:val="none"/>
        </w:rPr>
        <w:t>参加政府采购活动前三年内在经营活动中没有重大违法记录和不良信用记录的书面声明</w:t>
      </w:r>
      <w:r>
        <w:rPr>
          <w:rFonts w:hint="eastAsia" w:ascii="宋体" w:hAnsi="宋体"/>
          <w:color w:val="auto"/>
          <w:szCs w:val="21"/>
          <w:highlight w:val="none"/>
          <w:lang w:eastAsia="zh-CN"/>
        </w:rPr>
        <w:t>[格式自拟，必须提供]</w:t>
      </w:r>
    </w:p>
    <w:p w14:paraId="6BDED0BC">
      <w:pPr>
        <w:shd w:val="clear"/>
        <w:snapToGrid w:val="0"/>
        <w:spacing w:line="360" w:lineRule="exact"/>
        <w:ind w:firstLine="411" w:firstLineChars="196"/>
        <w:jc w:val="left"/>
        <w:rPr>
          <w:rFonts w:hint="eastAsia" w:ascii="宋体" w:hAnsi="宋体"/>
          <w:b/>
          <w:color w:val="auto"/>
          <w:szCs w:val="21"/>
          <w:highlight w:val="none"/>
        </w:rPr>
      </w:pPr>
      <w:r>
        <w:rPr>
          <w:rFonts w:hint="eastAsia" w:ascii="宋体" w:hAnsi="宋体"/>
          <w:b/>
          <w:color w:val="auto"/>
          <w:szCs w:val="21"/>
          <w:highlight w:val="none"/>
        </w:rPr>
        <w:t>注：采购人或采购代理机构在资格审查结束前对供应商进行信用查询</w:t>
      </w:r>
    </w:p>
    <w:p w14:paraId="21AD825C">
      <w:pPr>
        <w:shd w:val="clear"/>
        <w:snapToGrid w:val="0"/>
        <w:spacing w:line="360" w:lineRule="exact"/>
        <w:ind w:firstLine="411" w:firstLineChars="196"/>
        <w:jc w:val="left"/>
        <w:rPr>
          <w:rFonts w:hint="eastAsia" w:ascii="宋体" w:hAnsi="宋体"/>
          <w:b/>
          <w:color w:val="auto"/>
          <w:szCs w:val="21"/>
          <w:highlight w:val="none"/>
        </w:rPr>
      </w:pPr>
      <w:r>
        <w:rPr>
          <w:rFonts w:hint="eastAsia" w:ascii="宋体" w:hAnsi="宋体"/>
          <w:b/>
          <w:color w:val="auto"/>
          <w:szCs w:val="21"/>
          <w:highlight w:val="none"/>
        </w:rPr>
        <w:t>查询渠道：“信用中国”网站</w:t>
      </w:r>
      <w:r>
        <w:rPr>
          <w:rFonts w:hint="eastAsia" w:ascii="宋体" w:hAnsi="宋体"/>
          <w:b/>
          <w:color w:val="auto"/>
          <w:szCs w:val="21"/>
          <w:highlight w:val="none"/>
          <w:lang w:eastAsia="zh-CN"/>
        </w:rPr>
        <w:t>（</w:t>
      </w:r>
      <w:r>
        <w:rPr>
          <w:rFonts w:hint="eastAsia" w:ascii="宋体" w:hAnsi="宋体"/>
          <w:b/>
          <w:color w:val="auto"/>
          <w:szCs w:val="21"/>
          <w:highlight w:val="none"/>
        </w:rPr>
        <w:t>www.creditchina.gov.cn</w:t>
      </w:r>
      <w:r>
        <w:rPr>
          <w:rFonts w:hint="eastAsia" w:ascii="宋体" w:hAnsi="宋体"/>
          <w:b/>
          <w:color w:val="auto"/>
          <w:szCs w:val="21"/>
          <w:highlight w:val="none"/>
          <w:lang w:eastAsia="zh-CN"/>
        </w:rPr>
        <w:t>）</w:t>
      </w:r>
      <w:r>
        <w:rPr>
          <w:rFonts w:hint="eastAsia" w:ascii="宋体" w:hAnsi="宋体"/>
          <w:b/>
          <w:color w:val="auto"/>
          <w:szCs w:val="21"/>
          <w:highlight w:val="none"/>
        </w:rPr>
        <w:t xml:space="preserve"> 、中国政府采购网</w:t>
      </w:r>
      <w:r>
        <w:rPr>
          <w:rFonts w:hint="eastAsia" w:ascii="宋体" w:hAnsi="宋体"/>
          <w:b/>
          <w:color w:val="auto"/>
          <w:szCs w:val="21"/>
          <w:highlight w:val="none"/>
          <w:lang w:eastAsia="zh-CN"/>
        </w:rPr>
        <w:t>（</w:t>
      </w:r>
      <w:r>
        <w:rPr>
          <w:rFonts w:hint="eastAsia" w:ascii="宋体" w:hAnsi="宋体"/>
          <w:b/>
          <w:color w:val="auto"/>
          <w:szCs w:val="21"/>
          <w:highlight w:val="none"/>
        </w:rPr>
        <w:t>www.ccgp.gov.cn</w:t>
      </w:r>
      <w:r>
        <w:rPr>
          <w:rFonts w:hint="eastAsia" w:ascii="宋体" w:hAnsi="宋体"/>
          <w:b/>
          <w:color w:val="auto"/>
          <w:szCs w:val="21"/>
          <w:highlight w:val="none"/>
          <w:lang w:eastAsia="zh-CN"/>
        </w:rPr>
        <w:t>）</w:t>
      </w:r>
    </w:p>
    <w:p w14:paraId="1F9FD6F1">
      <w:pPr>
        <w:shd w:val="clear"/>
        <w:snapToGrid w:val="0"/>
        <w:spacing w:line="360" w:lineRule="exact"/>
        <w:ind w:firstLine="411" w:firstLineChars="196"/>
        <w:jc w:val="left"/>
        <w:rPr>
          <w:rFonts w:hint="eastAsia" w:ascii="宋体" w:hAnsi="宋体"/>
          <w:b/>
          <w:color w:val="auto"/>
          <w:szCs w:val="21"/>
          <w:highlight w:val="none"/>
        </w:rPr>
      </w:pPr>
      <w:r>
        <w:rPr>
          <w:rFonts w:hint="eastAsia" w:ascii="宋体" w:hAnsi="宋体"/>
          <w:b/>
          <w:color w:val="auto"/>
          <w:szCs w:val="21"/>
          <w:highlight w:val="none"/>
        </w:rPr>
        <w:t>查询截止时间：资格审查结束前。</w:t>
      </w:r>
    </w:p>
    <w:p w14:paraId="0049C718">
      <w:pPr>
        <w:shd w:val="clear"/>
        <w:snapToGrid w:val="0"/>
        <w:spacing w:line="360" w:lineRule="exact"/>
        <w:ind w:firstLine="411" w:firstLineChars="196"/>
        <w:jc w:val="left"/>
        <w:rPr>
          <w:rFonts w:hint="eastAsia" w:ascii="宋体" w:hAnsi="宋体"/>
          <w:b/>
          <w:color w:val="auto"/>
          <w:szCs w:val="21"/>
          <w:highlight w:val="none"/>
        </w:rPr>
      </w:pPr>
      <w:r>
        <w:rPr>
          <w:rFonts w:hint="eastAsia" w:ascii="宋体" w:hAnsi="宋体"/>
          <w:b/>
          <w:color w:val="auto"/>
          <w:szCs w:val="21"/>
          <w:highlight w:val="none"/>
        </w:rPr>
        <w:t>查询记录和证据留存方式：在查询网站中直接打印查询记录，打印材料作为评审资料保存。</w:t>
      </w:r>
    </w:p>
    <w:p w14:paraId="4A488FB3">
      <w:pPr>
        <w:shd w:val="clear"/>
        <w:snapToGrid w:val="0"/>
        <w:spacing w:line="360" w:lineRule="exact"/>
        <w:ind w:firstLine="420" w:firstLineChars="200"/>
        <w:jc w:val="left"/>
        <w:rPr>
          <w:rFonts w:hint="eastAsia" w:ascii="宋体" w:hAnsi="宋体"/>
          <w:b/>
          <w:color w:val="auto"/>
          <w:szCs w:val="21"/>
          <w:highlight w:val="none"/>
        </w:rPr>
      </w:pPr>
      <w:r>
        <w:rPr>
          <w:rFonts w:hint="eastAsia" w:ascii="宋体" w:hAnsi="宋体"/>
          <w:b/>
          <w:color w:val="auto"/>
          <w:szCs w:val="21"/>
          <w:highlight w:val="none"/>
        </w:rPr>
        <w:t>信用信息使用规则：对在“信用中国”网站</w:t>
      </w:r>
      <w:r>
        <w:rPr>
          <w:rFonts w:hint="eastAsia" w:ascii="宋体" w:hAnsi="宋体"/>
          <w:b/>
          <w:color w:val="auto"/>
          <w:szCs w:val="21"/>
          <w:highlight w:val="none"/>
          <w:lang w:eastAsia="zh-CN"/>
        </w:rPr>
        <w:t>（</w:t>
      </w:r>
      <w:r>
        <w:rPr>
          <w:rFonts w:hint="eastAsia" w:ascii="宋体" w:hAnsi="宋体"/>
          <w:b/>
          <w:color w:val="auto"/>
          <w:szCs w:val="21"/>
          <w:highlight w:val="none"/>
        </w:rPr>
        <w:t>www.creditchina.gov.cn</w:t>
      </w:r>
      <w:r>
        <w:rPr>
          <w:rFonts w:hint="eastAsia" w:ascii="宋体" w:hAnsi="宋体"/>
          <w:b/>
          <w:color w:val="auto"/>
          <w:szCs w:val="21"/>
          <w:highlight w:val="none"/>
          <w:lang w:eastAsia="zh-CN"/>
        </w:rPr>
        <w:t>）</w:t>
      </w:r>
      <w:r>
        <w:rPr>
          <w:rFonts w:hint="eastAsia" w:ascii="宋体" w:hAnsi="宋体"/>
          <w:b/>
          <w:color w:val="auto"/>
          <w:szCs w:val="21"/>
          <w:highlight w:val="none"/>
        </w:rPr>
        <w:t xml:space="preserve"> 、中国政府采购网</w:t>
      </w:r>
      <w:r>
        <w:rPr>
          <w:rFonts w:hint="eastAsia" w:ascii="宋体" w:hAnsi="宋体"/>
          <w:b/>
          <w:color w:val="auto"/>
          <w:szCs w:val="21"/>
          <w:highlight w:val="none"/>
          <w:lang w:eastAsia="zh-CN"/>
        </w:rPr>
        <w:t>（</w:t>
      </w:r>
      <w:r>
        <w:rPr>
          <w:rFonts w:hint="eastAsia" w:ascii="宋体" w:hAnsi="宋体"/>
          <w:b/>
          <w:color w:val="auto"/>
          <w:szCs w:val="21"/>
          <w:highlight w:val="none"/>
        </w:rPr>
        <w:t>www.ccgp.gov.cn</w:t>
      </w:r>
      <w:r>
        <w:rPr>
          <w:rFonts w:hint="eastAsia" w:ascii="宋体" w:hAnsi="宋体"/>
          <w:b/>
          <w:color w:val="auto"/>
          <w:szCs w:val="21"/>
          <w:highlight w:val="none"/>
          <w:lang w:eastAsia="zh-CN"/>
        </w:rPr>
        <w:t>）</w:t>
      </w:r>
      <w:r>
        <w:rPr>
          <w:rFonts w:hint="eastAsia" w:ascii="宋体" w:hAnsi="宋体"/>
          <w:b/>
          <w:color w:val="auto"/>
          <w:szCs w:val="21"/>
          <w:highlight w:val="none"/>
        </w:rPr>
        <w:t>被列入失信被执行人、重大税收违法失信主体、政府采购严重违法失信行为记录名单及其他不符合《中华人民共和国政府采购法》第二十二条规定条件的供应商，将拒绝其参与政府采购活动。</w:t>
      </w:r>
    </w:p>
    <w:p w14:paraId="7E50B495">
      <w:pPr>
        <w:pStyle w:val="26"/>
        <w:keepNext w:val="0"/>
        <w:keepLines w:val="0"/>
        <w:pageBreakBefore w:val="0"/>
        <w:widowControl w:val="0"/>
        <w:numPr>
          <w:ilvl w:val="0"/>
          <w:numId w:val="0"/>
        </w:numPr>
        <w:shd w:val="clear"/>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kern w:val="2"/>
          <w:sz w:val="21"/>
          <w:szCs w:val="21"/>
          <w:highlight w:val="none"/>
          <w:lang w:val="en-US" w:eastAsia="zh-CN" w:bidi="ar-SA"/>
        </w:rPr>
        <w:t>（7）</w:t>
      </w:r>
      <w:r>
        <w:rPr>
          <w:rFonts w:hint="eastAsia" w:ascii="宋体" w:hAnsi="宋体" w:eastAsia="宋体" w:cs="宋体"/>
          <w:b w:val="0"/>
          <w:bCs w:val="0"/>
          <w:color w:val="auto"/>
          <w:sz w:val="21"/>
          <w:szCs w:val="21"/>
          <w:highlight w:val="none"/>
        </w:rPr>
        <w:t>投标人直接控股、管理关系信息表（格式后附）</w:t>
      </w:r>
      <w:r>
        <w:rPr>
          <w:rFonts w:hint="eastAsia" w:ascii="宋体" w:hAnsi="宋体" w:eastAsia="宋体" w:cs="宋体"/>
          <w:b w:val="0"/>
          <w:bCs w:val="0"/>
          <w:color w:val="auto"/>
          <w:sz w:val="21"/>
          <w:szCs w:val="21"/>
          <w:highlight w:val="none"/>
          <w:lang w:eastAsia="zh-CN"/>
        </w:rPr>
        <w:t>[必须提供]</w:t>
      </w:r>
    </w:p>
    <w:p w14:paraId="289A9CF1">
      <w:pPr>
        <w:keepNext w:val="0"/>
        <w:keepLines w:val="0"/>
        <w:pageBreakBefore w:val="0"/>
        <w:widowControl w:val="0"/>
        <w:shd w:val="clear"/>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8）投标人参加本项目无围标串标行为的承诺</w:t>
      </w:r>
      <w:r>
        <w:rPr>
          <w:rFonts w:hint="eastAsia" w:ascii="宋体" w:hAnsi="宋体" w:eastAsia="宋体" w:cs="宋体"/>
          <w:b w:val="0"/>
          <w:bCs w:val="0"/>
          <w:color w:val="auto"/>
          <w:sz w:val="21"/>
          <w:szCs w:val="21"/>
          <w:highlight w:val="none"/>
          <w:lang w:eastAsia="zh-CN"/>
        </w:rPr>
        <w:t>[必须提供]</w:t>
      </w:r>
    </w:p>
    <w:p w14:paraId="2BFF274F">
      <w:pPr>
        <w:pStyle w:val="26"/>
        <w:shd w:val="clear"/>
        <w:snapToGrid w:val="0"/>
        <w:spacing w:line="360" w:lineRule="exact"/>
        <w:ind w:firstLine="420" w:firstLineChars="200"/>
        <w:jc w:val="left"/>
        <w:rPr>
          <w:rFonts w:hint="eastAsia"/>
          <w:b/>
          <w:color w:val="auto"/>
          <w:highlight w:val="none"/>
        </w:rPr>
      </w:pPr>
    </w:p>
    <w:p w14:paraId="66AB1730">
      <w:pPr>
        <w:pStyle w:val="26"/>
        <w:shd w:val="clear"/>
        <w:snapToGrid w:val="0"/>
        <w:spacing w:line="360" w:lineRule="exact"/>
        <w:ind w:firstLine="420" w:firstLineChars="200"/>
        <w:jc w:val="left"/>
        <w:rPr>
          <w:rFonts w:hint="eastAsia"/>
          <w:b/>
          <w:color w:val="auto"/>
          <w:highlight w:val="none"/>
          <w:lang w:eastAsia="zh-CN"/>
        </w:rPr>
      </w:pPr>
      <w:r>
        <w:rPr>
          <w:rFonts w:hint="eastAsia"/>
          <w:b/>
          <w:color w:val="auto"/>
          <w:highlight w:val="none"/>
        </w:rPr>
        <w:t>2.商务技术文件：</w:t>
      </w:r>
    </w:p>
    <w:p w14:paraId="58E535C4">
      <w:pPr>
        <w:pStyle w:val="26"/>
        <w:shd w:val="clear"/>
        <w:snapToGrid w:val="0"/>
        <w:spacing w:line="360" w:lineRule="exact"/>
        <w:ind w:firstLine="420" w:firstLineChars="200"/>
        <w:jc w:val="left"/>
        <w:rPr>
          <w:rFonts w:hint="eastAsia"/>
          <w:b/>
          <w:color w:val="auto"/>
          <w:highlight w:val="none"/>
          <w:lang w:eastAsia="zh-CN"/>
        </w:rPr>
      </w:pPr>
      <w:r>
        <w:rPr>
          <w:rFonts w:hint="eastAsia"/>
          <w:b/>
          <w:color w:val="auto"/>
          <w:highlight w:val="none"/>
        </w:rPr>
        <w:t>2.</w:t>
      </w:r>
      <w:r>
        <w:rPr>
          <w:rFonts w:hint="eastAsia"/>
          <w:b/>
          <w:color w:val="auto"/>
          <w:highlight w:val="none"/>
          <w:lang w:eastAsia="zh-CN"/>
        </w:rPr>
        <w:t>1</w:t>
      </w:r>
      <w:r>
        <w:rPr>
          <w:rFonts w:hint="eastAsia"/>
          <w:b/>
          <w:color w:val="auto"/>
          <w:highlight w:val="none"/>
        </w:rPr>
        <w:t>商务文件：</w:t>
      </w:r>
    </w:p>
    <w:p w14:paraId="42F40C96">
      <w:pPr>
        <w:shd w:val="clear"/>
        <w:snapToGrid w:val="0"/>
        <w:spacing w:line="360" w:lineRule="exact"/>
        <w:ind w:firstLine="420" w:firstLineChars="200"/>
        <w:jc w:val="left"/>
        <w:rPr>
          <w:rFonts w:hint="eastAsia" w:ascii="宋体" w:hAnsi="宋体" w:eastAsia="宋体"/>
          <w:color w:val="auto"/>
          <w:highlight w:val="none"/>
          <w:lang w:eastAsia="zh-CN"/>
        </w:rPr>
      </w:pPr>
      <w:r>
        <w:rPr>
          <w:rFonts w:hint="eastAsia" w:ascii="宋体" w:hAnsi="宋体"/>
          <w:color w:val="auto"/>
          <w:highlight w:val="none"/>
        </w:rPr>
        <w:t>（1）</w:t>
      </w:r>
      <w:r>
        <w:rPr>
          <w:rFonts w:hint="eastAsia" w:ascii="宋体" w:hAnsi="宋体"/>
          <w:color w:val="auto"/>
          <w:szCs w:val="21"/>
          <w:highlight w:val="none"/>
        </w:rPr>
        <w:t>投标保证金的提交凭证</w:t>
      </w:r>
      <w:r>
        <w:rPr>
          <w:rFonts w:hint="eastAsia" w:ascii="宋体" w:hAnsi="宋体"/>
          <w:b/>
          <w:color w:val="auto"/>
          <w:highlight w:val="none"/>
          <w:lang w:eastAsia="zh-CN"/>
        </w:rPr>
        <w:t>[必须提供]</w:t>
      </w:r>
    </w:p>
    <w:p w14:paraId="43183D38">
      <w:pPr>
        <w:shd w:val="clear"/>
        <w:snapToGrid w:val="0"/>
        <w:spacing w:line="36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 xml:space="preserve">（2）投标声明书 </w:t>
      </w:r>
      <w:r>
        <w:rPr>
          <w:rFonts w:hint="eastAsia" w:ascii="宋体"/>
          <w:color w:val="auto"/>
          <w:szCs w:val="21"/>
          <w:highlight w:val="none"/>
          <w:lang w:eastAsia="zh-CN"/>
        </w:rPr>
        <w:t>（</w:t>
      </w:r>
      <w:r>
        <w:rPr>
          <w:rFonts w:hint="eastAsia" w:ascii="宋体"/>
          <w:color w:val="auto"/>
          <w:szCs w:val="21"/>
          <w:highlight w:val="none"/>
        </w:rPr>
        <w:t>格式见第六章</w:t>
      </w:r>
      <w:r>
        <w:rPr>
          <w:rFonts w:hint="eastAsia" w:ascii="宋体"/>
          <w:color w:val="auto"/>
          <w:szCs w:val="21"/>
          <w:highlight w:val="none"/>
          <w:lang w:eastAsia="zh-CN"/>
        </w:rPr>
        <w:t>）</w:t>
      </w:r>
      <w:r>
        <w:rPr>
          <w:rFonts w:hint="eastAsia" w:ascii="宋体"/>
          <w:b/>
          <w:color w:val="auto"/>
          <w:szCs w:val="21"/>
          <w:highlight w:val="none"/>
          <w:lang w:eastAsia="zh-CN"/>
        </w:rPr>
        <w:t>[必须提供]</w:t>
      </w:r>
    </w:p>
    <w:p w14:paraId="1750C2FD">
      <w:pPr>
        <w:shd w:val="clea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（3）法定代表人</w:t>
      </w:r>
      <w:r>
        <w:rPr>
          <w:rFonts w:hint="eastAsia" w:ascii="宋体"/>
          <w:color w:val="auto"/>
          <w:szCs w:val="21"/>
          <w:highlight w:val="none"/>
          <w:lang w:eastAsia="zh-CN"/>
        </w:rPr>
        <w:t>（</w:t>
      </w:r>
      <w:r>
        <w:rPr>
          <w:rFonts w:hint="eastAsia" w:ascii="宋体"/>
          <w:color w:val="auto"/>
          <w:szCs w:val="21"/>
          <w:highlight w:val="none"/>
        </w:rPr>
        <w:t>负责人</w:t>
      </w:r>
      <w:r>
        <w:rPr>
          <w:rFonts w:hint="eastAsia" w:ascii="宋体"/>
          <w:color w:val="auto"/>
          <w:szCs w:val="21"/>
          <w:highlight w:val="none"/>
          <w:lang w:eastAsia="zh-CN"/>
        </w:rPr>
        <w:t>）</w:t>
      </w:r>
      <w:r>
        <w:rPr>
          <w:rFonts w:hint="eastAsia" w:ascii="宋体"/>
          <w:color w:val="auto"/>
          <w:szCs w:val="21"/>
          <w:highlight w:val="none"/>
        </w:rPr>
        <w:t>授权委托书和委托代理人身份证正、反面复印件（格式见第六章</w:t>
      </w:r>
      <w:r>
        <w:rPr>
          <w:rFonts w:hint="eastAsia" w:ascii="宋体"/>
          <w:color w:val="auto"/>
          <w:szCs w:val="21"/>
          <w:highlight w:val="none"/>
          <w:lang w:eastAsia="zh-CN"/>
        </w:rPr>
        <w:t>）</w:t>
      </w:r>
      <w:r>
        <w:rPr>
          <w:rFonts w:hint="eastAsia" w:ascii="宋体"/>
          <w:b/>
          <w:color w:val="auto"/>
          <w:szCs w:val="21"/>
          <w:highlight w:val="none"/>
          <w:lang w:eastAsia="zh-CN"/>
        </w:rPr>
        <w:t>[委托时必须提供]</w:t>
      </w:r>
    </w:p>
    <w:p w14:paraId="2263A79D">
      <w:pPr>
        <w:shd w:val="clea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（4）法定代表人</w:t>
      </w:r>
      <w:r>
        <w:rPr>
          <w:rFonts w:hint="eastAsia" w:ascii="宋体"/>
          <w:color w:val="auto"/>
          <w:szCs w:val="21"/>
          <w:highlight w:val="none"/>
          <w:lang w:eastAsia="zh-CN"/>
        </w:rPr>
        <w:t>（</w:t>
      </w:r>
      <w:r>
        <w:rPr>
          <w:rFonts w:hint="eastAsia" w:ascii="宋体"/>
          <w:color w:val="auto"/>
          <w:szCs w:val="21"/>
          <w:highlight w:val="none"/>
        </w:rPr>
        <w:t>负责人</w:t>
      </w:r>
      <w:r>
        <w:rPr>
          <w:rFonts w:hint="eastAsia" w:ascii="宋体"/>
          <w:color w:val="auto"/>
          <w:szCs w:val="21"/>
          <w:highlight w:val="none"/>
          <w:lang w:eastAsia="zh-CN"/>
        </w:rPr>
        <w:t>）</w:t>
      </w:r>
      <w:r>
        <w:rPr>
          <w:rFonts w:hint="eastAsia" w:ascii="宋体"/>
          <w:color w:val="auto"/>
          <w:szCs w:val="21"/>
          <w:highlight w:val="none"/>
        </w:rPr>
        <w:t>身份证明书（格式见第六章</w:t>
      </w:r>
      <w:r>
        <w:rPr>
          <w:rFonts w:hint="eastAsia" w:ascii="宋体"/>
          <w:color w:val="auto"/>
          <w:szCs w:val="21"/>
          <w:highlight w:val="none"/>
          <w:lang w:eastAsia="zh-CN"/>
        </w:rPr>
        <w:t>）</w:t>
      </w:r>
      <w:r>
        <w:rPr>
          <w:rFonts w:hint="eastAsia" w:ascii="宋体"/>
          <w:color w:val="auto"/>
          <w:szCs w:val="21"/>
          <w:highlight w:val="none"/>
        </w:rPr>
        <w:t>、法定代表人</w:t>
      </w:r>
      <w:r>
        <w:rPr>
          <w:rFonts w:hint="eastAsia" w:ascii="宋体" w:cs="Arial"/>
          <w:color w:val="auto"/>
          <w:szCs w:val="21"/>
          <w:highlight w:val="none"/>
        </w:rPr>
        <w:t>（负责人）</w:t>
      </w:r>
      <w:r>
        <w:rPr>
          <w:rFonts w:hint="eastAsia" w:ascii="宋体"/>
          <w:color w:val="auto"/>
          <w:szCs w:val="21"/>
          <w:highlight w:val="none"/>
        </w:rPr>
        <w:t>有效身份证正反面复印件</w:t>
      </w:r>
      <w:r>
        <w:rPr>
          <w:rFonts w:hint="eastAsia" w:ascii="宋体"/>
          <w:b/>
          <w:color w:val="auto"/>
          <w:szCs w:val="21"/>
          <w:highlight w:val="none"/>
          <w:lang w:eastAsia="zh-CN"/>
        </w:rPr>
        <w:t>[必须提供]</w:t>
      </w:r>
      <w:r>
        <w:rPr>
          <w:rFonts w:hint="eastAsia" w:ascii="宋体"/>
          <w:color w:val="auto"/>
          <w:szCs w:val="21"/>
          <w:highlight w:val="none"/>
        </w:rPr>
        <w:t xml:space="preserve"> </w:t>
      </w:r>
    </w:p>
    <w:p w14:paraId="15801CF9">
      <w:pPr>
        <w:shd w:val="clear"/>
        <w:snapToGrid w:val="0"/>
        <w:spacing w:line="360" w:lineRule="exact"/>
        <w:ind w:firstLine="411" w:firstLineChars="196"/>
        <w:jc w:val="left"/>
        <w:rPr>
          <w:rFonts w:hint="eastAsia" w:ascii="宋体" w:eastAsia="宋体"/>
          <w:b/>
          <w:color w:val="auto"/>
          <w:szCs w:val="21"/>
          <w:highlight w:val="none"/>
          <w:lang w:eastAsia="zh-CN"/>
        </w:rPr>
      </w:pPr>
      <w:r>
        <w:rPr>
          <w:rFonts w:hint="eastAsia" w:ascii="宋体"/>
          <w:color w:val="auto"/>
          <w:szCs w:val="21"/>
          <w:highlight w:val="none"/>
        </w:rPr>
        <w:t>（</w:t>
      </w:r>
      <w:r>
        <w:rPr>
          <w:rFonts w:hint="eastAsia" w:ascii="宋体"/>
          <w:color w:val="auto"/>
          <w:szCs w:val="21"/>
          <w:highlight w:val="none"/>
          <w:lang w:val="en-US" w:eastAsia="zh-CN"/>
        </w:rPr>
        <w:t>5</w:t>
      </w:r>
      <w:r>
        <w:rPr>
          <w:rFonts w:hint="eastAsia" w:ascii="宋体"/>
          <w:color w:val="auto"/>
          <w:szCs w:val="21"/>
          <w:highlight w:val="none"/>
        </w:rPr>
        <w:t>）商务响应表（格式见第六章）</w:t>
      </w:r>
      <w:r>
        <w:rPr>
          <w:rFonts w:hint="eastAsia" w:ascii="宋体"/>
          <w:b/>
          <w:color w:val="auto"/>
          <w:szCs w:val="21"/>
          <w:highlight w:val="none"/>
          <w:lang w:eastAsia="zh-CN"/>
        </w:rPr>
        <w:t>[必须提供]</w:t>
      </w:r>
    </w:p>
    <w:p w14:paraId="62429100">
      <w:pPr>
        <w:shd w:val="clear"/>
        <w:snapToGrid w:val="0"/>
        <w:spacing w:line="360" w:lineRule="exact"/>
        <w:ind w:firstLine="411" w:firstLineChars="196"/>
        <w:jc w:val="left"/>
        <w:rPr>
          <w:rFonts w:hint="eastAsia" w:ascii="宋体" w:eastAsia="宋体"/>
          <w:b/>
          <w:color w:val="auto"/>
          <w:szCs w:val="21"/>
          <w:highlight w:val="none"/>
          <w:lang w:eastAsia="zh-CN"/>
        </w:rPr>
      </w:pPr>
      <w:r>
        <w:rPr>
          <w:rFonts w:hint="eastAsia" w:ascii="宋体"/>
          <w:color w:val="auto"/>
          <w:szCs w:val="21"/>
          <w:highlight w:val="none"/>
        </w:rPr>
        <w:t>（</w:t>
      </w:r>
      <w:r>
        <w:rPr>
          <w:rFonts w:hint="eastAsia" w:ascii="宋体"/>
          <w:color w:val="auto"/>
          <w:szCs w:val="21"/>
          <w:highlight w:val="none"/>
          <w:lang w:val="en-US" w:eastAsia="zh-CN"/>
        </w:rPr>
        <w:t>6</w:t>
      </w:r>
      <w:r>
        <w:rPr>
          <w:rFonts w:hint="eastAsia" w:ascii="宋体"/>
          <w:color w:val="auto"/>
          <w:szCs w:val="21"/>
          <w:highlight w:val="none"/>
        </w:rPr>
        <w:t>）招标项目采购需求中要求提供的材料等</w:t>
      </w:r>
      <w:r>
        <w:rPr>
          <w:rFonts w:hint="eastAsia"/>
          <w:b/>
          <w:bCs/>
          <w:color w:val="auto"/>
          <w:highlight w:val="none"/>
          <w:lang w:eastAsia="zh-CN"/>
        </w:rPr>
        <w:t>[据实提供]</w:t>
      </w:r>
    </w:p>
    <w:p w14:paraId="534C0610">
      <w:pPr>
        <w:shd w:val="clear"/>
        <w:snapToGrid w:val="0"/>
        <w:spacing w:line="360" w:lineRule="exact"/>
        <w:ind w:firstLine="411" w:firstLineChars="196"/>
        <w:jc w:val="left"/>
        <w:rPr>
          <w:rFonts w:hint="eastAsia" w:ascii="宋体" w:eastAsia="宋体"/>
          <w:b/>
          <w:color w:val="auto"/>
          <w:szCs w:val="21"/>
          <w:highlight w:val="none"/>
          <w:lang w:eastAsia="zh-CN"/>
        </w:rPr>
      </w:pPr>
      <w:r>
        <w:rPr>
          <w:rFonts w:hint="eastAsia" w:ascii="宋体"/>
          <w:color w:val="auto"/>
          <w:szCs w:val="21"/>
          <w:highlight w:val="none"/>
        </w:rPr>
        <w:t>（</w:t>
      </w:r>
      <w:r>
        <w:rPr>
          <w:rFonts w:hint="eastAsia" w:ascii="宋体"/>
          <w:color w:val="auto"/>
          <w:szCs w:val="21"/>
          <w:highlight w:val="none"/>
          <w:lang w:val="en-US" w:eastAsia="zh-CN"/>
        </w:rPr>
        <w:t>7</w:t>
      </w:r>
      <w:r>
        <w:rPr>
          <w:rFonts w:hint="eastAsia" w:ascii="宋体"/>
          <w:color w:val="auto"/>
          <w:szCs w:val="21"/>
          <w:highlight w:val="none"/>
        </w:rPr>
        <w:t>）具备法律、行政法规规定的其他条件的证明材料</w:t>
      </w:r>
      <w:r>
        <w:rPr>
          <w:rFonts w:hint="eastAsia" w:ascii="宋体"/>
          <w:b/>
          <w:color w:val="auto"/>
          <w:szCs w:val="21"/>
          <w:highlight w:val="none"/>
          <w:lang w:eastAsia="zh-CN"/>
        </w:rPr>
        <w:t>[如有规定，则必须提供]</w:t>
      </w:r>
    </w:p>
    <w:p w14:paraId="3A1ACEE4">
      <w:pPr>
        <w:shd w:val="clear"/>
        <w:snapToGrid w:val="0"/>
        <w:spacing w:line="360" w:lineRule="exact"/>
        <w:ind w:firstLine="411" w:firstLineChars="196"/>
        <w:jc w:val="left"/>
        <w:rPr>
          <w:rFonts w:hint="eastAsia" w:ascii="宋体"/>
          <w:b/>
          <w:bCs/>
          <w:color w:val="auto"/>
          <w:szCs w:val="21"/>
          <w:highlight w:val="none"/>
        </w:rPr>
      </w:pPr>
      <w:r>
        <w:rPr>
          <w:rFonts w:hint="eastAsia" w:ascii="宋体"/>
          <w:b/>
          <w:bCs/>
          <w:color w:val="auto"/>
          <w:szCs w:val="21"/>
          <w:highlight w:val="none"/>
        </w:rPr>
        <w:t xml:space="preserve">可作为投标人资信评分的资质证明材料（可选）  </w:t>
      </w:r>
    </w:p>
    <w:p w14:paraId="390BF9AA">
      <w:pPr>
        <w:shd w:val="clear"/>
        <w:snapToGrid w:val="0"/>
        <w:spacing w:line="36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w:t>
      </w:r>
      <w:r>
        <w:rPr>
          <w:rFonts w:hint="eastAsia" w:ascii="宋体"/>
          <w:color w:val="auto"/>
          <w:szCs w:val="21"/>
          <w:highlight w:val="none"/>
          <w:lang w:val="en-US" w:eastAsia="zh-CN"/>
        </w:rPr>
        <w:t>8</w:t>
      </w:r>
      <w:r>
        <w:rPr>
          <w:rFonts w:hint="eastAsia" w:ascii="宋体"/>
          <w:color w:val="auto"/>
          <w:szCs w:val="21"/>
          <w:highlight w:val="none"/>
        </w:rPr>
        <w:t>）类似成功案例的业绩（投标人同类项目实施情况一览表、合同扫描件等，格式可自行调整）</w:t>
      </w:r>
    </w:p>
    <w:p w14:paraId="3005BCF1">
      <w:pPr>
        <w:shd w:val="clear"/>
        <w:snapToGrid w:val="0"/>
        <w:spacing w:line="36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w:t>
      </w:r>
      <w:r>
        <w:rPr>
          <w:rFonts w:hint="eastAsia" w:ascii="宋体"/>
          <w:color w:val="auto"/>
          <w:szCs w:val="21"/>
          <w:highlight w:val="none"/>
          <w:lang w:val="en-US" w:eastAsia="zh-CN"/>
        </w:rPr>
        <w:t>9</w:t>
      </w:r>
      <w:r>
        <w:rPr>
          <w:rFonts w:hint="eastAsia" w:ascii="宋体"/>
          <w:color w:val="auto"/>
          <w:szCs w:val="21"/>
          <w:highlight w:val="none"/>
        </w:rPr>
        <w:t>）其他特殊资质证书</w:t>
      </w:r>
    </w:p>
    <w:p w14:paraId="024411AC">
      <w:pPr>
        <w:shd w:val="clear"/>
        <w:snapToGrid w:val="0"/>
        <w:spacing w:line="36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w:t>
      </w:r>
      <w:r>
        <w:rPr>
          <w:rFonts w:hint="eastAsia" w:ascii="宋体"/>
          <w:color w:val="auto"/>
          <w:szCs w:val="21"/>
          <w:highlight w:val="none"/>
          <w:lang w:val="en-US" w:eastAsia="zh-CN"/>
        </w:rPr>
        <w:t>10</w:t>
      </w:r>
      <w:r>
        <w:rPr>
          <w:rFonts w:hint="eastAsia" w:ascii="宋体"/>
          <w:color w:val="auto"/>
          <w:szCs w:val="21"/>
          <w:highlight w:val="none"/>
        </w:rPr>
        <w:t>）节能环保产品或政府强制采购节能产品认证证书</w:t>
      </w:r>
    </w:p>
    <w:p w14:paraId="00C34822">
      <w:pPr>
        <w:shd w:val="clear"/>
        <w:snapToGrid w:val="0"/>
        <w:spacing w:line="36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（1</w:t>
      </w:r>
      <w:r>
        <w:rPr>
          <w:rFonts w:hint="eastAsia" w:ascii="宋体"/>
          <w:color w:val="auto"/>
          <w:szCs w:val="21"/>
          <w:highlight w:val="none"/>
          <w:lang w:val="en-US" w:eastAsia="zh-CN"/>
        </w:rPr>
        <w:t>1</w:t>
      </w:r>
      <w:r>
        <w:rPr>
          <w:rFonts w:hint="eastAsia" w:ascii="宋体"/>
          <w:color w:val="auto"/>
          <w:szCs w:val="21"/>
          <w:highlight w:val="none"/>
        </w:rPr>
        <w:t>）投标人质量管理和质量保证体系等方面的认证证书</w:t>
      </w:r>
    </w:p>
    <w:p w14:paraId="31AB177F">
      <w:pPr>
        <w:shd w:val="clear"/>
        <w:snapToGrid w:val="0"/>
        <w:spacing w:line="36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（1</w:t>
      </w:r>
      <w:r>
        <w:rPr>
          <w:rFonts w:hint="eastAsia" w:ascii="宋体"/>
          <w:color w:val="auto"/>
          <w:szCs w:val="21"/>
          <w:highlight w:val="none"/>
          <w:lang w:val="en-US" w:eastAsia="zh-CN"/>
        </w:rPr>
        <w:t>2</w:t>
      </w:r>
      <w:r>
        <w:rPr>
          <w:rFonts w:hint="eastAsia" w:ascii="宋体"/>
          <w:color w:val="auto"/>
          <w:szCs w:val="21"/>
          <w:highlight w:val="none"/>
        </w:rPr>
        <w:t>）投标人认为可以证明其能力或业绩的其他材料</w:t>
      </w:r>
    </w:p>
    <w:p w14:paraId="7CBFE19E">
      <w:pPr>
        <w:shd w:val="clear"/>
        <w:snapToGrid w:val="0"/>
        <w:spacing w:line="36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（1</w:t>
      </w:r>
      <w:r>
        <w:rPr>
          <w:rFonts w:hint="eastAsia" w:ascii="宋体"/>
          <w:color w:val="auto"/>
          <w:szCs w:val="21"/>
          <w:highlight w:val="none"/>
          <w:lang w:val="en-US" w:eastAsia="zh-CN"/>
        </w:rPr>
        <w:t>3</w:t>
      </w:r>
      <w:r>
        <w:rPr>
          <w:rFonts w:hint="eastAsia" w:ascii="宋体"/>
          <w:color w:val="auto"/>
          <w:szCs w:val="21"/>
          <w:highlight w:val="none"/>
        </w:rPr>
        <w:t>）投标人关于产品生产时间、升级或者更新淘汰计划、配件供应以及本单位债务纠纷、违法违规记录等方面的情况（内容见投标声明书）</w:t>
      </w:r>
    </w:p>
    <w:p w14:paraId="4E72050A">
      <w:pPr>
        <w:shd w:val="clear"/>
        <w:snapToGrid w:val="0"/>
        <w:spacing w:line="36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（1</w:t>
      </w:r>
      <w:r>
        <w:rPr>
          <w:rFonts w:hint="eastAsia" w:ascii="宋体"/>
          <w:color w:val="auto"/>
          <w:szCs w:val="21"/>
          <w:highlight w:val="none"/>
          <w:lang w:val="en-US" w:eastAsia="zh-CN"/>
        </w:rPr>
        <w:t>4</w:t>
      </w:r>
      <w:r>
        <w:rPr>
          <w:rFonts w:hint="eastAsia" w:ascii="宋体"/>
          <w:color w:val="auto"/>
          <w:szCs w:val="21"/>
          <w:highlight w:val="none"/>
        </w:rPr>
        <w:t>）投标人情况介绍</w:t>
      </w:r>
    </w:p>
    <w:p w14:paraId="0701D89F">
      <w:pPr>
        <w:shd w:val="clear"/>
        <w:snapToGrid w:val="0"/>
        <w:spacing w:line="36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（1</w:t>
      </w:r>
      <w:r>
        <w:rPr>
          <w:rFonts w:hint="eastAsia" w:ascii="宋体"/>
          <w:color w:val="auto"/>
          <w:szCs w:val="21"/>
          <w:highlight w:val="none"/>
          <w:lang w:val="en-US" w:eastAsia="zh-CN"/>
        </w:rPr>
        <w:t>5</w:t>
      </w:r>
      <w:r>
        <w:rPr>
          <w:rFonts w:hint="eastAsia" w:ascii="宋体"/>
          <w:color w:val="auto"/>
          <w:szCs w:val="21"/>
          <w:highlight w:val="none"/>
        </w:rPr>
        <w:t>）投标人认为需要提供的其他材料</w:t>
      </w:r>
    </w:p>
    <w:p w14:paraId="71001F92">
      <w:pPr>
        <w:shd w:val="clear"/>
        <w:snapToGrid w:val="0"/>
        <w:spacing w:line="360" w:lineRule="exact"/>
        <w:ind w:firstLine="411" w:firstLineChars="196"/>
        <w:jc w:val="left"/>
        <w:rPr>
          <w:rFonts w:hint="eastAsia" w:ascii="宋体"/>
          <w:b/>
          <w:bCs/>
          <w:color w:val="auto"/>
          <w:szCs w:val="21"/>
          <w:highlight w:val="none"/>
        </w:rPr>
      </w:pPr>
    </w:p>
    <w:p w14:paraId="5CEB692C">
      <w:pPr>
        <w:shd w:val="clear"/>
        <w:snapToGrid w:val="0"/>
        <w:spacing w:line="360" w:lineRule="exact"/>
        <w:ind w:firstLine="411" w:firstLineChars="196"/>
        <w:jc w:val="left"/>
        <w:rPr>
          <w:rFonts w:hint="eastAsia" w:ascii="宋体"/>
          <w:b/>
          <w:bCs/>
          <w:color w:val="auto"/>
          <w:szCs w:val="21"/>
          <w:highlight w:val="none"/>
        </w:rPr>
      </w:pPr>
      <w:r>
        <w:rPr>
          <w:rFonts w:hint="eastAsia" w:ascii="宋体"/>
          <w:b/>
          <w:bCs/>
          <w:color w:val="auto"/>
          <w:szCs w:val="21"/>
          <w:highlight w:val="none"/>
        </w:rPr>
        <w:t>2.2技术文件：</w:t>
      </w:r>
    </w:p>
    <w:p w14:paraId="3F29E6F3">
      <w:pPr>
        <w:shd w:val="clear"/>
        <w:snapToGrid w:val="0"/>
        <w:spacing w:line="36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（1）技术响应表</w:t>
      </w:r>
      <w:r>
        <w:rPr>
          <w:rFonts w:hint="eastAsia" w:ascii="宋体"/>
          <w:b/>
          <w:color w:val="auto"/>
          <w:szCs w:val="21"/>
          <w:highlight w:val="none"/>
          <w:lang w:eastAsia="zh-CN"/>
        </w:rPr>
        <w:t>[必须提供]</w:t>
      </w:r>
    </w:p>
    <w:p w14:paraId="37FBDC32">
      <w:pPr>
        <w:shd w:val="clear"/>
        <w:snapToGrid w:val="0"/>
        <w:spacing w:line="36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（2）设备配置清单</w:t>
      </w:r>
      <w:r>
        <w:rPr>
          <w:rFonts w:hint="eastAsia" w:ascii="宋体"/>
          <w:b/>
          <w:color w:val="auto"/>
          <w:szCs w:val="21"/>
          <w:highlight w:val="none"/>
          <w:lang w:eastAsia="zh-CN"/>
        </w:rPr>
        <w:t>[均不含报价]</w:t>
      </w:r>
    </w:p>
    <w:p w14:paraId="7CA5A72A">
      <w:pPr>
        <w:shd w:val="clear"/>
        <w:snapToGrid w:val="0"/>
        <w:spacing w:line="360" w:lineRule="exact"/>
        <w:ind w:firstLine="420" w:firstLineChars="200"/>
        <w:jc w:val="left"/>
        <w:rPr>
          <w:rFonts w:hint="eastAsia" w:ascii="宋体" w:eastAsia="宋体"/>
          <w:color w:val="auto"/>
          <w:szCs w:val="21"/>
          <w:highlight w:val="none"/>
          <w:lang w:eastAsia="zh-CN"/>
        </w:rPr>
      </w:pPr>
      <w:r>
        <w:rPr>
          <w:rFonts w:hint="eastAsia" w:ascii="宋体"/>
          <w:color w:val="auto"/>
          <w:szCs w:val="21"/>
          <w:highlight w:val="none"/>
        </w:rPr>
        <w:t>（3）</w:t>
      </w:r>
      <w:r>
        <w:rPr>
          <w:rFonts w:hint="eastAsia"/>
          <w:color w:val="auto"/>
          <w:highlight w:val="none"/>
        </w:rPr>
        <w:t>项目实施方案、售后服务承诺书</w:t>
      </w:r>
      <w:r>
        <w:rPr>
          <w:rFonts w:hint="eastAsia" w:ascii="宋体" w:hAnsi="宋体"/>
          <w:b/>
          <w:color w:val="auto"/>
          <w:szCs w:val="21"/>
          <w:highlight w:val="none"/>
          <w:lang w:eastAsia="zh-CN"/>
        </w:rPr>
        <w:t>[格式自拟，必须提供]</w:t>
      </w:r>
    </w:p>
    <w:p w14:paraId="07433A8C">
      <w:pPr>
        <w:shd w:val="clear"/>
        <w:snapToGrid w:val="0"/>
        <w:spacing w:line="360" w:lineRule="exact"/>
        <w:ind w:firstLine="420" w:firstLineChars="200"/>
        <w:jc w:val="left"/>
        <w:rPr>
          <w:rFonts w:hint="eastAsia" w:ascii="宋体" w:eastAsia="宋体"/>
          <w:color w:val="auto"/>
          <w:szCs w:val="21"/>
          <w:highlight w:val="none"/>
          <w:lang w:eastAsia="zh-CN"/>
        </w:rPr>
      </w:pPr>
      <w:r>
        <w:rPr>
          <w:rFonts w:hint="eastAsia" w:ascii="宋体"/>
          <w:color w:val="auto"/>
          <w:szCs w:val="21"/>
          <w:highlight w:val="none"/>
        </w:rPr>
        <w:t>（4）投标人拥有主要装备和检测设施的情况和现状（格式自拟）及项目实施人员一览表</w:t>
      </w:r>
    </w:p>
    <w:p w14:paraId="14E2F237">
      <w:pPr>
        <w:shd w:val="clear"/>
        <w:snapToGrid w:val="0"/>
        <w:spacing w:line="360" w:lineRule="exact"/>
        <w:ind w:firstLine="420" w:firstLineChars="200"/>
        <w:jc w:val="left"/>
        <w:rPr>
          <w:rFonts w:hint="eastAsia" w:ascii="宋体" w:eastAsia="宋体"/>
          <w:color w:val="auto"/>
          <w:szCs w:val="21"/>
          <w:highlight w:val="none"/>
          <w:lang w:eastAsia="zh-CN"/>
        </w:rPr>
      </w:pPr>
      <w:r>
        <w:rPr>
          <w:rFonts w:hint="eastAsia" w:ascii="宋体"/>
          <w:color w:val="auto"/>
          <w:szCs w:val="21"/>
          <w:highlight w:val="none"/>
        </w:rPr>
        <w:t>（5）优惠条件：投标人承诺给予招标人的各种优惠条件，包括备品备件、专用耗材、售后服务等方面的优惠</w:t>
      </w:r>
    </w:p>
    <w:p w14:paraId="65E76B5F">
      <w:pPr>
        <w:shd w:val="clear"/>
        <w:snapToGrid w:val="0"/>
        <w:spacing w:line="360" w:lineRule="exact"/>
        <w:ind w:firstLine="420" w:firstLineChars="200"/>
        <w:jc w:val="left"/>
        <w:rPr>
          <w:rFonts w:hint="eastAsia" w:ascii="宋体" w:eastAsia="宋体"/>
          <w:color w:val="auto"/>
          <w:szCs w:val="21"/>
          <w:highlight w:val="none"/>
          <w:lang w:eastAsia="zh-CN"/>
        </w:rPr>
      </w:pPr>
      <w:r>
        <w:rPr>
          <w:rFonts w:hint="eastAsia" w:ascii="宋体"/>
          <w:color w:val="auto"/>
          <w:szCs w:val="21"/>
          <w:highlight w:val="none"/>
        </w:rPr>
        <w:t>（6）投标人对本项目的合理化建议和改进措施</w:t>
      </w:r>
    </w:p>
    <w:p w14:paraId="56A42A01">
      <w:pPr>
        <w:shd w:val="clear"/>
        <w:snapToGrid w:val="0"/>
        <w:spacing w:line="360" w:lineRule="exact"/>
        <w:ind w:firstLine="420" w:firstLineChars="200"/>
        <w:jc w:val="left"/>
        <w:rPr>
          <w:rFonts w:hint="eastAsia" w:ascii="宋体" w:eastAsia="宋体"/>
          <w:color w:val="auto"/>
          <w:szCs w:val="21"/>
          <w:highlight w:val="none"/>
          <w:lang w:eastAsia="zh-CN"/>
        </w:rPr>
      </w:pPr>
      <w:r>
        <w:rPr>
          <w:rFonts w:hint="eastAsia" w:ascii="宋体"/>
          <w:color w:val="auto"/>
          <w:szCs w:val="21"/>
          <w:highlight w:val="none"/>
        </w:rPr>
        <w:t>（7）投标人认为需要提供的其他材料</w:t>
      </w:r>
    </w:p>
    <w:p w14:paraId="3DD6C0E6">
      <w:pPr>
        <w:shd w:val="clear"/>
        <w:snapToGrid w:val="0"/>
        <w:spacing w:line="360" w:lineRule="exact"/>
        <w:ind w:firstLine="420" w:firstLineChars="200"/>
        <w:jc w:val="left"/>
        <w:rPr>
          <w:rFonts w:hint="eastAsia" w:ascii="宋体" w:eastAsia="宋体"/>
          <w:color w:val="auto"/>
          <w:szCs w:val="21"/>
          <w:highlight w:val="none"/>
          <w:lang w:eastAsia="zh-CN"/>
        </w:rPr>
      </w:pPr>
      <w:r>
        <w:rPr>
          <w:rFonts w:hint="eastAsia" w:ascii="宋体"/>
          <w:color w:val="auto"/>
          <w:szCs w:val="21"/>
          <w:highlight w:val="none"/>
        </w:rPr>
        <w:t>（8）招标项目采购需求中要求提供的材料</w:t>
      </w:r>
      <w:r>
        <w:rPr>
          <w:rFonts w:hint="eastAsia"/>
          <w:color w:val="auto"/>
          <w:highlight w:val="none"/>
          <w:lang w:eastAsia="zh-CN"/>
        </w:rPr>
        <w:t>[据实提供]</w:t>
      </w:r>
    </w:p>
    <w:p w14:paraId="1AE5CACD">
      <w:pPr>
        <w:shd w:val="clear"/>
        <w:snapToGrid w:val="0"/>
        <w:spacing w:line="360" w:lineRule="exact"/>
        <w:ind w:firstLine="420" w:firstLineChars="200"/>
        <w:jc w:val="left"/>
        <w:rPr>
          <w:rFonts w:hint="eastAsia" w:ascii="宋体"/>
          <w:b/>
          <w:color w:val="auto"/>
          <w:szCs w:val="21"/>
          <w:highlight w:val="none"/>
        </w:rPr>
      </w:pPr>
      <w:r>
        <w:rPr>
          <w:rFonts w:hint="eastAsia" w:ascii="宋体"/>
          <w:b/>
          <w:color w:val="auto"/>
          <w:szCs w:val="21"/>
          <w:highlight w:val="none"/>
        </w:rPr>
        <w:t>3.报价文件：</w:t>
      </w:r>
    </w:p>
    <w:p w14:paraId="5750FE81">
      <w:pPr>
        <w:keepNext w:val="0"/>
        <w:keepLines w:val="0"/>
        <w:pageBreakBefore w:val="0"/>
        <w:widowControl w:val="0"/>
        <w:shd w:val="clear"/>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eastAsia="宋体"/>
          <w:color w:val="auto"/>
          <w:szCs w:val="21"/>
          <w:highlight w:val="none"/>
          <w:lang w:eastAsia="zh-CN"/>
        </w:rPr>
      </w:pPr>
      <w:r>
        <w:rPr>
          <w:rFonts w:hint="eastAsia" w:ascii="宋体"/>
          <w:color w:val="auto"/>
          <w:szCs w:val="21"/>
          <w:highlight w:val="none"/>
        </w:rPr>
        <w:t>（1）投标函（格式见第六章）</w:t>
      </w:r>
      <w:r>
        <w:rPr>
          <w:rFonts w:hint="eastAsia" w:ascii="宋体"/>
          <w:b/>
          <w:color w:val="auto"/>
          <w:szCs w:val="21"/>
          <w:highlight w:val="none"/>
          <w:lang w:eastAsia="zh-CN"/>
        </w:rPr>
        <w:t>[必须提供]</w:t>
      </w:r>
    </w:p>
    <w:p w14:paraId="28762410">
      <w:pPr>
        <w:keepNext w:val="0"/>
        <w:keepLines w:val="0"/>
        <w:pageBreakBefore w:val="0"/>
        <w:widowControl w:val="0"/>
        <w:shd w:val="clear"/>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eastAsia="宋体"/>
          <w:color w:val="auto"/>
          <w:szCs w:val="21"/>
          <w:highlight w:val="none"/>
          <w:lang w:eastAsia="zh-CN"/>
        </w:rPr>
      </w:pPr>
      <w:r>
        <w:rPr>
          <w:rFonts w:hint="eastAsia" w:ascii="宋体"/>
          <w:color w:val="auto"/>
          <w:szCs w:val="21"/>
          <w:highlight w:val="none"/>
        </w:rPr>
        <w:t>（2）投标报价明细表（格式见第六章）</w:t>
      </w:r>
      <w:r>
        <w:rPr>
          <w:rFonts w:hint="eastAsia" w:ascii="宋体"/>
          <w:b/>
          <w:color w:val="auto"/>
          <w:szCs w:val="21"/>
          <w:highlight w:val="none"/>
          <w:lang w:eastAsia="zh-CN"/>
        </w:rPr>
        <w:t>[必须提供]</w:t>
      </w:r>
    </w:p>
    <w:p w14:paraId="1A4FEC0F">
      <w:pPr>
        <w:keepNext w:val="0"/>
        <w:keepLines w:val="0"/>
        <w:pageBreakBefore w:val="0"/>
        <w:widowControl w:val="0"/>
        <w:shd w:val="clear"/>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eastAsia="宋体"/>
          <w:color w:val="auto"/>
          <w:szCs w:val="21"/>
          <w:highlight w:val="none"/>
          <w:lang w:eastAsia="zh-CN"/>
        </w:rPr>
      </w:pPr>
      <w:r>
        <w:rPr>
          <w:rFonts w:hint="eastAsia" w:ascii="宋体"/>
          <w:color w:val="auto"/>
          <w:szCs w:val="21"/>
          <w:highlight w:val="none"/>
        </w:rPr>
        <w:t>（3）投标人针对报价需要说明的其他文件和说明</w:t>
      </w:r>
      <w:r>
        <w:rPr>
          <w:rFonts w:hint="eastAsia" w:ascii="宋体"/>
          <w:color w:val="auto"/>
          <w:szCs w:val="21"/>
          <w:highlight w:val="none"/>
          <w:lang w:eastAsia="zh-CN"/>
        </w:rPr>
        <w:t>[格式自拟]</w:t>
      </w:r>
    </w:p>
    <w:p w14:paraId="12BD24F6">
      <w:pPr>
        <w:keepNext w:val="0"/>
        <w:keepLines w:val="0"/>
        <w:pageBreakBefore w:val="0"/>
        <w:widowControl w:val="0"/>
        <w:shd w:val="clear"/>
        <w:kinsoku/>
        <w:wordWrap/>
        <w:overflowPunct/>
        <w:topLinePunct w:val="0"/>
        <w:autoSpaceDE/>
        <w:autoSpaceDN/>
        <w:bidi w:val="0"/>
        <w:adjustRightInd/>
        <w:snapToGrid w:val="0"/>
        <w:spacing w:line="400" w:lineRule="exact"/>
        <w:ind w:left="0" w:leftChars="0" w:firstLine="411" w:firstLineChars="196"/>
        <w:jc w:val="left"/>
        <w:textAlignment w:val="auto"/>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4</w:t>
      </w:r>
      <w:r>
        <w:rPr>
          <w:rFonts w:hint="eastAsia" w:ascii="宋体"/>
          <w:color w:val="auto"/>
          <w:szCs w:val="21"/>
          <w:highlight w:val="none"/>
        </w:rPr>
        <w:t>）</w:t>
      </w:r>
      <w:r>
        <w:rPr>
          <w:rFonts w:hint="eastAsia" w:ascii="宋体"/>
          <w:color w:val="auto"/>
          <w:szCs w:val="21"/>
          <w:highlight w:val="none"/>
          <w:lang w:val="en-US" w:eastAsia="zh-CN"/>
        </w:rPr>
        <w:t>投标人</w:t>
      </w:r>
      <w:r>
        <w:rPr>
          <w:rFonts w:hint="eastAsia" w:ascii="宋体"/>
          <w:color w:val="auto"/>
          <w:szCs w:val="21"/>
          <w:highlight w:val="none"/>
        </w:rPr>
        <w:t>享受中小企业扶持政策的材料（供应商根据自身响应情况，提供以下任意一项材料以证明自身可享受中小企业扶持政策）：</w:t>
      </w:r>
    </w:p>
    <w:p w14:paraId="740F87F1">
      <w:pPr>
        <w:keepNext w:val="0"/>
        <w:keepLines w:val="0"/>
        <w:pageBreakBefore w:val="0"/>
        <w:widowControl w:val="0"/>
        <w:shd w:val="clear"/>
        <w:kinsoku/>
        <w:wordWrap/>
        <w:overflowPunct/>
        <w:topLinePunct w:val="0"/>
        <w:autoSpaceDE/>
        <w:autoSpaceDN/>
        <w:bidi w:val="0"/>
        <w:adjustRightInd/>
        <w:snapToGrid w:val="0"/>
        <w:spacing w:line="400" w:lineRule="exact"/>
        <w:ind w:left="0" w:leftChars="0" w:firstLine="621" w:firstLineChars="296"/>
        <w:jc w:val="left"/>
        <w:textAlignment w:val="auto"/>
        <w:rPr>
          <w:rFonts w:hint="eastAsia" w:ascii="宋体" w:eastAsia="宋体"/>
          <w:color w:val="auto"/>
          <w:szCs w:val="21"/>
          <w:highlight w:val="none"/>
          <w:lang w:eastAsia="zh-CN"/>
        </w:rPr>
      </w:pPr>
      <w:r>
        <w:rPr>
          <w:rFonts w:hint="eastAsia" w:ascii="宋体"/>
          <w:color w:val="auto"/>
          <w:szCs w:val="21"/>
          <w:highlight w:val="none"/>
        </w:rPr>
        <w:t xml:space="preserve">1）《中小企业声明函》 </w:t>
      </w:r>
      <w:r>
        <w:rPr>
          <w:rFonts w:hint="eastAsia" w:ascii="宋体"/>
          <w:b/>
          <w:color w:val="auto"/>
          <w:szCs w:val="21"/>
          <w:highlight w:val="none"/>
          <w:lang w:eastAsia="zh-CN"/>
        </w:rPr>
        <w:t>[按最新相关政策执行，格式见第六章，如有请提供]</w:t>
      </w:r>
    </w:p>
    <w:p w14:paraId="510B9E78">
      <w:pPr>
        <w:keepNext w:val="0"/>
        <w:keepLines w:val="0"/>
        <w:pageBreakBefore w:val="0"/>
        <w:widowControl w:val="0"/>
        <w:shd w:val="clear"/>
        <w:kinsoku/>
        <w:wordWrap/>
        <w:overflowPunct/>
        <w:topLinePunct w:val="0"/>
        <w:autoSpaceDE/>
        <w:autoSpaceDN/>
        <w:bidi w:val="0"/>
        <w:adjustRightInd/>
        <w:snapToGrid w:val="0"/>
        <w:spacing w:line="400" w:lineRule="exact"/>
        <w:ind w:left="0" w:leftChars="0" w:firstLine="621" w:firstLineChars="296"/>
        <w:jc w:val="left"/>
        <w:textAlignment w:val="auto"/>
        <w:rPr>
          <w:rFonts w:hint="eastAsia" w:ascii="宋体" w:eastAsia="宋体"/>
          <w:color w:val="auto"/>
          <w:szCs w:val="21"/>
          <w:highlight w:val="none"/>
          <w:lang w:eastAsia="zh-CN"/>
        </w:rPr>
      </w:pPr>
      <w:r>
        <w:rPr>
          <w:rFonts w:hint="eastAsia" w:ascii="宋体"/>
          <w:color w:val="auto"/>
          <w:szCs w:val="21"/>
          <w:highlight w:val="none"/>
        </w:rPr>
        <w:t xml:space="preserve">2）《残疾人福利性单位声明函》 </w:t>
      </w:r>
      <w:r>
        <w:rPr>
          <w:rFonts w:hint="eastAsia" w:ascii="宋体"/>
          <w:b/>
          <w:color w:val="auto"/>
          <w:szCs w:val="21"/>
          <w:highlight w:val="none"/>
          <w:lang w:eastAsia="zh-CN"/>
        </w:rPr>
        <w:t>[按最新相关政策执行，格式见第六章，如有请提供]</w:t>
      </w:r>
    </w:p>
    <w:p w14:paraId="48178302">
      <w:pPr>
        <w:keepNext w:val="0"/>
        <w:keepLines w:val="0"/>
        <w:pageBreakBefore w:val="0"/>
        <w:widowControl w:val="0"/>
        <w:shd w:val="clear"/>
        <w:kinsoku/>
        <w:wordWrap/>
        <w:overflowPunct/>
        <w:topLinePunct w:val="0"/>
        <w:autoSpaceDE/>
        <w:autoSpaceDN/>
        <w:bidi w:val="0"/>
        <w:adjustRightInd/>
        <w:snapToGrid w:val="0"/>
        <w:spacing w:line="400" w:lineRule="exact"/>
        <w:ind w:left="0" w:leftChars="0" w:firstLine="621" w:firstLineChars="296"/>
        <w:jc w:val="left"/>
        <w:textAlignment w:val="auto"/>
        <w:rPr>
          <w:rFonts w:hint="eastAsia" w:ascii="宋体"/>
          <w:color w:val="auto"/>
          <w:szCs w:val="21"/>
          <w:highlight w:val="none"/>
        </w:rPr>
      </w:pPr>
      <w:r>
        <w:rPr>
          <w:rFonts w:hint="eastAsia" w:ascii="宋体"/>
          <w:color w:val="auto"/>
          <w:szCs w:val="21"/>
          <w:highlight w:val="none"/>
        </w:rPr>
        <w:t>3）省级以上监狱管理局、戒毒管理局</w:t>
      </w:r>
      <w:r>
        <w:rPr>
          <w:rFonts w:hint="eastAsia" w:ascii="宋体"/>
          <w:color w:val="auto"/>
          <w:szCs w:val="21"/>
          <w:highlight w:val="none"/>
          <w:lang w:eastAsia="zh-CN"/>
        </w:rPr>
        <w:t>（</w:t>
      </w:r>
      <w:r>
        <w:rPr>
          <w:rFonts w:hint="eastAsia" w:ascii="宋体"/>
          <w:color w:val="auto"/>
          <w:szCs w:val="21"/>
          <w:highlight w:val="none"/>
        </w:rPr>
        <w:t>含新疆生产建设兵团</w:t>
      </w:r>
      <w:r>
        <w:rPr>
          <w:rFonts w:hint="eastAsia" w:ascii="宋体"/>
          <w:color w:val="auto"/>
          <w:szCs w:val="21"/>
          <w:highlight w:val="none"/>
          <w:lang w:eastAsia="zh-CN"/>
        </w:rPr>
        <w:t>）</w:t>
      </w:r>
      <w:r>
        <w:rPr>
          <w:rFonts w:hint="eastAsia" w:ascii="宋体"/>
          <w:color w:val="auto"/>
          <w:szCs w:val="21"/>
          <w:highlight w:val="none"/>
        </w:rPr>
        <w:t xml:space="preserve">出具的属于监狱企业的证明文件 </w:t>
      </w:r>
    </w:p>
    <w:p w14:paraId="1718E656">
      <w:pPr>
        <w:keepNext w:val="0"/>
        <w:keepLines w:val="0"/>
        <w:pageBreakBefore w:val="0"/>
        <w:widowControl w:val="0"/>
        <w:shd w:val="clear"/>
        <w:kinsoku/>
        <w:wordWrap/>
        <w:overflowPunct/>
        <w:topLinePunct w:val="0"/>
        <w:autoSpaceDE/>
        <w:autoSpaceDN/>
        <w:bidi w:val="0"/>
        <w:adjustRightInd/>
        <w:snapToGrid w:val="0"/>
        <w:spacing w:line="400" w:lineRule="exact"/>
        <w:ind w:left="0" w:leftChars="0" w:firstLine="420" w:firstLineChars="200"/>
        <w:jc w:val="left"/>
        <w:textAlignment w:val="auto"/>
        <w:rPr>
          <w:b/>
          <w:bCs/>
          <w:color w:val="auto"/>
          <w:highlight w:val="none"/>
        </w:rPr>
      </w:pPr>
      <w:r>
        <w:rPr>
          <w:rFonts w:hint="eastAsia" w:ascii="宋体" w:hAnsi="宋体" w:eastAsia="宋体" w:cs="宋体"/>
          <w:color w:val="auto"/>
          <w:szCs w:val="21"/>
          <w:highlight w:val="none"/>
          <w:lang w:val="en-US" w:eastAsia="zh-CN"/>
        </w:rPr>
        <w:t>（5）</w:t>
      </w:r>
      <w:r>
        <w:rPr>
          <w:rFonts w:hint="eastAsia" w:ascii="宋体" w:hAnsi="宋体"/>
          <w:color w:val="auto"/>
          <w:szCs w:val="21"/>
          <w:highlight w:val="none"/>
        </w:rPr>
        <w:t>《关于符合本国产品标准的声明函》或者财政部会同有关部门规定的有关证明文件</w:t>
      </w:r>
      <w:r>
        <w:rPr>
          <w:rFonts w:hint="eastAsia"/>
          <w:b/>
          <w:bCs/>
          <w:color w:val="auto"/>
          <w:highlight w:val="none"/>
          <w:lang w:val="en-US" w:eastAsia="zh-CN"/>
        </w:rPr>
        <w:t>[格式见第六章，如有请提供]</w:t>
      </w:r>
    </w:p>
    <w:p w14:paraId="10D1A300">
      <w:pPr>
        <w:keepNext w:val="0"/>
        <w:keepLines w:val="0"/>
        <w:pageBreakBefore w:val="0"/>
        <w:widowControl w:val="0"/>
        <w:shd w:val="clear"/>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eastAsia="宋体"/>
          <w:color w:val="auto"/>
          <w:szCs w:val="21"/>
          <w:highlight w:val="none"/>
          <w:lang w:eastAsia="zh-CN"/>
        </w:rPr>
      </w:pPr>
      <w:r>
        <w:rPr>
          <w:rFonts w:hint="eastAsia" w:ascii="宋体"/>
          <w:color w:val="auto"/>
          <w:szCs w:val="21"/>
          <w:highlight w:val="none"/>
        </w:rPr>
        <w:t>（</w:t>
      </w:r>
      <w:r>
        <w:rPr>
          <w:rFonts w:hint="eastAsia" w:ascii="宋体"/>
          <w:color w:val="auto"/>
          <w:szCs w:val="21"/>
          <w:highlight w:val="none"/>
          <w:lang w:val="en-US" w:eastAsia="zh-CN"/>
        </w:rPr>
        <w:t>6</w:t>
      </w:r>
      <w:r>
        <w:rPr>
          <w:rFonts w:hint="eastAsia" w:ascii="宋体"/>
          <w:color w:val="auto"/>
          <w:szCs w:val="21"/>
          <w:highlight w:val="none"/>
        </w:rPr>
        <w:t>）开标一览表（格式见第六章）</w:t>
      </w:r>
      <w:r>
        <w:rPr>
          <w:rFonts w:hint="eastAsia" w:ascii="宋体"/>
          <w:b/>
          <w:color w:val="auto"/>
          <w:szCs w:val="21"/>
          <w:highlight w:val="none"/>
          <w:lang w:eastAsia="zh-CN"/>
        </w:rPr>
        <w:t>[必须提供]</w:t>
      </w:r>
    </w:p>
    <w:p w14:paraId="01D3237C">
      <w:pPr>
        <w:shd w:val="clear"/>
        <w:tabs>
          <w:tab w:val="left" w:pos="3870"/>
          <w:tab w:val="left" w:pos="4085"/>
        </w:tabs>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w:t>
      </w:r>
      <w:r>
        <w:rPr>
          <w:rFonts w:hint="eastAsia" w:ascii="宋体"/>
          <w:b/>
          <w:bCs/>
          <w:color w:val="auto"/>
          <w:szCs w:val="21"/>
          <w:highlight w:val="none"/>
        </w:rPr>
        <w:t>注：法定代表人</w:t>
      </w:r>
      <w:r>
        <w:rPr>
          <w:rFonts w:hint="eastAsia" w:ascii="宋体"/>
          <w:b/>
          <w:bCs/>
          <w:color w:val="auto"/>
          <w:szCs w:val="21"/>
          <w:highlight w:val="none"/>
          <w:lang w:eastAsia="zh-CN"/>
        </w:rPr>
        <w:t>（</w:t>
      </w:r>
      <w:r>
        <w:rPr>
          <w:rFonts w:hint="eastAsia" w:ascii="宋体"/>
          <w:b/>
          <w:bCs/>
          <w:color w:val="auto"/>
          <w:szCs w:val="21"/>
          <w:highlight w:val="none"/>
        </w:rPr>
        <w:t>负责人</w:t>
      </w:r>
      <w:r>
        <w:rPr>
          <w:rFonts w:hint="eastAsia" w:ascii="宋体"/>
          <w:b/>
          <w:bCs/>
          <w:color w:val="auto"/>
          <w:szCs w:val="21"/>
          <w:highlight w:val="none"/>
          <w:lang w:eastAsia="zh-CN"/>
        </w:rPr>
        <w:t>）</w:t>
      </w:r>
      <w:r>
        <w:rPr>
          <w:rFonts w:hint="eastAsia" w:ascii="宋体"/>
          <w:b/>
          <w:bCs/>
          <w:color w:val="auto"/>
          <w:szCs w:val="21"/>
          <w:highlight w:val="none"/>
        </w:rPr>
        <w:t>授权委托书、投标声明书、投标函、开标一览表必须按照招标文件格式要求签署和加盖单位公章，否则作投标无效处理。</w:t>
      </w:r>
    </w:p>
    <w:p w14:paraId="25F42894">
      <w:pPr>
        <w:shd w:val="clear"/>
        <w:snapToGrid w:val="0"/>
        <w:spacing w:before="50" w:after="156" w:afterLines="50" w:line="360" w:lineRule="exact"/>
        <w:jc w:val="left"/>
        <w:outlineLvl w:val="9"/>
        <w:rPr>
          <w:rFonts w:hint="eastAsia" w:ascii="宋体" w:hAnsi="宋体"/>
          <w:b/>
          <w:color w:val="auto"/>
          <w:szCs w:val="21"/>
          <w:highlight w:val="none"/>
        </w:rPr>
      </w:pPr>
    </w:p>
    <w:p w14:paraId="5BB378DC">
      <w:pPr>
        <w:shd w:val="clear"/>
        <w:snapToGrid w:val="0"/>
        <w:spacing w:before="50" w:after="156" w:afterLines="50" w:line="360" w:lineRule="exact"/>
        <w:jc w:val="center"/>
        <w:outlineLvl w:val="9"/>
        <w:rPr>
          <w:rFonts w:hint="eastAsia" w:ascii="宋体" w:hAnsi="宋体"/>
          <w:b/>
          <w:color w:val="auto"/>
          <w:szCs w:val="21"/>
          <w:highlight w:val="none"/>
        </w:rPr>
      </w:pPr>
      <w:r>
        <w:rPr>
          <w:rFonts w:ascii="宋体" w:hAnsi="宋体"/>
          <w:b/>
          <w:color w:val="auto"/>
          <w:szCs w:val="21"/>
          <w:highlight w:val="none"/>
        </w:rPr>
        <w:br w:type="page"/>
      </w:r>
      <w:r>
        <w:rPr>
          <w:rFonts w:hint="eastAsia" w:ascii="宋体" w:hAnsi="宋体"/>
          <w:b/>
          <w:color w:val="auto"/>
          <w:szCs w:val="21"/>
          <w:highlight w:val="none"/>
        </w:rPr>
        <w:t>三、投标文件格式</w:t>
      </w:r>
    </w:p>
    <w:p w14:paraId="34753BAF">
      <w:pPr>
        <w:shd w:val="clear"/>
        <w:snapToGrid w:val="0"/>
        <w:spacing w:before="50" w:after="156" w:afterLines="50" w:line="360" w:lineRule="exact"/>
        <w:jc w:val="left"/>
        <w:outlineLvl w:val="9"/>
        <w:rPr>
          <w:rFonts w:hint="eastAsia" w:ascii="宋体" w:hAnsi="宋体"/>
          <w:b/>
          <w:bCs/>
          <w:color w:val="auto"/>
          <w:szCs w:val="21"/>
          <w:highlight w:val="none"/>
        </w:rPr>
      </w:pPr>
      <w:r>
        <w:rPr>
          <w:rFonts w:hint="eastAsia" w:ascii="宋体" w:hAnsi="宋体"/>
          <w:b/>
          <w:color w:val="auto"/>
          <w:szCs w:val="21"/>
          <w:highlight w:val="none"/>
          <w:lang w:eastAsia="zh-CN"/>
        </w:rPr>
        <w:t>（一）</w:t>
      </w:r>
      <w:r>
        <w:rPr>
          <w:rFonts w:hint="eastAsia" w:ascii="宋体" w:hAnsi="宋体"/>
          <w:b/>
          <w:bCs/>
          <w:color w:val="auto"/>
          <w:szCs w:val="21"/>
          <w:highlight w:val="none"/>
        </w:rPr>
        <w:t>资格文件部分（格式）</w:t>
      </w:r>
    </w:p>
    <w:p w14:paraId="0E40BD52">
      <w:pPr>
        <w:shd w:val="clear"/>
        <w:snapToGrid w:val="0"/>
        <w:spacing w:line="360" w:lineRule="exact"/>
        <w:ind w:firstLine="411" w:firstLineChars="196"/>
        <w:jc w:val="left"/>
        <w:outlineLvl w:val="9"/>
        <w:rPr>
          <w:rFonts w:ascii="宋体" w:hAnsi="宋体"/>
          <w:b/>
          <w:color w:val="auto"/>
          <w:szCs w:val="21"/>
          <w:highlight w:val="none"/>
        </w:rPr>
      </w:pPr>
      <w:r>
        <w:rPr>
          <w:rFonts w:hint="eastAsia" w:ascii="宋体" w:hAnsi="宋体"/>
          <w:color w:val="auto"/>
          <w:szCs w:val="21"/>
          <w:highlight w:val="none"/>
        </w:rPr>
        <w:t xml:space="preserve">    </w:t>
      </w:r>
    </w:p>
    <w:p w14:paraId="76DE48C1">
      <w:pPr>
        <w:shd w:val="clear"/>
        <w:snapToGrid w:val="0"/>
        <w:spacing w:line="360" w:lineRule="exact"/>
        <w:ind w:firstLine="210" w:firstLineChars="100"/>
        <w:jc w:val="left"/>
        <w:outlineLvl w:val="9"/>
        <w:rPr>
          <w:rFonts w:hint="eastAsia" w:ascii="宋体" w:hAnsi="宋体" w:eastAsia="宋体"/>
          <w:color w:val="auto"/>
          <w:szCs w:val="21"/>
          <w:highlight w:val="none"/>
          <w:lang w:eastAsia="zh-CN"/>
        </w:rPr>
      </w:pPr>
      <w:r>
        <w:rPr>
          <w:rFonts w:hint="eastAsia" w:ascii="宋体" w:hAnsi="宋体"/>
          <w:color w:val="auto"/>
          <w:szCs w:val="21"/>
          <w:highlight w:val="none"/>
        </w:rPr>
        <w:t>（1）有效的主体资格证明文件</w:t>
      </w:r>
    </w:p>
    <w:p w14:paraId="4A11D4B8">
      <w:pPr>
        <w:shd w:val="clear"/>
        <w:snapToGrid w:val="0"/>
        <w:spacing w:line="360" w:lineRule="exact"/>
        <w:ind w:firstLine="210" w:firstLineChars="100"/>
        <w:jc w:val="left"/>
        <w:outlineLvl w:val="9"/>
        <w:rPr>
          <w:rFonts w:hint="eastAsia" w:ascii="宋体" w:hAnsi="宋体" w:eastAsia="宋体"/>
          <w:b/>
          <w:color w:val="auto"/>
          <w:szCs w:val="21"/>
          <w:highlight w:val="none"/>
          <w:lang w:eastAsia="zh-CN"/>
        </w:rPr>
      </w:pPr>
      <w:r>
        <w:rPr>
          <w:rFonts w:hint="eastAsia" w:ascii="宋体" w:hAnsi="宋体"/>
          <w:b/>
          <w:color w:val="auto"/>
          <w:szCs w:val="21"/>
          <w:highlight w:val="none"/>
        </w:rPr>
        <w:t xml:space="preserve"> </w:t>
      </w:r>
      <w:r>
        <w:rPr>
          <w:rFonts w:hint="eastAsia" w:ascii="宋体" w:hAnsi="宋体"/>
          <w:color w:val="auto"/>
          <w:szCs w:val="21"/>
          <w:highlight w:val="none"/>
        </w:rPr>
        <w:t>投标人有效的“主体资格证明文件”（如营业执照、事业单位法人证书、执业许可证、自然人身份证等）复印件，同时要加盖单位公章</w:t>
      </w:r>
      <w:r>
        <w:rPr>
          <w:rFonts w:hint="eastAsia" w:ascii="宋体" w:hAnsi="宋体"/>
          <w:b/>
          <w:color w:val="auto"/>
          <w:szCs w:val="21"/>
          <w:highlight w:val="none"/>
          <w:lang w:eastAsia="zh-CN"/>
        </w:rPr>
        <w:t>[必须提供]</w:t>
      </w:r>
    </w:p>
    <w:p w14:paraId="412DDCA5">
      <w:pPr>
        <w:shd w:val="clear"/>
        <w:snapToGrid w:val="0"/>
        <w:spacing w:line="360" w:lineRule="exact"/>
        <w:ind w:firstLine="210" w:firstLineChars="100"/>
        <w:jc w:val="left"/>
        <w:outlineLvl w:val="9"/>
        <w:rPr>
          <w:rFonts w:hint="eastAsia" w:ascii="宋体" w:hAnsi="宋体"/>
          <w:b/>
          <w:color w:val="auto"/>
          <w:szCs w:val="21"/>
          <w:highlight w:val="none"/>
        </w:rPr>
      </w:pPr>
      <w:r>
        <w:rPr>
          <w:rFonts w:hint="eastAsia" w:ascii="宋体" w:hAnsi="宋体"/>
          <w:color w:val="auto"/>
          <w:szCs w:val="21"/>
          <w:highlight w:val="none"/>
        </w:rPr>
        <w:t xml:space="preserve"> </w:t>
      </w:r>
    </w:p>
    <w:p w14:paraId="5827C339">
      <w:pPr>
        <w:shd w:val="clear"/>
        <w:snapToGrid w:val="0"/>
        <w:spacing w:line="360" w:lineRule="exact"/>
        <w:ind w:firstLine="210" w:firstLineChars="100"/>
        <w:jc w:val="left"/>
        <w:outlineLvl w:val="9"/>
        <w:rPr>
          <w:rFonts w:hint="eastAsia" w:ascii="宋体" w:hAnsi="宋体" w:eastAsia="宋体"/>
          <w:b/>
          <w:color w:val="auto"/>
          <w:szCs w:val="21"/>
          <w:highlight w:val="none"/>
          <w:lang w:eastAsia="zh-CN"/>
        </w:rPr>
      </w:pPr>
      <w:r>
        <w:rPr>
          <w:rFonts w:hint="eastAsia" w:ascii="宋体" w:hAnsi="宋体"/>
          <w:color w:val="auto"/>
          <w:szCs w:val="21"/>
          <w:highlight w:val="none"/>
        </w:rPr>
        <w:t>（2）投标截止之日前一年内投标人</w:t>
      </w:r>
      <w:r>
        <w:rPr>
          <w:rFonts w:hint="eastAsia" w:ascii="宋体" w:hAnsi="宋体"/>
          <w:color w:val="auto"/>
          <w:szCs w:val="21"/>
          <w:highlight w:val="none"/>
          <w:lang w:eastAsia="zh-CN"/>
        </w:rPr>
        <w:t>任意</w:t>
      </w:r>
      <w:r>
        <w:rPr>
          <w:rFonts w:hint="eastAsia" w:ascii="宋体" w:hAnsi="宋体"/>
          <w:color w:val="auto"/>
          <w:szCs w:val="21"/>
          <w:highlight w:val="none"/>
        </w:rPr>
        <w:t>三个月的依法缴纳税费或依法免缴税费的证明；无纳税记录的，应提供由投标人所在地的税务部门出具的《依法纳税或依法免税证明》</w:t>
      </w:r>
      <w:r>
        <w:rPr>
          <w:rFonts w:hint="eastAsia" w:ascii="宋体" w:hAnsi="宋体"/>
          <w:b/>
          <w:color w:val="auto"/>
          <w:szCs w:val="21"/>
          <w:highlight w:val="none"/>
          <w:lang w:eastAsia="zh-CN"/>
        </w:rPr>
        <w:t>[必须提供，新成立单位按实际提供]</w:t>
      </w:r>
    </w:p>
    <w:p w14:paraId="749793C9">
      <w:pPr>
        <w:shd w:val="clear"/>
        <w:snapToGrid w:val="0"/>
        <w:spacing w:line="360" w:lineRule="exact"/>
        <w:ind w:firstLine="210" w:firstLineChars="100"/>
        <w:jc w:val="left"/>
        <w:outlineLvl w:val="9"/>
        <w:rPr>
          <w:rFonts w:ascii="宋体" w:hAnsi="宋体"/>
          <w:color w:val="auto"/>
          <w:szCs w:val="21"/>
          <w:highlight w:val="none"/>
        </w:rPr>
      </w:pPr>
    </w:p>
    <w:p w14:paraId="7D3A7CFC">
      <w:pPr>
        <w:shd w:val="clear"/>
        <w:snapToGrid w:val="0"/>
        <w:spacing w:line="360" w:lineRule="exact"/>
        <w:ind w:firstLine="210" w:firstLineChars="100"/>
        <w:jc w:val="left"/>
        <w:outlineLvl w:val="9"/>
        <w:rPr>
          <w:rFonts w:hint="eastAsia" w:ascii="宋体" w:hAnsi="宋体" w:eastAsia="宋体"/>
          <w:b/>
          <w:color w:val="auto"/>
          <w:szCs w:val="21"/>
          <w:highlight w:val="none"/>
          <w:lang w:eastAsia="zh-CN"/>
        </w:rPr>
      </w:pPr>
      <w:r>
        <w:rPr>
          <w:rFonts w:hint="eastAsia" w:ascii="宋体" w:hAnsi="宋体"/>
          <w:color w:val="auto"/>
          <w:szCs w:val="21"/>
          <w:highlight w:val="none"/>
        </w:rPr>
        <w:t>（3）投标截止之日前一年内投标人</w:t>
      </w:r>
      <w:r>
        <w:rPr>
          <w:rFonts w:hint="eastAsia" w:ascii="宋体" w:hAnsi="宋体"/>
          <w:color w:val="auto"/>
          <w:szCs w:val="21"/>
          <w:highlight w:val="none"/>
          <w:lang w:eastAsia="zh-CN"/>
        </w:rPr>
        <w:t>任意</w:t>
      </w:r>
      <w:r>
        <w:rPr>
          <w:rFonts w:hint="eastAsia" w:ascii="宋体" w:hAnsi="宋体"/>
          <w:color w:val="auto"/>
          <w:szCs w:val="21"/>
          <w:highlight w:val="none"/>
        </w:rPr>
        <w:t>三个月的依法缴纳社保费的缴费凭证；无缴费记录的，应提供由投标人所在地社保等相关部门出具的《依法缴纳或依法免缴社保费证明》</w:t>
      </w:r>
      <w:r>
        <w:rPr>
          <w:rFonts w:hint="eastAsia" w:ascii="宋体" w:hAnsi="宋体"/>
          <w:b/>
          <w:color w:val="auto"/>
          <w:szCs w:val="21"/>
          <w:highlight w:val="none"/>
          <w:lang w:eastAsia="zh-CN"/>
        </w:rPr>
        <w:t>[必须提供，新成立单位按实际提供]</w:t>
      </w:r>
    </w:p>
    <w:p w14:paraId="4311FE7A">
      <w:pPr>
        <w:shd w:val="clear"/>
        <w:snapToGrid w:val="0"/>
        <w:spacing w:line="360" w:lineRule="exact"/>
        <w:ind w:firstLine="210" w:firstLineChars="100"/>
        <w:jc w:val="left"/>
        <w:outlineLvl w:val="9"/>
        <w:rPr>
          <w:rFonts w:hint="eastAsia" w:ascii="宋体" w:hAnsi="宋体"/>
          <w:color w:val="auto"/>
          <w:szCs w:val="21"/>
          <w:highlight w:val="none"/>
        </w:rPr>
      </w:pPr>
    </w:p>
    <w:p w14:paraId="20E6BD7E">
      <w:pPr>
        <w:shd w:val="clear"/>
        <w:snapToGrid w:val="0"/>
        <w:spacing w:line="360" w:lineRule="exact"/>
        <w:ind w:firstLine="210" w:firstLineChars="100"/>
        <w:jc w:val="left"/>
        <w:outlineLvl w:val="9"/>
        <w:rPr>
          <w:rFonts w:hint="eastAsia" w:ascii="宋体" w:hAnsi="宋体" w:eastAsia="宋体"/>
          <w:b/>
          <w:color w:val="auto"/>
          <w:szCs w:val="21"/>
          <w:highlight w:val="none"/>
          <w:lang w:eastAsia="zh-CN"/>
        </w:rPr>
      </w:pPr>
      <w:r>
        <w:rPr>
          <w:rFonts w:hint="eastAsia" w:ascii="宋体" w:hAnsi="宋体"/>
          <w:color w:val="auto"/>
          <w:szCs w:val="21"/>
          <w:highlight w:val="none"/>
        </w:rPr>
        <w:t>（4）</w:t>
      </w:r>
      <w:r>
        <w:rPr>
          <w:rFonts w:ascii="宋体" w:hAnsi="宋体"/>
          <w:color w:val="auto"/>
          <w:szCs w:val="21"/>
          <w:highlight w:val="none"/>
        </w:rPr>
        <w:t>财务状况报告</w:t>
      </w:r>
      <w:r>
        <w:rPr>
          <w:rFonts w:hint="eastAsia" w:ascii="宋体" w:hAnsi="宋体"/>
          <w:b/>
          <w:color w:val="auto"/>
          <w:szCs w:val="21"/>
          <w:highlight w:val="none"/>
          <w:lang w:eastAsia="zh-CN"/>
        </w:rPr>
        <w:t>[格式自拟，必须提供]</w:t>
      </w:r>
    </w:p>
    <w:p w14:paraId="0B8E9709">
      <w:pPr>
        <w:shd w:val="clear"/>
        <w:snapToGrid w:val="0"/>
        <w:spacing w:line="360" w:lineRule="exact"/>
        <w:ind w:firstLine="210" w:firstLineChars="100"/>
        <w:jc w:val="left"/>
        <w:outlineLvl w:val="9"/>
        <w:rPr>
          <w:rFonts w:hint="eastAsia" w:ascii="宋体" w:hAnsi="宋体"/>
          <w:b/>
          <w:color w:val="auto"/>
          <w:szCs w:val="21"/>
          <w:highlight w:val="none"/>
        </w:rPr>
      </w:pPr>
    </w:p>
    <w:p w14:paraId="5F07EE0A">
      <w:pPr>
        <w:shd w:val="clear"/>
        <w:snapToGrid w:val="0"/>
        <w:spacing w:line="360" w:lineRule="exact"/>
        <w:ind w:firstLine="210" w:firstLineChars="100"/>
        <w:jc w:val="left"/>
        <w:outlineLvl w:val="9"/>
        <w:rPr>
          <w:rFonts w:hint="eastAsia" w:ascii="宋体" w:hAnsi="宋体" w:eastAsia="宋体"/>
          <w:b/>
          <w:color w:val="auto"/>
          <w:szCs w:val="21"/>
          <w:highlight w:val="none"/>
          <w:lang w:eastAsia="zh-CN"/>
        </w:rPr>
      </w:pPr>
      <w:r>
        <w:rPr>
          <w:rFonts w:hint="eastAsia" w:ascii="宋体" w:hAnsi="宋体"/>
          <w:color w:val="auto"/>
          <w:szCs w:val="21"/>
          <w:highlight w:val="none"/>
        </w:rPr>
        <w:t>（5）</w:t>
      </w:r>
      <w:r>
        <w:rPr>
          <w:rFonts w:ascii="宋体" w:hAnsi="宋体"/>
          <w:color w:val="auto"/>
          <w:szCs w:val="21"/>
          <w:highlight w:val="none"/>
        </w:rPr>
        <w:t>具备履行合同所必需的设备和专业技术能力的证明材料</w:t>
      </w:r>
      <w:r>
        <w:rPr>
          <w:rFonts w:hint="eastAsia" w:ascii="宋体" w:hAnsi="宋体"/>
          <w:b/>
          <w:color w:val="auto"/>
          <w:szCs w:val="21"/>
          <w:highlight w:val="none"/>
          <w:lang w:eastAsia="zh-CN"/>
        </w:rPr>
        <w:t>[内容、格式自拟，必须提供]</w:t>
      </w:r>
    </w:p>
    <w:p w14:paraId="7333F739">
      <w:pPr>
        <w:shd w:val="clear"/>
        <w:snapToGrid w:val="0"/>
        <w:spacing w:line="360" w:lineRule="exact"/>
        <w:ind w:firstLine="210" w:firstLineChars="100"/>
        <w:jc w:val="left"/>
        <w:outlineLvl w:val="9"/>
        <w:rPr>
          <w:rFonts w:hint="eastAsia" w:ascii="宋体" w:hAnsi="宋体"/>
          <w:b/>
          <w:color w:val="auto"/>
          <w:szCs w:val="21"/>
          <w:highlight w:val="none"/>
        </w:rPr>
      </w:pPr>
    </w:p>
    <w:p w14:paraId="728E9DDC">
      <w:pPr>
        <w:shd w:val="clear"/>
        <w:snapToGrid w:val="0"/>
        <w:spacing w:line="360" w:lineRule="exact"/>
        <w:ind w:firstLine="210" w:firstLineChars="100"/>
        <w:jc w:val="left"/>
        <w:outlineLvl w:val="9"/>
        <w:rPr>
          <w:rFonts w:hint="eastAsia" w:ascii="宋体" w:hAnsi="宋体" w:eastAsia="宋体"/>
          <w:color w:val="auto"/>
          <w:szCs w:val="21"/>
          <w:highlight w:val="none"/>
          <w:lang w:eastAsia="zh-CN"/>
        </w:rPr>
      </w:pPr>
      <w:r>
        <w:rPr>
          <w:rFonts w:hint="eastAsia" w:ascii="宋体" w:hAnsi="宋体"/>
          <w:color w:val="auto"/>
          <w:szCs w:val="21"/>
          <w:highlight w:val="none"/>
        </w:rPr>
        <w:t>（6）参加政府采购活动前三年内在经营活动中没有重大违法记录和不良信用记录的书面声明</w:t>
      </w:r>
      <w:r>
        <w:rPr>
          <w:rFonts w:hint="eastAsia" w:ascii="宋体" w:hAnsi="宋体"/>
          <w:color w:val="auto"/>
          <w:szCs w:val="21"/>
          <w:highlight w:val="none"/>
          <w:lang w:eastAsia="zh-CN"/>
        </w:rPr>
        <w:t>[格式自拟，必须提供]</w:t>
      </w:r>
    </w:p>
    <w:p w14:paraId="07A4502C">
      <w:pPr>
        <w:shd w:val="clear"/>
        <w:snapToGrid w:val="0"/>
        <w:spacing w:line="360" w:lineRule="exact"/>
        <w:ind w:firstLine="210" w:firstLineChars="100"/>
        <w:jc w:val="left"/>
        <w:outlineLvl w:val="9"/>
        <w:rPr>
          <w:rFonts w:hint="eastAsia" w:ascii="宋体" w:hAnsi="宋体"/>
          <w:color w:val="auto"/>
          <w:szCs w:val="21"/>
          <w:highlight w:val="none"/>
        </w:rPr>
      </w:pPr>
    </w:p>
    <w:p w14:paraId="037A0FD3">
      <w:pPr>
        <w:shd w:val="clear"/>
        <w:snapToGrid w:val="0"/>
        <w:spacing w:line="360" w:lineRule="exact"/>
        <w:ind w:firstLine="210" w:firstLineChars="100"/>
        <w:jc w:val="left"/>
        <w:outlineLvl w:val="9"/>
        <w:rPr>
          <w:rFonts w:hint="eastAsia" w:ascii="宋体" w:hAnsi="宋体"/>
          <w:b/>
          <w:color w:val="auto"/>
          <w:szCs w:val="21"/>
          <w:highlight w:val="none"/>
        </w:rPr>
      </w:pPr>
      <w:r>
        <w:rPr>
          <w:rFonts w:hint="eastAsia" w:ascii="宋体" w:hAnsi="宋体"/>
          <w:b/>
          <w:color w:val="auto"/>
          <w:szCs w:val="21"/>
          <w:highlight w:val="none"/>
        </w:rPr>
        <w:t>注：采购人或采购代理机构在资格审查结束前对供应商进行信用查询</w:t>
      </w:r>
    </w:p>
    <w:p w14:paraId="7B0D466D">
      <w:pPr>
        <w:shd w:val="clear"/>
        <w:snapToGrid w:val="0"/>
        <w:spacing w:line="360" w:lineRule="exact"/>
        <w:ind w:firstLine="210" w:firstLineChars="100"/>
        <w:jc w:val="left"/>
        <w:outlineLvl w:val="9"/>
        <w:rPr>
          <w:rFonts w:hint="eastAsia" w:ascii="宋体" w:hAnsi="宋体"/>
          <w:b/>
          <w:color w:val="auto"/>
          <w:szCs w:val="21"/>
          <w:highlight w:val="none"/>
        </w:rPr>
      </w:pPr>
      <w:r>
        <w:rPr>
          <w:rFonts w:hint="eastAsia" w:ascii="宋体" w:hAnsi="宋体"/>
          <w:b/>
          <w:color w:val="auto"/>
          <w:szCs w:val="21"/>
          <w:highlight w:val="none"/>
        </w:rPr>
        <w:t>查询渠道：“信用中国”网站</w:t>
      </w:r>
      <w:r>
        <w:rPr>
          <w:rFonts w:hint="eastAsia" w:ascii="宋体" w:hAnsi="宋体"/>
          <w:b/>
          <w:color w:val="auto"/>
          <w:szCs w:val="21"/>
          <w:highlight w:val="none"/>
          <w:lang w:eastAsia="zh-CN"/>
        </w:rPr>
        <w:t>（</w:t>
      </w:r>
      <w:r>
        <w:rPr>
          <w:rFonts w:hint="eastAsia" w:ascii="宋体" w:hAnsi="宋体"/>
          <w:b/>
          <w:color w:val="auto"/>
          <w:szCs w:val="21"/>
          <w:highlight w:val="none"/>
        </w:rPr>
        <w:t>www.creditchina.gov.cn</w:t>
      </w:r>
      <w:r>
        <w:rPr>
          <w:rFonts w:hint="eastAsia" w:ascii="宋体" w:hAnsi="宋体"/>
          <w:b/>
          <w:color w:val="auto"/>
          <w:szCs w:val="21"/>
          <w:highlight w:val="none"/>
          <w:lang w:eastAsia="zh-CN"/>
        </w:rPr>
        <w:t>）</w:t>
      </w:r>
      <w:r>
        <w:rPr>
          <w:rFonts w:hint="eastAsia" w:ascii="宋体" w:hAnsi="宋体"/>
          <w:b/>
          <w:color w:val="auto"/>
          <w:szCs w:val="21"/>
          <w:highlight w:val="none"/>
        </w:rPr>
        <w:t xml:space="preserve"> 、中国政府采购网</w:t>
      </w:r>
      <w:r>
        <w:rPr>
          <w:rFonts w:hint="eastAsia" w:ascii="宋体" w:hAnsi="宋体"/>
          <w:b/>
          <w:color w:val="auto"/>
          <w:szCs w:val="21"/>
          <w:highlight w:val="none"/>
          <w:lang w:eastAsia="zh-CN"/>
        </w:rPr>
        <w:t>（</w:t>
      </w:r>
      <w:r>
        <w:rPr>
          <w:rFonts w:hint="eastAsia" w:ascii="宋体" w:hAnsi="宋体"/>
          <w:b/>
          <w:color w:val="auto"/>
          <w:szCs w:val="21"/>
          <w:highlight w:val="none"/>
        </w:rPr>
        <w:t>www.ccgp.gov.cn</w:t>
      </w:r>
      <w:r>
        <w:rPr>
          <w:rFonts w:hint="eastAsia" w:ascii="宋体" w:hAnsi="宋体"/>
          <w:b/>
          <w:color w:val="auto"/>
          <w:szCs w:val="21"/>
          <w:highlight w:val="none"/>
          <w:lang w:eastAsia="zh-CN"/>
        </w:rPr>
        <w:t>）</w:t>
      </w:r>
    </w:p>
    <w:p w14:paraId="4F7CC5F1">
      <w:pPr>
        <w:shd w:val="clear"/>
        <w:snapToGrid w:val="0"/>
        <w:spacing w:line="360" w:lineRule="exact"/>
        <w:ind w:firstLine="210" w:firstLineChars="100"/>
        <w:jc w:val="left"/>
        <w:outlineLvl w:val="9"/>
        <w:rPr>
          <w:rFonts w:hint="eastAsia" w:ascii="宋体" w:hAnsi="宋体"/>
          <w:b/>
          <w:color w:val="auto"/>
          <w:szCs w:val="21"/>
          <w:highlight w:val="none"/>
        </w:rPr>
      </w:pPr>
      <w:r>
        <w:rPr>
          <w:rFonts w:hint="eastAsia" w:ascii="宋体" w:hAnsi="宋体"/>
          <w:b/>
          <w:color w:val="auto"/>
          <w:szCs w:val="21"/>
          <w:highlight w:val="none"/>
        </w:rPr>
        <w:t>查询截止时间：资格审查结束前。</w:t>
      </w:r>
    </w:p>
    <w:p w14:paraId="758F7E6B">
      <w:pPr>
        <w:shd w:val="clear"/>
        <w:snapToGrid w:val="0"/>
        <w:spacing w:line="360" w:lineRule="exact"/>
        <w:ind w:firstLine="210" w:firstLineChars="100"/>
        <w:jc w:val="left"/>
        <w:outlineLvl w:val="9"/>
        <w:rPr>
          <w:rFonts w:hint="eastAsia" w:ascii="宋体" w:hAnsi="宋体"/>
          <w:b/>
          <w:color w:val="auto"/>
          <w:szCs w:val="21"/>
          <w:highlight w:val="none"/>
        </w:rPr>
      </w:pPr>
      <w:r>
        <w:rPr>
          <w:rFonts w:hint="eastAsia" w:ascii="宋体" w:hAnsi="宋体"/>
          <w:b/>
          <w:color w:val="auto"/>
          <w:szCs w:val="21"/>
          <w:highlight w:val="none"/>
        </w:rPr>
        <w:t>查询记录和证据留存方式：在查询网站中直接打印查询记录，打印材料作为评审资料保存。</w:t>
      </w:r>
    </w:p>
    <w:p w14:paraId="0A7B209C">
      <w:pPr>
        <w:shd w:val="clear"/>
        <w:snapToGrid w:val="0"/>
        <w:spacing w:line="360" w:lineRule="exact"/>
        <w:ind w:firstLine="210" w:firstLineChars="100"/>
        <w:jc w:val="left"/>
        <w:outlineLvl w:val="9"/>
        <w:rPr>
          <w:rFonts w:hint="eastAsia" w:ascii="宋体" w:cs="宋体"/>
          <w:color w:val="auto"/>
          <w:kern w:val="0"/>
          <w:szCs w:val="21"/>
          <w:highlight w:val="none"/>
        </w:rPr>
      </w:pPr>
      <w:r>
        <w:rPr>
          <w:rFonts w:hint="eastAsia" w:ascii="宋体" w:hAnsi="宋体"/>
          <w:b/>
          <w:color w:val="auto"/>
          <w:szCs w:val="21"/>
          <w:highlight w:val="none"/>
        </w:rPr>
        <w:t>信用信息使用规则：对在“信用中国”网站</w:t>
      </w:r>
      <w:r>
        <w:rPr>
          <w:rFonts w:hint="eastAsia" w:ascii="宋体" w:hAnsi="宋体"/>
          <w:b/>
          <w:color w:val="auto"/>
          <w:szCs w:val="21"/>
          <w:highlight w:val="none"/>
          <w:lang w:eastAsia="zh-CN"/>
        </w:rPr>
        <w:t>（</w:t>
      </w:r>
      <w:r>
        <w:rPr>
          <w:rFonts w:hint="eastAsia" w:ascii="宋体" w:hAnsi="宋体"/>
          <w:b/>
          <w:color w:val="auto"/>
          <w:szCs w:val="21"/>
          <w:highlight w:val="none"/>
        </w:rPr>
        <w:t>www.creditchina.gov.cn</w:t>
      </w:r>
      <w:r>
        <w:rPr>
          <w:rFonts w:hint="eastAsia" w:ascii="宋体" w:hAnsi="宋体"/>
          <w:b/>
          <w:color w:val="auto"/>
          <w:szCs w:val="21"/>
          <w:highlight w:val="none"/>
          <w:lang w:eastAsia="zh-CN"/>
        </w:rPr>
        <w:t>）</w:t>
      </w:r>
      <w:r>
        <w:rPr>
          <w:rFonts w:hint="eastAsia" w:ascii="宋体" w:hAnsi="宋体"/>
          <w:b/>
          <w:color w:val="auto"/>
          <w:szCs w:val="21"/>
          <w:highlight w:val="none"/>
        </w:rPr>
        <w:t xml:space="preserve"> 、中国政府采购网</w:t>
      </w:r>
      <w:r>
        <w:rPr>
          <w:rFonts w:hint="eastAsia" w:ascii="宋体" w:hAnsi="宋体"/>
          <w:b/>
          <w:color w:val="auto"/>
          <w:szCs w:val="21"/>
          <w:highlight w:val="none"/>
          <w:lang w:eastAsia="zh-CN"/>
        </w:rPr>
        <w:t>（</w:t>
      </w:r>
      <w:r>
        <w:rPr>
          <w:rFonts w:hint="eastAsia" w:ascii="宋体" w:hAnsi="宋体"/>
          <w:b/>
          <w:color w:val="auto"/>
          <w:szCs w:val="21"/>
          <w:highlight w:val="none"/>
        </w:rPr>
        <w:t>www.ccgp.gov.cn</w:t>
      </w:r>
      <w:r>
        <w:rPr>
          <w:rFonts w:hint="eastAsia" w:ascii="宋体" w:hAnsi="宋体"/>
          <w:b/>
          <w:color w:val="auto"/>
          <w:szCs w:val="21"/>
          <w:highlight w:val="none"/>
          <w:lang w:eastAsia="zh-CN"/>
        </w:rPr>
        <w:t>）</w:t>
      </w:r>
      <w:r>
        <w:rPr>
          <w:rFonts w:hint="eastAsia" w:ascii="宋体" w:hAnsi="宋体"/>
          <w:b/>
          <w:color w:val="auto"/>
          <w:szCs w:val="21"/>
          <w:highlight w:val="none"/>
        </w:rPr>
        <w:t>被列入失信被执行人、重大税收违法失信主体、政府采购严重违法失信行为记录名单及其他不符合《中华人民共和国政府采购法》第二十二条规定条件的供应商，将拒绝其参与政府采购活动。</w:t>
      </w:r>
    </w:p>
    <w:p w14:paraId="3399B736">
      <w:pPr>
        <w:shd w:val="clear"/>
        <w:snapToGrid w:val="0"/>
        <w:spacing w:line="360" w:lineRule="exact"/>
        <w:ind w:firstLine="210" w:firstLineChars="100"/>
        <w:jc w:val="left"/>
        <w:rPr>
          <w:rFonts w:hint="eastAsia" w:ascii="宋体" w:cs="宋体"/>
          <w:color w:val="auto"/>
          <w:kern w:val="0"/>
          <w:szCs w:val="21"/>
          <w:highlight w:val="none"/>
        </w:rPr>
      </w:pPr>
    </w:p>
    <w:p w14:paraId="44723541">
      <w:pPr>
        <w:pStyle w:val="26"/>
        <w:keepNext w:val="0"/>
        <w:keepLines w:val="0"/>
        <w:pageBreakBefore w:val="0"/>
        <w:widowControl w:val="0"/>
        <w:numPr>
          <w:ilvl w:val="0"/>
          <w:numId w:val="0"/>
        </w:numPr>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kern w:val="2"/>
          <w:sz w:val="21"/>
          <w:szCs w:val="21"/>
          <w:highlight w:val="none"/>
          <w:lang w:val="en-US" w:eastAsia="zh-CN" w:bidi="ar-SA"/>
        </w:rPr>
        <w:br w:type="page"/>
      </w:r>
      <w:r>
        <w:rPr>
          <w:rFonts w:hint="eastAsia" w:ascii="宋体" w:hAnsi="宋体" w:eastAsia="宋体" w:cs="宋体"/>
          <w:b w:val="0"/>
          <w:bCs w:val="0"/>
          <w:color w:val="auto"/>
          <w:kern w:val="2"/>
          <w:sz w:val="21"/>
          <w:szCs w:val="21"/>
          <w:highlight w:val="none"/>
          <w:lang w:val="en-US" w:eastAsia="zh-CN" w:bidi="ar-SA"/>
        </w:rPr>
        <w:t>（7）</w:t>
      </w:r>
      <w:r>
        <w:rPr>
          <w:rFonts w:hint="eastAsia" w:ascii="宋体" w:hAnsi="宋体" w:eastAsia="宋体" w:cs="宋体"/>
          <w:b w:val="0"/>
          <w:bCs w:val="0"/>
          <w:color w:val="auto"/>
          <w:sz w:val="21"/>
          <w:szCs w:val="21"/>
          <w:highlight w:val="none"/>
        </w:rPr>
        <w:t>投标人直接控股、管理关系信息表（格式后附）</w:t>
      </w:r>
      <w:r>
        <w:rPr>
          <w:rFonts w:hint="eastAsia" w:ascii="宋体" w:hAnsi="宋体" w:eastAsia="宋体" w:cs="宋体"/>
          <w:b w:val="0"/>
          <w:bCs w:val="0"/>
          <w:color w:val="auto"/>
          <w:sz w:val="21"/>
          <w:szCs w:val="21"/>
          <w:highlight w:val="none"/>
          <w:lang w:eastAsia="zh-CN"/>
        </w:rPr>
        <w:t>[必须提供]</w:t>
      </w:r>
    </w:p>
    <w:p w14:paraId="538839DE">
      <w:pPr>
        <w:keepNext w:val="0"/>
        <w:keepLines w:val="0"/>
        <w:pageBreakBefore w:val="0"/>
        <w:widowControl w:val="0"/>
        <w:shd w:val="clear"/>
        <w:kinsoku/>
        <w:wordWrap/>
        <w:overflowPunct/>
        <w:topLinePunct w:val="0"/>
        <w:autoSpaceDE/>
        <w:autoSpaceDN/>
        <w:bidi w:val="0"/>
        <w:adjustRightInd/>
        <w:spacing w:line="400" w:lineRule="exact"/>
        <w:textAlignment w:val="auto"/>
        <w:rPr>
          <w:rFonts w:hint="eastAsia" w:ascii="宋体" w:hAnsi="宋体" w:eastAsia="宋体" w:cs="宋体"/>
          <w:color w:val="auto"/>
          <w:szCs w:val="21"/>
          <w:highlight w:val="none"/>
          <w:lang w:eastAsia="zh-CN"/>
        </w:rPr>
      </w:pPr>
    </w:p>
    <w:p w14:paraId="2A80EEFE">
      <w:pPr>
        <w:shd w:val="clear"/>
        <w:snapToGrid w:val="0"/>
        <w:spacing w:before="50" w:afterLines="50"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投标人直接控股股东信息表</w:t>
      </w:r>
    </w:p>
    <w:tbl>
      <w:tblPr>
        <w:tblStyle w:val="50"/>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CD7ED6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DF7F9E1">
            <w:pPr>
              <w:shd w:val="clea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ECB56DE">
            <w:pPr>
              <w:shd w:val="clea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98F5651">
            <w:pPr>
              <w:shd w:val="clea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BFC1255">
            <w:pPr>
              <w:shd w:val="clea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A6B564B">
            <w:pPr>
              <w:shd w:val="clea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备注</w:t>
            </w:r>
          </w:p>
        </w:tc>
      </w:tr>
      <w:tr w14:paraId="63CDC6A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653B1A">
            <w:pPr>
              <w:shd w:val="clea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F79CF0">
            <w:pPr>
              <w:shd w:val="clear"/>
              <w:spacing w:line="360" w:lineRule="auto"/>
              <w:jc w:val="center"/>
              <w:rPr>
                <w:rFonts w:ascii="宋体" w:hAnsi="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0D5339">
            <w:pPr>
              <w:shd w:val="clear"/>
              <w:spacing w:line="360" w:lineRule="auto"/>
              <w:jc w:val="center"/>
              <w:rPr>
                <w:rFonts w:ascii="宋体" w:hAnsi="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3628DD">
            <w:pPr>
              <w:shd w:val="clear"/>
              <w:spacing w:line="360" w:lineRule="auto"/>
              <w:jc w:val="center"/>
              <w:rPr>
                <w:rFonts w:ascii="宋体" w:hAnsi="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BB4F5C">
            <w:pPr>
              <w:shd w:val="clear"/>
              <w:spacing w:line="360" w:lineRule="auto"/>
              <w:jc w:val="center"/>
              <w:rPr>
                <w:rFonts w:ascii="宋体" w:hAnsi="宋体" w:cs="宋体"/>
                <w:color w:val="auto"/>
                <w:kern w:val="0"/>
                <w:sz w:val="21"/>
                <w:szCs w:val="21"/>
                <w:highlight w:val="none"/>
              </w:rPr>
            </w:pPr>
          </w:p>
        </w:tc>
      </w:tr>
      <w:tr w14:paraId="19F3190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D10637">
            <w:pPr>
              <w:shd w:val="clea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993244">
            <w:pPr>
              <w:shd w:val="clear"/>
              <w:spacing w:line="360" w:lineRule="auto"/>
              <w:jc w:val="center"/>
              <w:rPr>
                <w:rFonts w:ascii="宋体" w:hAnsi="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80EBCA">
            <w:pPr>
              <w:shd w:val="clear"/>
              <w:spacing w:line="360" w:lineRule="auto"/>
              <w:jc w:val="center"/>
              <w:rPr>
                <w:rFonts w:ascii="宋体" w:hAnsi="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2D0781">
            <w:pPr>
              <w:shd w:val="clear"/>
              <w:spacing w:line="360" w:lineRule="auto"/>
              <w:jc w:val="center"/>
              <w:rPr>
                <w:rFonts w:ascii="宋体" w:hAnsi="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6A0D33">
            <w:pPr>
              <w:shd w:val="clear"/>
              <w:spacing w:line="360" w:lineRule="auto"/>
              <w:jc w:val="center"/>
              <w:rPr>
                <w:rFonts w:ascii="宋体" w:hAnsi="宋体" w:cs="宋体"/>
                <w:color w:val="auto"/>
                <w:kern w:val="0"/>
                <w:sz w:val="21"/>
                <w:szCs w:val="21"/>
                <w:highlight w:val="none"/>
              </w:rPr>
            </w:pPr>
          </w:p>
        </w:tc>
      </w:tr>
      <w:tr w14:paraId="1730313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DF960E">
            <w:pPr>
              <w:shd w:val="clea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106C0B">
            <w:pPr>
              <w:shd w:val="clear"/>
              <w:spacing w:line="360" w:lineRule="auto"/>
              <w:jc w:val="center"/>
              <w:rPr>
                <w:rFonts w:ascii="宋体" w:hAnsi="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809A7A">
            <w:pPr>
              <w:shd w:val="clear"/>
              <w:spacing w:line="360" w:lineRule="auto"/>
              <w:jc w:val="center"/>
              <w:rPr>
                <w:rFonts w:ascii="宋体" w:hAnsi="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E84D16">
            <w:pPr>
              <w:shd w:val="clear"/>
              <w:spacing w:line="360" w:lineRule="auto"/>
              <w:jc w:val="center"/>
              <w:rPr>
                <w:rFonts w:ascii="宋体" w:hAnsi="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C8C878">
            <w:pPr>
              <w:shd w:val="clear"/>
              <w:spacing w:line="360" w:lineRule="auto"/>
              <w:jc w:val="center"/>
              <w:rPr>
                <w:rFonts w:ascii="宋体" w:hAnsi="宋体" w:cs="宋体"/>
                <w:color w:val="auto"/>
                <w:kern w:val="0"/>
                <w:sz w:val="21"/>
                <w:szCs w:val="21"/>
                <w:highlight w:val="none"/>
              </w:rPr>
            </w:pPr>
          </w:p>
        </w:tc>
      </w:tr>
      <w:tr w14:paraId="35816CE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FB72D4">
            <w:pPr>
              <w:shd w:val="clea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DBC5AC">
            <w:pPr>
              <w:shd w:val="clear"/>
              <w:spacing w:line="360" w:lineRule="auto"/>
              <w:jc w:val="center"/>
              <w:rPr>
                <w:rFonts w:ascii="宋体" w:hAnsi="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67AC65">
            <w:pPr>
              <w:shd w:val="clear"/>
              <w:spacing w:line="360" w:lineRule="auto"/>
              <w:jc w:val="center"/>
              <w:rPr>
                <w:rFonts w:ascii="宋体" w:hAnsi="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6E24C0">
            <w:pPr>
              <w:shd w:val="clear"/>
              <w:spacing w:line="360" w:lineRule="auto"/>
              <w:jc w:val="center"/>
              <w:rPr>
                <w:rFonts w:ascii="宋体" w:hAnsi="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9A957D">
            <w:pPr>
              <w:shd w:val="clear"/>
              <w:spacing w:line="360" w:lineRule="auto"/>
              <w:jc w:val="center"/>
              <w:rPr>
                <w:rFonts w:ascii="宋体" w:hAnsi="宋体" w:cs="宋体"/>
                <w:color w:val="auto"/>
                <w:kern w:val="0"/>
                <w:sz w:val="21"/>
                <w:szCs w:val="21"/>
                <w:highlight w:val="none"/>
              </w:rPr>
            </w:pPr>
          </w:p>
        </w:tc>
      </w:tr>
    </w:tbl>
    <w:p w14:paraId="20C957F2">
      <w:pPr>
        <w:keepNext w:val="0"/>
        <w:keepLines w:val="0"/>
        <w:pageBreakBefore w:val="0"/>
        <w:widowControl w:val="0"/>
        <w:shd w:val="clear"/>
        <w:kinsoku/>
        <w:wordWrap/>
        <w:overflowPunct/>
        <w:topLinePunct w:val="0"/>
        <w:autoSpaceDE/>
        <w:autoSpaceDN/>
        <w:bidi w:val="0"/>
        <w:adjustRightInd/>
        <w:snapToGrid w:val="0"/>
        <w:spacing w:line="500" w:lineRule="exact"/>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注：</w:t>
      </w:r>
    </w:p>
    <w:p w14:paraId="000EA45E">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5275997">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2.本表所指的控股关系仅限于直接控股关系，不包括间接的控股关系。公司实际控制人与公司之间的关系不属于本表所指的直接控股关系。</w:t>
      </w:r>
    </w:p>
    <w:p w14:paraId="13D05331">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3.供应商不存在直接控股股东的，则填“无”。</w:t>
      </w:r>
    </w:p>
    <w:p w14:paraId="49686936">
      <w:pPr>
        <w:keepNext w:val="0"/>
        <w:keepLines w:val="0"/>
        <w:pageBreakBefore w:val="0"/>
        <w:widowControl w:val="0"/>
        <w:shd w:val="clear"/>
        <w:kinsoku/>
        <w:wordWrap/>
        <w:overflowPunct/>
        <w:topLinePunct w:val="0"/>
        <w:autoSpaceDE/>
        <w:autoSpaceDN/>
        <w:bidi w:val="0"/>
        <w:adjustRightInd/>
        <w:snapToGrid w:val="0"/>
        <w:spacing w:line="500" w:lineRule="exact"/>
        <w:jc w:val="left"/>
        <w:textAlignment w:val="auto"/>
        <w:rPr>
          <w:rFonts w:ascii="宋体" w:hAnsi="宋体" w:cs="宋体"/>
          <w:color w:val="auto"/>
          <w:sz w:val="21"/>
          <w:szCs w:val="21"/>
          <w:highlight w:val="none"/>
        </w:rPr>
      </w:pPr>
    </w:p>
    <w:p w14:paraId="236D3CC7">
      <w:pPr>
        <w:keepNext w:val="0"/>
        <w:keepLines w:val="0"/>
        <w:pageBreakBefore w:val="0"/>
        <w:widowControl w:val="0"/>
        <w:shd w:val="clear"/>
        <w:kinsoku/>
        <w:wordWrap/>
        <w:overflowPunct/>
        <w:topLinePunct w:val="0"/>
        <w:autoSpaceDE/>
        <w:autoSpaceDN/>
        <w:bidi w:val="0"/>
        <w:adjustRightInd/>
        <w:snapToGrid w:val="0"/>
        <w:spacing w:line="500" w:lineRule="exact"/>
        <w:jc w:val="left"/>
        <w:textAlignment w:val="auto"/>
        <w:rPr>
          <w:rFonts w:ascii="宋体" w:hAnsi="宋体" w:cs="宋体"/>
          <w:color w:val="auto"/>
          <w:sz w:val="21"/>
          <w:szCs w:val="21"/>
          <w:highlight w:val="none"/>
        </w:rPr>
      </w:pPr>
    </w:p>
    <w:p w14:paraId="3CAAADA6">
      <w:pPr>
        <w:keepNext w:val="0"/>
        <w:keepLines w:val="0"/>
        <w:pageBreakBefore w:val="0"/>
        <w:widowControl w:val="0"/>
        <w:shd w:val="clear"/>
        <w:kinsoku/>
        <w:wordWrap/>
        <w:overflowPunct/>
        <w:topLinePunct w:val="0"/>
        <w:autoSpaceDE/>
        <w:autoSpaceDN/>
        <w:bidi w:val="0"/>
        <w:adjustRightInd/>
        <w:snapToGrid w:val="0"/>
        <w:spacing w:line="500" w:lineRule="exact"/>
        <w:ind w:firstLine="4410" w:firstLineChars="210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lang w:val="zh-CN"/>
        </w:rPr>
        <w:t>投标人名称（电子签章）：</w:t>
      </w:r>
    </w:p>
    <w:p w14:paraId="33257A09">
      <w:pPr>
        <w:keepNext w:val="0"/>
        <w:keepLines w:val="0"/>
        <w:pageBreakBefore w:val="0"/>
        <w:widowControl w:val="0"/>
        <w:shd w:val="clear"/>
        <w:kinsoku/>
        <w:wordWrap/>
        <w:overflowPunct/>
        <w:topLinePunct w:val="0"/>
        <w:autoSpaceDE/>
        <w:autoSpaceDN/>
        <w:bidi w:val="0"/>
        <w:adjustRightInd/>
        <w:snapToGrid w:val="0"/>
        <w:spacing w:line="500" w:lineRule="exact"/>
        <w:ind w:firstLine="4515" w:firstLineChars="2150"/>
        <w:textAlignment w:val="auto"/>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日期</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rPr>
        <w:t xml:space="preserve"> 年  </w:t>
      </w:r>
      <w:r>
        <w:rPr>
          <w:rFonts w:hint="eastAsia" w:ascii="宋体" w:hAnsi="宋体" w:cs="宋体"/>
          <w:color w:val="auto"/>
          <w:kern w:val="0"/>
          <w:sz w:val="21"/>
          <w:szCs w:val="21"/>
          <w:highlight w:val="none"/>
          <w:lang w:val="zh-CN"/>
        </w:rPr>
        <w:t>月</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zh-CN"/>
        </w:rPr>
        <w:t>日</w:t>
      </w:r>
    </w:p>
    <w:p w14:paraId="172C3F76">
      <w:pPr>
        <w:shd w:val="clear"/>
        <w:snapToGrid w:val="0"/>
        <w:jc w:val="center"/>
        <w:rPr>
          <w:rFonts w:ascii="宋体" w:hAnsi="宋体" w:cs="宋体"/>
          <w:b/>
          <w:color w:val="auto"/>
          <w:sz w:val="21"/>
          <w:szCs w:val="21"/>
          <w:highlight w:val="none"/>
        </w:rPr>
      </w:pPr>
      <w:r>
        <w:rPr>
          <w:rFonts w:hint="eastAsia" w:ascii="宋体" w:hAnsi="宋体" w:cs="宋体"/>
          <w:b/>
          <w:color w:val="auto"/>
          <w:sz w:val="21"/>
          <w:szCs w:val="21"/>
          <w:highlight w:val="none"/>
        </w:rPr>
        <w:br w:type="page"/>
      </w:r>
    </w:p>
    <w:p w14:paraId="7503EC8B">
      <w:pPr>
        <w:shd w:val="clear"/>
        <w:snapToGrid w:val="0"/>
        <w:spacing w:line="360" w:lineRule="auto"/>
        <w:jc w:val="center"/>
        <w:rPr>
          <w:rFonts w:ascii="宋体" w:hAnsi="宋体" w:cs="宋体"/>
          <w:color w:val="auto"/>
          <w:sz w:val="28"/>
          <w:szCs w:val="28"/>
          <w:highlight w:val="none"/>
        </w:rPr>
      </w:pPr>
      <w:r>
        <w:rPr>
          <w:rFonts w:hint="eastAsia" w:ascii="宋体" w:hAnsi="宋体" w:cs="宋体"/>
          <w:b/>
          <w:color w:val="auto"/>
          <w:sz w:val="28"/>
          <w:szCs w:val="28"/>
          <w:highlight w:val="none"/>
        </w:rPr>
        <w:t>投标人直接管理关系信息表</w:t>
      </w:r>
    </w:p>
    <w:tbl>
      <w:tblPr>
        <w:tblStyle w:val="50"/>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233B8C7">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8072FA1">
            <w:pPr>
              <w:shd w:val="clea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22EE1ED">
            <w:pPr>
              <w:shd w:val="clea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0347E80">
            <w:pPr>
              <w:shd w:val="clea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D4214D5">
            <w:pPr>
              <w:shd w:val="clear"/>
              <w:spacing w:line="360" w:lineRule="auto"/>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备注</w:t>
            </w:r>
          </w:p>
        </w:tc>
      </w:tr>
      <w:tr w14:paraId="4935FB4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73A61C">
            <w:pPr>
              <w:shd w:val="clea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92ECDA">
            <w:pPr>
              <w:shd w:val="clear"/>
              <w:spacing w:line="360" w:lineRule="auto"/>
              <w:jc w:val="center"/>
              <w:rPr>
                <w:rFonts w:ascii="宋体" w:hAnsi="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E93D9E">
            <w:pPr>
              <w:shd w:val="clear"/>
              <w:spacing w:line="360" w:lineRule="auto"/>
              <w:jc w:val="center"/>
              <w:rPr>
                <w:rFonts w:ascii="宋体" w:hAnsi="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5EC10C">
            <w:pPr>
              <w:shd w:val="clear"/>
              <w:spacing w:line="360" w:lineRule="auto"/>
              <w:jc w:val="center"/>
              <w:rPr>
                <w:rFonts w:ascii="宋体" w:hAnsi="宋体" w:cs="宋体"/>
                <w:color w:val="auto"/>
                <w:kern w:val="0"/>
                <w:sz w:val="21"/>
                <w:szCs w:val="21"/>
                <w:highlight w:val="none"/>
              </w:rPr>
            </w:pPr>
          </w:p>
        </w:tc>
      </w:tr>
      <w:tr w14:paraId="12683EB8">
        <w:tblPrEx>
          <w:shd w:val="clear" w:color="auto" w:fill="FBFBFB"/>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D86AC5">
            <w:pPr>
              <w:shd w:val="clea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DF9A89">
            <w:pPr>
              <w:shd w:val="clear"/>
              <w:spacing w:line="360" w:lineRule="auto"/>
              <w:jc w:val="center"/>
              <w:rPr>
                <w:rFonts w:ascii="宋体" w:hAnsi="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17F26B">
            <w:pPr>
              <w:shd w:val="clear"/>
              <w:spacing w:line="360" w:lineRule="auto"/>
              <w:jc w:val="center"/>
              <w:rPr>
                <w:rFonts w:ascii="宋体" w:hAnsi="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1BFD0A">
            <w:pPr>
              <w:shd w:val="clear"/>
              <w:spacing w:line="360" w:lineRule="auto"/>
              <w:jc w:val="center"/>
              <w:rPr>
                <w:rFonts w:ascii="宋体" w:hAnsi="宋体" w:cs="宋体"/>
                <w:color w:val="auto"/>
                <w:kern w:val="0"/>
                <w:sz w:val="21"/>
                <w:szCs w:val="21"/>
                <w:highlight w:val="none"/>
              </w:rPr>
            </w:pPr>
          </w:p>
        </w:tc>
      </w:tr>
      <w:tr w14:paraId="246A759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46EA2A">
            <w:pPr>
              <w:shd w:val="clea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BC2561">
            <w:pPr>
              <w:shd w:val="clear"/>
              <w:spacing w:line="360" w:lineRule="auto"/>
              <w:jc w:val="center"/>
              <w:rPr>
                <w:rFonts w:ascii="宋体" w:hAnsi="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0A7F4B">
            <w:pPr>
              <w:shd w:val="clear"/>
              <w:spacing w:line="360" w:lineRule="auto"/>
              <w:jc w:val="center"/>
              <w:rPr>
                <w:rFonts w:ascii="宋体" w:hAnsi="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5426BB">
            <w:pPr>
              <w:shd w:val="clear"/>
              <w:spacing w:line="360" w:lineRule="auto"/>
              <w:jc w:val="center"/>
              <w:rPr>
                <w:rFonts w:ascii="宋体" w:hAnsi="宋体" w:cs="宋体"/>
                <w:color w:val="auto"/>
                <w:kern w:val="0"/>
                <w:sz w:val="21"/>
                <w:szCs w:val="21"/>
                <w:highlight w:val="none"/>
              </w:rPr>
            </w:pPr>
          </w:p>
        </w:tc>
      </w:tr>
      <w:tr w14:paraId="451E2AF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BF840E">
            <w:pPr>
              <w:shd w:val="clear"/>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2122BD">
            <w:pPr>
              <w:shd w:val="clear"/>
              <w:spacing w:line="360" w:lineRule="auto"/>
              <w:jc w:val="center"/>
              <w:rPr>
                <w:rFonts w:ascii="宋体" w:hAnsi="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6E56BD">
            <w:pPr>
              <w:shd w:val="clear"/>
              <w:spacing w:line="360" w:lineRule="auto"/>
              <w:jc w:val="center"/>
              <w:rPr>
                <w:rFonts w:ascii="宋体" w:hAnsi="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225A8E">
            <w:pPr>
              <w:shd w:val="clear"/>
              <w:spacing w:line="360" w:lineRule="auto"/>
              <w:jc w:val="center"/>
              <w:rPr>
                <w:rFonts w:ascii="宋体" w:hAnsi="宋体" w:cs="宋体"/>
                <w:color w:val="auto"/>
                <w:kern w:val="0"/>
                <w:sz w:val="21"/>
                <w:szCs w:val="21"/>
                <w:highlight w:val="none"/>
              </w:rPr>
            </w:pPr>
          </w:p>
        </w:tc>
      </w:tr>
    </w:tbl>
    <w:p w14:paraId="7C5505F6">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233EB4CD">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1.管理关系：是指不具有出资持股关系的其他单位之间存在的管理与被管理关系，如一些上下级关系的事业单位和团体组织。</w:t>
      </w:r>
    </w:p>
    <w:p w14:paraId="1DBF92BF">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2.本表所指的管理关系仅限于直接管理关系，不包括间接的管理关系。</w:t>
      </w:r>
    </w:p>
    <w:p w14:paraId="14960DDE">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3.供应商不存在直接管理关系的，则填“无”。</w:t>
      </w:r>
    </w:p>
    <w:p w14:paraId="452A2F1D">
      <w:pPr>
        <w:shd w:val="clear"/>
        <w:snapToGrid w:val="0"/>
        <w:spacing w:line="360" w:lineRule="auto"/>
        <w:jc w:val="left"/>
        <w:rPr>
          <w:rFonts w:ascii="宋体" w:hAnsi="宋体" w:cs="宋体"/>
          <w:color w:val="auto"/>
          <w:sz w:val="21"/>
          <w:szCs w:val="21"/>
          <w:highlight w:val="none"/>
        </w:rPr>
      </w:pPr>
    </w:p>
    <w:p w14:paraId="74075ADA">
      <w:pPr>
        <w:shd w:val="clear"/>
        <w:snapToGrid w:val="0"/>
        <w:spacing w:line="360" w:lineRule="auto"/>
        <w:jc w:val="left"/>
        <w:rPr>
          <w:rFonts w:ascii="宋体" w:hAnsi="宋体" w:cs="宋体"/>
          <w:color w:val="auto"/>
          <w:sz w:val="21"/>
          <w:szCs w:val="21"/>
          <w:highlight w:val="none"/>
        </w:rPr>
      </w:pPr>
    </w:p>
    <w:p w14:paraId="5679B5BF">
      <w:pPr>
        <w:keepNext w:val="0"/>
        <w:keepLines w:val="0"/>
        <w:pageBreakBefore w:val="0"/>
        <w:widowControl w:val="0"/>
        <w:shd w:val="clear"/>
        <w:kinsoku/>
        <w:wordWrap/>
        <w:overflowPunct/>
        <w:topLinePunct w:val="0"/>
        <w:autoSpaceDE/>
        <w:autoSpaceDN/>
        <w:bidi w:val="0"/>
        <w:adjustRightInd/>
        <w:snapToGrid w:val="0"/>
        <w:spacing w:line="500" w:lineRule="exact"/>
        <w:ind w:firstLine="4410" w:firstLineChars="210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投标人名称（电子签章）：</w:t>
      </w:r>
    </w:p>
    <w:p w14:paraId="046D343B">
      <w:pPr>
        <w:keepNext w:val="0"/>
        <w:keepLines w:val="0"/>
        <w:pageBreakBefore w:val="0"/>
        <w:widowControl w:val="0"/>
        <w:shd w:val="clear"/>
        <w:kinsoku/>
        <w:wordWrap/>
        <w:overflowPunct/>
        <w:topLinePunct w:val="0"/>
        <w:autoSpaceDE/>
        <w:autoSpaceDN/>
        <w:bidi w:val="0"/>
        <w:adjustRightInd/>
        <w:snapToGrid w:val="0"/>
        <w:spacing w:line="500" w:lineRule="exact"/>
        <w:ind w:firstLine="4410" w:firstLineChars="210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  年  月   日</w:t>
      </w:r>
    </w:p>
    <w:p w14:paraId="1E3C7ED7">
      <w:pPr>
        <w:shd w:val="clear"/>
        <w:snapToGrid w:val="0"/>
        <w:spacing w:before="50" w:afterLines="50"/>
        <w:jc w:val="left"/>
        <w:rPr>
          <w:rFonts w:ascii="宋体" w:hAnsi="宋体" w:cs="宋体"/>
          <w:color w:val="auto"/>
          <w:sz w:val="21"/>
          <w:szCs w:val="21"/>
          <w:highlight w:val="none"/>
        </w:rPr>
      </w:pPr>
    </w:p>
    <w:p w14:paraId="40FAF839">
      <w:pPr>
        <w:pStyle w:val="19"/>
        <w:shd w:val="clear"/>
        <w:ind w:firstLine="480" w:firstLineChars="200"/>
        <w:rPr>
          <w:rFonts w:hint="default" w:eastAsia="宋体"/>
          <w:color w:val="auto"/>
          <w:highlight w:val="none"/>
          <w:lang w:val="en-US" w:eastAsia="zh-CN"/>
        </w:rPr>
      </w:pPr>
      <w:r>
        <w:rPr>
          <w:rFonts w:hint="eastAsia" w:ascii="宋体" w:hAnsi="宋体" w:eastAsia="宋体" w:cs="宋体"/>
          <w:color w:val="auto"/>
          <w:szCs w:val="21"/>
          <w:highlight w:val="none"/>
          <w:lang w:eastAsia="zh-CN"/>
        </w:rPr>
        <w:br w:type="page"/>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8）投标人参加本项目无围标串标行为的承诺</w:t>
      </w:r>
    </w:p>
    <w:p w14:paraId="53390E0F">
      <w:pPr>
        <w:shd w:val="clear"/>
        <w:snapToGrid w:val="0"/>
        <w:spacing w:before="50" w:after="50"/>
        <w:jc w:val="center"/>
        <w:rPr>
          <w:rFonts w:hint="eastAsia" w:ascii="宋体" w:hAnsi="宋体" w:cs="宋体"/>
          <w:b/>
          <w:color w:val="auto"/>
          <w:sz w:val="32"/>
          <w:highlight w:val="none"/>
        </w:rPr>
      </w:pPr>
    </w:p>
    <w:p w14:paraId="24F00D0A">
      <w:pPr>
        <w:shd w:val="clear"/>
        <w:snapToGrid w:val="0"/>
        <w:spacing w:before="50" w:after="50"/>
        <w:jc w:val="center"/>
        <w:rPr>
          <w:rFonts w:hint="eastAsia" w:ascii="宋体" w:hAnsi="宋体" w:cs="宋体"/>
          <w:b/>
          <w:color w:val="auto"/>
          <w:sz w:val="28"/>
          <w:szCs w:val="22"/>
          <w:highlight w:val="none"/>
        </w:rPr>
      </w:pPr>
      <w:r>
        <w:rPr>
          <w:rFonts w:hint="eastAsia" w:ascii="宋体" w:hAnsi="宋体" w:cs="宋体"/>
          <w:b/>
          <w:color w:val="auto"/>
          <w:sz w:val="28"/>
          <w:szCs w:val="22"/>
          <w:highlight w:val="none"/>
        </w:rPr>
        <w:t>投标人参加本项目无围标串标行为的承诺函</w:t>
      </w:r>
    </w:p>
    <w:p w14:paraId="693241E9">
      <w:pPr>
        <w:pStyle w:val="48"/>
        <w:shd w:val="clear"/>
        <w:rPr>
          <w:color w:val="auto"/>
          <w:sz w:val="21"/>
          <w:szCs w:val="21"/>
          <w:highlight w:val="none"/>
        </w:rPr>
      </w:pPr>
    </w:p>
    <w:p w14:paraId="54B76F1D">
      <w:pPr>
        <w:shd w:val="clear"/>
        <w:spacing w:line="440" w:lineRule="exact"/>
        <w:contextualSpacing/>
        <w:jc w:val="left"/>
        <w:rPr>
          <w:rFonts w:ascii="宋体" w:hAnsi="宋体" w:cs="宋体"/>
          <w:b/>
          <w:color w:val="auto"/>
          <w:sz w:val="21"/>
          <w:szCs w:val="21"/>
          <w:highlight w:val="none"/>
        </w:rPr>
      </w:pPr>
      <w:bookmarkStart w:id="129" w:name="OLE_LINK45"/>
      <w:bookmarkStart w:id="130" w:name="OLE_LINK44"/>
      <w:r>
        <w:rPr>
          <w:rFonts w:hint="eastAsia" w:ascii="宋体" w:hAnsi="宋体" w:cs="宋体"/>
          <w:b/>
          <w:color w:val="auto"/>
          <w:sz w:val="21"/>
          <w:szCs w:val="21"/>
          <w:highlight w:val="none"/>
        </w:rPr>
        <w:t>一、我方承诺无下列相互串通投标的情形：</w:t>
      </w:r>
    </w:p>
    <w:p w14:paraId="6CD20FCE">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1.不同投标人的投标文件由同一单位或者个人编制；或者不同投标人报名的IP地址一致的；或者编制标书硬件设备CPU编号、硬盘编号、网卡地址一致的情况；</w:t>
      </w:r>
    </w:p>
    <w:p w14:paraId="329D6476">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2.不同投标人委托同一单位或者个人办理投标事宜；</w:t>
      </w:r>
    </w:p>
    <w:p w14:paraId="5C323B3A">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3.不同的投标人的投标文件载明的项目管理员为同一个人；</w:t>
      </w:r>
    </w:p>
    <w:p w14:paraId="28D6DF38">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4.不同投标人的投标文件异常一致或者投标报价呈规律性差异；</w:t>
      </w:r>
    </w:p>
    <w:p w14:paraId="05FC9289">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5.不同投标人的投标文件相互混装；</w:t>
      </w:r>
    </w:p>
    <w:p w14:paraId="64B12435">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6.不同投标人的投标保证金从同一单位或者个人账户转出。</w:t>
      </w:r>
    </w:p>
    <w:p w14:paraId="384A7AC5">
      <w:pPr>
        <w:shd w:val="clear"/>
        <w:spacing w:line="440" w:lineRule="exact"/>
        <w:contextualSpacing/>
        <w:jc w:val="left"/>
        <w:rPr>
          <w:rFonts w:ascii="宋体" w:hAnsi="宋体" w:cs="宋体"/>
          <w:color w:val="auto"/>
          <w:sz w:val="21"/>
          <w:szCs w:val="21"/>
          <w:highlight w:val="none"/>
        </w:rPr>
      </w:pPr>
      <w:r>
        <w:rPr>
          <w:rFonts w:hint="eastAsia" w:ascii="宋体" w:hAnsi="宋体" w:cs="宋体"/>
          <w:b/>
          <w:color w:val="auto"/>
          <w:sz w:val="21"/>
          <w:szCs w:val="21"/>
          <w:highlight w:val="none"/>
        </w:rPr>
        <w:t>二、我方承诺无下列恶意串通的情形：</w:t>
      </w:r>
    </w:p>
    <w:p w14:paraId="67B9D8B5">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1.投标人直接或者间接从采购人或者采购代理机构处获得其他投标人的相关信息并修改其投标文件或者响应文件；</w:t>
      </w:r>
    </w:p>
    <w:p w14:paraId="153B50A6">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2.投标人按照采购人或者采购代理机构的授意撤换、修改投标文件或者响应文件；</w:t>
      </w:r>
    </w:p>
    <w:p w14:paraId="43525FF7">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3.投标人之间协商报价、技术方案等投标文件或者响应文件的实质性内容；</w:t>
      </w:r>
    </w:p>
    <w:p w14:paraId="54468FF5">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4.属于同一集团、协会、商会等组织成员的投标人按照该组织要求协同参加政府采购活动；</w:t>
      </w:r>
    </w:p>
    <w:p w14:paraId="044E9223">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5.投标人之间事先约定一致抬高或者压低投标报价，或者在招标项目中事先约定轮流以高价位或者低价位中标，或者事先约定由某一特定投标人中标，然后再参加投标；</w:t>
      </w:r>
    </w:p>
    <w:p w14:paraId="2A54BCDF">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6.投标人之间商定部分投标人放弃参加政府采购活动或者放弃中标；</w:t>
      </w:r>
    </w:p>
    <w:p w14:paraId="154ED657">
      <w:pPr>
        <w:shd w:val="clea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7.投标人与采购人或者采购代理机构之间、投标人相互之间，为谋求特定投标人中标或者排斥其他投标人的其他串通行为。</w:t>
      </w:r>
    </w:p>
    <w:p w14:paraId="3125ADF4">
      <w:pPr>
        <w:shd w:val="clear"/>
        <w:spacing w:line="440" w:lineRule="exact"/>
        <w:ind w:firstLine="411" w:firstLineChars="196"/>
        <w:contextualSpacing/>
        <w:jc w:val="left"/>
        <w:rPr>
          <w:rFonts w:ascii="宋体" w:hAnsi="宋体" w:cs="宋体"/>
          <w:b/>
          <w:color w:val="auto"/>
          <w:sz w:val="21"/>
          <w:szCs w:val="21"/>
          <w:highlight w:val="none"/>
        </w:rPr>
      </w:pPr>
      <w:r>
        <w:rPr>
          <w:rFonts w:hint="eastAsia" w:ascii="宋体" w:hAnsi="宋体" w:cs="宋体"/>
          <w:b/>
          <w:color w:val="auto"/>
          <w:sz w:val="21"/>
          <w:szCs w:val="21"/>
          <w:highlight w:val="none"/>
        </w:rPr>
        <w:t>以上情形一经核查属实，接受政府采购监管部门对我方认定存在围标串标行为，我方愿意承担一切后果，并不再寻求任何旨在减轻或者免除法律责任的辩解。</w:t>
      </w:r>
      <w:bookmarkEnd w:id="129"/>
      <w:bookmarkEnd w:id="130"/>
    </w:p>
    <w:p w14:paraId="1D67EAF1">
      <w:pPr>
        <w:pStyle w:val="26"/>
        <w:shd w:val="clear"/>
        <w:spacing w:line="440" w:lineRule="exact"/>
        <w:ind w:firstLine="5985" w:firstLineChars="2850"/>
        <w:contextualSpacing/>
        <w:rPr>
          <w:rFonts w:hAnsi="宋体" w:cs="宋体"/>
          <w:color w:val="auto"/>
          <w:sz w:val="21"/>
          <w:szCs w:val="21"/>
          <w:highlight w:val="none"/>
        </w:rPr>
      </w:pPr>
    </w:p>
    <w:p w14:paraId="0B7806E0">
      <w:pPr>
        <w:shd w:val="clear"/>
        <w:spacing w:line="360" w:lineRule="auto"/>
        <w:ind w:firstLine="420" w:firstLineChars="200"/>
        <w:contextualSpacing/>
        <w:rPr>
          <w:rFonts w:ascii="宋体" w:hAnsi="宋体" w:cs="宋体"/>
          <w:color w:val="auto"/>
          <w:sz w:val="21"/>
          <w:szCs w:val="21"/>
          <w:highlight w:val="none"/>
          <w:u w:val="single"/>
        </w:rPr>
      </w:pPr>
      <w:r>
        <w:rPr>
          <w:rFonts w:hint="eastAsia" w:hAnsi="宋体" w:cs="宋体"/>
          <w:color w:val="auto"/>
          <w:sz w:val="21"/>
          <w:szCs w:val="21"/>
          <w:highlight w:val="none"/>
        </w:rPr>
        <w:t>投标人名称（电子签章）：</w:t>
      </w:r>
    </w:p>
    <w:p w14:paraId="44A0E87C">
      <w:pPr>
        <w:shd w:val="clear"/>
        <w:spacing w:line="360" w:lineRule="auto"/>
        <w:ind w:firstLine="420" w:firstLineChars="200"/>
        <w:contextualSpacing/>
        <w:rPr>
          <w:rFonts w:hAnsi="宋体" w:cs="宋体"/>
          <w:color w:val="auto"/>
          <w:sz w:val="21"/>
          <w:szCs w:val="21"/>
          <w:highlight w:val="none"/>
        </w:rPr>
      </w:pPr>
      <w:r>
        <w:rPr>
          <w:rFonts w:hint="eastAsia" w:hAnsi="宋体" w:cs="宋体"/>
          <w:color w:val="auto"/>
          <w:sz w:val="21"/>
          <w:szCs w:val="21"/>
          <w:highlight w:val="none"/>
        </w:rPr>
        <w:t>日期：</w:t>
      </w:r>
      <w:r>
        <w:rPr>
          <w:rFonts w:hint="eastAsia" w:hAnsi="宋体" w:cs="宋体"/>
          <w:color w:val="auto"/>
          <w:sz w:val="21"/>
          <w:szCs w:val="21"/>
          <w:highlight w:val="none"/>
          <w:lang w:val="en-US" w:eastAsia="zh-CN"/>
        </w:rPr>
        <w:t xml:space="preserve">  </w:t>
      </w:r>
      <w:r>
        <w:rPr>
          <w:rFonts w:hint="eastAsia" w:hAnsi="宋体" w:cs="宋体"/>
          <w:color w:val="auto"/>
          <w:sz w:val="21"/>
          <w:szCs w:val="21"/>
          <w:highlight w:val="none"/>
        </w:rPr>
        <w:t>年</w:t>
      </w:r>
      <w:r>
        <w:rPr>
          <w:rFonts w:hint="eastAsia" w:hAnsi="宋体" w:cs="宋体"/>
          <w:color w:val="auto"/>
          <w:sz w:val="21"/>
          <w:szCs w:val="21"/>
          <w:highlight w:val="none"/>
          <w:lang w:val="en-US" w:eastAsia="zh-CN"/>
        </w:rPr>
        <w:t xml:space="preserve">  </w:t>
      </w:r>
      <w:r>
        <w:rPr>
          <w:rFonts w:hint="eastAsia" w:hAnsi="宋体" w:cs="宋体"/>
          <w:color w:val="auto"/>
          <w:sz w:val="21"/>
          <w:szCs w:val="21"/>
          <w:highlight w:val="none"/>
        </w:rPr>
        <w:t>月</w:t>
      </w:r>
      <w:r>
        <w:rPr>
          <w:rFonts w:hint="eastAsia" w:hAnsi="宋体" w:cs="宋体"/>
          <w:color w:val="auto"/>
          <w:sz w:val="21"/>
          <w:szCs w:val="21"/>
          <w:highlight w:val="none"/>
          <w:lang w:val="en-US" w:eastAsia="zh-CN"/>
        </w:rPr>
        <w:t xml:space="preserve">   </w:t>
      </w:r>
      <w:r>
        <w:rPr>
          <w:rFonts w:hint="eastAsia" w:hAnsi="宋体" w:cs="宋体"/>
          <w:color w:val="auto"/>
          <w:sz w:val="21"/>
          <w:szCs w:val="21"/>
          <w:highlight w:val="none"/>
        </w:rPr>
        <w:t>日</w:t>
      </w:r>
    </w:p>
    <w:p w14:paraId="16E0FB7D">
      <w:pPr>
        <w:shd w:val="clear"/>
        <w:snapToGrid w:val="0"/>
        <w:spacing w:before="50" w:after="156" w:afterLines="50" w:line="360" w:lineRule="exact"/>
        <w:jc w:val="left"/>
        <w:outlineLvl w:val="9"/>
        <w:rPr>
          <w:rFonts w:hint="eastAsia"/>
          <w:b/>
          <w:color w:val="auto"/>
          <w:highlight w:val="none"/>
        </w:rPr>
      </w:pPr>
      <w:r>
        <w:rPr>
          <w:rFonts w:ascii="宋体" w:hAnsi="宋体" w:cs="宋体"/>
          <w:b/>
          <w:color w:val="auto"/>
          <w:sz w:val="24"/>
          <w:highlight w:val="none"/>
        </w:rPr>
        <w:br w:type="page"/>
      </w:r>
      <w:r>
        <w:rPr>
          <w:rFonts w:hint="eastAsia" w:ascii="宋体" w:hAnsi="宋体" w:cs="宋体"/>
          <w:b/>
          <w:color w:val="auto"/>
          <w:sz w:val="24"/>
          <w:highlight w:val="none"/>
          <w:lang w:eastAsia="zh-CN"/>
        </w:rPr>
        <w:t>（二）</w:t>
      </w:r>
      <w:r>
        <w:rPr>
          <w:rFonts w:hint="eastAsia"/>
          <w:b/>
          <w:color w:val="auto"/>
          <w:highlight w:val="none"/>
        </w:rPr>
        <w:t>商务技术文件部分（格式）</w:t>
      </w:r>
    </w:p>
    <w:p w14:paraId="5D7E2C66">
      <w:pPr>
        <w:shd w:val="clear"/>
        <w:snapToGrid w:val="0"/>
        <w:spacing w:before="50" w:after="156" w:afterLines="50" w:line="360" w:lineRule="exact"/>
        <w:jc w:val="left"/>
        <w:outlineLvl w:val="9"/>
        <w:rPr>
          <w:rFonts w:hint="eastAsia"/>
          <w:b/>
          <w:color w:val="auto"/>
          <w:highlight w:val="none"/>
        </w:rPr>
      </w:pPr>
      <w:r>
        <w:rPr>
          <w:rFonts w:hint="eastAsia" w:ascii="宋体" w:hAnsi="宋体"/>
          <w:b/>
          <w:color w:val="auto"/>
          <w:highlight w:val="none"/>
        </w:rPr>
        <w:t>1.商务文件</w:t>
      </w:r>
    </w:p>
    <w:p w14:paraId="4B9A5069">
      <w:pPr>
        <w:shd w:val="clear"/>
        <w:snapToGrid w:val="0"/>
        <w:spacing w:line="370" w:lineRule="exact"/>
        <w:ind w:firstLine="411" w:firstLineChars="196"/>
        <w:jc w:val="left"/>
        <w:outlineLvl w:val="9"/>
        <w:rPr>
          <w:rFonts w:ascii="宋体"/>
          <w:color w:val="auto"/>
          <w:szCs w:val="21"/>
          <w:highlight w:val="none"/>
        </w:rPr>
      </w:pPr>
      <w:r>
        <w:rPr>
          <w:rFonts w:hint="eastAsia"/>
          <w:color w:val="auto"/>
          <w:highlight w:val="none"/>
        </w:rPr>
        <w:t xml:space="preserve">    </w:t>
      </w:r>
    </w:p>
    <w:p w14:paraId="5C7D3943">
      <w:pPr>
        <w:shd w:val="clear"/>
        <w:snapToGrid w:val="0"/>
        <w:spacing w:line="360" w:lineRule="exact"/>
        <w:ind w:firstLine="210" w:firstLineChars="100"/>
        <w:jc w:val="left"/>
        <w:outlineLvl w:val="9"/>
        <w:rPr>
          <w:rFonts w:hint="eastAsia" w:ascii="宋体" w:eastAsia="宋体" w:cs="宋体"/>
          <w:b/>
          <w:color w:val="auto"/>
          <w:kern w:val="0"/>
          <w:szCs w:val="21"/>
          <w:highlight w:val="none"/>
          <w:lang w:eastAsia="zh-CN"/>
        </w:rPr>
      </w:pPr>
      <w:r>
        <w:rPr>
          <w:rFonts w:hint="eastAsia" w:ascii="宋体" w:cs="宋体"/>
          <w:color w:val="auto"/>
          <w:kern w:val="0"/>
          <w:szCs w:val="21"/>
          <w:highlight w:val="none"/>
        </w:rPr>
        <w:t>（1）</w:t>
      </w:r>
      <w:r>
        <w:rPr>
          <w:rFonts w:hint="eastAsia" w:ascii="宋体" w:hAnsi="宋体"/>
          <w:color w:val="auto"/>
          <w:szCs w:val="21"/>
          <w:highlight w:val="none"/>
        </w:rPr>
        <w:t>投标保证金的提交凭证</w:t>
      </w:r>
      <w:r>
        <w:rPr>
          <w:rFonts w:hint="eastAsia" w:ascii="宋体" w:cs="宋体"/>
          <w:b/>
          <w:color w:val="auto"/>
          <w:kern w:val="0"/>
          <w:szCs w:val="21"/>
          <w:highlight w:val="none"/>
          <w:lang w:eastAsia="zh-CN"/>
        </w:rPr>
        <w:t>[必须提供]</w:t>
      </w:r>
    </w:p>
    <w:p w14:paraId="63AF8B94">
      <w:pPr>
        <w:shd w:val="clear"/>
        <w:spacing w:line="360" w:lineRule="exact"/>
        <w:outlineLvl w:val="9"/>
        <w:rPr>
          <w:rFonts w:hint="eastAsia" w:ascii="宋体" w:hAnsi="宋体"/>
          <w:color w:val="auto"/>
          <w:highlight w:val="none"/>
        </w:rPr>
      </w:pPr>
    </w:p>
    <w:p w14:paraId="484B3834">
      <w:pPr>
        <w:shd w:val="clear"/>
        <w:snapToGrid w:val="0"/>
        <w:spacing w:line="360" w:lineRule="exact"/>
        <w:ind w:firstLine="210" w:firstLineChars="100"/>
        <w:jc w:val="left"/>
        <w:outlineLvl w:val="9"/>
        <w:rPr>
          <w:rFonts w:hint="eastAsia" w:ascii="宋体" w:cs="宋体"/>
          <w:color w:val="auto"/>
          <w:kern w:val="0"/>
          <w:szCs w:val="21"/>
          <w:highlight w:val="none"/>
        </w:rPr>
      </w:pPr>
    </w:p>
    <w:p w14:paraId="1C853E43">
      <w:pPr>
        <w:shd w:val="clear"/>
        <w:snapToGrid w:val="0"/>
        <w:spacing w:line="360" w:lineRule="exact"/>
        <w:ind w:firstLine="210" w:firstLineChars="100"/>
        <w:jc w:val="left"/>
        <w:outlineLvl w:val="9"/>
        <w:rPr>
          <w:rFonts w:hint="eastAsia" w:ascii="宋体" w:cs="宋体"/>
          <w:color w:val="auto"/>
          <w:kern w:val="0"/>
          <w:szCs w:val="21"/>
          <w:highlight w:val="none"/>
        </w:rPr>
      </w:pPr>
      <w:r>
        <w:rPr>
          <w:rFonts w:hint="eastAsia" w:ascii="宋体" w:cs="宋体"/>
          <w:color w:val="auto"/>
          <w:kern w:val="0"/>
          <w:szCs w:val="21"/>
          <w:highlight w:val="none"/>
        </w:rPr>
        <w:t>（2）投标声明书格式：</w:t>
      </w:r>
    </w:p>
    <w:p w14:paraId="04EB2C65">
      <w:pPr>
        <w:shd w:val="clear"/>
        <w:snapToGrid w:val="0"/>
        <w:spacing w:before="156" w:beforeLines="50" w:after="50" w:line="360" w:lineRule="exact"/>
        <w:jc w:val="center"/>
        <w:outlineLvl w:val="9"/>
        <w:rPr>
          <w:rFonts w:hint="eastAsia" w:ascii="宋体" w:hAnsi="宋体"/>
          <w:b/>
          <w:color w:val="auto"/>
          <w:sz w:val="30"/>
          <w:szCs w:val="30"/>
          <w:highlight w:val="none"/>
        </w:rPr>
      </w:pPr>
      <w:r>
        <w:rPr>
          <w:rFonts w:hint="eastAsia" w:ascii="宋体" w:hAnsi="宋体"/>
          <w:b/>
          <w:color w:val="auto"/>
          <w:sz w:val="30"/>
          <w:szCs w:val="30"/>
          <w:highlight w:val="none"/>
        </w:rPr>
        <w:t>投标声明书</w:t>
      </w:r>
    </w:p>
    <w:p w14:paraId="6F276450">
      <w:pPr>
        <w:shd w:val="clear"/>
        <w:spacing w:line="400" w:lineRule="exact"/>
        <w:outlineLvl w:val="9"/>
        <w:rPr>
          <w:rFonts w:hint="eastAsia" w:ascii="宋体" w:hAnsi="宋体"/>
          <w:color w:val="auto"/>
          <w:highlight w:val="none"/>
        </w:rPr>
      </w:pPr>
      <w:r>
        <w:rPr>
          <w:rFonts w:hint="eastAsia" w:ascii="宋体" w:hAnsi="宋体"/>
          <w:color w:val="auto"/>
          <w:highlight w:val="none"/>
        </w:rPr>
        <w:t>致：</w:t>
      </w:r>
      <w:r>
        <w:rPr>
          <w:rFonts w:hint="eastAsia" w:ascii="宋体" w:hAnsi="宋体"/>
          <w:color w:val="auto"/>
          <w:highlight w:val="none"/>
          <w:u w:val="single"/>
        </w:rPr>
        <w:t xml:space="preserve"> 广西国力招标有限公司 </w:t>
      </w:r>
    </w:p>
    <w:p w14:paraId="23C156E8">
      <w:pPr>
        <w:shd w:val="clear"/>
        <w:spacing w:line="400" w:lineRule="exact"/>
        <w:outlineLvl w:val="9"/>
        <w:rPr>
          <w:rFonts w:hint="eastAsia" w:ascii="宋体" w:hAnsi="宋体"/>
          <w:color w:val="auto"/>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（投标人名称）系中华人民共和国合法企业，经营地址</w:t>
      </w:r>
      <w:r>
        <w:rPr>
          <w:rFonts w:hint="eastAsia" w:ascii="宋体" w:hAnsi="宋体"/>
          <w:color w:val="auto"/>
          <w:highlight w:val="none"/>
          <w:u w:val="single"/>
        </w:rPr>
        <w:t xml:space="preserve">                               </w:t>
      </w:r>
      <w:r>
        <w:rPr>
          <w:rFonts w:hint="eastAsia" w:ascii="宋体" w:hAnsi="宋体"/>
          <w:color w:val="auto"/>
          <w:highlight w:val="none"/>
        </w:rPr>
        <w:t>。</w:t>
      </w:r>
    </w:p>
    <w:p w14:paraId="774861CB">
      <w:pPr>
        <w:shd w:val="clear"/>
        <w:spacing w:line="400" w:lineRule="exact"/>
        <w:outlineLvl w:val="9"/>
        <w:rPr>
          <w:rFonts w:hint="eastAsia" w:ascii="宋体" w:hAnsi="宋体"/>
          <w:color w:val="auto"/>
          <w:highlight w:val="none"/>
        </w:rPr>
      </w:pPr>
      <w:r>
        <w:rPr>
          <w:rFonts w:hint="eastAsia" w:ascii="宋体" w:hAnsi="宋体"/>
          <w:color w:val="auto"/>
          <w:highlight w:val="none"/>
        </w:rPr>
        <w:t xml:space="preserve">    我</w:t>
      </w:r>
      <w:r>
        <w:rPr>
          <w:rFonts w:hint="eastAsia" w:ascii="宋体" w:hAnsi="宋体"/>
          <w:color w:val="auto"/>
          <w:highlight w:val="none"/>
          <w:u w:val="single"/>
        </w:rPr>
        <w:t xml:space="preserve">           </w:t>
      </w:r>
      <w:r>
        <w:rPr>
          <w:rFonts w:hint="eastAsia" w:ascii="宋体" w:hAnsi="宋体"/>
          <w:color w:val="auto"/>
          <w:highlight w:val="none"/>
        </w:rPr>
        <w:t>（姓名）系</w:t>
      </w:r>
      <w:r>
        <w:rPr>
          <w:rFonts w:hint="eastAsia" w:ascii="宋体" w:hAnsi="宋体"/>
          <w:color w:val="auto"/>
          <w:highlight w:val="none"/>
          <w:u w:val="single"/>
        </w:rPr>
        <w:t xml:space="preserve">                    </w:t>
      </w:r>
      <w:r>
        <w:rPr>
          <w:rFonts w:hint="eastAsia" w:ascii="宋体" w:hAnsi="宋体"/>
          <w:color w:val="auto"/>
          <w:highlight w:val="none"/>
        </w:rPr>
        <w:t>（投标人名称）的法定代表人（负责人），我方愿意参加贵方组织的</w:t>
      </w:r>
      <w:r>
        <w:rPr>
          <w:rFonts w:hint="eastAsia" w:ascii="宋体" w:hAnsi="宋体"/>
          <w:color w:val="auto"/>
          <w:highlight w:val="none"/>
          <w:u w:val="single"/>
        </w:rPr>
        <w:t xml:space="preserve">                     </w:t>
      </w:r>
      <w:r>
        <w:rPr>
          <w:rFonts w:hint="eastAsia" w:ascii="宋体" w:hAnsi="宋体"/>
          <w:color w:val="auto"/>
          <w:highlight w:val="none"/>
        </w:rPr>
        <w:t>项目的投标，为便于贵方公正、择优地确定中标人及其投标产品和服务，我方就本次投标有关事项郑重声明如下：</w:t>
      </w:r>
    </w:p>
    <w:p w14:paraId="5FFA91AF">
      <w:pPr>
        <w:shd w:val="clear"/>
        <w:spacing w:line="400" w:lineRule="exact"/>
        <w:outlineLvl w:val="9"/>
        <w:rPr>
          <w:rFonts w:hint="eastAsia" w:ascii="宋体" w:hAnsi="宋体"/>
          <w:color w:val="auto"/>
          <w:highlight w:val="none"/>
        </w:rPr>
      </w:pPr>
      <w:r>
        <w:rPr>
          <w:rFonts w:hint="eastAsia" w:ascii="宋体" w:hAnsi="宋体"/>
          <w:color w:val="auto"/>
          <w:highlight w:val="none"/>
        </w:rPr>
        <w:t xml:space="preserve">    1.我方向贵方提交的所有投标文件、资料都是准确的和真实的。</w:t>
      </w:r>
    </w:p>
    <w:p w14:paraId="2C578B9E">
      <w:pPr>
        <w:shd w:val="clear"/>
        <w:spacing w:line="400" w:lineRule="exact"/>
        <w:outlineLvl w:val="9"/>
        <w:rPr>
          <w:rFonts w:hint="eastAsia" w:ascii="宋体" w:hAnsi="宋体"/>
          <w:color w:val="auto"/>
          <w:highlight w:val="none"/>
        </w:rPr>
      </w:pPr>
      <w:r>
        <w:rPr>
          <w:rFonts w:hint="eastAsia" w:ascii="宋体" w:hAnsi="宋体"/>
          <w:color w:val="auto"/>
          <w:highlight w:val="none"/>
        </w:rPr>
        <w:t xml:space="preserve">    2.我方在获知本项目采购信息后，与采购人聘请的为此项目提供咨询服务的公司及其附属机构没有任何联系。</w:t>
      </w:r>
    </w:p>
    <w:p w14:paraId="21757A3F">
      <w:pPr>
        <w:shd w:val="clear"/>
        <w:spacing w:line="400" w:lineRule="exact"/>
        <w:outlineLvl w:val="9"/>
        <w:rPr>
          <w:rFonts w:hint="eastAsia" w:ascii="宋体" w:hAnsi="宋体"/>
          <w:color w:val="auto"/>
          <w:highlight w:val="none"/>
        </w:rPr>
      </w:pPr>
      <w:r>
        <w:rPr>
          <w:rFonts w:hint="eastAsia" w:ascii="宋体" w:hAnsi="宋体"/>
          <w:color w:val="auto"/>
          <w:highlight w:val="none"/>
        </w:rPr>
        <w:t xml:space="preserve">    3.我方此次向贵方提供的产品名称为：</w:t>
      </w:r>
      <w:r>
        <w:rPr>
          <w:rFonts w:hint="eastAsia" w:ascii="宋体" w:hAnsi="宋体"/>
          <w:color w:val="auto"/>
          <w:highlight w:val="none"/>
          <w:u w:val="single"/>
        </w:rPr>
        <w:t xml:space="preserve">                  </w:t>
      </w:r>
      <w:r>
        <w:rPr>
          <w:rFonts w:hint="eastAsia" w:ascii="宋体" w:hAnsi="宋体"/>
          <w:color w:val="auto"/>
          <w:highlight w:val="none"/>
        </w:rPr>
        <w:t>；规格型号：</w:t>
      </w:r>
      <w:r>
        <w:rPr>
          <w:rFonts w:hint="eastAsia" w:ascii="宋体" w:hAnsi="宋体"/>
          <w:color w:val="auto"/>
          <w:highlight w:val="none"/>
          <w:u w:val="single"/>
        </w:rPr>
        <w:t xml:space="preserve">                     </w:t>
      </w:r>
      <w:r>
        <w:rPr>
          <w:rFonts w:hint="eastAsia" w:ascii="宋体" w:hAnsi="宋体"/>
          <w:color w:val="auto"/>
          <w:highlight w:val="none"/>
        </w:rPr>
        <w:t>；该型号产品我方有现货可供，并已于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月生产完工或向</w:t>
      </w:r>
      <w:r>
        <w:rPr>
          <w:rFonts w:hint="eastAsia" w:ascii="宋体" w:hAnsi="宋体"/>
          <w:color w:val="auto"/>
          <w:highlight w:val="none"/>
          <w:u w:val="single"/>
        </w:rPr>
        <w:t xml:space="preserve">　　              </w:t>
      </w:r>
      <w:r>
        <w:rPr>
          <w:rFonts w:hint="eastAsia" w:ascii="宋体" w:hAnsi="宋体"/>
          <w:color w:val="auto"/>
          <w:highlight w:val="none"/>
        </w:rPr>
        <w:t>（原厂商名称）购进［</w:t>
      </w:r>
      <w:r>
        <w:rPr>
          <w:rFonts w:hint="eastAsia" w:ascii="宋体" w:hAnsi="宋体"/>
          <w:b/>
          <w:color w:val="auto"/>
          <w:highlight w:val="none"/>
        </w:rPr>
        <w:t>或</w:t>
      </w:r>
      <w:r>
        <w:rPr>
          <w:rFonts w:hint="eastAsia" w:ascii="宋体" w:hAnsi="宋体"/>
          <w:color w:val="auto"/>
          <w:highlight w:val="none"/>
        </w:rPr>
        <w:t>需在中标后向</w:t>
      </w:r>
      <w:r>
        <w:rPr>
          <w:rFonts w:hint="eastAsia" w:ascii="宋体" w:hAnsi="宋体"/>
          <w:color w:val="auto"/>
          <w:highlight w:val="none"/>
          <w:u w:val="single"/>
        </w:rPr>
        <w:t xml:space="preserve">               </w:t>
      </w:r>
      <w:r>
        <w:rPr>
          <w:rFonts w:hint="eastAsia" w:ascii="宋体" w:hAnsi="宋体"/>
          <w:color w:val="auto"/>
          <w:highlight w:val="none"/>
        </w:rPr>
        <w:t>订购］。</w:t>
      </w:r>
    </w:p>
    <w:p w14:paraId="7512B1AB">
      <w:pPr>
        <w:shd w:val="clear"/>
        <w:spacing w:line="400" w:lineRule="exact"/>
        <w:outlineLvl w:val="9"/>
        <w:rPr>
          <w:rFonts w:hint="eastAsia" w:ascii="宋体" w:hAnsi="宋体"/>
          <w:color w:val="auto"/>
          <w:highlight w:val="none"/>
        </w:rPr>
      </w:pPr>
      <w:r>
        <w:rPr>
          <w:rFonts w:hint="eastAsia" w:ascii="宋体" w:hAnsi="宋体"/>
          <w:color w:val="auto"/>
          <w:highlight w:val="none"/>
        </w:rPr>
        <w:t xml:space="preserve">    4.我方诚意提请贵方关注：近期有关该型号产品的生产、供货、售后服务以及性能等方面的重大决策和事项有：</w:t>
      </w:r>
    </w:p>
    <w:p w14:paraId="4605D223">
      <w:pPr>
        <w:shd w:val="clear"/>
        <w:spacing w:line="400" w:lineRule="exact"/>
        <w:outlineLvl w:val="9"/>
        <w:rPr>
          <w:rFonts w:hint="eastAsia" w:ascii="宋体" w:hAnsi="宋体"/>
          <w:color w:val="auto"/>
          <w:highlight w:val="none"/>
          <w:u w:val="single"/>
        </w:rPr>
      </w:pPr>
      <w:r>
        <w:rPr>
          <w:rFonts w:hint="eastAsia" w:ascii="宋体" w:hAnsi="宋体"/>
          <w:color w:val="auto"/>
          <w:highlight w:val="none"/>
        </w:rPr>
        <w:t>　　</w:t>
      </w:r>
      <w:r>
        <w:rPr>
          <w:rFonts w:hint="eastAsia" w:ascii="宋体" w:hAnsi="宋体"/>
          <w:color w:val="auto"/>
          <w:highlight w:val="none"/>
          <w:u w:val="single"/>
        </w:rPr>
        <w:t>　　　　　　　　　　　　　　　　　　　　　　　　　</w:t>
      </w:r>
    </w:p>
    <w:p w14:paraId="634A2C0F">
      <w:pPr>
        <w:shd w:val="clear"/>
        <w:spacing w:line="400" w:lineRule="exact"/>
        <w:outlineLvl w:val="9"/>
        <w:rPr>
          <w:rFonts w:hint="eastAsia" w:ascii="宋体" w:hAnsi="宋体"/>
          <w:color w:val="auto"/>
          <w:highlight w:val="none"/>
          <w:u w:val="single"/>
        </w:rPr>
      </w:pPr>
      <w:r>
        <w:rPr>
          <w:rFonts w:hint="eastAsia" w:ascii="宋体" w:hAnsi="宋体"/>
          <w:color w:val="auto"/>
          <w:highlight w:val="none"/>
        </w:rPr>
        <w:t>　　</w:t>
      </w:r>
      <w:r>
        <w:rPr>
          <w:rFonts w:hint="eastAsia" w:ascii="宋体" w:hAnsi="宋体"/>
          <w:color w:val="auto"/>
          <w:highlight w:val="none"/>
          <w:u w:val="single"/>
        </w:rPr>
        <w:t>　　　　　　　　　　　　　　　　　　　　　　　　　</w:t>
      </w:r>
    </w:p>
    <w:p w14:paraId="355D3816">
      <w:pPr>
        <w:shd w:val="clear"/>
        <w:spacing w:line="400" w:lineRule="exact"/>
        <w:outlineLvl w:val="9"/>
        <w:rPr>
          <w:rFonts w:hint="eastAsia" w:ascii="宋体" w:hAnsi="宋体"/>
          <w:color w:val="auto"/>
          <w:highlight w:val="none"/>
        </w:rPr>
      </w:pPr>
      <w:r>
        <w:rPr>
          <w:rFonts w:hint="eastAsia" w:ascii="宋体" w:hAnsi="宋体"/>
          <w:color w:val="auto"/>
          <w:highlight w:val="none"/>
        </w:rPr>
        <w:t xml:space="preserve">    5.我方</w:t>
      </w:r>
      <w:r>
        <w:rPr>
          <w:rFonts w:ascii="宋体" w:hAnsi="宋体"/>
          <w:color w:val="auto"/>
          <w:highlight w:val="none"/>
        </w:rPr>
        <w:t>参加政府采购活动前</w:t>
      </w:r>
      <w:r>
        <w:rPr>
          <w:rFonts w:hint="eastAsia" w:ascii="宋体" w:hAnsi="宋体"/>
          <w:color w:val="auto"/>
          <w:highlight w:val="none"/>
        </w:rPr>
        <w:t>三</w:t>
      </w:r>
      <w:r>
        <w:rPr>
          <w:rFonts w:ascii="宋体" w:hAnsi="宋体"/>
          <w:color w:val="auto"/>
          <w:highlight w:val="none"/>
        </w:rPr>
        <w:t>年内在经营活动中重大违法记录</w:t>
      </w:r>
      <w:r>
        <w:rPr>
          <w:rFonts w:hint="eastAsia" w:ascii="宋体" w:hAnsi="宋体"/>
          <w:color w:val="auto"/>
          <w:highlight w:val="none"/>
        </w:rPr>
        <w:t>情况：</w:t>
      </w:r>
    </w:p>
    <w:p w14:paraId="22F8E49D">
      <w:pPr>
        <w:shd w:val="clear"/>
        <w:spacing w:line="400" w:lineRule="exact"/>
        <w:outlineLvl w:val="9"/>
        <w:rPr>
          <w:rFonts w:hint="eastAsia" w:ascii="宋体" w:hAnsi="宋体"/>
          <w:color w:val="auto"/>
          <w:highlight w:val="none"/>
          <w:u w:val="single"/>
        </w:rPr>
      </w:pPr>
      <w:r>
        <w:rPr>
          <w:rFonts w:hint="eastAsia" w:ascii="宋体" w:hAnsi="宋体"/>
          <w:color w:val="auto"/>
          <w:highlight w:val="none"/>
        </w:rPr>
        <w:t>　　</w:t>
      </w:r>
      <w:r>
        <w:rPr>
          <w:rFonts w:hint="eastAsia" w:ascii="宋体" w:hAnsi="宋体"/>
          <w:color w:val="auto"/>
          <w:highlight w:val="none"/>
          <w:u w:val="single"/>
        </w:rPr>
        <w:t>　　　　　　　　　　　　　　　　　　　　　　　　　</w:t>
      </w:r>
    </w:p>
    <w:p w14:paraId="6B820246">
      <w:pPr>
        <w:shd w:val="clear"/>
        <w:spacing w:line="400" w:lineRule="exact"/>
        <w:outlineLvl w:val="9"/>
        <w:rPr>
          <w:rFonts w:hint="eastAsia" w:ascii="宋体" w:hAnsi="宋体"/>
          <w:color w:val="auto"/>
          <w:highlight w:val="none"/>
        </w:rPr>
      </w:pPr>
      <w:r>
        <w:rPr>
          <w:rFonts w:hint="eastAsia" w:ascii="宋体" w:hAnsi="宋体"/>
          <w:color w:val="auto"/>
          <w:highlight w:val="none"/>
        </w:rPr>
        <w:t xml:space="preserve">    6.以上事项如有虚假或隐瞒，我方愿意承担一切后果。</w:t>
      </w:r>
    </w:p>
    <w:p w14:paraId="475FF1CA">
      <w:pPr>
        <w:shd w:val="clear"/>
        <w:spacing w:line="400" w:lineRule="exact"/>
        <w:outlineLvl w:val="9"/>
        <w:rPr>
          <w:rFonts w:hint="eastAsia"/>
          <w:color w:val="auto"/>
          <w:highlight w:val="none"/>
        </w:rPr>
      </w:pPr>
    </w:p>
    <w:p w14:paraId="03CCAE7D">
      <w:pPr>
        <w:shd w:val="clear"/>
        <w:spacing w:line="400" w:lineRule="exact"/>
        <w:outlineLvl w:val="9"/>
        <w:rPr>
          <w:rFonts w:hint="eastAsia"/>
          <w:color w:val="auto"/>
          <w:highlight w:val="none"/>
        </w:rPr>
      </w:pPr>
      <w:r>
        <w:rPr>
          <w:rFonts w:hint="eastAsia"/>
          <w:color w:val="auto"/>
          <w:highlight w:val="none"/>
        </w:rPr>
        <w:t xml:space="preserve">                                               法定代表人（负责人）签字或盖章：</w:t>
      </w:r>
      <w:r>
        <w:rPr>
          <w:rFonts w:hint="eastAsia"/>
          <w:color w:val="auto"/>
          <w:highlight w:val="none"/>
          <w:u w:val="single"/>
        </w:rPr>
        <w:t xml:space="preserve">             </w:t>
      </w:r>
    </w:p>
    <w:p w14:paraId="047101CC">
      <w:pPr>
        <w:shd w:val="clear"/>
        <w:spacing w:line="400" w:lineRule="exact"/>
        <w:outlineLvl w:val="9"/>
        <w:rPr>
          <w:rFonts w:hint="eastAsia"/>
          <w:color w:val="auto"/>
          <w:highlight w:val="none"/>
        </w:rPr>
      </w:pPr>
      <w:r>
        <w:rPr>
          <w:rFonts w:hint="eastAsia"/>
          <w:color w:val="auto"/>
          <w:highlight w:val="none"/>
        </w:rPr>
        <w:t xml:space="preserve">                                               投标人名称（</w:t>
      </w:r>
      <w:r>
        <w:rPr>
          <w:rFonts w:hint="eastAsia" w:ascii="宋体"/>
          <w:color w:val="auto"/>
          <w:szCs w:val="21"/>
          <w:highlight w:val="none"/>
        </w:rPr>
        <w:t>盖章</w:t>
      </w:r>
      <w:r>
        <w:rPr>
          <w:rFonts w:hint="eastAsia"/>
          <w:color w:val="auto"/>
          <w:highlight w:val="none"/>
        </w:rPr>
        <w:t>）：</w:t>
      </w:r>
      <w:r>
        <w:rPr>
          <w:rFonts w:hint="eastAsia"/>
          <w:color w:val="auto"/>
          <w:highlight w:val="none"/>
          <w:u w:val="single"/>
        </w:rPr>
        <w:t xml:space="preserve">               </w:t>
      </w:r>
    </w:p>
    <w:p w14:paraId="243452B2">
      <w:pPr>
        <w:shd w:val="clear"/>
        <w:spacing w:line="400" w:lineRule="exact"/>
        <w:outlineLvl w:val="9"/>
        <w:rPr>
          <w:rFonts w:hint="eastAsia"/>
          <w:color w:val="auto"/>
          <w:highlight w:val="none"/>
        </w:rPr>
      </w:pPr>
      <w:r>
        <w:rPr>
          <w:rFonts w:hint="eastAsia"/>
          <w:color w:val="auto"/>
          <w:highlight w:val="none"/>
        </w:rPr>
        <w:t xml:space="preserve">                                                                          年    月    日</w:t>
      </w:r>
    </w:p>
    <w:p w14:paraId="0BBB9B7F">
      <w:pPr>
        <w:shd w:val="clear"/>
        <w:spacing w:line="400" w:lineRule="exact"/>
        <w:rPr>
          <w:rFonts w:hint="eastAsia"/>
          <w:b/>
          <w:color w:val="auto"/>
          <w:highlight w:val="none"/>
        </w:rPr>
      </w:pPr>
    </w:p>
    <w:p w14:paraId="499B4BB5">
      <w:pPr>
        <w:shd w:val="clear"/>
        <w:spacing w:line="400" w:lineRule="exact"/>
        <w:rPr>
          <w:b/>
          <w:color w:val="auto"/>
          <w:highlight w:val="none"/>
        </w:rPr>
      </w:pPr>
      <w:r>
        <w:rPr>
          <w:b/>
          <w:color w:val="auto"/>
          <w:highlight w:val="none"/>
        </w:rPr>
        <w:t>重大违法记录，是指供应商因违法经营受到刑事处罚或者责令停产停业、吊销许可证或者执照、较大数额罚款等行政处罚。</w:t>
      </w:r>
    </w:p>
    <w:p w14:paraId="1BC39AA6">
      <w:pPr>
        <w:shd w:val="clear"/>
        <w:snapToGrid w:val="0"/>
        <w:spacing w:line="360" w:lineRule="exact"/>
        <w:ind w:firstLine="210" w:firstLineChars="100"/>
        <w:jc w:val="left"/>
        <w:rPr>
          <w:rFonts w:hint="eastAsia" w:ascii="宋体"/>
          <w:color w:val="auto"/>
          <w:szCs w:val="21"/>
          <w:highlight w:val="none"/>
        </w:rPr>
      </w:pPr>
      <w:r>
        <w:rPr>
          <w:rFonts w:hint="eastAsia" w:ascii="宋体"/>
          <w:b/>
          <w:color w:val="auto"/>
          <w:szCs w:val="21"/>
          <w:highlight w:val="none"/>
        </w:rPr>
        <w:br w:type="page"/>
      </w:r>
      <w:r>
        <w:rPr>
          <w:rFonts w:hint="eastAsia" w:ascii="宋体" w:cs="宋体"/>
          <w:color w:val="auto"/>
          <w:kern w:val="0"/>
          <w:szCs w:val="21"/>
          <w:highlight w:val="none"/>
        </w:rPr>
        <w:t xml:space="preserve">    </w:t>
      </w:r>
      <w:r>
        <w:rPr>
          <w:rFonts w:hint="eastAsia" w:ascii="宋体" w:cs="宋体"/>
          <w:color w:val="auto"/>
          <w:kern w:val="0"/>
          <w:szCs w:val="21"/>
          <w:highlight w:val="none"/>
          <w:lang w:eastAsia="zh-CN"/>
        </w:rPr>
        <w:t>（3）</w:t>
      </w:r>
      <w:r>
        <w:rPr>
          <w:rFonts w:hint="eastAsia" w:ascii="宋体" w:cs="宋体"/>
          <w:color w:val="auto"/>
          <w:kern w:val="0"/>
          <w:szCs w:val="21"/>
          <w:highlight w:val="none"/>
        </w:rPr>
        <w:t xml:space="preserve"> 法定代表人</w:t>
      </w:r>
      <w:r>
        <w:rPr>
          <w:rFonts w:hint="eastAsia" w:ascii="宋体" w:cs="宋体"/>
          <w:color w:val="auto"/>
          <w:kern w:val="0"/>
          <w:szCs w:val="21"/>
          <w:highlight w:val="none"/>
          <w:lang w:eastAsia="zh-CN"/>
        </w:rPr>
        <w:t>（</w:t>
      </w:r>
      <w:r>
        <w:rPr>
          <w:rFonts w:hint="eastAsia" w:ascii="宋体" w:cs="宋体"/>
          <w:color w:val="auto"/>
          <w:kern w:val="0"/>
          <w:szCs w:val="21"/>
          <w:highlight w:val="none"/>
        </w:rPr>
        <w:t>负责人</w:t>
      </w:r>
      <w:r>
        <w:rPr>
          <w:rFonts w:hint="eastAsia" w:ascii="宋体" w:cs="宋体"/>
          <w:color w:val="auto"/>
          <w:kern w:val="0"/>
          <w:szCs w:val="21"/>
          <w:highlight w:val="none"/>
          <w:lang w:eastAsia="zh-CN"/>
        </w:rPr>
        <w:t>）</w:t>
      </w:r>
      <w:r>
        <w:rPr>
          <w:rFonts w:hint="eastAsia" w:ascii="宋体" w:cs="宋体"/>
          <w:color w:val="auto"/>
          <w:kern w:val="0"/>
          <w:szCs w:val="21"/>
          <w:highlight w:val="none"/>
        </w:rPr>
        <w:t>授权委托书格式</w:t>
      </w:r>
    </w:p>
    <w:p w14:paraId="755E0EBD">
      <w:pPr>
        <w:shd w:val="clear"/>
        <w:snapToGrid w:val="0"/>
        <w:spacing w:before="156" w:beforeLines="50" w:after="50" w:line="340" w:lineRule="exact"/>
        <w:jc w:val="center"/>
        <w:rPr>
          <w:rFonts w:hint="eastAsia" w:ascii="宋体"/>
          <w:b/>
          <w:color w:val="auto"/>
          <w:sz w:val="30"/>
          <w:szCs w:val="30"/>
          <w:highlight w:val="none"/>
        </w:rPr>
      </w:pPr>
      <w:r>
        <w:rPr>
          <w:rFonts w:hint="eastAsia" w:ascii="宋体"/>
          <w:b/>
          <w:color w:val="auto"/>
          <w:sz w:val="30"/>
          <w:szCs w:val="30"/>
          <w:highlight w:val="none"/>
        </w:rPr>
        <w:t>法定代表人</w:t>
      </w:r>
      <w:r>
        <w:rPr>
          <w:rFonts w:hint="eastAsia" w:ascii="宋体"/>
          <w:b/>
          <w:color w:val="auto"/>
          <w:sz w:val="30"/>
          <w:szCs w:val="30"/>
          <w:highlight w:val="none"/>
          <w:lang w:eastAsia="zh-CN"/>
        </w:rPr>
        <w:t>（</w:t>
      </w:r>
      <w:r>
        <w:rPr>
          <w:rFonts w:hint="eastAsia" w:ascii="宋体"/>
          <w:b/>
          <w:color w:val="auto"/>
          <w:sz w:val="30"/>
          <w:szCs w:val="30"/>
          <w:highlight w:val="none"/>
        </w:rPr>
        <w:t>负责人</w:t>
      </w:r>
      <w:r>
        <w:rPr>
          <w:rFonts w:hint="eastAsia" w:ascii="宋体"/>
          <w:b/>
          <w:color w:val="auto"/>
          <w:sz w:val="30"/>
          <w:szCs w:val="30"/>
          <w:highlight w:val="none"/>
          <w:lang w:eastAsia="zh-CN"/>
        </w:rPr>
        <w:t>）</w:t>
      </w:r>
      <w:r>
        <w:rPr>
          <w:rFonts w:hint="eastAsia" w:ascii="宋体"/>
          <w:b/>
          <w:color w:val="auto"/>
          <w:sz w:val="30"/>
          <w:szCs w:val="30"/>
          <w:highlight w:val="none"/>
        </w:rPr>
        <w:t>授权委托书</w:t>
      </w:r>
    </w:p>
    <w:p w14:paraId="4D830E4E">
      <w:pPr>
        <w:shd w:val="clear"/>
        <w:spacing w:line="400" w:lineRule="exact"/>
        <w:rPr>
          <w:rFonts w:hint="eastAsia"/>
          <w:color w:val="auto"/>
          <w:highlight w:val="none"/>
        </w:rPr>
      </w:pPr>
      <w:r>
        <w:rPr>
          <w:rFonts w:hint="eastAsia"/>
          <w:color w:val="auto"/>
          <w:highlight w:val="none"/>
        </w:rPr>
        <w:t>致：</w:t>
      </w:r>
      <w:r>
        <w:rPr>
          <w:rFonts w:hint="eastAsia"/>
          <w:color w:val="auto"/>
          <w:highlight w:val="none"/>
          <w:u w:val="single"/>
        </w:rPr>
        <w:t xml:space="preserve"> 广西国力招标有限公司 </w:t>
      </w:r>
    </w:p>
    <w:p w14:paraId="6532CCE1">
      <w:pPr>
        <w:shd w:val="clear"/>
        <w:spacing w:line="400" w:lineRule="exact"/>
        <w:rPr>
          <w:rFonts w:hint="eastAsia"/>
          <w:color w:val="auto"/>
          <w:highlight w:val="none"/>
        </w:rPr>
      </w:pPr>
      <w:r>
        <w:rPr>
          <w:rFonts w:hint="eastAsia"/>
          <w:color w:val="auto"/>
          <w:highlight w:val="none"/>
        </w:rPr>
        <w:t xml:space="preserve">    我</w:t>
      </w:r>
      <w:r>
        <w:rPr>
          <w:rFonts w:hint="eastAsia"/>
          <w:color w:val="auto"/>
          <w:highlight w:val="none"/>
          <w:u w:val="single"/>
        </w:rPr>
        <w:t xml:space="preserve">             </w:t>
      </w:r>
      <w:r>
        <w:rPr>
          <w:rFonts w:hint="eastAsia"/>
          <w:color w:val="auto"/>
          <w:highlight w:val="none"/>
        </w:rPr>
        <w:t>（姓名）系</w:t>
      </w:r>
      <w:r>
        <w:rPr>
          <w:rFonts w:hint="eastAsia"/>
          <w:color w:val="auto"/>
          <w:highlight w:val="none"/>
          <w:u w:val="single"/>
        </w:rPr>
        <w:t xml:space="preserve">                </w:t>
      </w:r>
      <w:r>
        <w:rPr>
          <w:rFonts w:hint="eastAsia"/>
          <w:color w:val="auto"/>
          <w:highlight w:val="none"/>
        </w:rPr>
        <w:t>（投标人名称）的法定代表人（负责人），现授权委托本单位在职职工</w:t>
      </w:r>
      <w:r>
        <w:rPr>
          <w:rFonts w:hint="eastAsia"/>
          <w:color w:val="auto"/>
          <w:highlight w:val="none"/>
          <w:u w:val="single"/>
        </w:rPr>
        <w:t xml:space="preserve">           </w:t>
      </w:r>
      <w:r>
        <w:rPr>
          <w:rFonts w:hint="eastAsia"/>
          <w:color w:val="auto"/>
          <w:highlight w:val="none"/>
        </w:rPr>
        <w:t>（姓名）以我方的名义参加</w:t>
      </w:r>
      <w:r>
        <w:rPr>
          <w:rFonts w:hint="eastAsia"/>
          <w:color w:val="auto"/>
          <w:highlight w:val="none"/>
          <w:u w:val="single"/>
        </w:rPr>
        <w:t xml:space="preserve">                </w:t>
      </w:r>
      <w:r>
        <w:rPr>
          <w:rFonts w:hint="eastAsia"/>
          <w:color w:val="auto"/>
          <w:highlight w:val="none"/>
        </w:rPr>
        <w:t>项目的投标活动，并代表我方全权办理针对上述项目的投标、开标、评标、签约等具体事务和签署相关文件。</w:t>
      </w:r>
    </w:p>
    <w:p w14:paraId="67C05040">
      <w:pPr>
        <w:shd w:val="clear"/>
        <w:spacing w:line="400" w:lineRule="exact"/>
        <w:rPr>
          <w:rFonts w:hint="eastAsia"/>
          <w:color w:val="auto"/>
          <w:highlight w:val="none"/>
        </w:rPr>
      </w:pPr>
      <w:r>
        <w:rPr>
          <w:rFonts w:hint="eastAsia"/>
          <w:color w:val="auto"/>
          <w:highlight w:val="none"/>
        </w:rPr>
        <w:t xml:space="preserve">    我方对被授权人的签名事项负全部责任。</w:t>
      </w:r>
    </w:p>
    <w:p w14:paraId="463837FB">
      <w:pPr>
        <w:shd w:val="clear"/>
        <w:spacing w:line="400" w:lineRule="exact"/>
        <w:rPr>
          <w:rFonts w:hint="eastAsia"/>
          <w:color w:val="auto"/>
          <w:highlight w:val="none"/>
        </w:rPr>
      </w:pPr>
      <w:r>
        <w:rPr>
          <w:rFonts w:hint="eastAsia"/>
          <w:color w:val="auto"/>
          <w:highlight w:val="none"/>
        </w:rPr>
        <w:t xml:space="preserve">    </w:t>
      </w:r>
      <w:r>
        <w:rPr>
          <w:rFonts w:hint="eastAsia"/>
          <w:color w:val="auto"/>
          <w:highlight w:val="none"/>
          <w:u w:val="single"/>
        </w:rPr>
        <w:t>在撤销授权的书面通知以前，本授权书一直有效。</w:t>
      </w:r>
      <w:r>
        <w:rPr>
          <w:rFonts w:hint="eastAsia"/>
          <w:color w:val="auto"/>
          <w:highlight w:val="none"/>
        </w:rPr>
        <w:t>被授权人在授权书有效期内签署的所有文件不因授权的撤销而失效。</w:t>
      </w:r>
    </w:p>
    <w:p w14:paraId="59CB7DA9">
      <w:pPr>
        <w:shd w:val="clear"/>
        <w:spacing w:line="400" w:lineRule="exact"/>
        <w:rPr>
          <w:rFonts w:hint="eastAsia"/>
          <w:color w:val="auto"/>
          <w:highlight w:val="none"/>
        </w:rPr>
      </w:pPr>
      <w:r>
        <w:rPr>
          <w:rFonts w:hint="eastAsia"/>
          <w:color w:val="auto"/>
          <w:highlight w:val="none"/>
        </w:rPr>
        <w:t xml:space="preserve">    被授权人无转委托权，特此委托。</w:t>
      </w:r>
    </w:p>
    <w:p w14:paraId="13877586">
      <w:pPr>
        <w:shd w:val="clear"/>
        <w:spacing w:line="400" w:lineRule="exact"/>
        <w:rPr>
          <w:rFonts w:hint="eastAsia"/>
          <w:color w:val="auto"/>
          <w:highlight w:val="none"/>
        </w:rPr>
      </w:pPr>
    </w:p>
    <w:p w14:paraId="410F6FCB">
      <w:pPr>
        <w:shd w:val="clear"/>
        <w:spacing w:line="400" w:lineRule="exact"/>
        <w:rPr>
          <w:rFonts w:hint="eastAsia"/>
          <w:color w:val="auto"/>
          <w:highlight w:val="none"/>
        </w:rPr>
      </w:pPr>
      <w:r>
        <w:rPr>
          <w:rFonts w:hint="eastAsia"/>
          <w:color w:val="auto"/>
          <w:highlight w:val="none"/>
        </w:rPr>
        <w:t>被授权人签字或盖章：</w:t>
      </w:r>
      <w:r>
        <w:rPr>
          <w:rFonts w:hint="eastAsia"/>
          <w:color w:val="auto"/>
          <w:highlight w:val="none"/>
          <w:u w:val="single"/>
        </w:rPr>
        <w:t xml:space="preserve">            </w:t>
      </w:r>
      <w:r>
        <w:rPr>
          <w:rFonts w:hint="eastAsia"/>
          <w:color w:val="auto"/>
          <w:highlight w:val="none"/>
        </w:rPr>
        <w:t xml:space="preserve">              法定代表人（负责人）签字或盖章：</w:t>
      </w:r>
      <w:r>
        <w:rPr>
          <w:rFonts w:hint="eastAsia"/>
          <w:color w:val="auto"/>
          <w:highlight w:val="none"/>
          <w:u w:val="single"/>
        </w:rPr>
        <w:t xml:space="preserve">            </w:t>
      </w:r>
    </w:p>
    <w:p w14:paraId="0A66A63C">
      <w:pPr>
        <w:shd w:val="clear"/>
        <w:spacing w:line="400" w:lineRule="exact"/>
        <w:rPr>
          <w:rFonts w:hint="eastAsia"/>
          <w:color w:val="auto"/>
          <w:highlight w:val="none"/>
          <w:u w:val="single"/>
        </w:rPr>
      </w:pPr>
      <w:r>
        <w:rPr>
          <w:rFonts w:hint="eastAsia"/>
          <w:color w:val="auto"/>
          <w:highlight w:val="none"/>
        </w:rPr>
        <w:t>所在部门职务：</w:t>
      </w:r>
      <w:r>
        <w:rPr>
          <w:rFonts w:hint="eastAsia"/>
          <w:color w:val="auto"/>
          <w:highlight w:val="none"/>
          <w:u w:val="single"/>
        </w:rPr>
        <w:t xml:space="preserve">                  </w:t>
      </w:r>
      <w:r>
        <w:rPr>
          <w:rFonts w:hint="eastAsia"/>
          <w:color w:val="auto"/>
          <w:highlight w:val="none"/>
        </w:rPr>
        <w:t xml:space="preserve">              职务：</w:t>
      </w:r>
      <w:r>
        <w:rPr>
          <w:rFonts w:hint="eastAsia"/>
          <w:color w:val="auto"/>
          <w:highlight w:val="none"/>
          <w:u w:val="single"/>
        </w:rPr>
        <w:t xml:space="preserve">               </w:t>
      </w:r>
    </w:p>
    <w:p w14:paraId="42659BC9">
      <w:pPr>
        <w:shd w:val="clear"/>
        <w:spacing w:line="400" w:lineRule="exact"/>
        <w:rPr>
          <w:rFonts w:hint="eastAsia"/>
          <w:color w:val="auto"/>
          <w:highlight w:val="none"/>
        </w:rPr>
      </w:pPr>
      <w:r>
        <w:rPr>
          <w:rFonts w:hint="eastAsia"/>
          <w:color w:val="auto"/>
          <w:highlight w:val="none"/>
        </w:rPr>
        <w:t>被授权人身份证号码：</w:t>
      </w:r>
      <w:r>
        <w:rPr>
          <w:rFonts w:hint="eastAsia"/>
          <w:color w:val="auto"/>
          <w:highlight w:val="none"/>
          <w:u w:val="single"/>
        </w:rPr>
        <w:t xml:space="preserve">                            </w:t>
      </w:r>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6"/>
      </w:tblGrid>
      <w:tr w14:paraId="19EF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0" w:hRule="atLeast"/>
          <w:jc w:val="center"/>
        </w:trPr>
        <w:tc>
          <w:tcPr>
            <w:tcW w:w="5000" w:type="pct"/>
            <w:noWrap w:val="0"/>
            <w:vAlign w:val="top"/>
          </w:tcPr>
          <w:p w14:paraId="1EFA7FE4">
            <w:pPr>
              <w:shd w:val="clear"/>
              <w:spacing w:line="400" w:lineRule="exact"/>
              <w:rPr>
                <w:rFonts w:hint="eastAsia"/>
                <w:color w:val="auto"/>
                <w:highlight w:val="none"/>
              </w:rPr>
            </w:pPr>
            <w:r>
              <w:rPr>
                <w:rFonts w:hint="eastAsia"/>
                <w:color w:val="auto"/>
                <w:highlight w:val="none"/>
              </w:rPr>
              <w:t>贴附“委托代理人有效身份证复印件”（正反两面）</w:t>
            </w:r>
          </w:p>
          <w:p w14:paraId="52204BF2">
            <w:pPr>
              <w:shd w:val="clear"/>
              <w:spacing w:line="400" w:lineRule="exact"/>
              <w:rPr>
                <w:rFonts w:hint="eastAsia"/>
                <w:color w:val="auto"/>
                <w:highlight w:val="none"/>
              </w:rPr>
            </w:pPr>
          </w:p>
        </w:tc>
      </w:tr>
    </w:tbl>
    <w:p w14:paraId="5B3A3B56">
      <w:pPr>
        <w:shd w:val="clear"/>
        <w:spacing w:line="400" w:lineRule="exact"/>
        <w:rPr>
          <w:rFonts w:hint="eastAsia"/>
          <w:color w:val="auto"/>
          <w:highlight w:val="none"/>
        </w:rPr>
      </w:pPr>
      <w:r>
        <w:rPr>
          <w:rFonts w:hint="eastAsia"/>
          <w:color w:val="auto"/>
          <w:highlight w:val="none"/>
        </w:rPr>
        <w:t xml:space="preserve">                                                      投标人名称（盖章）：</w:t>
      </w:r>
    </w:p>
    <w:p w14:paraId="29B62144">
      <w:pPr>
        <w:shd w:val="clear"/>
        <w:spacing w:line="400" w:lineRule="exact"/>
        <w:rPr>
          <w:rFonts w:hint="eastAsia"/>
          <w:color w:val="auto"/>
          <w:highlight w:val="none"/>
        </w:rPr>
      </w:pPr>
      <w:r>
        <w:rPr>
          <w:rFonts w:hint="eastAsia"/>
          <w:color w:val="auto"/>
          <w:highlight w:val="none"/>
        </w:rPr>
        <w:t xml:space="preserve">                                                                   年    月    日</w:t>
      </w:r>
    </w:p>
    <w:p w14:paraId="24C05880">
      <w:pPr>
        <w:shd w:val="clear"/>
        <w:snapToGrid w:val="0"/>
        <w:spacing w:before="50" w:after="156" w:afterLines="50" w:line="340" w:lineRule="exact"/>
        <w:jc w:val="left"/>
        <w:rPr>
          <w:rFonts w:hint="eastAsia" w:ascii="宋体"/>
          <w:color w:val="auto"/>
          <w:szCs w:val="21"/>
          <w:highlight w:val="none"/>
        </w:rPr>
      </w:pPr>
    </w:p>
    <w:p w14:paraId="572B5840">
      <w:pPr>
        <w:shd w:val="clear"/>
        <w:snapToGrid w:val="0"/>
        <w:spacing w:before="50" w:after="156" w:afterLines="50" w:line="340" w:lineRule="exact"/>
        <w:jc w:val="left"/>
        <w:rPr>
          <w:rFonts w:hint="eastAsia" w:ascii="宋体"/>
          <w:color w:val="auto"/>
          <w:szCs w:val="21"/>
          <w:highlight w:val="none"/>
        </w:rPr>
      </w:pPr>
    </w:p>
    <w:p w14:paraId="15054F16">
      <w:pPr>
        <w:shd w:val="clear"/>
        <w:snapToGrid w:val="0"/>
        <w:spacing w:line="360" w:lineRule="exact"/>
        <w:ind w:firstLine="210" w:firstLineChars="100"/>
        <w:jc w:val="left"/>
        <w:rPr>
          <w:rFonts w:hint="eastAsia" w:ascii="宋体"/>
          <w:color w:val="auto"/>
          <w:szCs w:val="21"/>
          <w:highlight w:val="none"/>
        </w:rPr>
      </w:pPr>
      <w:r>
        <w:rPr>
          <w:rFonts w:ascii="宋体"/>
          <w:color w:val="auto"/>
          <w:szCs w:val="21"/>
          <w:highlight w:val="none"/>
        </w:rPr>
        <w:br w:type="page"/>
      </w:r>
      <w:r>
        <w:rPr>
          <w:rFonts w:hint="eastAsia" w:ascii="宋体" w:cs="宋体"/>
          <w:color w:val="auto"/>
          <w:kern w:val="0"/>
          <w:szCs w:val="21"/>
          <w:highlight w:val="none"/>
        </w:rPr>
        <w:t xml:space="preserve">   （4）法定代表人（负责人）身份证明书</w:t>
      </w:r>
    </w:p>
    <w:p w14:paraId="1110ED03">
      <w:pPr>
        <w:shd w:val="clear"/>
        <w:spacing w:before="312" w:beforeLines="100" w:after="156" w:afterLines="50"/>
        <w:ind w:left="540"/>
        <w:jc w:val="center"/>
        <w:rPr>
          <w:rFonts w:hint="eastAsia" w:ascii="宋体" w:hAnsi="宋体"/>
          <w:color w:val="auto"/>
          <w:sz w:val="30"/>
          <w:szCs w:val="30"/>
          <w:highlight w:val="none"/>
        </w:rPr>
      </w:pPr>
      <w:r>
        <w:rPr>
          <w:rFonts w:hint="eastAsia" w:ascii="宋体" w:hAnsi="宋体"/>
          <w:b/>
          <w:color w:val="auto"/>
          <w:sz w:val="30"/>
          <w:szCs w:val="30"/>
          <w:highlight w:val="none"/>
        </w:rPr>
        <w:t>法定代表人（负责人）身份证明书</w:t>
      </w:r>
    </w:p>
    <w:p w14:paraId="6C1BC730">
      <w:pPr>
        <w:shd w:val="clear"/>
        <w:spacing w:line="500" w:lineRule="exact"/>
        <w:ind w:left="540"/>
        <w:rPr>
          <w:rFonts w:hint="eastAsia" w:ascii="宋体" w:hAnsi="宋体"/>
          <w:color w:val="auto"/>
          <w:sz w:val="21"/>
          <w:szCs w:val="21"/>
          <w:highlight w:val="none"/>
        </w:rPr>
      </w:pPr>
      <w:r>
        <w:rPr>
          <w:rFonts w:hint="eastAsia" w:ascii="宋体" w:hAnsi="宋体"/>
          <w:color w:val="auto"/>
          <w:sz w:val="21"/>
          <w:szCs w:val="21"/>
          <w:highlight w:val="none"/>
        </w:rPr>
        <w:t>投 标 人：</w:t>
      </w:r>
      <w:r>
        <w:rPr>
          <w:rFonts w:hint="eastAsia" w:ascii="宋体" w:hAnsi="宋体"/>
          <w:color w:val="auto"/>
          <w:sz w:val="21"/>
          <w:szCs w:val="21"/>
          <w:highlight w:val="none"/>
          <w:u w:val="single"/>
        </w:rPr>
        <w:t xml:space="preserve">                                                        </w:t>
      </w:r>
    </w:p>
    <w:p w14:paraId="675D99BC">
      <w:pPr>
        <w:shd w:val="clear"/>
        <w:spacing w:line="500" w:lineRule="exact"/>
        <w:ind w:left="540"/>
        <w:rPr>
          <w:rFonts w:hint="eastAsia" w:ascii="宋体" w:hAnsi="宋体"/>
          <w:color w:val="auto"/>
          <w:sz w:val="21"/>
          <w:szCs w:val="21"/>
          <w:highlight w:val="none"/>
        </w:rPr>
      </w:pPr>
      <w:r>
        <w:rPr>
          <w:rFonts w:hint="eastAsia" w:ascii="宋体" w:hAnsi="宋体"/>
          <w:color w:val="auto"/>
          <w:sz w:val="21"/>
          <w:szCs w:val="21"/>
          <w:highlight w:val="none"/>
        </w:rPr>
        <w:t>单位性质：</w:t>
      </w:r>
      <w:r>
        <w:rPr>
          <w:rFonts w:hint="eastAsia" w:ascii="宋体" w:hAnsi="宋体"/>
          <w:color w:val="auto"/>
          <w:sz w:val="21"/>
          <w:szCs w:val="21"/>
          <w:highlight w:val="none"/>
          <w:u w:val="single"/>
        </w:rPr>
        <w:t xml:space="preserve">                                                        </w:t>
      </w:r>
    </w:p>
    <w:p w14:paraId="3B5285BC">
      <w:pPr>
        <w:shd w:val="clear"/>
        <w:spacing w:line="500" w:lineRule="exact"/>
        <w:ind w:left="540"/>
        <w:rPr>
          <w:rFonts w:hint="eastAsia" w:ascii="宋体" w:hAnsi="宋体"/>
          <w:color w:val="auto"/>
          <w:sz w:val="21"/>
          <w:szCs w:val="21"/>
          <w:highlight w:val="none"/>
        </w:rPr>
      </w:pPr>
      <w:r>
        <w:rPr>
          <w:rFonts w:hint="eastAsia" w:ascii="宋体" w:hAnsi="宋体"/>
          <w:color w:val="auto"/>
          <w:sz w:val="21"/>
          <w:szCs w:val="21"/>
          <w:highlight w:val="none"/>
        </w:rPr>
        <w:t>地    址：</w:t>
      </w:r>
      <w:r>
        <w:rPr>
          <w:rFonts w:hint="eastAsia" w:ascii="宋体" w:hAnsi="宋体"/>
          <w:color w:val="auto"/>
          <w:sz w:val="21"/>
          <w:szCs w:val="21"/>
          <w:highlight w:val="none"/>
          <w:u w:val="single"/>
        </w:rPr>
        <w:t xml:space="preserve">                                                        </w:t>
      </w:r>
    </w:p>
    <w:p w14:paraId="610372E2">
      <w:pPr>
        <w:shd w:val="clear"/>
        <w:spacing w:line="500" w:lineRule="exact"/>
        <w:ind w:left="540"/>
        <w:rPr>
          <w:rFonts w:hint="eastAsia" w:ascii="宋体" w:hAnsi="宋体"/>
          <w:color w:val="auto"/>
          <w:sz w:val="21"/>
          <w:szCs w:val="21"/>
          <w:highlight w:val="none"/>
        </w:rPr>
      </w:pPr>
      <w:r>
        <w:rPr>
          <w:rFonts w:hint="eastAsia" w:ascii="宋体" w:hAnsi="宋体"/>
          <w:color w:val="auto"/>
          <w:sz w:val="21"/>
          <w:szCs w:val="21"/>
          <w:highlight w:val="none"/>
        </w:rPr>
        <w:t>成立时间：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50C95402">
      <w:pPr>
        <w:shd w:val="clear"/>
        <w:spacing w:line="500" w:lineRule="exact"/>
        <w:ind w:left="540"/>
        <w:rPr>
          <w:rFonts w:hint="eastAsia" w:ascii="宋体" w:hAnsi="宋体"/>
          <w:color w:val="auto"/>
          <w:sz w:val="21"/>
          <w:szCs w:val="21"/>
          <w:highlight w:val="none"/>
        </w:rPr>
      </w:pPr>
      <w:r>
        <w:rPr>
          <w:rFonts w:hint="eastAsia" w:ascii="宋体" w:hAnsi="宋体"/>
          <w:color w:val="auto"/>
          <w:sz w:val="21"/>
          <w:szCs w:val="21"/>
          <w:highlight w:val="none"/>
        </w:rPr>
        <w:t>经营期限：</w:t>
      </w:r>
      <w:r>
        <w:rPr>
          <w:rFonts w:hint="eastAsia" w:ascii="宋体" w:hAnsi="宋体"/>
          <w:color w:val="auto"/>
          <w:sz w:val="21"/>
          <w:szCs w:val="21"/>
          <w:highlight w:val="none"/>
          <w:u w:val="single"/>
        </w:rPr>
        <w:t xml:space="preserve">                                                        </w:t>
      </w:r>
    </w:p>
    <w:p w14:paraId="15507419">
      <w:pPr>
        <w:shd w:val="clear"/>
        <w:spacing w:line="500" w:lineRule="exact"/>
        <w:ind w:left="540"/>
        <w:rPr>
          <w:rFonts w:hint="eastAsia" w:ascii="宋体" w:hAnsi="宋体"/>
          <w:color w:val="auto"/>
          <w:sz w:val="21"/>
          <w:szCs w:val="21"/>
          <w:highlight w:val="none"/>
        </w:rPr>
      </w:pPr>
      <w:r>
        <w:rPr>
          <w:rFonts w:hint="eastAsia" w:ascii="宋体" w:hAnsi="宋体"/>
          <w:color w:val="auto"/>
          <w:sz w:val="21"/>
          <w:szCs w:val="21"/>
          <w:highlight w:val="none"/>
        </w:rPr>
        <w:t>姓    名：</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性      别：</w:t>
      </w:r>
      <w:r>
        <w:rPr>
          <w:rFonts w:hint="eastAsia" w:ascii="宋体" w:hAnsi="宋体"/>
          <w:color w:val="auto"/>
          <w:sz w:val="21"/>
          <w:szCs w:val="21"/>
          <w:highlight w:val="none"/>
          <w:u w:val="single"/>
        </w:rPr>
        <w:t xml:space="preserve">                </w:t>
      </w:r>
    </w:p>
    <w:p w14:paraId="4838FFD7">
      <w:pPr>
        <w:shd w:val="clear"/>
        <w:spacing w:line="500" w:lineRule="exact"/>
        <w:ind w:left="540"/>
        <w:rPr>
          <w:rFonts w:hint="eastAsia" w:ascii="宋体" w:hAnsi="宋体"/>
          <w:color w:val="auto"/>
          <w:sz w:val="21"/>
          <w:szCs w:val="21"/>
          <w:highlight w:val="none"/>
          <w:u w:val="single"/>
        </w:rPr>
      </w:pPr>
      <w:r>
        <w:rPr>
          <w:rFonts w:hint="eastAsia" w:ascii="宋体" w:hAnsi="宋体"/>
          <w:color w:val="auto"/>
          <w:sz w:val="21"/>
          <w:szCs w:val="21"/>
          <w:highlight w:val="none"/>
        </w:rPr>
        <w:t>年    龄：</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职      务：</w:t>
      </w:r>
      <w:r>
        <w:rPr>
          <w:rFonts w:hint="eastAsia" w:ascii="宋体" w:hAnsi="宋体"/>
          <w:color w:val="auto"/>
          <w:sz w:val="21"/>
          <w:szCs w:val="21"/>
          <w:highlight w:val="none"/>
          <w:u w:val="single"/>
        </w:rPr>
        <w:t xml:space="preserve">                </w:t>
      </w:r>
    </w:p>
    <w:p w14:paraId="77C274CD">
      <w:pPr>
        <w:shd w:val="clear"/>
        <w:spacing w:line="500" w:lineRule="exact"/>
        <w:ind w:left="540"/>
        <w:rPr>
          <w:rFonts w:hint="eastAsia" w:ascii="宋体" w:hAnsi="宋体"/>
          <w:color w:val="auto"/>
          <w:sz w:val="21"/>
          <w:szCs w:val="21"/>
          <w:highlight w:val="none"/>
        </w:rPr>
      </w:pPr>
      <w:r>
        <w:rPr>
          <w:rFonts w:hint="eastAsia" w:ascii="宋体" w:hAnsi="宋体"/>
          <w:color w:val="auto"/>
          <w:sz w:val="21"/>
          <w:szCs w:val="21"/>
          <w:highlight w:val="none"/>
        </w:rPr>
        <w:t>身份证号码：</w:t>
      </w:r>
      <w:r>
        <w:rPr>
          <w:rFonts w:hint="eastAsia" w:ascii="宋体" w:hAnsi="宋体"/>
          <w:color w:val="auto"/>
          <w:sz w:val="21"/>
          <w:szCs w:val="21"/>
          <w:highlight w:val="none"/>
          <w:u w:val="single"/>
        </w:rPr>
        <w:t xml:space="preserve">                                 </w:t>
      </w:r>
    </w:p>
    <w:p w14:paraId="12573560">
      <w:pPr>
        <w:shd w:val="clear"/>
        <w:spacing w:line="500" w:lineRule="exact"/>
        <w:ind w:left="540"/>
        <w:rPr>
          <w:rFonts w:hint="eastAsia" w:ascii="宋体" w:hAnsi="宋体"/>
          <w:color w:val="auto"/>
          <w:sz w:val="21"/>
          <w:szCs w:val="21"/>
          <w:highlight w:val="none"/>
        </w:rPr>
      </w:pPr>
      <w:r>
        <w:rPr>
          <w:rFonts w:hint="eastAsia" w:ascii="宋体" w:hAnsi="宋体"/>
          <w:color w:val="auto"/>
          <w:sz w:val="21"/>
          <w:szCs w:val="21"/>
          <w:highlight w:val="none"/>
        </w:rPr>
        <w:t>系</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（投标人名称）的法定代表人（负责人）。</w:t>
      </w:r>
    </w:p>
    <w:p w14:paraId="74890769">
      <w:pPr>
        <w:shd w:val="clear"/>
        <w:spacing w:line="500" w:lineRule="exact"/>
        <w:ind w:left="540"/>
        <w:rPr>
          <w:rFonts w:hint="eastAsia" w:ascii="宋体" w:hAnsi="宋体"/>
          <w:color w:val="auto"/>
          <w:sz w:val="21"/>
          <w:szCs w:val="21"/>
          <w:highlight w:val="none"/>
        </w:rPr>
      </w:pPr>
      <w:r>
        <w:rPr>
          <w:rFonts w:hint="eastAsia" w:ascii="宋体" w:hAnsi="宋体"/>
          <w:color w:val="auto"/>
          <w:sz w:val="21"/>
          <w:szCs w:val="21"/>
          <w:highlight w:val="none"/>
        </w:rPr>
        <w:t>特此证明。</w:t>
      </w:r>
    </w:p>
    <w:p w14:paraId="69BEAC55">
      <w:pPr>
        <w:shd w:val="clear"/>
        <w:spacing w:line="500" w:lineRule="exact"/>
        <w:ind w:left="540"/>
        <w:rPr>
          <w:rFonts w:hint="eastAsia" w:ascii="宋体" w:hAnsi="宋体"/>
          <w:color w:val="auto"/>
          <w:sz w:val="21"/>
          <w:szCs w:val="21"/>
          <w:highlight w:val="none"/>
        </w:rPr>
      </w:pPr>
      <w:r>
        <w:rPr>
          <w:rFonts w:hint="eastAsia" w:ascii="宋体" w:hAnsi="宋体"/>
          <w:color w:val="auto"/>
          <w:sz w:val="21"/>
          <w:szCs w:val="21"/>
          <w:highlight w:val="none"/>
        </w:rPr>
        <w:t>附件：法定代表人（负责人）有效身份证正反面复印件</w:t>
      </w:r>
    </w:p>
    <w:p w14:paraId="28D2185D">
      <w:pPr>
        <w:shd w:val="clear"/>
        <w:wordWrap w:val="0"/>
        <w:spacing w:line="500" w:lineRule="exact"/>
        <w:ind w:left="540"/>
        <w:jc w:val="right"/>
        <w:rPr>
          <w:rFonts w:hint="eastAsia" w:ascii="宋体" w:hAnsi="宋体"/>
          <w:color w:val="auto"/>
          <w:sz w:val="21"/>
          <w:szCs w:val="21"/>
          <w:highlight w:val="none"/>
        </w:rPr>
      </w:pPr>
      <w:r>
        <w:rPr>
          <w:rFonts w:hint="eastAsia" w:ascii="宋体" w:hAnsi="宋体"/>
          <w:color w:val="auto"/>
          <w:sz w:val="21"/>
          <w:szCs w:val="21"/>
          <w:highlight w:val="none"/>
        </w:rPr>
        <w:t>投标人名称（盖章）：</w:t>
      </w:r>
      <w:r>
        <w:rPr>
          <w:rFonts w:hint="eastAsia" w:ascii="宋体" w:hAnsi="宋体"/>
          <w:color w:val="auto"/>
          <w:sz w:val="21"/>
          <w:szCs w:val="21"/>
          <w:highlight w:val="none"/>
          <w:u w:val="single"/>
        </w:rPr>
        <w:t xml:space="preserve">                          </w:t>
      </w:r>
    </w:p>
    <w:p w14:paraId="4250BE9F">
      <w:pPr>
        <w:shd w:val="clear"/>
        <w:snapToGrid w:val="0"/>
        <w:spacing w:before="156" w:beforeLines="50" w:after="50"/>
        <w:ind w:left="540"/>
        <w:jc w:val="right"/>
        <w:rPr>
          <w:rFonts w:hint="eastAsia" w:ascii="宋体" w:hAnsi="宋体"/>
          <w:color w:val="auto"/>
          <w:sz w:val="21"/>
          <w:szCs w:val="21"/>
          <w:highlight w:val="none"/>
        </w:rPr>
      </w:pP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0362401E">
      <w:pPr>
        <w:shd w:val="clear"/>
        <w:snapToGrid w:val="0"/>
        <w:spacing w:line="360" w:lineRule="exact"/>
        <w:jc w:val="left"/>
        <w:rPr>
          <w:rFonts w:hint="eastAsia" w:ascii="宋体"/>
          <w:color w:val="auto"/>
          <w:szCs w:val="21"/>
          <w:highlight w:val="none"/>
        </w:rPr>
      </w:pPr>
    </w:p>
    <w:p w14:paraId="69D1F144">
      <w:pPr>
        <w:shd w:val="clear"/>
        <w:snapToGrid w:val="0"/>
        <w:spacing w:line="360" w:lineRule="exact"/>
        <w:jc w:val="left"/>
        <w:rPr>
          <w:rFonts w:hint="eastAsia" w:ascii="宋体"/>
          <w:color w:val="auto"/>
          <w:szCs w:val="21"/>
          <w:highlight w:val="none"/>
        </w:rPr>
      </w:pPr>
    </w:p>
    <w:p w14:paraId="025C21C7">
      <w:pPr>
        <w:shd w:val="clear"/>
        <w:snapToGrid w:val="0"/>
        <w:spacing w:line="360" w:lineRule="exact"/>
        <w:jc w:val="left"/>
        <w:rPr>
          <w:rFonts w:hint="eastAsia" w:ascii="宋体"/>
          <w:color w:val="auto"/>
          <w:szCs w:val="21"/>
          <w:highlight w:val="none"/>
        </w:rPr>
      </w:pPr>
    </w:p>
    <w:p w14:paraId="37CBFE4D">
      <w:pPr>
        <w:shd w:val="clear"/>
        <w:snapToGrid w:val="0"/>
        <w:spacing w:line="360" w:lineRule="exact"/>
        <w:jc w:val="left"/>
        <w:rPr>
          <w:rFonts w:hint="eastAsia" w:ascii="宋体"/>
          <w:color w:val="auto"/>
          <w:szCs w:val="21"/>
          <w:highlight w:val="none"/>
        </w:rPr>
      </w:pPr>
    </w:p>
    <w:p w14:paraId="2B05BEF5">
      <w:pPr>
        <w:shd w:val="clear"/>
        <w:snapToGrid w:val="0"/>
        <w:spacing w:line="360" w:lineRule="exact"/>
        <w:jc w:val="left"/>
        <w:rPr>
          <w:rFonts w:hint="eastAsia" w:ascii="宋体"/>
          <w:color w:val="auto"/>
          <w:szCs w:val="21"/>
          <w:highlight w:val="none"/>
        </w:rPr>
      </w:pPr>
    </w:p>
    <w:p w14:paraId="20A93D9F">
      <w:pPr>
        <w:shd w:val="clear"/>
        <w:snapToGrid w:val="0"/>
        <w:spacing w:line="360" w:lineRule="exact"/>
        <w:jc w:val="left"/>
        <w:rPr>
          <w:rFonts w:hint="eastAsia" w:ascii="宋体"/>
          <w:color w:val="auto"/>
          <w:szCs w:val="21"/>
          <w:highlight w:val="none"/>
        </w:rPr>
      </w:pPr>
    </w:p>
    <w:p w14:paraId="126CAD99">
      <w:pPr>
        <w:shd w:val="clear"/>
        <w:snapToGrid w:val="0"/>
        <w:spacing w:line="360" w:lineRule="exact"/>
        <w:jc w:val="left"/>
        <w:rPr>
          <w:rFonts w:hint="eastAsia" w:ascii="宋体"/>
          <w:color w:val="auto"/>
          <w:szCs w:val="21"/>
          <w:highlight w:val="none"/>
        </w:rPr>
      </w:pPr>
      <w:r>
        <w:rPr>
          <w:rFonts w:hint="eastAsia" w:ascii="宋体"/>
          <w:color w:val="auto"/>
          <w:szCs w:val="21"/>
          <w:highlight w:val="none"/>
        </w:rPr>
        <w:t xml:space="preserve">    </w:t>
      </w:r>
    </w:p>
    <w:p w14:paraId="6E8A6FC2">
      <w:pPr>
        <w:shd w:val="clear"/>
        <w:snapToGrid w:val="0"/>
        <w:spacing w:line="360" w:lineRule="exact"/>
        <w:jc w:val="left"/>
        <w:rPr>
          <w:rFonts w:hint="eastAsia" w:ascii="宋体"/>
          <w:color w:val="auto"/>
          <w:szCs w:val="21"/>
          <w:highlight w:val="none"/>
        </w:rPr>
      </w:pPr>
    </w:p>
    <w:p w14:paraId="4E613BA4">
      <w:pPr>
        <w:shd w:val="clear"/>
        <w:wordWrap w:val="0"/>
        <w:snapToGrid w:val="0"/>
        <w:spacing w:line="360" w:lineRule="exact"/>
        <w:jc w:val="left"/>
        <w:rPr>
          <w:rFonts w:ascii="宋体"/>
          <w:color w:val="auto"/>
          <w:szCs w:val="21"/>
          <w:highlight w:val="none"/>
        </w:rPr>
      </w:pPr>
      <w:r>
        <w:rPr>
          <w:rFonts w:hint="eastAsia" w:ascii="宋体"/>
          <w:color w:val="auto"/>
          <w:szCs w:val="21"/>
          <w:highlight w:val="none"/>
        </w:rPr>
        <w:t xml:space="preserve">    </w:t>
      </w:r>
    </w:p>
    <w:p w14:paraId="66B77195">
      <w:pPr>
        <w:shd w:val="clear"/>
        <w:wordWrap w:val="0"/>
        <w:snapToGrid w:val="0"/>
        <w:spacing w:line="360" w:lineRule="exact"/>
        <w:jc w:val="left"/>
        <w:rPr>
          <w:rFonts w:ascii="宋体"/>
          <w:color w:val="auto"/>
          <w:szCs w:val="21"/>
          <w:highlight w:val="none"/>
        </w:rPr>
      </w:pPr>
      <w:r>
        <w:rPr>
          <w:rFonts w:ascii="宋体"/>
          <w:color w:val="auto"/>
          <w:szCs w:val="21"/>
          <w:highlight w:val="none"/>
        </w:rPr>
        <w:br w:type="page"/>
      </w:r>
      <w:r>
        <w:rPr>
          <w:rFonts w:hint="eastAsia" w:ascii="宋体"/>
          <w:color w:val="auto"/>
          <w:szCs w:val="21"/>
          <w:highlight w:val="none"/>
        </w:rPr>
        <w:t xml:space="preserve">    （</w:t>
      </w:r>
      <w:r>
        <w:rPr>
          <w:rFonts w:hint="eastAsia" w:ascii="宋体"/>
          <w:color w:val="auto"/>
          <w:szCs w:val="21"/>
          <w:highlight w:val="none"/>
          <w:lang w:val="en-US" w:eastAsia="zh-CN"/>
        </w:rPr>
        <w:t>5</w:t>
      </w:r>
      <w:r>
        <w:rPr>
          <w:rFonts w:hint="eastAsia" w:ascii="宋体"/>
          <w:color w:val="auto"/>
          <w:szCs w:val="21"/>
          <w:highlight w:val="none"/>
        </w:rPr>
        <w:t>）商务响应表格式：</w:t>
      </w:r>
      <w:bookmarkEnd w:id="127"/>
      <w:bookmarkEnd w:id="128"/>
    </w:p>
    <w:p w14:paraId="75C2D688">
      <w:pPr>
        <w:shd w:val="clear"/>
        <w:wordWrap w:val="0"/>
        <w:snapToGrid w:val="0"/>
        <w:spacing w:line="360" w:lineRule="exact"/>
        <w:ind w:left="0" w:leftChars="0" w:firstLine="0" w:firstLineChars="0"/>
        <w:jc w:val="center"/>
        <w:rPr>
          <w:rFonts w:hint="eastAsia" w:ascii="宋体"/>
          <w:b/>
          <w:bCs/>
          <w:color w:val="auto"/>
          <w:sz w:val="30"/>
          <w:szCs w:val="30"/>
          <w:highlight w:val="none"/>
          <w:u w:val="single"/>
        </w:rPr>
      </w:pPr>
      <w:r>
        <w:rPr>
          <w:rFonts w:hint="eastAsia" w:ascii="宋体"/>
          <w:b/>
          <w:bCs/>
          <w:color w:val="auto"/>
          <w:sz w:val="30"/>
          <w:szCs w:val="30"/>
          <w:highlight w:val="none"/>
        </w:rPr>
        <w:t>商务响应表</w:t>
      </w:r>
    </w:p>
    <w:p w14:paraId="5760F5D8">
      <w:pPr>
        <w:shd w:val="clear"/>
        <w:wordWrap w:val="0"/>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u w:val="single"/>
        </w:rPr>
        <w:t xml:space="preserve"> </w:t>
      </w:r>
      <w:r>
        <w:rPr>
          <w:rFonts w:ascii="宋体"/>
          <w:color w:val="auto"/>
          <w:szCs w:val="21"/>
          <w:highlight w:val="none"/>
          <w:u w:val="single"/>
        </w:rPr>
        <w:t xml:space="preserve">     </w:t>
      </w:r>
      <w:r>
        <w:rPr>
          <w:rFonts w:hint="eastAsia" w:ascii="宋体"/>
          <w:color w:val="auto"/>
          <w:szCs w:val="21"/>
          <w:highlight w:val="none"/>
        </w:rPr>
        <w:t>分标</w:t>
      </w:r>
    </w:p>
    <w:tbl>
      <w:tblPr>
        <w:tblStyle w:val="50"/>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581"/>
        <w:gridCol w:w="3680"/>
        <w:gridCol w:w="1470"/>
        <w:gridCol w:w="2941"/>
      </w:tblGrid>
      <w:tr w14:paraId="022C6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817" w:type="pct"/>
            <w:tcBorders>
              <w:top w:val="single" w:color="auto" w:sz="4" w:space="0"/>
              <w:left w:val="single" w:color="auto" w:sz="4" w:space="0"/>
              <w:bottom w:val="single" w:color="auto" w:sz="4" w:space="0"/>
              <w:right w:val="single" w:color="auto" w:sz="4" w:space="0"/>
            </w:tcBorders>
            <w:noWrap w:val="0"/>
            <w:vAlign w:val="center"/>
          </w:tcPr>
          <w:p w14:paraId="7D63E493">
            <w:pPr>
              <w:shd w:val="clear"/>
              <w:snapToGrid w:val="0"/>
              <w:spacing w:before="156" w:beforeLines="50" w:line="240" w:lineRule="auto"/>
              <w:jc w:val="center"/>
              <w:rPr>
                <w:rFonts w:hint="eastAsia" w:ascii="宋体"/>
                <w:color w:val="auto"/>
                <w:szCs w:val="21"/>
                <w:highlight w:val="none"/>
              </w:rPr>
            </w:pPr>
            <w:r>
              <w:rPr>
                <w:rFonts w:hint="eastAsia" w:ascii="宋体"/>
                <w:color w:val="auto"/>
                <w:szCs w:val="21"/>
                <w:highlight w:val="none"/>
              </w:rPr>
              <w:t>项目</w:t>
            </w:r>
          </w:p>
        </w:tc>
        <w:tc>
          <w:tcPr>
            <w:tcW w:w="1902" w:type="pct"/>
            <w:tcBorders>
              <w:top w:val="single" w:color="auto" w:sz="4" w:space="0"/>
              <w:left w:val="single" w:color="auto" w:sz="4" w:space="0"/>
              <w:bottom w:val="single" w:color="auto" w:sz="4" w:space="0"/>
              <w:right w:val="single" w:color="auto" w:sz="4" w:space="0"/>
            </w:tcBorders>
            <w:noWrap w:val="0"/>
            <w:vAlign w:val="center"/>
          </w:tcPr>
          <w:p w14:paraId="62A9C9D3">
            <w:pPr>
              <w:shd w:val="clear"/>
              <w:snapToGrid w:val="0"/>
              <w:spacing w:before="156" w:beforeLines="50" w:line="240" w:lineRule="auto"/>
              <w:jc w:val="center"/>
              <w:rPr>
                <w:rFonts w:hint="eastAsia" w:ascii="宋体"/>
                <w:color w:val="auto"/>
                <w:szCs w:val="21"/>
                <w:highlight w:val="none"/>
              </w:rPr>
            </w:pPr>
            <w:r>
              <w:rPr>
                <w:rFonts w:hint="eastAsia" w:ascii="宋体"/>
                <w:color w:val="auto"/>
                <w:szCs w:val="21"/>
                <w:highlight w:val="none"/>
              </w:rPr>
              <w:t>招标文件要求</w:t>
            </w:r>
          </w:p>
        </w:tc>
        <w:tc>
          <w:tcPr>
            <w:tcW w:w="760" w:type="pct"/>
            <w:tcBorders>
              <w:top w:val="single" w:color="auto" w:sz="4" w:space="0"/>
              <w:left w:val="single" w:color="auto" w:sz="4" w:space="0"/>
              <w:bottom w:val="single" w:color="auto" w:sz="4" w:space="0"/>
              <w:right w:val="single" w:color="auto" w:sz="4" w:space="0"/>
            </w:tcBorders>
            <w:noWrap w:val="0"/>
            <w:vAlign w:val="center"/>
          </w:tcPr>
          <w:p w14:paraId="69A7D6C1">
            <w:pPr>
              <w:shd w:val="clear"/>
              <w:snapToGrid w:val="0"/>
              <w:spacing w:before="156" w:beforeLines="50" w:line="240" w:lineRule="auto"/>
              <w:jc w:val="center"/>
              <w:rPr>
                <w:rFonts w:hint="eastAsia" w:ascii="宋体"/>
                <w:color w:val="auto"/>
                <w:szCs w:val="21"/>
                <w:highlight w:val="none"/>
              </w:rPr>
            </w:pPr>
            <w:r>
              <w:rPr>
                <w:rFonts w:hint="eastAsia" w:ascii="宋体"/>
                <w:color w:val="auto"/>
                <w:szCs w:val="21"/>
                <w:highlight w:val="none"/>
              </w:rPr>
              <w:t>是否响应</w:t>
            </w:r>
          </w:p>
        </w:tc>
        <w:tc>
          <w:tcPr>
            <w:tcW w:w="1520" w:type="pct"/>
            <w:tcBorders>
              <w:top w:val="single" w:color="auto" w:sz="4" w:space="0"/>
              <w:left w:val="single" w:color="auto" w:sz="4" w:space="0"/>
              <w:bottom w:val="single" w:color="auto" w:sz="4" w:space="0"/>
              <w:right w:val="single" w:color="auto" w:sz="4" w:space="0"/>
            </w:tcBorders>
            <w:noWrap w:val="0"/>
            <w:vAlign w:val="center"/>
          </w:tcPr>
          <w:p w14:paraId="09C3C0A8">
            <w:pPr>
              <w:shd w:val="clear"/>
              <w:snapToGrid w:val="0"/>
              <w:spacing w:before="156" w:beforeLines="50" w:line="240" w:lineRule="auto"/>
              <w:jc w:val="center"/>
              <w:rPr>
                <w:rFonts w:hint="eastAsia" w:ascii="宋体"/>
                <w:color w:val="auto"/>
                <w:szCs w:val="21"/>
                <w:highlight w:val="none"/>
              </w:rPr>
            </w:pPr>
            <w:r>
              <w:rPr>
                <w:rFonts w:hint="eastAsia" w:ascii="宋体"/>
                <w:color w:val="auto"/>
                <w:szCs w:val="21"/>
                <w:highlight w:val="none"/>
              </w:rPr>
              <w:t>投标人的承诺或说明</w:t>
            </w:r>
          </w:p>
        </w:tc>
      </w:tr>
      <w:tr w14:paraId="73C3D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817" w:type="pct"/>
            <w:tcBorders>
              <w:top w:val="single" w:color="auto" w:sz="4" w:space="0"/>
              <w:left w:val="single" w:color="auto" w:sz="4" w:space="0"/>
              <w:bottom w:val="single" w:color="auto" w:sz="4" w:space="0"/>
              <w:right w:val="single" w:color="auto" w:sz="4" w:space="0"/>
            </w:tcBorders>
            <w:noWrap w:val="0"/>
            <w:vAlign w:val="center"/>
          </w:tcPr>
          <w:p w14:paraId="59A87D94">
            <w:pPr>
              <w:shd w:val="clear"/>
              <w:spacing w:line="240" w:lineRule="auto"/>
              <w:jc w:val="center"/>
              <w:rPr>
                <w:rFonts w:hint="eastAsia" w:ascii="新宋体" w:eastAsia="新宋体"/>
                <w:color w:val="auto"/>
                <w:szCs w:val="21"/>
                <w:highlight w:val="none"/>
              </w:rPr>
            </w:pPr>
          </w:p>
        </w:tc>
        <w:tc>
          <w:tcPr>
            <w:tcW w:w="1902" w:type="pct"/>
            <w:tcBorders>
              <w:top w:val="single" w:color="auto" w:sz="4" w:space="0"/>
              <w:left w:val="single" w:color="auto" w:sz="4" w:space="0"/>
              <w:bottom w:val="single" w:color="auto" w:sz="4" w:space="0"/>
              <w:right w:val="single" w:color="auto" w:sz="4" w:space="0"/>
            </w:tcBorders>
            <w:noWrap w:val="0"/>
            <w:vAlign w:val="center"/>
          </w:tcPr>
          <w:p w14:paraId="2957F7D2">
            <w:pPr>
              <w:shd w:val="clear"/>
              <w:spacing w:line="240" w:lineRule="auto"/>
              <w:jc w:val="center"/>
              <w:rPr>
                <w:rFonts w:hint="eastAsia"/>
                <w:color w:val="auto"/>
                <w:highlight w:val="none"/>
              </w:rPr>
            </w:pPr>
          </w:p>
        </w:tc>
        <w:tc>
          <w:tcPr>
            <w:tcW w:w="760" w:type="pct"/>
            <w:tcBorders>
              <w:top w:val="single" w:color="auto" w:sz="4" w:space="0"/>
              <w:left w:val="single" w:color="auto" w:sz="4" w:space="0"/>
              <w:bottom w:val="single" w:color="auto" w:sz="4" w:space="0"/>
              <w:right w:val="single" w:color="auto" w:sz="4" w:space="0"/>
            </w:tcBorders>
            <w:noWrap w:val="0"/>
            <w:vAlign w:val="center"/>
          </w:tcPr>
          <w:p w14:paraId="2A37BFF9">
            <w:pPr>
              <w:shd w:val="clear"/>
              <w:spacing w:line="240" w:lineRule="auto"/>
              <w:jc w:val="center"/>
              <w:rPr>
                <w:rFonts w:hint="eastAsia"/>
                <w:color w:val="auto"/>
                <w:highlight w:val="none"/>
              </w:rPr>
            </w:pPr>
          </w:p>
        </w:tc>
        <w:tc>
          <w:tcPr>
            <w:tcW w:w="1520" w:type="pct"/>
            <w:tcBorders>
              <w:top w:val="single" w:color="auto" w:sz="4" w:space="0"/>
              <w:left w:val="single" w:color="auto" w:sz="4" w:space="0"/>
              <w:bottom w:val="single" w:color="auto" w:sz="4" w:space="0"/>
              <w:right w:val="single" w:color="auto" w:sz="4" w:space="0"/>
            </w:tcBorders>
            <w:noWrap w:val="0"/>
            <w:vAlign w:val="center"/>
          </w:tcPr>
          <w:p w14:paraId="6C596678">
            <w:pPr>
              <w:shd w:val="clear"/>
              <w:spacing w:line="240" w:lineRule="auto"/>
              <w:jc w:val="center"/>
              <w:rPr>
                <w:rFonts w:hint="eastAsia"/>
                <w:color w:val="auto"/>
                <w:highlight w:val="none"/>
              </w:rPr>
            </w:pPr>
          </w:p>
        </w:tc>
      </w:tr>
      <w:tr w14:paraId="05DEE2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134" w:hRule="atLeast"/>
          <w:jc w:val="center"/>
        </w:trPr>
        <w:tc>
          <w:tcPr>
            <w:tcW w:w="817" w:type="pct"/>
            <w:tcBorders>
              <w:top w:val="single" w:color="auto" w:sz="4" w:space="0"/>
              <w:left w:val="single" w:color="auto" w:sz="4" w:space="0"/>
              <w:bottom w:val="single" w:color="auto" w:sz="4" w:space="0"/>
              <w:right w:val="single" w:color="auto" w:sz="4" w:space="0"/>
            </w:tcBorders>
            <w:noWrap w:val="0"/>
            <w:vAlign w:val="center"/>
          </w:tcPr>
          <w:p w14:paraId="6946DFC5">
            <w:pPr>
              <w:shd w:val="clear"/>
              <w:spacing w:line="240" w:lineRule="auto"/>
              <w:jc w:val="center"/>
              <w:rPr>
                <w:rFonts w:hint="eastAsia" w:ascii="新宋体" w:eastAsia="新宋体"/>
                <w:color w:val="auto"/>
                <w:szCs w:val="21"/>
                <w:highlight w:val="none"/>
              </w:rPr>
            </w:pPr>
          </w:p>
        </w:tc>
        <w:tc>
          <w:tcPr>
            <w:tcW w:w="1902" w:type="pct"/>
            <w:tcBorders>
              <w:top w:val="single" w:color="auto" w:sz="4" w:space="0"/>
              <w:left w:val="single" w:color="auto" w:sz="4" w:space="0"/>
              <w:bottom w:val="single" w:color="auto" w:sz="4" w:space="0"/>
              <w:right w:val="single" w:color="auto" w:sz="4" w:space="0"/>
            </w:tcBorders>
            <w:noWrap w:val="0"/>
            <w:vAlign w:val="center"/>
          </w:tcPr>
          <w:p w14:paraId="4A93C959">
            <w:pPr>
              <w:shd w:val="clear"/>
              <w:spacing w:line="240" w:lineRule="auto"/>
              <w:jc w:val="center"/>
              <w:rPr>
                <w:rFonts w:hint="eastAsia"/>
                <w:color w:val="auto"/>
                <w:highlight w:val="none"/>
              </w:rPr>
            </w:pPr>
          </w:p>
        </w:tc>
        <w:tc>
          <w:tcPr>
            <w:tcW w:w="760" w:type="pct"/>
            <w:tcBorders>
              <w:top w:val="single" w:color="auto" w:sz="4" w:space="0"/>
              <w:left w:val="single" w:color="auto" w:sz="4" w:space="0"/>
              <w:bottom w:val="single" w:color="auto" w:sz="4" w:space="0"/>
              <w:right w:val="single" w:color="auto" w:sz="4" w:space="0"/>
            </w:tcBorders>
            <w:noWrap w:val="0"/>
            <w:vAlign w:val="center"/>
          </w:tcPr>
          <w:p w14:paraId="2D2328B6">
            <w:pPr>
              <w:shd w:val="clear"/>
              <w:spacing w:line="240" w:lineRule="auto"/>
              <w:jc w:val="center"/>
              <w:rPr>
                <w:rFonts w:hint="eastAsia"/>
                <w:color w:val="auto"/>
                <w:highlight w:val="none"/>
              </w:rPr>
            </w:pPr>
          </w:p>
        </w:tc>
        <w:tc>
          <w:tcPr>
            <w:tcW w:w="1520" w:type="pct"/>
            <w:tcBorders>
              <w:top w:val="single" w:color="auto" w:sz="4" w:space="0"/>
              <w:left w:val="single" w:color="auto" w:sz="4" w:space="0"/>
              <w:bottom w:val="single" w:color="auto" w:sz="4" w:space="0"/>
              <w:right w:val="single" w:color="auto" w:sz="4" w:space="0"/>
            </w:tcBorders>
            <w:noWrap w:val="0"/>
            <w:vAlign w:val="center"/>
          </w:tcPr>
          <w:p w14:paraId="1A228C33">
            <w:pPr>
              <w:shd w:val="clear"/>
              <w:spacing w:line="240" w:lineRule="auto"/>
              <w:jc w:val="center"/>
              <w:rPr>
                <w:rFonts w:hint="eastAsia"/>
                <w:color w:val="auto"/>
                <w:highlight w:val="none"/>
              </w:rPr>
            </w:pPr>
          </w:p>
        </w:tc>
      </w:tr>
      <w:tr w14:paraId="61F7A1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817" w:type="pct"/>
            <w:tcBorders>
              <w:top w:val="single" w:color="auto" w:sz="4" w:space="0"/>
              <w:left w:val="single" w:color="auto" w:sz="4" w:space="0"/>
              <w:bottom w:val="single" w:color="auto" w:sz="4" w:space="0"/>
              <w:right w:val="single" w:color="auto" w:sz="4" w:space="0"/>
            </w:tcBorders>
            <w:noWrap w:val="0"/>
            <w:vAlign w:val="center"/>
          </w:tcPr>
          <w:p w14:paraId="68F0F93C">
            <w:pPr>
              <w:shd w:val="clear"/>
              <w:spacing w:line="240" w:lineRule="auto"/>
              <w:jc w:val="center"/>
              <w:rPr>
                <w:rFonts w:hint="eastAsia"/>
                <w:color w:val="auto"/>
                <w:highlight w:val="none"/>
              </w:rPr>
            </w:pPr>
            <w:r>
              <w:rPr>
                <w:rFonts w:hint="eastAsia"/>
                <w:color w:val="auto"/>
                <w:highlight w:val="none"/>
              </w:rPr>
              <w:t>…</w:t>
            </w:r>
          </w:p>
        </w:tc>
        <w:tc>
          <w:tcPr>
            <w:tcW w:w="1902" w:type="pct"/>
            <w:tcBorders>
              <w:top w:val="single" w:color="auto" w:sz="4" w:space="0"/>
              <w:left w:val="single" w:color="auto" w:sz="4" w:space="0"/>
              <w:bottom w:val="single" w:color="auto" w:sz="4" w:space="0"/>
              <w:right w:val="single" w:color="auto" w:sz="4" w:space="0"/>
            </w:tcBorders>
            <w:noWrap w:val="0"/>
            <w:vAlign w:val="center"/>
          </w:tcPr>
          <w:p w14:paraId="2A295AE4">
            <w:pPr>
              <w:shd w:val="clear"/>
              <w:spacing w:line="240" w:lineRule="auto"/>
              <w:jc w:val="center"/>
              <w:rPr>
                <w:rFonts w:hint="eastAsia"/>
                <w:color w:val="auto"/>
                <w:highlight w:val="none"/>
              </w:rPr>
            </w:pPr>
          </w:p>
        </w:tc>
        <w:tc>
          <w:tcPr>
            <w:tcW w:w="760" w:type="pct"/>
            <w:tcBorders>
              <w:top w:val="single" w:color="auto" w:sz="4" w:space="0"/>
              <w:left w:val="single" w:color="auto" w:sz="4" w:space="0"/>
              <w:bottom w:val="single" w:color="auto" w:sz="4" w:space="0"/>
              <w:right w:val="single" w:color="auto" w:sz="4" w:space="0"/>
            </w:tcBorders>
            <w:noWrap w:val="0"/>
            <w:vAlign w:val="center"/>
          </w:tcPr>
          <w:p w14:paraId="606F6BD9">
            <w:pPr>
              <w:shd w:val="clear"/>
              <w:spacing w:line="240" w:lineRule="auto"/>
              <w:jc w:val="center"/>
              <w:rPr>
                <w:rFonts w:hint="eastAsia"/>
                <w:color w:val="auto"/>
                <w:highlight w:val="none"/>
              </w:rPr>
            </w:pPr>
          </w:p>
        </w:tc>
        <w:tc>
          <w:tcPr>
            <w:tcW w:w="1520" w:type="pct"/>
            <w:tcBorders>
              <w:top w:val="single" w:color="auto" w:sz="4" w:space="0"/>
              <w:left w:val="single" w:color="auto" w:sz="4" w:space="0"/>
              <w:bottom w:val="single" w:color="auto" w:sz="4" w:space="0"/>
              <w:right w:val="single" w:color="auto" w:sz="4" w:space="0"/>
            </w:tcBorders>
            <w:noWrap w:val="0"/>
            <w:vAlign w:val="center"/>
          </w:tcPr>
          <w:p w14:paraId="5ED8D394">
            <w:pPr>
              <w:shd w:val="clear"/>
              <w:spacing w:line="240" w:lineRule="auto"/>
              <w:jc w:val="center"/>
              <w:rPr>
                <w:rFonts w:hint="eastAsia"/>
                <w:color w:val="auto"/>
                <w:highlight w:val="none"/>
              </w:rPr>
            </w:pPr>
          </w:p>
        </w:tc>
      </w:tr>
    </w:tbl>
    <w:p w14:paraId="7F595279">
      <w:pPr>
        <w:shd w:val="clear"/>
        <w:snapToGrid w:val="0"/>
        <w:spacing w:before="50" w:after="50" w:line="360" w:lineRule="exact"/>
        <w:ind w:firstLine="210" w:firstLineChars="100"/>
        <w:rPr>
          <w:rFonts w:hint="eastAsia" w:ascii="宋体"/>
          <w:color w:val="auto"/>
          <w:szCs w:val="21"/>
          <w:highlight w:val="none"/>
        </w:rPr>
      </w:pPr>
    </w:p>
    <w:p w14:paraId="2ACA2838">
      <w:pPr>
        <w:shd w:val="clear"/>
        <w:snapToGrid w:val="0"/>
        <w:spacing w:before="50" w:after="50" w:line="360" w:lineRule="exact"/>
        <w:ind w:firstLine="210" w:firstLineChars="100"/>
        <w:rPr>
          <w:rFonts w:hint="eastAsia" w:ascii="宋体"/>
          <w:color w:val="auto"/>
          <w:spacing w:val="20"/>
          <w:szCs w:val="21"/>
          <w:highlight w:val="none"/>
          <w:u w:val="single"/>
        </w:rPr>
      </w:pPr>
      <w:r>
        <w:rPr>
          <w:rFonts w:hint="eastAsia" w:ascii="宋体"/>
          <w:color w:val="auto"/>
          <w:szCs w:val="21"/>
          <w:highlight w:val="none"/>
        </w:rPr>
        <w:t>法定代表人（负责人）或委托代理人签字或盖章</w:t>
      </w:r>
      <w:r>
        <w:rPr>
          <w:rFonts w:hint="eastAsia" w:ascii="宋体"/>
          <w:color w:val="auto"/>
          <w:spacing w:val="20"/>
          <w:szCs w:val="21"/>
          <w:highlight w:val="none"/>
        </w:rPr>
        <w:t>：</w:t>
      </w:r>
      <w:r>
        <w:rPr>
          <w:rFonts w:hint="eastAsia" w:ascii="宋体"/>
          <w:color w:val="auto"/>
          <w:spacing w:val="20"/>
          <w:szCs w:val="21"/>
          <w:highlight w:val="none"/>
          <w:u w:val="single"/>
        </w:rPr>
        <w:t xml:space="preserve">           </w:t>
      </w:r>
    </w:p>
    <w:p w14:paraId="719B9BE5">
      <w:pPr>
        <w:shd w:val="clear"/>
        <w:snapToGrid w:val="0"/>
        <w:spacing w:before="50" w:after="50" w:line="360" w:lineRule="exact"/>
        <w:ind w:firstLine="250" w:firstLineChars="100"/>
        <w:rPr>
          <w:rFonts w:hint="eastAsia" w:ascii="宋体"/>
          <w:b/>
          <w:color w:val="auto"/>
          <w:szCs w:val="21"/>
          <w:highlight w:val="none"/>
        </w:rPr>
      </w:pPr>
      <w:r>
        <w:rPr>
          <w:rFonts w:hint="eastAsia" w:ascii="宋体"/>
          <w:color w:val="auto"/>
          <w:spacing w:val="20"/>
          <w:szCs w:val="21"/>
          <w:highlight w:val="none"/>
        </w:rPr>
        <w:t>投标人</w:t>
      </w:r>
      <w:r>
        <w:rPr>
          <w:rFonts w:hint="eastAsia"/>
          <w:color w:val="auto"/>
          <w:highlight w:val="none"/>
        </w:rPr>
        <w:t>名称（</w:t>
      </w:r>
      <w:r>
        <w:rPr>
          <w:rFonts w:hint="eastAsia" w:ascii="宋体"/>
          <w:color w:val="auto"/>
          <w:szCs w:val="21"/>
          <w:highlight w:val="none"/>
        </w:rPr>
        <w:t>盖章</w:t>
      </w:r>
      <w:r>
        <w:rPr>
          <w:rFonts w:hint="eastAsia"/>
          <w:color w:val="auto"/>
          <w:highlight w:val="none"/>
        </w:rPr>
        <w:t>）</w:t>
      </w:r>
      <w:r>
        <w:rPr>
          <w:rFonts w:hint="eastAsia" w:ascii="宋体"/>
          <w:color w:val="auto"/>
          <w:spacing w:val="20"/>
          <w:szCs w:val="21"/>
          <w:highlight w:val="none"/>
        </w:rPr>
        <w:t>：</w:t>
      </w:r>
      <w:r>
        <w:rPr>
          <w:rFonts w:hint="eastAsia" w:ascii="宋体"/>
          <w:color w:val="auto"/>
          <w:spacing w:val="20"/>
          <w:szCs w:val="21"/>
          <w:highlight w:val="none"/>
          <w:u w:val="single"/>
        </w:rPr>
        <w:t xml:space="preserve">            </w:t>
      </w:r>
      <w:r>
        <w:rPr>
          <w:rFonts w:hint="eastAsia" w:ascii="宋体"/>
          <w:color w:val="auto"/>
          <w:spacing w:val="20"/>
          <w:szCs w:val="21"/>
          <w:highlight w:val="none"/>
        </w:rPr>
        <w:t xml:space="preserve">                 日 期：</w:t>
      </w:r>
      <w:r>
        <w:rPr>
          <w:rFonts w:hint="eastAsia" w:ascii="宋体"/>
          <w:color w:val="auto"/>
          <w:spacing w:val="20"/>
          <w:szCs w:val="21"/>
          <w:highlight w:val="none"/>
          <w:u w:val="single"/>
        </w:rPr>
        <w:t xml:space="preserve">          </w:t>
      </w:r>
    </w:p>
    <w:p w14:paraId="31936FA5">
      <w:pPr>
        <w:shd w:val="clear"/>
        <w:rPr>
          <w:rFonts w:hint="eastAsia"/>
          <w:color w:val="auto"/>
          <w:highlight w:val="none"/>
        </w:rPr>
      </w:pPr>
    </w:p>
    <w:p w14:paraId="25C514D0">
      <w:pPr>
        <w:shd w:val="clear"/>
        <w:rPr>
          <w:rFonts w:hint="eastAsia"/>
          <w:color w:val="auto"/>
          <w:highlight w:val="none"/>
        </w:rPr>
      </w:pPr>
    </w:p>
    <w:p w14:paraId="55D18F6F">
      <w:pPr>
        <w:shd w:val="clear"/>
        <w:rPr>
          <w:rFonts w:hint="eastAsia"/>
          <w:color w:val="auto"/>
          <w:highlight w:val="none"/>
        </w:rPr>
      </w:pPr>
    </w:p>
    <w:p w14:paraId="7D4CBB81">
      <w:pPr>
        <w:shd w:val="clear"/>
        <w:rPr>
          <w:rFonts w:hint="eastAsia"/>
          <w:color w:val="auto"/>
          <w:highlight w:val="none"/>
        </w:rPr>
      </w:pPr>
    </w:p>
    <w:p w14:paraId="2813B439">
      <w:pPr>
        <w:shd w:val="clear"/>
        <w:rPr>
          <w:rFonts w:hint="eastAsia"/>
          <w:color w:val="auto"/>
          <w:highlight w:val="none"/>
        </w:rPr>
      </w:pPr>
    </w:p>
    <w:p w14:paraId="50799A39">
      <w:pPr>
        <w:shd w:val="clear"/>
        <w:spacing w:line="360" w:lineRule="exact"/>
        <w:rPr>
          <w:rFonts w:hint="eastAsia" w:ascii="宋体" w:hAnsi="宋体" w:eastAsia="宋体" w:cs="宋体"/>
          <w:color w:val="auto"/>
          <w:highlight w:val="none"/>
          <w:lang w:eastAsia="zh-CN"/>
        </w:rPr>
      </w:pPr>
      <w:r>
        <w:rPr>
          <w:color w:val="auto"/>
          <w:highlight w:val="none"/>
        </w:rPr>
        <w:br w:type="page"/>
      </w:r>
      <w:r>
        <w:rPr>
          <w:rFonts w:hint="eastAsia" w:ascii="宋体" w:hAnsi="宋体" w:eastAsia="宋体" w:cs="宋体"/>
          <w:color w:val="auto"/>
          <w:highlight w:val="none"/>
        </w:rPr>
        <w:t xml:space="preserve">    （</w:t>
      </w:r>
      <w:r>
        <w:rPr>
          <w:rFonts w:hint="eastAsia" w:ascii="宋体" w:hAnsi="宋体" w:cs="宋体"/>
          <w:color w:val="auto"/>
          <w:highlight w:val="none"/>
          <w:lang w:val="en-US" w:eastAsia="zh-CN"/>
        </w:rPr>
        <w:t>6</w:t>
      </w:r>
      <w:r>
        <w:rPr>
          <w:rFonts w:hint="eastAsia" w:ascii="宋体" w:hAnsi="宋体" w:eastAsia="宋体" w:cs="宋体"/>
          <w:color w:val="auto"/>
          <w:highlight w:val="none"/>
        </w:rPr>
        <w:t>）</w:t>
      </w:r>
      <w:r>
        <w:rPr>
          <w:rFonts w:hint="eastAsia" w:ascii="宋体" w:hAnsi="宋体" w:eastAsia="宋体" w:cs="宋体"/>
          <w:color w:val="auto"/>
          <w:szCs w:val="21"/>
          <w:highlight w:val="none"/>
        </w:rPr>
        <w:t>招标项目采购需求中要求提供的材料等</w:t>
      </w:r>
      <w:r>
        <w:rPr>
          <w:rFonts w:hint="eastAsia" w:ascii="宋体" w:hAnsi="宋体" w:eastAsia="宋体" w:cs="宋体"/>
          <w:color w:val="auto"/>
          <w:highlight w:val="none"/>
          <w:lang w:eastAsia="zh-CN"/>
        </w:rPr>
        <w:t>[据实提供]</w:t>
      </w:r>
    </w:p>
    <w:p w14:paraId="733D08FE">
      <w:pPr>
        <w:shd w:val="clear"/>
        <w:spacing w:line="360" w:lineRule="exact"/>
        <w:rPr>
          <w:rFonts w:hint="eastAsia" w:ascii="宋体" w:hAnsi="宋体" w:eastAsia="宋体" w:cs="宋体"/>
          <w:color w:val="auto"/>
          <w:highlight w:val="none"/>
        </w:rPr>
      </w:pPr>
    </w:p>
    <w:p w14:paraId="3028F0F3">
      <w:pPr>
        <w:shd w:val="clear"/>
        <w:snapToGrid w:val="0"/>
        <w:spacing w:line="370" w:lineRule="exact"/>
        <w:ind w:firstLine="411" w:firstLineChars="196"/>
        <w:jc w:val="left"/>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）具备法律、行政法规规定的其他条件的证明材料</w:t>
      </w:r>
      <w:r>
        <w:rPr>
          <w:rFonts w:hint="eastAsia" w:ascii="宋体" w:hAnsi="宋体" w:eastAsia="宋体" w:cs="宋体"/>
          <w:b w:val="0"/>
          <w:bCs/>
          <w:color w:val="auto"/>
          <w:szCs w:val="21"/>
          <w:highlight w:val="none"/>
          <w:lang w:eastAsia="zh-CN"/>
        </w:rPr>
        <w:t>[如有规定，则必须提供]</w:t>
      </w:r>
    </w:p>
    <w:p w14:paraId="6360444D">
      <w:pPr>
        <w:shd w:val="clea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70AF5088">
      <w:pPr>
        <w:shd w:val="clear"/>
        <w:snapToGrid w:val="0"/>
        <w:spacing w:line="37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）类似成功案例的业绩（投标人同类项目实施情况一览表、合同扫描件等，格式可自行调整）</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5"/>
        <w:gridCol w:w="1985"/>
        <w:gridCol w:w="1701"/>
        <w:gridCol w:w="1134"/>
        <w:gridCol w:w="1559"/>
        <w:gridCol w:w="1806"/>
      </w:tblGrid>
      <w:tr w14:paraId="607A02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0"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center"/>
          </w:tcPr>
          <w:p w14:paraId="48E90FE4">
            <w:pPr>
              <w:shd w:val="clear"/>
              <w:snapToGrid w:val="0"/>
              <w:spacing w:line="360" w:lineRule="exact"/>
              <w:jc w:val="center"/>
              <w:rPr>
                <w:rFonts w:hint="eastAsia" w:ascii="宋体"/>
                <w:color w:val="auto"/>
                <w:szCs w:val="21"/>
                <w:highlight w:val="none"/>
              </w:rPr>
            </w:pPr>
            <w:r>
              <w:rPr>
                <w:rFonts w:hint="eastAsia" w:ascii="宋体"/>
                <w:color w:val="auto"/>
                <w:szCs w:val="21"/>
                <w:highlight w:val="none"/>
              </w:rPr>
              <w:t>序号</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36C4C1E0">
            <w:pPr>
              <w:shd w:val="clear"/>
              <w:snapToGrid w:val="0"/>
              <w:spacing w:line="360" w:lineRule="exact"/>
              <w:jc w:val="center"/>
              <w:rPr>
                <w:rFonts w:hint="eastAsia" w:ascii="宋体"/>
                <w:color w:val="auto"/>
                <w:szCs w:val="21"/>
                <w:highlight w:val="none"/>
              </w:rPr>
            </w:pPr>
            <w:r>
              <w:rPr>
                <w:rFonts w:hint="eastAsia" w:ascii="宋体"/>
                <w:color w:val="auto"/>
                <w:szCs w:val="21"/>
                <w:highlight w:val="none"/>
              </w:rPr>
              <w:t>采购单位名称</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A1F499C">
            <w:pPr>
              <w:shd w:val="clear"/>
              <w:snapToGrid w:val="0"/>
              <w:spacing w:line="360" w:lineRule="exact"/>
              <w:jc w:val="center"/>
              <w:rPr>
                <w:rFonts w:hint="eastAsia" w:ascii="宋体"/>
                <w:color w:val="auto"/>
                <w:szCs w:val="21"/>
                <w:highlight w:val="none"/>
              </w:rPr>
            </w:pPr>
            <w:r>
              <w:rPr>
                <w:rFonts w:hint="eastAsia" w:ascii="宋体"/>
                <w:color w:val="auto"/>
                <w:szCs w:val="21"/>
                <w:highlight w:val="none"/>
              </w:rPr>
              <w:t>设备或项目名称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B91E99C">
            <w:pPr>
              <w:shd w:val="clear"/>
              <w:snapToGrid w:val="0"/>
              <w:spacing w:line="360" w:lineRule="exact"/>
              <w:jc w:val="center"/>
              <w:rPr>
                <w:rFonts w:hint="eastAsia" w:ascii="宋体"/>
                <w:color w:val="auto"/>
                <w:szCs w:val="21"/>
                <w:highlight w:val="none"/>
              </w:rPr>
            </w:pPr>
            <w:r>
              <w:rPr>
                <w:rFonts w:hint="eastAsia" w:ascii="宋体"/>
                <w:color w:val="auto"/>
                <w:szCs w:val="21"/>
                <w:highlight w:val="none"/>
              </w:rPr>
              <w:t>采购数量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66B0BE5">
            <w:pPr>
              <w:shd w:val="clear"/>
              <w:snapToGrid w:val="0"/>
              <w:spacing w:line="360" w:lineRule="exact"/>
              <w:jc w:val="center"/>
              <w:rPr>
                <w:rFonts w:hint="eastAsia" w:ascii="宋体"/>
                <w:color w:val="auto"/>
                <w:szCs w:val="21"/>
                <w:highlight w:val="none"/>
              </w:rPr>
            </w:pPr>
            <w:r>
              <w:rPr>
                <w:rFonts w:hint="eastAsia" w:ascii="宋体"/>
                <w:color w:val="auto"/>
                <w:szCs w:val="21"/>
                <w:highlight w:val="none"/>
              </w:rPr>
              <w:t>合同金额</w:t>
            </w:r>
          </w:p>
        </w:tc>
        <w:tc>
          <w:tcPr>
            <w:tcW w:w="1806" w:type="dxa"/>
            <w:tcBorders>
              <w:top w:val="single" w:color="auto" w:sz="4" w:space="0"/>
              <w:left w:val="single" w:color="auto" w:sz="4" w:space="0"/>
              <w:right w:val="single" w:color="auto" w:sz="4" w:space="0"/>
            </w:tcBorders>
            <w:noWrap w:val="0"/>
            <w:vAlign w:val="center"/>
          </w:tcPr>
          <w:p w14:paraId="15A98EA5">
            <w:pPr>
              <w:shd w:val="clear"/>
              <w:snapToGrid w:val="0"/>
              <w:spacing w:line="360" w:lineRule="exact"/>
              <w:jc w:val="center"/>
              <w:rPr>
                <w:rFonts w:hint="eastAsia" w:ascii="宋体"/>
                <w:color w:val="auto"/>
                <w:szCs w:val="21"/>
                <w:highlight w:val="none"/>
              </w:rPr>
            </w:pPr>
            <w:r>
              <w:rPr>
                <w:rFonts w:hint="eastAsia" w:ascii="宋体"/>
                <w:color w:val="auto"/>
                <w:szCs w:val="21"/>
                <w:highlight w:val="none"/>
              </w:rPr>
              <w:t>采购单位联系人及联系电话</w:t>
            </w:r>
          </w:p>
        </w:tc>
      </w:tr>
      <w:tr w14:paraId="5E1A3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2FC38ADC">
            <w:pPr>
              <w:shd w:val="clear"/>
              <w:snapToGrid w:val="0"/>
              <w:spacing w:line="360" w:lineRule="exact"/>
              <w:jc w:val="left"/>
              <w:rPr>
                <w:rFonts w:hint="eastAsia" w:ascii="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5173AB20">
            <w:pPr>
              <w:shd w:val="clear"/>
              <w:snapToGrid w:val="0"/>
              <w:spacing w:line="360" w:lineRule="exact"/>
              <w:jc w:val="left"/>
              <w:rPr>
                <w:rFonts w:hint="eastAsia" w:ascii="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002FDF4">
            <w:pPr>
              <w:shd w:val="clear"/>
              <w:snapToGrid w:val="0"/>
              <w:spacing w:line="360" w:lineRule="exact"/>
              <w:jc w:val="left"/>
              <w:rPr>
                <w:rFonts w:hint="eastAsia" w:ascii="宋体"/>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03278BA">
            <w:pPr>
              <w:shd w:val="clear"/>
              <w:snapToGrid w:val="0"/>
              <w:spacing w:line="360" w:lineRule="exact"/>
              <w:jc w:val="left"/>
              <w:rPr>
                <w:rFonts w:hint="eastAsia" w:ascii="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0043007">
            <w:pPr>
              <w:shd w:val="clear"/>
              <w:snapToGrid w:val="0"/>
              <w:spacing w:line="360" w:lineRule="exact"/>
              <w:jc w:val="left"/>
              <w:rPr>
                <w:rFonts w:hint="eastAsia" w:ascii="宋体"/>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3BD48BBD">
            <w:pPr>
              <w:shd w:val="clear"/>
              <w:snapToGrid w:val="0"/>
              <w:spacing w:line="360" w:lineRule="exact"/>
              <w:jc w:val="left"/>
              <w:rPr>
                <w:rFonts w:hint="eastAsia" w:ascii="宋体"/>
                <w:color w:val="auto"/>
                <w:szCs w:val="21"/>
                <w:highlight w:val="none"/>
              </w:rPr>
            </w:pPr>
          </w:p>
        </w:tc>
      </w:tr>
      <w:tr w14:paraId="12B5F6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4ABCB9F8">
            <w:pPr>
              <w:shd w:val="clear"/>
              <w:snapToGrid w:val="0"/>
              <w:spacing w:before="50" w:after="156" w:afterLines="50" w:line="360" w:lineRule="exact"/>
              <w:jc w:val="left"/>
              <w:rPr>
                <w:rFonts w:hint="eastAsia" w:ascii="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0129FEC2">
            <w:pPr>
              <w:shd w:val="clear"/>
              <w:snapToGrid w:val="0"/>
              <w:spacing w:before="50" w:after="156" w:afterLines="50" w:line="360" w:lineRule="exact"/>
              <w:jc w:val="left"/>
              <w:rPr>
                <w:rFonts w:hint="eastAsia" w:ascii="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7F654AE7">
            <w:pPr>
              <w:shd w:val="clear"/>
              <w:snapToGrid w:val="0"/>
              <w:spacing w:before="50" w:after="156" w:afterLines="50" w:line="360" w:lineRule="exact"/>
              <w:jc w:val="left"/>
              <w:rPr>
                <w:rFonts w:hint="eastAsia" w:ascii="宋体"/>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4598044">
            <w:pPr>
              <w:shd w:val="clear"/>
              <w:snapToGrid w:val="0"/>
              <w:spacing w:before="50" w:after="156" w:afterLines="50" w:line="360" w:lineRule="exact"/>
              <w:jc w:val="left"/>
              <w:rPr>
                <w:rFonts w:hint="eastAsia" w:ascii="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469E447">
            <w:pPr>
              <w:shd w:val="clear"/>
              <w:snapToGrid w:val="0"/>
              <w:spacing w:before="50" w:after="156" w:afterLines="50" w:line="360" w:lineRule="exact"/>
              <w:jc w:val="left"/>
              <w:rPr>
                <w:rFonts w:hint="eastAsia" w:ascii="宋体"/>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75E5400E">
            <w:pPr>
              <w:shd w:val="clear"/>
              <w:snapToGrid w:val="0"/>
              <w:spacing w:before="50" w:after="156" w:afterLines="50" w:line="360" w:lineRule="exact"/>
              <w:jc w:val="left"/>
              <w:rPr>
                <w:rFonts w:hint="eastAsia" w:ascii="宋体"/>
                <w:color w:val="auto"/>
                <w:szCs w:val="21"/>
                <w:highlight w:val="none"/>
              </w:rPr>
            </w:pPr>
          </w:p>
        </w:tc>
      </w:tr>
      <w:tr w14:paraId="0620C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485773E4">
            <w:pPr>
              <w:shd w:val="clear"/>
              <w:snapToGrid w:val="0"/>
              <w:spacing w:before="50" w:after="156" w:afterLines="50" w:line="360" w:lineRule="exact"/>
              <w:jc w:val="left"/>
              <w:rPr>
                <w:rFonts w:hint="eastAsia" w:ascii="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5AA92017">
            <w:pPr>
              <w:shd w:val="clear"/>
              <w:snapToGrid w:val="0"/>
              <w:spacing w:before="50" w:after="156" w:afterLines="50" w:line="360" w:lineRule="exact"/>
              <w:jc w:val="left"/>
              <w:rPr>
                <w:rFonts w:hint="eastAsia" w:ascii="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178A110">
            <w:pPr>
              <w:shd w:val="clear"/>
              <w:snapToGrid w:val="0"/>
              <w:spacing w:before="50" w:after="156" w:afterLines="50" w:line="360" w:lineRule="exact"/>
              <w:jc w:val="left"/>
              <w:rPr>
                <w:rFonts w:hint="eastAsia" w:ascii="宋体"/>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7516173">
            <w:pPr>
              <w:shd w:val="clear"/>
              <w:snapToGrid w:val="0"/>
              <w:spacing w:before="50" w:after="156" w:afterLines="50" w:line="360" w:lineRule="exact"/>
              <w:jc w:val="left"/>
              <w:rPr>
                <w:rFonts w:hint="eastAsia" w:ascii="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AE0622E">
            <w:pPr>
              <w:shd w:val="clear"/>
              <w:snapToGrid w:val="0"/>
              <w:spacing w:before="50" w:after="156" w:afterLines="50" w:line="360" w:lineRule="exact"/>
              <w:jc w:val="left"/>
              <w:rPr>
                <w:rFonts w:hint="eastAsia" w:ascii="宋体"/>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4B7A02FB">
            <w:pPr>
              <w:shd w:val="clear"/>
              <w:snapToGrid w:val="0"/>
              <w:spacing w:before="50" w:after="156" w:afterLines="50" w:line="360" w:lineRule="exact"/>
              <w:jc w:val="left"/>
              <w:rPr>
                <w:rFonts w:hint="eastAsia" w:ascii="宋体"/>
                <w:color w:val="auto"/>
                <w:szCs w:val="21"/>
                <w:highlight w:val="none"/>
              </w:rPr>
            </w:pPr>
          </w:p>
        </w:tc>
      </w:tr>
      <w:tr w14:paraId="1A6D0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6BB9137E">
            <w:pPr>
              <w:shd w:val="clear"/>
              <w:snapToGrid w:val="0"/>
              <w:spacing w:before="50" w:after="156" w:afterLines="50" w:line="360" w:lineRule="exact"/>
              <w:jc w:val="left"/>
              <w:rPr>
                <w:rFonts w:hint="eastAsia" w:ascii="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3368E0C1">
            <w:pPr>
              <w:shd w:val="clear"/>
              <w:snapToGrid w:val="0"/>
              <w:spacing w:before="50" w:after="156" w:afterLines="50" w:line="360" w:lineRule="exact"/>
              <w:jc w:val="left"/>
              <w:rPr>
                <w:rFonts w:hint="eastAsia" w:ascii="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14904610">
            <w:pPr>
              <w:shd w:val="clear"/>
              <w:snapToGrid w:val="0"/>
              <w:spacing w:before="50" w:after="156" w:afterLines="50" w:line="360" w:lineRule="exact"/>
              <w:jc w:val="left"/>
              <w:rPr>
                <w:rFonts w:hint="eastAsia" w:ascii="宋体"/>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FE90A80">
            <w:pPr>
              <w:shd w:val="clear"/>
              <w:snapToGrid w:val="0"/>
              <w:spacing w:before="50" w:after="156" w:afterLines="50" w:line="360" w:lineRule="exact"/>
              <w:jc w:val="left"/>
              <w:rPr>
                <w:rFonts w:hint="eastAsia" w:ascii="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203CB9B">
            <w:pPr>
              <w:shd w:val="clear"/>
              <w:snapToGrid w:val="0"/>
              <w:spacing w:before="50" w:after="156" w:afterLines="50" w:line="360" w:lineRule="exact"/>
              <w:jc w:val="left"/>
              <w:rPr>
                <w:rFonts w:hint="eastAsia" w:ascii="宋体"/>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51FB5DB0">
            <w:pPr>
              <w:shd w:val="clear"/>
              <w:snapToGrid w:val="0"/>
              <w:spacing w:before="50" w:after="156" w:afterLines="50" w:line="360" w:lineRule="exact"/>
              <w:jc w:val="left"/>
              <w:rPr>
                <w:rFonts w:hint="eastAsia" w:ascii="宋体"/>
                <w:color w:val="auto"/>
                <w:szCs w:val="21"/>
                <w:highlight w:val="none"/>
              </w:rPr>
            </w:pPr>
          </w:p>
        </w:tc>
      </w:tr>
      <w:tr w14:paraId="405160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1ED2FBC6">
            <w:pPr>
              <w:shd w:val="clear"/>
              <w:snapToGrid w:val="0"/>
              <w:spacing w:before="50" w:after="156" w:afterLines="50" w:line="360" w:lineRule="exact"/>
              <w:jc w:val="left"/>
              <w:rPr>
                <w:rFonts w:hint="eastAsia" w:ascii="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4E1BE4F5">
            <w:pPr>
              <w:shd w:val="clear"/>
              <w:snapToGrid w:val="0"/>
              <w:spacing w:before="50" w:after="156" w:afterLines="50" w:line="360" w:lineRule="exact"/>
              <w:jc w:val="left"/>
              <w:rPr>
                <w:rFonts w:hint="eastAsia" w:ascii="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1651057B">
            <w:pPr>
              <w:shd w:val="clear"/>
              <w:snapToGrid w:val="0"/>
              <w:spacing w:before="50" w:after="156" w:afterLines="50" w:line="360" w:lineRule="exact"/>
              <w:jc w:val="left"/>
              <w:rPr>
                <w:rFonts w:hint="eastAsia" w:ascii="宋体"/>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68A2B4D">
            <w:pPr>
              <w:shd w:val="clear"/>
              <w:snapToGrid w:val="0"/>
              <w:spacing w:before="50" w:after="156" w:afterLines="50" w:line="360" w:lineRule="exact"/>
              <w:jc w:val="left"/>
              <w:rPr>
                <w:rFonts w:hint="eastAsia" w:ascii="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0009CF0">
            <w:pPr>
              <w:shd w:val="clear"/>
              <w:snapToGrid w:val="0"/>
              <w:spacing w:before="50" w:after="156" w:afterLines="50" w:line="360" w:lineRule="exact"/>
              <w:jc w:val="left"/>
              <w:rPr>
                <w:rFonts w:hint="eastAsia" w:ascii="宋体"/>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07587C83">
            <w:pPr>
              <w:shd w:val="clear"/>
              <w:snapToGrid w:val="0"/>
              <w:spacing w:before="50" w:after="156" w:afterLines="50" w:line="360" w:lineRule="exact"/>
              <w:jc w:val="left"/>
              <w:rPr>
                <w:rFonts w:hint="eastAsia" w:ascii="宋体"/>
                <w:color w:val="auto"/>
                <w:szCs w:val="21"/>
                <w:highlight w:val="none"/>
              </w:rPr>
            </w:pPr>
          </w:p>
        </w:tc>
      </w:tr>
    </w:tbl>
    <w:p w14:paraId="27FD7A2E">
      <w:pPr>
        <w:pStyle w:val="14"/>
        <w:shd w:val="clear"/>
        <w:snapToGrid w:val="0"/>
        <w:spacing w:line="360" w:lineRule="exact"/>
        <w:rPr>
          <w:rFonts w:hint="eastAsia" w:ascii="宋体" w:eastAsia="宋体"/>
          <w:color w:val="auto"/>
          <w:sz w:val="21"/>
          <w:szCs w:val="21"/>
          <w:highlight w:val="none"/>
          <w:u w:val="single"/>
        </w:rPr>
      </w:pPr>
      <w:r>
        <w:rPr>
          <w:rFonts w:hint="eastAsia" w:ascii="宋体" w:eastAsia="宋体"/>
          <w:color w:val="auto"/>
          <w:sz w:val="21"/>
          <w:szCs w:val="21"/>
          <w:highlight w:val="none"/>
        </w:rPr>
        <w:t xml:space="preserve">  法定代表人</w:t>
      </w:r>
      <w:r>
        <w:rPr>
          <w:rFonts w:hint="eastAsia" w:ascii="宋体" w:eastAsia="宋体"/>
          <w:color w:val="auto"/>
          <w:sz w:val="21"/>
          <w:szCs w:val="21"/>
          <w:highlight w:val="none"/>
          <w:lang w:eastAsia="zh-CN"/>
        </w:rPr>
        <w:t>（</w:t>
      </w:r>
      <w:r>
        <w:rPr>
          <w:rFonts w:hint="eastAsia" w:ascii="宋体" w:eastAsia="宋体"/>
          <w:color w:val="auto"/>
          <w:sz w:val="21"/>
          <w:szCs w:val="21"/>
          <w:highlight w:val="none"/>
        </w:rPr>
        <w:t>负责人</w:t>
      </w:r>
      <w:r>
        <w:rPr>
          <w:rFonts w:hint="eastAsia" w:ascii="宋体" w:eastAsia="宋体"/>
          <w:color w:val="auto"/>
          <w:sz w:val="21"/>
          <w:szCs w:val="21"/>
          <w:highlight w:val="none"/>
          <w:lang w:eastAsia="zh-CN"/>
        </w:rPr>
        <w:t>）</w:t>
      </w:r>
      <w:r>
        <w:rPr>
          <w:rFonts w:hint="eastAsia" w:ascii="宋体" w:eastAsia="宋体"/>
          <w:color w:val="auto"/>
          <w:sz w:val="21"/>
          <w:szCs w:val="21"/>
          <w:highlight w:val="none"/>
        </w:rPr>
        <w:t>签字或盖章：</w:t>
      </w:r>
      <w:r>
        <w:rPr>
          <w:rFonts w:hint="eastAsia" w:ascii="宋体" w:eastAsia="宋体"/>
          <w:color w:val="auto"/>
          <w:sz w:val="21"/>
          <w:szCs w:val="21"/>
          <w:highlight w:val="none"/>
          <w:u w:val="single"/>
        </w:rPr>
        <w:t>　　　    　　</w:t>
      </w:r>
    </w:p>
    <w:p w14:paraId="40B267E2">
      <w:pPr>
        <w:shd w:val="clear"/>
        <w:snapToGrid w:val="0"/>
        <w:spacing w:before="50" w:line="360" w:lineRule="exact"/>
        <w:jc w:val="left"/>
        <w:rPr>
          <w:rFonts w:hint="eastAsia" w:ascii="宋体"/>
          <w:color w:val="auto"/>
          <w:szCs w:val="21"/>
          <w:highlight w:val="none"/>
        </w:rPr>
      </w:pPr>
      <w:r>
        <w:rPr>
          <w:rFonts w:hint="eastAsia" w:ascii="宋体"/>
          <w:color w:val="auto"/>
          <w:szCs w:val="21"/>
          <w:highlight w:val="none"/>
        </w:rPr>
        <w:t xml:space="preserve">  投标人</w:t>
      </w:r>
      <w:r>
        <w:rPr>
          <w:rFonts w:hint="eastAsia"/>
          <w:color w:val="auto"/>
          <w:highlight w:val="none"/>
        </w:rPr>
        <w:t>名称（</w:t>
      </w:r>
      <w:r>
        <w:rPr>
          <w:rFonts w:hint="eastAsia" w:ascii="宋体"/>
          <w:color w:val="auto"/>
          <w:szCs w:val="21"/>
          <w:highlight w:val="none"/>
        </w:rPr>
        <w:t>盖章</w:t>
      </w:r>
      <w:r>
        <w:rPr>
          <w:rFonts w:hint="eastAsia"/>
          <w:color w:val="auto"/>
          <w:highlight w:val="none"/>
        </w:rPr>
        <w:t>）</w:t>
      </w:r>
      <w:r>
        <w:rPr>
          <w:rFonts w:hint="eastAsia" w:ascii="宋体"/>
          <w:color w:val="auto"/>
          <w:szCs w:val="21"/>
          <w:highlight w:val="none"/>
        </w:rPr>
        <w:t>：</w:t>
      </w:r>
      <w:r>
        <w:rPr>
          <w:rFonts w:hint="eastAsia" w:ascii="宋体"/>
          <w:color w:val="auto"/>
          <w:szCs w:val="21"/>
          <w:highlight w:val="none"/>
          <w:u w:val="single"/>
        </w:rPr>
        <w:t xml:space="preserve">                 </w:t>
      </w:r>
      <w:r>
        <w:rPr>
          <w:rFonts w:hint="eastAsia" w:ascii="宋体"/>
          <w:color w:val="auto"/>
          <w:szCs w:val="21"/>
          <w:highlight w:val="none"/>
        </w:rPr>
        <w:t xml:space="preserve">                                年    月   日</w:t>
      </w:r>
    </w:p>
    <w:p w14:paraId="403DAC41">
      <w:pPr>
        <w:shd w:val="clear"/>
        <w:rPr>
          <w:rFonts w:hint="eastAsia"/>
          <w:color w:val="auto"/>
          <w:highlight w:val="none"/>
        </w:rPr>
      </w:pPr>
    </w:p>
    <w:p w14:paraId="1549C2D2">
      <w:pPr>
        <w:shd w:val="clear"/>
        <w:rPr>
          <w:rFonts w:hint="eastAsia"/>
          <w:color w:val="auto"/>
          <w:highlight w:val="none"/>
        </w:rPr>
      </w:pPr>
    </w:p>
    <w:p w14:paraId="28F5F723">
      <w:pPr>
        <w:shd w:val="clear"/>
        <w:snapToGrid w:val="0"/>
        <w:spacing w:line="37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w:t>
      </w:r>
      <w:r>
        <w:rPr>
          <w:rFonts w:hint="eastAsia" w:ascii="宋体"/>
          <w:color w:val="auto"/>
          <w:szCs w:val="21"/>
          <w:highlight w:val="none"/>
          <w:lang w:val="en-US" w:eastAsia="zh-CN"/>
        </w:rPr>
        <w:t>9</w:t>
      </w:r>
      <w:r>
        <w:rPr>
          <w:rFonts w:hint="eastAsia" w:ascii="宋体"/>
          <w:color w:val="auto"/>
          <w:szCs w:val="21"/>
          <w:highlight w:val="none"/>
        </w:rPr>
        <w:t>）其他特殊资质证书</w:t>
      </w:r>
    </w:p>
    <w:p w14:paraId="087353E6">
      <w:pPr>
        <w:shd w:val="clear"/>
        <w:snapToGrid w:val="0"/>
        <w:spacing w:line="370" w:lineRule="exact"/>
        <w:ind w:firstLine="411" w:firstLineChars="196"/>
        <w:jc w:val="left"/>
        <w:rPr>
          <w:rFonts w:hint="eastAsia" w:ascii="宋体"/>
          <w:color w:val="auto"/>
          <w:szCs w:val="21"/>
          <w:highlight w:val="none"/>
        </w:rPr>
      </w:pPr>
    </w:p>
    <w:p w14:paraId="1208B783">
      <w:pPr>
        <w:shd w:val="clear"/>
        <w:snapToGrid w:val="0"/>
        <w:spacing w:line="37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w:t>
      </w:r>
      <w:r>
        <w:rPr>
          <w:rFonts w:hint="eastAsia" w:ascii="宋体"/>
          <w:color w:val="auto"/>
          <w:szCs w:val="21"/>
          <w:highlight w:val="none"/>
          <w:lang w:val="en-US" w:eastAsia="zh-CN"/>
        </w:rPr>
        <w:t>10</w:t>
      </w:r>
      <w:r>
        <w:rPr>
          <w:rFonts w:hint="eastAsia" w:ascii="宋体"/>
          <w:color w:val="auto"/>
          <w:szCs w:val="21"/>
          <w:highlight w:val="none"/>
        </w:rPr>
        <w:t>）节能环保产品或政府强制采购节能产品认证证书</w:t>
      </w:r>
    </w:p>
    <w:p w14:paraId="141EBDD3">
      <w:pPr>
        <w:shd w:val="clear"/>
        <w:snapToGrid w:val="0"/>
        <w:spacing w:line="370" w:lineRule="exact"/>
        <w:ind w:firstLine="411" w:firstLineChars="196"/>
        <w:jc w:val="left"/>
        <w:rPr>
          <w:rFonts w:hint="eastAsia" w:ascii="宋体"/>
          <w:color w:val="auto"/>
          <w:szCs w:val="21"/>
          <w:highlight w:val="none"/>
        </w:rPr>
      </w:pPr>
    </w:p>
    <w:p w14:paraId="414C3BF3">
      <w:pPr>
        <w:shd w:val="clear"/>
        <w:snapToGrid w:val="0"/>
        <w:spacing w:line="37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（1</w:t>
      </w:r>
      <w:r>
        <w:rPr>
          <w:rFonts w:hint="eastAsia" w:ascii="宋体"/>
          <w:color w:val="auto"/>
          <w:szCs w:val="21"/>
          <w:highlight w:val="none"/>
          <w:lang w:val="en-US" w:eastAsia="zh-CN"/>
        </w:rPr>
        <w:t>1</w:t>
      </w:r>
      <w:r>
        <w:rPr>
          <w:rFonts w:hint="eastAsia" w:ascii="宋体"/>
          <w:color w:val="auto"/>
          <w:szCs w:val="21"/>
          <w:highlight w:val="none"/>
        </w:rPr>
        <w:t>）投标人质量管理和质量保证体系等方面的认证证书</w:t>
      </w:r>
    </w:p>
    <w:p w14:paraId="4A8BE345">
      <w:pPr>
        <w:shd w:val="clear"/>
        <w:snapToGrid w:val="0"/>
        <w:spacing w:line="370" w:lineRule="exact"/>
        <w:ind w:firstLine="411" w:firstLineChars="196"/>
        <w:jc w:val="left"/>
        <w:rPr>
          <w:rFonts w:hint="eastAsia" w:ascii="宋体"/>
          <w:color w:val="auto"/>
          <w:szCs w:val="21"/>
          <w:highlight w:val="none"/>
        </w:rPr>
      </w:pPr>
    </w:p>
    <w:p w14:paraId="631DBC4D">
      <w:pPr>
        <w:shd w:val="clear"/>
        <w:snapToGrid w:val="0"/>
        <w:spacing w:line="37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（1</w:t>
      </w:r>
      <w:r>
        <w:rPr>
          <w:rFonts w:hint="eastAsia" w:ascii="宋体"/>
          <w:color w:val="auto"/>
          <w:szCs w:val="21"/>
          <w:highlight w:val="none"/>
          <w:lang w:val="en-US" w:eastAsia="zh-CN"/>
        </w:rPr>
        <w:t>2</w:t>
      </w:r>
      <w:r>
        <w:rPr>
          <w:rFonts w:hint="eastAsia" w:ascii="宋体"/>
          <w:color w:val="auto"/>
          <w:szCs w:val="21"/>
          <w:highlight w:val="none"/>
        </w:rPr>
        <w:t>）投标人认为可以证明其能力或业绩的其他材料</w:t>
      </w:r>
      <w:r>
        <w:rPr>
          <w:rFonts w:hint="eastAsia" w:ascii="宋体"/>
          <w:color w:val="auto"/>
          <w:szCs w:val="21"/>
          <w:highlight w:val="none"/>
          <w:lang w:eastAsia="zh-CN"/>
        </w:rPr>
        <w:t>[格式自拟]</w:t>
      </w:r>
    </w:p>
    <w:p w14:paraId="7F63B3E7">
      <w:pPr>
        <w:shd w:val="clear"/>
        <w:snapToGrid w:val="0"/>
        <w:spacing w:line="370" w:lineRule="exact"/>
        <w:ind w:firstLine="411" w:firstLineChars="196"/>
        <w:jc w:val="left"/>
        <w:rPr>
          <w:rFonts w:hint="eastAsia" w:ascii="宋体"/>
          <w:color w:val="auto"/>
          <w:szCs w:val="21"/>
          <w:highlight w:val="none"/>
        </w:rPr>
      </w:pPr>
    </w:p>
    <w:p w14:paraId="01C8D527">
      <w:pPr>
        <w:shd w:val="clear"/>
        <w:snapToGrid w:val="0"/>
        <w:spacing w:line="37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（1</w:t>
      </w:r>
      <w:r>
        <w:rPr>
          <w:rFonts w:hint="eastAsia" w:ascii="宋体"/>
          <w:color w:val="auto"/>
          <w:szCs w:val="21"/>
          <w:highlight w:val="none"/>
          <w:lang w:val="en-US" w:eastAsia="zh-CN"/>
        </w:rPr>
        <w:t>3</w:t>
      </w:r>
      <w:r>
        <w:rPr>
          <w:rFonts w:hint="eastAsia" w:ascii="宋体"/>
          <w:color w:val="auto"/>
          <w:szCs w:val="21"/>
          <w:highlight w:val="none"/>
        </w:rPr>
        <w:t>）投标人关于产品生产时间、升级或者更新淘汰计划、配件供应以及本单位债务纠纷、违法违规记录等方面的情况（内容见投标声明书）</w:t>
      </w:r>
    </w:p>
    <w:p w14:paraId="7ACA588F">
      <w:pPr>
        <w:shd w:val="clear"/>
        <w:snapToGrid w:val="0"/>
        <w:spacing w:line="380" w:lineRule="exact"/>
        <w:ind w:firstLine="411" w:firstLineChars="196"/>
        <w:jc w:val="left"/>
        <w:rPr>
          <w:rFonts w:hint="eastAsia" w:ascii="宋体"/>
          <w:color w:val="auto"/>
          <w:szCs w:val="21"/>
          <w:highlight w:val="none"/>
        </w:rPr>
      </w:pPr>
    </w:p>
    <w:p w14:paraId="476403AE">
      <w:pPr>
        <w:shd w:val="clear"/>
        <w:snapToGrid w:val="0"/>
        <w:spacing w:line="380" w:lineRule="exact"/>
        <w:ind w:firstLine="411" w:firstLineChars="196"/>
        <w:jc w:val="left"/>
        <w:rPr>
          <w:rFonts w:hint="eastAsia" w:ascii="宋体" w:eastAsia="宋体"/>
          <w:color w:val="auto"/>
          <w:szCs w:val="21"/>
          <w:highlight w:val="none"/>
          <w:lang w:eastAsia="zh-CN"/>
        </w:rPr>
      </w:pPr>
      <w:r>
        <w:rPr>
          <w:rFonts w:hint="eastAsia" w:ascii="宋体"/>
          <w:color w:val="auto"/>
          <w:szCs w:val="21"/>
          <w:highlight w:val="none"/>
        </w:rPr>
        <w:t>（1</w:t>
      </w:r>
      <w:r>
        <w:rPr>
          <w:rFonts w:hint="eastAsia" w:ascii="宋体"/>
          <w:color w:val="auto"/>
          <w:szCs w:val="21"/>
          <w:highlight w:val="none"/>
          <w:lang w:val="en-US" w:eastAsia="zh-CN"/>
        </w:rPr>
        <w:t>4</w:t>
      </w:r>
      <w:r>
        <w:rPr>
          <w:rFonts w:hint="eastAsia" w:ascii="宋体"/>
          <w:color w:val="auto"/>
          <w:szCs w:val="21"/>
          <w:highlight w:val="none"/>
        </w:rPr>
        <w:t>）投标人情况介绍</w:t>
      </w:r>
    </w:p>
    <w:p w14:paraId="502BED85">
      <w:pPr>
        <w:shd w:val="clear"/>
        <w:snapToGrid w:val="0"/>
        <w:spacing w:line="380" w:lineRule="exact"/>
        <w:ind w:firstLine="411" w:firstLineChars="196"/>
        <w:jc w:val="left"/>
        <w:rPr>
          <w:rFonts w:hint="eastAsia" w:ascii="宋体"/>
          <w:color w:val="auto"/>
          <w:szCs w:val="21"/>
          <w:highlight w:val="none"/>
        </w:rPr>
      </w:pPr>
    </w:p>
    <w:p w14:paraId="4280FD7B">
      <w:pPr>
        <w:shd w:val="clear"/>
        <w:snapToGrid w:val="0"/>
        <w:spacing w:line="380" w:lineRule="exact"/>
        <w:ind w:firstLine="411" w:firstLineChars="196"/>
        <w:jc w:val="left"/>
        <w:rPr>
          <w:rFonts w:hint="eastAsia" w:ascii="宋体"/>
          <w:color w:val="auto"/>
          <w:szCs w:val="21"/>
          <w:highlight w:val="none"/>
        </w:rPr>
      </w:pPr>
      <w:r>
        <w:rPr>
          <w:rFonts w:hint="eastAsia" w:ascii="宋体"/>
          <w:color w:val="auto"/>
          <w:szCs w:val="21"/>
          <w:highlight w:val="none"/>
        </w:rPr>
        <w:t>（1</w:t>
      </w:r>
      <w:r>
        <w:rPr>
          <w:rFonts w:hint="eastAsia" w:ascii="宋体"/>
          <w:color w:val="auto"/>
          <w:szCs w:val="21"/>
          <w:highlight w:val="none"/>
          <w:lang w:val="en-US" w:eastAsia="zh-CN"/>
        </w:rPr>
        <w:t>5</w:t>
      </w:r>
      <w:r>
        <w:rPr>
          <w:rFonts w:hint="eastAsia" w:ascii="宋体"/>
          <w:color w:val="auto"/>
          <w:szCs w:val="21"/>
          <w:highlight w:val="none"/>
        </w:rPr>
        <w:t>）投标人认为需要提供的其他材料</w:t>
      </w:r>
    </w:p>
    <w:p w14:paraId="4EAAE22A">
      <w:pPr>
        <w:shd w:val="clear"/>
        <w:spacing w:line="720" w:lineRule="auto"/>
        <w:rPr>
          <w:rFonts w:hint="eastAsia"/>
          <w:b/>
          <w:color w:val="auto"/>
          <w:highlight w:val="none"/>
        </w:rPr>
      </w:pPr>
      <w:r>
        <w:rPr>
          <w:rFonts w:ascii="宋体"/>
          <w:color w:val="auto"/>
          <w:szCs w:val="21"/>
          <w:highlight w:val="none"/>
        </w:rPr>
        <w:br w:type="page"/>
      </w:r>
      <w:r>
        <w:rPr>
          <w:rFonts w:hint="eastAsia" w:ascii="宋体" w:hAnsi="宋体" w:eastAsia="宋体" w:cs="宋体"/>
          <w:b/>
          <w:color w:val="auto"/>
          <w:sz w:val="24"/>
          <w:szCs w:val="32"/>
          <w:highlight w:val="none"/>
        </w:rPr>
        <w:t>2.技术文件部分（格式）</w:t>
      </w:r>
    </w:p>
    <w:p w14:paraId="3855BFE2">
      <w:pPr>
        <w:shd w:val="clear"/>
        <w:snapToGrid w:val="0"/>
        <w:spacing w:line="380" w:lineRule="exact"/>
        <w:jc w:val="left"/>
        <w:rPr>
          <w:rFonts w:ascii="宋体"/>
          <w:color w:val="auto"/>
          <w:szCs w:val="21"/>
          <w:highlight w:val="none"/>
        </w:rPr>
      </w:pPr>
      <w:r>
        <w:rPr>
          <w:rFonts w:hint="eastAsia" w:ascii="宋体"/>
          <w:color w:val="auto"/>
          <w:szCs w:val="21"/>
          <w:highlight w:val="none"/>
        </w:rPr>
        <w:t xml:space="preserve">   （1）技术响应表格式： </w:t>
      </w:r>
    </w:p>
    <w:p w14:paraId="0422C4B7">
      <w:pPr>
        <w:shd w:val="clear"/>
        <w:wordWrap w:val="0"/>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u w:val="single"/>
        </w:rPr>
        <w:t xml:space="preserve"> </w:t>
      </w:r>
      <w:r>
        <w:rPr>
          <w:rFonts w:ascii="宋体"/>
          <w:color w:val="auto"/>
          <w:szCs w:val="21"/>
          <w:highlight w:val="none"/>
          <w:u w:val="single"/>
        </w:rPr>
        <w:t xml:space="preserve">     </w:t>
      </w:r>
      <w:r>
        <w:rPr>
          <w:rFonts w:hint="eastAsia" w:ascii="宋体"/>
          <w:color w:val="auto"/>
          <w:szCs w:val="21"/>
          <w:highlight w:val="none"/>
        </w:rPr>
        <w:t>分标</w:t>
      </w:r>
    </w:p>
    <w:tbl>
      <w:tblPr>
        <w:tblStyle w:val="50"/>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14:paraId="3BB4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01" w:type="dxa"/>
            <w:tcBorders>
              <w:top w:val="single" w:color="auto" w:sz="4" w:space="0"/>
              <w:left w:val="single" w:color="auto" w:sz="4" w:space="0"/>
              <w:bottom w:val="single" w:color="auto" w:sz="4" w:space="0"/>
              <w:right w:val="single" w:color="auto" w:sz="4" w:space="0"/>
            </w:tcBorders>
            <w:noWrap w:val="0"/>
            <w:vAlign w:val="center"/>
          </w:tcPr>
          <w:p w14:paraId="001A569D">
            <w:pPr>
              <w:pStyle w:val="26"/>
              <w:shd w:val="clear"/>
              <w:spacing w:line="400" w:lineRule="exact"/>
              <w:jc w:val="center"/>
              <w:rPr>
                <w:rFonts w:hint="eastAsia" w:hAnsi="宋体" w:cs="Courier New"/>
                <w:color w:val="auto"/>
                <w:highlight w:val="none"/>
                <w:lang w:val="en-US" w:eastAsia="zh-CN"/>
              </w:rPr>
            </w:pPr>
            <w:r>
              <w:rPr>
                <w:rFonts w:hint="eastAsia" w:hAnsi="宋体" w:cs="Courier New"/>
                <w:color w:val="auto"/>
                <w:highlight w:val="none"/>
                <w:lang w:val="en-US" w:eastAsia="zh-CN"/>
              </w:rPr>
              <w:t>项号</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442E7256">
            <w:pPr>
              <w:pStyle w:val="26"/>
              <w:shd w:val="clear"/>
              <w:spacing w:line="400" w:lineRule="exact"/>
              <w:jc w:val="center"/>
              <w:rPr>
                <w:rFonts w:hAnsi="宋体" w:cs="Courier New"/>
                <w:color w:val="auto"/>
                <w:highlight w:val="none"/>
                <w:lang w:val="en-US" w:eastAsia="zh-CN"/>
              </w:rPr>
            </w:pPr>
            <w:r>
              <w:rPr>
                <w:rFonts w:hAnsi="宋体" w:cs="Courier New"/>
                <w:color w:val="auto"/>
                <w:highlight w:val="none"/>
                <w:lang w:val="en-US" w:eastAsia="zh-CN"/>
              </w:rPr>
              <w:t>招标要求</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2A9D2FF3">
            <w:pPr>
              <w:pStyle w:val="26"/>
              <w:shd w:val="clear"/>
              <w:spacing w:line="400" w:lineRule="exact"/>
              <w:jc w:val="center"/>
              <w:rPr>
                <w:rFonts w:hAnsi="宋体" w:cs="Courier New"/>
                <w:color w:val="auto"/>
                <w:highlight w:val="none"/>
                <w:lang w:val="en-US" w:eastAsia="zh-CN"/>
              </w:rPr>
            </w:pPr>
            <w:r>
              <w:rPr>
                <w:rFonts w:hAnsi="宋体" w:cs="Courier New"/>
                <w:color w:val="auto"/>
                <w:highlight w:val="none"/>
                <w:lang w:val="en-US" w:eastAsia="zh-CN"/>
              </w:rPr>
              <w:t>应标情况</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14558567">
            <w:pPr>
              <w:pStyle w:val="26"/>
              <w:shd w:val="clear"/>
              <w:spacing w:line="400" w:lineRule="exact"/>
              <w:jc w:val="center"/>
              <w:rPr>
                <w:rFonts w:hAnsi="宋体" w:cs="Courier New"/>
                <w:color w:val="auto"/>
                <w:highlight w:val="none"/>
                <w:lang w:val="en-US" w:eastAsia="zh-CN"/>
              </w:rPr>
            </w:pPr>
            <w:r>
              <w:rPr>
                <w:rFonts w:hAnsi="宋体" w:cs="Courier New"/>
                <w:color w:val="auto"/>
                <w:highlight w:val="none"/>
                <w:lang w:val="en-US" w:eastAsia="zh-CN"/>
              </w:rPr>
              <w:t>偏离说明</w:t>
            </w:r>
          </w:p>
        </w:tc>
      </w:tr>
      <w:tr w14:paraId="662D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2B8CAF6C">
            <w:pPr>
              <w:pStyle w:val="26"/>
              <w:shd w:val="clear"/>
              <w:spacing w:line="600" w:lineRule="exact"/>
              <w:ind w:left="5250"/>
              <w:jc w:val="center"/>
              <w:rPr>
                <w:rFonts w:hAnsi="宋体" w:cs="Courier New"/>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58328C85">
            <w:pPr>
              <w:pStyle w:val="26"/>
              <w:shd w:val="clear"/>
              <w:spacing w:line="600" w:lineRule="exact"/>
              <w:ind w:left="5250"/>
              <w:jc w:val="center"/>
              <w:rPr>
                <w:rFonts w:hAnsi="宋体" w:cs="Courier New"/>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576C16E4">
            <w:pPr>
              <w:pStyle w:val="26"/>
              <w:shd w:val="clear"/>
              <w:spacing w:line="600" w:lineRule="exact"/>
              <w:ind w:left="5250"/>
              <w:jc w:val="center"/>
              <w:rPr>
                <w:rFonts w:hAnsi="宋体" w:cs="Courier New"/>
                <w:color w:val="auto"/>
                <w:highlight w:val="none"/>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46A48367">
            <w:pPr>
              <w:pStyle w:val="26"/>
              <w:shd w:val="clear"/>
              <w:spacing w:line="600" w:lineRule="exact"/>
              <w:ind w:left="5250"/>
              <w:jc w:val="center"/>
              <w:rPr>
                <w:rFonts w:hAnsi="宋体" w:cs="Courier New"/>
                <w:color w:val="auto"/>
                <w:highlight w:val="none"/>
                <w:lang w:val="en-US" w:eastAsia="zh-CN"/>
              </w:rPr>
            </w:pPr>
          </w:p>
        </w:tc>
      </w:tr>
      <w:tr w14:paraId="502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191EC19A">
            <w:pPr>
              <w:pStyle w:val="26"/>
              <w:shd w:val="clear"/>
              <w:spacing w:line="600" w:lineRule="exact"/>
              <w:ind w:left="5250"/>
              <w:jc w:val="center"/>
              <w:rPr>
                <w:rFonts w:hAnsi="宋体" w:cs="Courier New"/>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2D5BAA2F">
            <w:pPr>
              <w:pStyle w:val="26"/>
              <w:shd w:val="clear"/>
              <w:spacing w:line="600" w:lineRule="exact"/>
              <w:ind w:left="5250"/>
              <w:jc w:val="center"/>
              <w:rPr>
                <w:rFonts w:hAnsi="宋体" w:cs="Courier New"/>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4135590C">
            <w:pPr>
              <w:pStyle w:val="26"/>
              <w:shd w:val="clear"/>
              <w:spacing w:line="600" w:lineRule="exact"/>
              <w:ind w:left="5250"/>
              <w:jc w:val="center"/>
              <w:rPr>
                <w:rFonts w:hAnsi="宋体" w:cs="Courier New"/>
                <w:color w:val="auto"/>
                <w:highlight w:val="none"/>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1BCE54AB">
            <w:pPr>
              <w:pStyle w:val="26"/>
              <w:shd w:val="clear"/>
              <w:spacing w:line="600" w:lineRule="exact"/>
              <w:ind w:left="5250"/>
              <w:jc w:val="center"/>
              <w:rPr>
                <w:rFonts w:hAnsi="宋体" w:cs="Courier New"/>
                <w:color w:val="auto"/>
                <w:highlight w:val="none"/>
                <w:lang w:val="en-US" w:eastAsia="zh-CN"/>
              </w:rPr>
            </w:pPr>
          </w:p>
        </w:tc>
      </w:tr>
      <w:tr w14:paraId="7F82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11B8099B">
            <w:pPr>
              <w:pStyle w:val="26"/>
              <w:shd w:val="clear"/>
              <w:spacing w:line="600" w:lineRule="exact"/>
              <w:ind w:left="5250"/>
              <w:rPr>
                <w:rFonts w:hAnsi="宋体" w:cs="Courier New"/>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78F2CC09">
            <w:pPr>
              <w:pStyle w:val="26"/>
              <w:shd w:val="clear"/>
              <w:spacing w:line="600" w:lineRule="exact"/>
              <w:ind w:left="5250"/>
              <w:rPr>
                <w:rFonts w:hAnsi="宋体" w:cs="Courier New"/>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4D0CC9BC">
            <w:pPr>
              <w:pStyle w:val="26"/>
              <w:shd w:val="clear"/>
              <w:spacing w:line="600" w:lineRule="exact"/>
              <w:ind w:left="5250"/>
              <w:rPr>
                <w:rFonts w:hAnsi="宋体" w:cs="Courier New"/>
                <w:color w:val="auto"/>
                <w:highlight w:val="none"/>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27C9FC8E">
            <w:pPr>
              <w:pStyle w:val="26"/>
              <w:shd w:val="clear"/>
              <w:spacing w:line="600" w:lineRule="exact"/>
              <w:ind w:left="5250"/>
              <w:rPr>
                <w:rFonts w:hAnsi="宋体" w:cs="Courier New"/>
                <w:color w:val="auto"/>
                <w:highlight w:val="none"/>
                <w:lang w:val="en-US" w:eastAsia="zh-CN"/>
              </w:rPr>
            </w:pPr>
          </w:p>
        </w:tc>
      </w:tr>
      <w:tr w14:paraId="6420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5D2200E1">
            <w:pPr>
              <w:pStyle w:val="26"/>
              <w:shd w:val="clear"/>
              <w:spacing w:line="600" w:lineRule="exact"/>
              <w:ind w:left="5250"/>
              <w:rPr>
                <w:rFonts w:hAnsi="宋体" w:cs="Courier New"/>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1FF35AD1">
            <w:pPr>
              <w:pStyle w:val="26"/>
              <w:shd w:val="clear"/>
              <w:spacing w:line="600" w:lineRule="exact"/>
              <w:ind w:left="5250"/>
              <w:rPr>
                <w:rFonts w:hAnsi="宋体" w:cs="Courier New"/>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1F0F3E99">
            <w:pPr>
              <w:pStyle w:val="26"/>
              <w:shd w:val="clear"/>
              <w:spacing w:line="600" w:lineRule="exact"/>
              <w:ind w:left="5250"/>
              <w:rPr>
                <w:rFonts w:hAnsi="宋体" w:cs="Courier New"/>
                <w:color w:val="auto"/>
                <w:highlight w:val="none"/>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7010DC2C">
            <w:pPr>
              <w:pStyle w:val="26"/>
              <w:shd w:val="clear"/>
              <w:spacing w:line="600" w:lineRule="exact"/>
              <w:ind w:left="5250"/>
              <w:rPr>
                <w:rFonts w:hAnsi="宋体" w:cs="Courier New"/>
                <w:color w:val="auto"/>
                <w:highlight w:val="none"/>
                <w:lang w:val="en-US" w:eastAsia="zh-CN"/>
              </w:rPr>
            </w:pPr>
          </w:p>
        </w:tc>
      </w:tr>
      <w:tr w14:paraId="5197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0D8BAEE5">
            <w:pPr>
              <w:pStyle w:val="26"/>
              <w:shd w:val="clear"/>
              <w:spacing w:line="600" w:lineRule="exact"/>
              <w:ind w:left="5250"/>
              <w:rPr>
                <w:rFonts w:hAnsi="宋体" w:cs="Courier New"/>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58E30DE5">
            <w:pPr>
              <w:pStyle w:val="26"/>
              <w:shd w:val="clear"/>
              <w:spacing w:line="600" w:lineRule="exact"/>
              <w:ind w:left="5250"/>
              <w:rPr>
                <w:rFonts w:hAnsi="宋体" w:cs="Courier New"/>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65ED31F9">
            <w:pPr>
              <w:pStyle w:val="26"/>
              <w:shd w:val="clear"/>
              <w:spacing w:line="600" w:lineRule="exact"/>
              <w:ind w:left="5250"/>
              <w:rPr>
                <w:rFonts w:hAnsi="宋体" w:cs="Courier New"/>
                <w:color w:val="auto"/>
                <w:highlight w:val="none"/>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5037625C">
            <w:pPr>
              <w:pStyle w:val="26"/>
              <w:shd w:val="clear"/>
              <w:spacing w:line="600" w:lineRule="exact"/>
              <w:ind w:left="5250"/>
              <w:rPr>
                <w:rFonts w:hAnsi="宋体" w:cs="Courier New"/>
                <w:color w:val="auto"/>
                <w:highlight w:val="none"/>
                <w:lang w:val="en-US" w:eastAsia="zh-CN"/>
              </w:rPr>
            </w:pPr>
          </w:p>
        </w:tc>
      </w:tr>
      <w:tr w14:paraId="2B2B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7312AEDA">
            <w:pPr>
              <w:pStyle w:val="26"/>
              <w:shd w:val="clear"/>
              <w:spacing w:line="600" w:lineRule="exact"/>
              <w:ind w:left="5250"/>
              <w:rPr>
                <w:rFonts w:hAnsi="宋体" w:cs="Courier New"/>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09866404">
            <w:pPr>
              <w:pStyle w:val="26"/>
              <w:shd w:val="clear"/>
              <w:spacing w:line="600" w:lineRule="exact"/>
              <w:ind w:left="5250"/>
              <w:rPr>
                <w:rFonts w:hAnsi="宋体" w:cs="Courier New"/>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3DB13A37">
            <w:pPr>
              <w:pStyle w:val="26"/>
              <w:shd w:val="clear"/>
              <w:spacing w:line="600" w:lineRule="exact"/>
              <w:ind w:left="5250"/>
              <w:rPr>
                <w:rFonts w:hAnsi="宋体" w:cs="Courier New"/>
                <w:color w:val="auto"/>
                <w:highlight w:val="none"/>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566A82C2">
            <w:pPr>
              <w:pStyle w:val="26"/>
              <w:shd w:val="clear"/>
              <w:spacing w:line="600" w:lineRule="exact"/>
              <w:ind w:left="5250"/>
              <w:rPr>
                <w:rFonts w:hAnsi="宋体" w:cs="Courier New"/>
                <w:color w:val="auto"/>
                <w:highlight w:val="none"/>
                <w:lang w:val="en-US" w:eastAsia="zh-CN"/>
              </w:rPr>
            </w:pPr>
          </w:p>
        </w:tc>
      </w:tr>
    </w:tbl>
    <w:p w14:paraId="31998B55">
      <w:pPr>
        <w:shd w:val="clear"/>
        <w:spacing w:line="400" w:lineRule="exact"/>
        <w:rPr>
          <w:rFonts w:hint="eastAsia" w:ascii="宋体" w:hAnsi="宋体"/>
          <w:color w:val="auto"/>
          <w:highlight w:val="none"/>
        </w:rPr>
      </w:pPr>
      <w:r>
        <w:rPr>
          <w:rFonts w:hint="eastAsia" w:ascii="宋体" w:hAnsi="宋体"/>
          <w:color w:val="auto"/>
          <w:highlight w:val="none"/>
        </w:rPr>
        <w:t xml:space="preserve">   </w:t>
      </w:r>
    </w:p>
    <w:p w14:paraId="3004B9C2">
      <w:pPr>
        <w:shd w:val="clear"/>
        <w:spacing w:line="360" w:lineRule="exact"/>
        <w:rPr>
          <w:rFonts w:hint="eastAsia" w:ascii="宋体" w:hAnsi="宋体"/>
          <w:b/>
          <w:color w:val="auto"/>
          <w:szCs w:val="21"/>
          <w:highlight w:val="none"/>
        </w:rPr>
      </w:pPr>
      <w:r>
        <w:rPr>
          <w:rFonts w:hint="eastAsia" w:ascii="宋体" w:hAnsi="宋体"/>
          <w:b/>
          <w:color w:val="auto"/>
          <w:szCs w:val="21"/>
          <w:highlight w:val="none"/>
        </w:rPr>
        <w:t>注：投标人应根据投标设备的性能指标、对照招标文件要求在技术响应表中详细列明招标要求及投标设备技术规格的响应情况，并填写“</w:t>
      </w:r>
      <w:r>
        <w:rPr>
          <w:rFonts w:ascii="宋体" w:hAnsi="宋体"/>
          <w:b/>
          <w:color w:val="auto"/>
          <w:szCs w:val="21"/>
          <w:highlight w:val="none"/>
        </w:rPr>
        <w:t>偏离说明</w:t>
      </w:r>
      <w:r>
        <w:rPr>
          <w:rFonts w:hint="eastAsia" w:ascii="宋体" w:hAnsi="宋体"/>
          <w:b/>
          <w:color w:val="auto"/>
          <w:szCs w:val="21"/>
          <w:highlight w:val="none"/>
        </w:rPr>
        <w:t>”。“偏离</w:t>
      </w:r>
      <w:r>
        <w:rPr>
          <w:rFonts w:ascii="宋体" w:hAnsi="宋体"/>
          <w:b/>
          <w:color w:val="auto"/>
          <w:szCs w:val="21"/>
          <w:highlight w:val="none"/>
        </w:rPr>
        <w:t>说明</w:t>
      </w:r>
      <w:r>
        <w:rPr>
          <w:rFonts w:hint="eastAsia" w:ascii="宋体" w:hAnsi="宋体"/>
          <w:b/>
          <w:color w:val="auto"/>
          <w:szCs w:val="21"/>
          <w:highlight w:val="none"/>
        </w:rPr>
        <w:t>”栏注明“正偏离</w:t>
      </w:r>
      <w:r>
        <w:rPr>
          <w:rFonts w:hint="eastAsia" w:ascii="宋体" w:hAnsi="宋体"/>
          <w:b/>
          <w:color w:val="auto"/>
          <w:szCs w:val="21"/>
          <w:highlight w:val="none"/>
          <w:lang w:eastAsia="zh-CN"/>
        </w:rPr>
        <w:t>”“</w:t>
      </w:r>
      <w:r>
        <w:rPr>
          <w:rFonts w:hint="eastAsia" w:ascii="宋体" w:hAnsi="宋体"/>
          <w:b/>
          <w:color w:val="auto"/>
          <w:szCs w:val="21"/>
          <w:highlight w:val="none"/>
        </w:rPr>
        <w:t>负偏离”或“无偏离”。投标技术规格与招标要求相同的为无偏离，投标技术规格高于招标要求的为正偏离，低于招标要求的为负偏离。</w:t>
      </w:r>
    </w:p>
    <w:p w14:paraId="3D60DC26">
      <w:pPr>
        <w:shd w:val="clear"/>
        <w:rPr>
          <w:rFonts w:hint="eastAsia" w:ascii="宋体" w:hAnsi="宋体"/>
          <w:color w:val="auto"/>
          <w:highlight w:val="none"/>
        </w:rPr>
      </w:pPr>
    </w:p>
    <w:p w14:paraId="7F1122EF">
      <w:pPr>
        <w:shd w:val="clear"/>
        <w:spacing w:line="400" w:lineRule="exact"/>
        <w:rPr>
          <w:rFonts w:hint="eastAsia" w:ascii="宋体" w:hAnsi="宋体"/>
          <w:color w:val="auto"/>
          <w:highlight w:val="none"/>
          <w:u w:val="single"/>
        </w:rPr>
      </w:pPr>
      <w:r>
        <w:rPr>
          <w:rFonts w:hint="eastAsia" w:ascii="宋体" w:hAnsi="宋体"/>
          <w:color w:val="auto"/>
          <w:highlight w:val="none"/>
        </w:rPr>
        <w:t>法定代表人（负责人）或委托代理人签字或盖章：</w:t>
      </w:r>
      <w:r>
        <w:rPr>
          <w:rFonts w:hint="eastAsia" w:ascii="宋体" w:hAnsi="宋体"/>
          <w:color w:val="auto"/>
          <w:highlight w:val="none"/>
          <w:u w:val="single"/>
        </w:rPr>
        <w:t xml:space="preserve">                 </w:t>
      </w:r>
    </w:p>
    <w:p w14:paraId="20331F58">
      <w:pPr>
        <w:shd w:val="clear"/>
        <w:spacing w:line="400" w:lineRule="exact"/>
        <w:rPr>
          <w:rFonts w:hint="eastAsia" w:ascii="宋体" w:hAnsi="宋体"/>
          <w:color w:val="auto"/>
          <w:highlight w:val="none"/>
        </w:rPr>
      </w:pPr>
      <w:r>
        <w:rPr>
          <w:rFonts w:hint="eastAsia" w:ascii="宋体" w:hAnsi="宋体"/>
          <w:color w:val="auto"/>
          <w:highlight w:val="none"/>
        </w:rPr>
        <w:t>投标人</w:t>
      </w:r>
      <w:r>
        <w:rPr>
          <w:rFonts w:hint="eastAsia"/>
          <w:color w:val="auto"/>
          <w:highlight w:val="none"/>
        </w:rPr>
        <w:t>名称（</w:t>
      </w:r>
      <w:r>
        <w:rPr>
          <w:rFonts w:hint="eastAsia" w:ascii="宋体"/>
          <w:color w:val="auto"/>
          <w:szCs w:val="21"/>
          <w:highlight w:val="none"/>
        </w:rPr>
        <w:t>盖章</w:t>
      </w:r>
      <w:r>
        <w:rPr>
          <w:rFonts w:hint="eastAsia"/>
          <w:color w:val="auto"/>
          <w:highlight w:val="none"/>
        </w:rPr>
        <w:t>）</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 xml:space="preserve">          日 期：</w:t>
      </w:r>
      <w:r>
        <w:rPr>
          <w:rFonts w:hint="eastAsia" w:ascii="宋体" w:hAnsi="宋体"/>
          <w:color w:val="auto"/>
          <w:highlight w:val="none"/>
          <w:u w:val="single"/>
        </w:rPr>
        <w:t xml:space="preserve">              </w:t>
      </w:r>
    </w:p>
    <w:p w14:paraId="4EDFCAF7">
      <w:pPr>
        <w:shd w:val="clear"/>
        <w:rPr>
          <w:rFonts w:hint="eastAsia" w:ascii="宋体" w:hAnsi="宋体"/>
          <w:color w:val="auto"/>
          <w:highlight w:val="none"/>
        </w:rPr>
      </w:pPr>
    </w:p>
    <w:p w14:paraId="35F04368">
      <w:pPr>
        <w:shd w:val="clear"/>
        <w:spacing w:line="400" w:lineRule="exact"/>
        <w:ind w:firstLine="420"/>
        <w:rPr>
          <w:rFonts w:ascii="宋体" w:hAnsi="宋体"/>
          <w:color w:val="auto"/>
          <w:highlight w:val="none"/>
        </w:rPr>
      </w:pPr>
      <w:r>
        <w:rPr>
          <w:rFonts w:hint="eastAsia" w:ascii="宋体" w:hAnsi="宋体"/>
          <w:color w:val="auto"/>
          <w:highlight w:val="none"/>
        </w:rPr>
        <w:t>（2）设备配置清单格式：</w:t>
      </w:r>
    </w:p>
    <w:p w14:paraId="40EB1591">
      <w:pPr>
        <w:shd w:val="clear"/>
        <w:wordWrap w:val="0"/>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u w:val="single"/>
        </w:rPr>
        <w:t xml:space="preserve"> </w:t>
      </w:r>
      <w:r>
        <w:rPr>
          <w:rFonts w:ascii="宋体"/>
          <w:color w:val="auto"/>
          <w:szCs w:val="21"/>
          <w:highlight w:val="none"/>
          <w:u w:val="single"/>
        </w:rPr>
        <w:t xml:space="preserve">     </w:t>
      </w:r>
      <w:r>
        <w:rPr>
          <w:rFonts w:hint="eastAsia" w:ascii="宋体"/>
          <w:color w:val="auto"/>
          <w:szCs w:val="21"/>
          <w:highlight w:val="none"/>
        </w:rPr>
        <w:t>分标</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0"/>
        <w:gridCol w:w="1530"/>
        <w:gridCol w:w="890"/>
        <w:gridCol w:w="1588"/>
        <w:gridCol w:w="1718"/>
        <w:gridCol w:w="1918"/>
        <w:gridCol w:w="967"/>
      </w:tblGrid>
      <w:tr w14:paraId="5D4402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3"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62DF0FD4">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5AD84C5A">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设备名称</w:t>
            </w:r>
          </w:p>
        </w:tc>
        <w:tc>
          <w:tcPr>
            <w:tcW w:w="890" w:type="dxa"/>
            <w:tcBorders>
              <w:top w:val="single" w:color="auto" w:sz="4" w:space="0"/>
              <w:left w:val="single" w:color="auto" w:sz="4" w:space="0"/>
              <w:bottom w:val="single" w:color="auto" w:sz="4" w:space="0"/>
              <w:right w:val="single" w:color="auto" w:sz="4" w:space="0"/>
            </w:tcBorders>
            <w:noWrap w:val="0"/>
            <w:vAlign w:val="center"/>
          </w:tcPr>
          <w:p w14:paraId="74437535">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品牌</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0432ED81">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规格型号</w:t>
            </w:r>
          </w:p>
        </w:tc>
        <w:tc>
          <w:tcPr>
            <w:tcW w:w="1718" w:type="dxa"/>
            <w:tcBorders>
              <w:top w:val="single" w:color="auto" w:sz="4" w:space="0"/>
              <w:left w:val="single" w:color="auto" w:sz="4" w:space="0"/>
              <w:bottom w:val="single" w:color="auto" w:sz="4" w:space="0"/>
              <w:right w:val="single" w:color="auto" w:sz="4" w:space="0"/>
            </w:tcBorders>
            <w:noWrap w:val="0"/>
            <w:vAlign w:val="center"/>
          </w:tcPr>
          <w:p w14:paraId="18367F58">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单位及数量</w:t>
            </w:r>
          </w:p>
        </w:tc>
        <w:tc>
          <w:tcPr>
            <w:tcW w:w="1918" w:type="dxa"/>
            <w:tcBorders>
              <w:top w:val="single" w:color="auto" w:sz="4" w:space="0"/>
              <w:left w:val="single" w:color="auto" w:sz="4" w:space="0"/>
              <w:bottom w:val="single" w:color="auto" w:sz="4" w:space="0"/>
              <w:right w:val="single" w:color="auto" w:sz="4" w:space="0"/>
            </w:tcBorders>
            <w:noWrap w:val="0"/>
            <w:vAlign w:val="center"/>
          </w:tcPr>
          <w:p w14:paraId="6505A3AB">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性能及指标</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453C5E17">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产地</w:t>
            </w:r>
          </w:p>
        </w:tc>
      </w:tr>
      <w:tr w14:paraId="4B0F9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4087F07F">
            <w:pPr>
              <w:shd w:val="clear"/>
              <w:snapToGrid w:val="0"/>
              <w:spacing w:before="50" w:after="50" w:line="360" w:lineRule="exact"/>
              <w:jc w:val="center"/>
              <w:rPr>
                <w:rFonts w:hint="eastAsia" w:ascii="宋体" w:hAnsi="宋体"/>
                <w:color w:val="auto"/>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31B5F99">
            <w:pPr>
              <w:shd w:val="clear"/>
              <w:snapToGrid w:val="0"/>
              <w:spacing w:before="50" w:after="50" w:line="360" w:lineRule="exact"/>
              <w:jc w:val="center"/>
              <w:rPr>
                <w:rFonts w:hint="eastAsia" w:ascii="宋体" w:hAnsi="宋体"/>
                <w:color w:val="auto"/>
                <w:szCs w:val="21"/>
                <w:highlight w:val="none"/>
              </w:rPr>
            </w:pPr>
          </w:p>
        </w:tc>
        <w:tc>
          <w:tcPr>
            <w:tcW w:w="890" w:type="dxa"/>
            <w:tcBorders>
              <w:top w:val="single" w:color="auto" w:sz="4" w:space="0"/>
              <w:left w:val="single" w:color="auto" w:sz="4" w:space="0"/>
              <w:bottom w:val="single" w:color="auto" w:sz="4" w:space="0"/>
              <w:right w:val="single" w:color="auto" w:sz="4" w:space="0"/>
            </w:tcBorders>
            <w:noWrap w:val="0"/>
            <w:vAlign w:val="center"/>
          </w:tcPr>
          <w:p w14:paraId="782C25A3">
            <w:pPr>
              <w:shd w:val="clear"/>
              <w:snapToGrid w:val="0"/>
              <w:spacing w:before="50" w:after="50" w:line="360" w:lineRule="exact"/>
              <w:jc w:val="center"/>
              <w:rPr>
                <w:rFonts w:hint="eastAsia" w:ascii="宋体" w:hAnsi="宋体"/>
                <w:color w:val="auto"/>
                <w:szCs w:val="21"/>
                <w:highlight w:val="none"/>
              </w:rPr>
            </w:pPr>
          </w:p>
        </w:tc>
        <w:tc>
          <w:tcPr>
            <w:tcW w:w="1588" w:type="dxa"/>
            <w:tcBorders>
              <w:top w:val="single" w:color="auto" w:sz="4" w:space="0"/>
              <w:left w:val="single" w:color="auto" w:sz="4" w:space="0"/>
              <w:bottom w:val="single" w:color="auto" w:sz="4" w:space="0"/>
              <w:right w:val="single" w:color="auto" w:sz="4" w:space="0"/>
            </w:tcBorders>
            <w:noWrap w:val="0"/>
            <w:vAlign w:val="center"/>
          </w:tcPr>
          <w:p w14:paraId="127E609F">
            <w:pPr>
              <w:shd w:val="clear"/>
              <w:snapToGrid w:val="0"/>
              <w:spacing w:before="50" w:after="50" w:line="360" w:lineRule="exact"/>
              <w:jc w:val="center"/>
              <w:rPr>
                <w:rFonts w:hint="eastAsia" w:ascii="宋体" w:hAnsi="宋体"/>
                <w:color w:val="auto"/>
                <w:szCs w:val="21"/>
                <w:highlight w:val="none"/>
              </w:rPr>
            </w:pPr>
          </w:p>
        </w:tc>
        <w:tc>
          <w:tcPr>
            <w:tcW w:w="1718" w:type="dxa"/>
            <w:tcBorders>
              <w:top w:val="single" w:color="auto" w:sz="4" w:space="0"/>
              <w:left w:val="single" w:color="auto" w:sz="4" w:space="0"/>
              <w:bottom w:val="single" w:color="auto" w:sz="4" w:space="0"/>
              <w:right w:val="single" w:color="auto" w:sz="4" w:space="0"/>
            </w:tcBorders>
            <w:noWrap w:val="0"/>
            <w:vAlign w:val="center"/>
          </w:tcPr>
          <w:p w14:paraId="3FCEAFA6">
            <w:pPr>
              <w:shd w:val="clear"/>
              <w:snapToGrid w:val="0"/>
              <w:spacing w:before="50" w:after="50" w:line="360" w:lineRule="exact"/>
              <w:jc w:val="center"/>
              <w:rPr>
                <w:rFonts w:hint="eastAsia" w:ascii="宋体" w:hAnsi="宋体"/>
                <w:color w:val="auto"/>
                <w:szCs w:val="21"/>
                <w:highlight w:val="none"/>
              </w:rPr>
            </w:pPr>
          </w:p>
        </w:tc>
        <w:tc>
          <w:tcPr>
            <w:tcW w:w="1918" w:type="dxa"/>
            <w:tcBorders>
              <w:top w:val="single" w:color="auto" w:sz="4" w:space="0"/>
              <w:left w:val="single" w:color="auto" w:sz="4" w:space="0"/>
              <w:bottom w:val="single" w:color="auto" w:sz="4" w:space="0"/>
              <w:right w:val="single" w:color="auto" w:sz="4" w:space="0"/>
            </w:tcBorders>
            <w:noWrap w:val="0"/>
            <w:vAlign w:val="center"/>
          </w:tcPr>
          <w:p w14:paraId="4696EA3D">
            <w:pPr>
              <w:shd w:val="clear"/>
              <w:snapToGrid w:val="0"/>
              <w:spacing w:before="50" w:after="50" w:line="360" w:lineRule="exact"/>
              <w:jc w:val="center"/>
              <w:rPr>
                <w:rFonts w:hint="eastAsia" w:ascii="宋体" w:hAnsi="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0B85348E">
            <w:pPr>
              <w:shd w:val="clear"/>
              <w:snapToGrid w:val="0"/>
              <w:spacing w:before="50" w:after="50" w:line="360" w:lineRule="exact"/>
              <w:jc w:val="center"/>
              <w:rPr>
                <w:rFonts w:hint="eastAsia" w:ascii="宋体" w:hAnsi="宋体"/>
                <w:color w:val="auto"/>
                <w:szCs w:val="21"/>
                <w:highlight w:val="none"/>
              </w:rPr>
            </w:pPr>
          </w:p>
        </w:tc>
      </w:tr>
      <w:tr w14:paraId="446A94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3699A8AD">
            <w:pPr>
              <w:shd w:val="clear"/>
              <w:snapToGrid w:val="0"/>
              <w:spacing w:before="50" w:after="50" w:line="360" w:lineRule="exact"/>
              <w:jc w:val="center"/>
              <w:rPr>
                <w:rFonts w:hint="eastAsia" w:ascii="宋体" w:hAnsi="宋体"/>
                <w:color w:val="auto"/>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14:paraId="626C38C8">
            <w:pPr>
              <w:shd w:val="clear"/>
              <w:snapToGrid w:val="0"/>
              <w:spacing w:before="50" w:after="50" w:line="360" w:lineRule="exact"/>
              <w:jc w:val="center"/>
              <w:rPr>
                <w:rFonts w:hint="eastAsia" w:ascii="宋体" w:hAnsi="宋体"/>
                <w:color w:val="auto"/>
                <w:szCs w:val="21"/>
                <w:highlight w:val="none"/>
              </w:rPr>
            </w:pPr>
          </w:p>
        </w:tc>
        <w:tc>
          <w:tcPr>
            <w:tcW w:w="890" w:type="dxa"/>
            <w:tcBorders>
              <w:top w:val="single" w:color="auto" w:sz="4" w:space="0"/>
              <w:left w:val="single" w:color="auto" w:sz="4" w:space="0"/>
              <w:bottom w:val="single" w:color="auto" w:sz="4" w:space="0"/>
              <w:right w:val="single" w:color="auto" w:sz="4" w:space="0"/>
            </w:tcBorders>
            <w:noWrap w:val="0"/>
            <w:vAlign w:val="center"/>
          </w:tcPr>
          <w:p w14:paraId="441EA1BF">
            <w:pPr>
              <w:shd w:val="clear"/>
              <w:snapToGrid w:val="0"/>
              <w:spacing w:before="50" w:after="50" w:line="360" w:lineRule="exact"/>
              <w:jc w:val="center"/>
              <w:rPr>
                <w:rFonts w:hint="eastAsia" w:ascii="宋体" w:hAnsi="宋体"/>
                <w:color w:val="auto"/>
                <w:szCs w:val="21"/>
                <w:highlight w:val="none"/>
              </w:rPr>
            </w:pPr>
          </w:p>
        </w:tc>
        <w:tc>
          <w:tcPr>
            <w:tcW w:w="1588" w:type="dxa"/>
            <w:tcBorders>
              <w:top w:val="single" w:color="auto" w:sz="4" w:space="0"/>
              <w:left w:val="single" w:color="auto" w:sz="4" w:space="0"/>
              <w:bottom w:val="single" w:color="auto" w:sz="4" w:space="0"/>
              <w:right w:val="single" w:color="auto" w:sz="4" w:space="0"/>
            </w:tcBorders>
            <w:noWrap w:val="0"/>
            <w:vAlign w:val="center"/>
          </w:tcPr>
          <w:p w14:paraId="741CC456">
            <w:pPr>
              <w:shd w:val="clear"/>
              <w:snapToGrid w:val="0"/>
              <w:spacing w:before="50" w:after="50" w:line="360" w:lineRule="exact"/>
              <w:jc w:val="center"/>
              <w:rPr>
                <w:rFonts w:hint="eastAsia" w:ascii="宋体" w:hAnsi="宋体"/>
                <w:color w:val="auto"/>
                <w:szCs w:val="21"/>
                <w:highlight w:val="none"/>
              </w:rPr>
            </w:pPr>
          </w:p>
        </w:tc>
        <w:tc>
          <w:tcPr>
            <w:tcW w:w="1718" w:type="dxa"/>
            <w:tcBorders>
              <w:top w:val="single" w:color="auto" w:sz="4" w:space="0"/>
              <w:left w:val="single" w:color="auto" w:sz="4" w:space="0"/>
              <w:bottom w:val="single" w:color="auto" w:sz="4" w:space="0"/>
              <w:right w:val="single" w:color="auto" w:sz="4" w:space="0"/>
            </w:tcBorders>
            <w:noWrap w:val="0"/>
            <w:vAlign w:val="center"/>
          </w:tcPr>
          <w:p w14:paraId="16C17181">
            <w:pPr>
              <w:shd w:val="clear"/>
              <w:snapToGrid w:val="0"/>
              <w:spacing w:before="50" w:after="50" w:line="360" w:lineRule="exact"/>
              <w:jc w:val="center"/>
              <w:rPr>
                <w:rFonts w:hint="eastAsia" w:ascii="宋体" w:hAnsi="宋体"/>
                <w:color w:val="auto"/>
                <w:szCs w:val="21"/>
                <w:highlight w:val="none"/>
              </w:rPr>
            </w:pPr>
          </w:p>
        </w:tc>
        <w:tc>
          <w:tcPr>
            <w:tcW w:w="1918" w:type="dxa"/>
            <w:tcBorders>
              <w:top w:val="single" w:color="auto" w:sz="4" w:space="0"/>
              <w:left w:val="single" w:color="auto" w:sz="4" w:space="0"/>
              <w:bottom w:val="single" w:color="auto" w:sz="4" w:space="0"/>
              <w:right w:val="single" w:color="auto" w:sz="4" w:space="0"/>
            </w:tcBorders>
            <w:noWrap w:val="0"/>
            <w:vAlign w:val="center"/>
          </w:tcPr>
          <w:p w14:paraId="0A63DFE7">
            <w:pPr>
              <w:shd w:val="clear"/>
              <w:snapToGrid w:val="0"/>
              <w:spacing w:before="50" w:after="50" w:line="360" w:lineRule="exact"/>
              <w:jc w:val="center"/>
              <w:rPr>
                <w:rFonts w:hint="eastAsia" w:ascii="宋体" w:hAnsi="宋体"/>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CF1FA06">
            <w:pPr>
              <w:shd w:val="clear"/>
              <w:snapToGrid w:val="0"/>
              <w:spacing w:before="50" w:after="50" w:line="360" w:lineRule="exact"/>
              <w:jc w:val="center"/>
              <w:rPr>
                <w:rFonts w:hint="eastAsia" w:ascii="宋体" w:hAnsi="宋体"/>
                <w:color w:val="auto"/>
                <w:szCs w:val="21"/>
                <w:highlight w:val="none"/>
              </w:rPr>
            </w:pPr>
          </w:p>
        </w:tc>
      </w:tr>
    </w:tbl>
    <w:p w14:paraId="43BF720B">
      <w:pPr>
        <w:shd w:val="clea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法定代表人（负责人）或委托代理人签字或盖章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14:paraId="794C14E1">
      <w:pPr>
        <w:shd w:val="clear"/>
        <w:snapToGrid w:val="0"/>
        <w:spacing w:before="50" w:after="156" w:afterLines="50" w:line="360" w:lineRule="exact"/>
        <w:jc w:val="left"/>
        <w:rPr>
          <w:rFonts w:hint="eastAsia" w:ascii="宋体" w:hAnsi="宋体"/>
          <w:color w:val="auto"/>
          <w:spacing w:val="20"/>
          <w:szCs w:val="21"/>
          <w:highlight w:val="none"/>
          <w:u w:val="single"/>
        </w:rPr>
      </w:pPr>
      <w:r>
        <w:rPr>
          <w:rFonts w:hint="eastAsia" w:ascii="宋体" w:hAnsi="宋体"/>
          <w:color w:val="auto"/>
          <w:spacing w:val="20"/>
          <w:szCs w:val="21"/>
          <w:highlight w:val="none"/>
        </w:rPr>
        <w:t>投标人</w:t>
      </w:r>
      <w:r>
        <w:rPr>
          <w:rFonts w:hint="eastAsia"/>
          <w:color w:val="auto"/>
          <w:highlight w:val="none"/>
        </w:rPr>
        <w:t>名称（</w:t>
      </w:r>
      <w:r>
        <w:rPr>
          <w:rFonts w:hint="eastAsia" w:ascii="宋体"/>
          <w:color w:val="auto"/>
          <w:szCs w:val="21"/>
          <w:highlight w:val="none"/>
        </w:rPr>
        <w:t>盖章</w:t>
      </w:r>
      <w:r>
        <w:rPr>
          <w:rFonts w:hint="eastAsia"/>
          <w:color w:val="auto"/>
          <w:highlight w:val="none"/>
        </w:rPr>
        <w:t>）</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14:paraId="46221D33">
      <w:pPr>
        <w:shd w:val="clear"/>
        <w:spacing w:line="360" w:lineRule="exact"/>
        <w:rPr>
          <w:rFonts w:hint="eastAsia" w:ascii="宋体" w:hAnsi="宋体"/>
          <w:color w:val="auto"/>
          <w:highlight w:val="none"/>
        </w:rPr>
      </w:pPr>
    </w:p>
    <w:p w14:paraId="1EDE22F0">
      <w:pPr>
        <w:shd w:val="clear"/>
        <w:spacing w:line="360" w:lineRule="exact"/>
        <w:rPr>
          <w:rFonts w:hint="eastAsia" w:ascii="宋体" w:hAnsi="宋体" w:eastAsia="宋体"/>
          <w:color w:val="auto"/>
          <w:highlight w:val="none"/>
          <w:lang w:eastAsia="zh-CN"/>
        </w:rPr>
      </w:pPr>
      <w:r>
        <w:rPr>
          <w:rFonts w:hint="eastAsia" w:ascii="宋体" w:hAnsi="宋体"/>
          <w:color w:val="auto"/>
          <w:highlight w:val="none"/>
        </w:rPr>
        <w:t>非招标文件必须要求时可附：①原厂出厂配置表及原厂中文使用说明书</w:t>
      </w:r>
      <w:r>
        <w:rPr>
          <w:rFonts w:hint="eastAsia" w:ascii="宋体" w:hAnsi="宋体"/>
          <w:color w:val="auto"/>
          <w:highlight w:val="none"/>
          <w:lang w:eastAsia="zh-CN"/>
        </w:rPr>
        <w:t>[格式自拟]</w:t>
      </w:r>
    </w:p>
    <w:p w14:paraId="754D4828">
      <w:pPr>
        <w:shd w:val="clear"/>
        <w:spacing w:line="360" w:lineRule="exact"/>
        <w:rPr>
          <w:rFonts w:hint="eastAsia" w:ascii="宋体" w:hAnsi="宋体" w:eastAsia="宋体"/>
          <w:color w:val="auto"/>
          <w:highlight w:val="none"/>
          <w:lang w:eastAsia="zh-CN"/>
        </w:rPr>
      </w:pPr>
      <w:r>
        <w:rPr>
          <w:rFonts w:hint="eastAsia" w:ascii="宋体" w:hAnsi="宋体"/>
          <w:color w:val="auto"/>
          <w:highlight w:val="none"/>
        </w:rPr>
        <w:t xml:space="preserve">                          ②产品出厂标准、质量检测报告及精度检测报告或数据</w:t>
      </w:r>
      <w:r>
        <w:rPr>
          <w:rFonts w:hint="eastAsia" w:ascii="宋体" w:hAnsi="宋体"/>
          <w:color w:val="auto"/>
          <w:highlight w:val="none"/>
          <w:lang w:eastAsia="zh-CN"/>
        </w:rPr>
        <w:t>[格式自拟]</w:t>
      </w:r>
    </w:p>
    <w:p w14:paraId="0721BBFB">
      <w:pPr>
        <w:shd w:val="clear"/>
        <w:snapToGrid w:val="0"/>
        <w:spacing w:line="380" w:lineRule="exact"/>
        <w:jc w:val="left"/>
        <w:rPr>
          <w:rFonts w:hint="eastAsia" w:ascii="宋体" w:eastAsia="宋体"/>
          <w:color w:val="auto"/>
          <w:szCs w:val="21"/>
          <w:highlight w:val="none"/>
          <w:lang w:eastAsia="zh-CN"/>
        </w:rPr>
      </w:pPr>
      <w:r>
        <w:rPr>
          <w:color w:val="auto"/>
          <w:highlight w:val="none"/>
        </w:rPr>
        <w:br w:type="page"/>
      </w:r>
      <w:r>
        <w:rPr>
          <w:rFonts w:hint="eastAsia"/>
          <w:color w:val="auto"/>
          <w:highlight w:val="none"/>
        </w:rPr>
        <w:t xml:space="preserve"> </w:t>
      </w:r>
      <w:r>
        <w:rPr>
          <w:rFonts w:hint="eastAsia" w:ascii="宋体"/>
          <w:color w:val="auto"/>
          <w:szCs w:val="21"/>
          <w:highlight w:val="none"/>
        </w:rPr>
        <w:t xml:space="preserve">   （3）</w:t>
      </w:r>
      <w:r>
        <w:rPr>
          <w:rFonts w:hint="eastAsia"/>
          <w:color w:val="auto"/>
          <w:highlight w:val="none"/>
        </w:rPr>
        <w:t>项目实施方案、售后服务承诺书</w:t>
      </w:r>
      <w:r>
        <w:rPr>
          <w:rFonts w:hint="eastAsia" w:ascii="宋体" w:hAnsi="宋体"/>
          <w:b/>
          <w:bCs w:val="0"/>
          <w:color w:val="auto"/>
          <w:szCs w:val="21"/>
          <w:highlight w:val="none"/>
          <w:lang w:eastAsia="zh-CN"/>
        </w:rPr>
        <w:t>[格式自拟，必须提供]</w:t>
      </w:r>
    </w:p>
    <w:p w14:paraId="1470539C">
      <w:pPr>
        <w:shd w:val="clear"/>
        <w:snapToGrid w:val="0"/>
        <w:spacing w:line="380" w:lineRule="exact"/>
        <w:jc w:val="left"/>
        <w:rPr>
          <w:rFonts w:hint="eastAsia" w:ascii="宋体"/>
          <w:color w:val="auto"/>
          <w:szCs w:val="21"/>
          <w:highlight w:val="none"/>
        </w:rPr>
      </w:pPr>
    </w:p>
    <w:p w14:paraId="5F6DD3C3">
      <w:pPr>
        <w:shd w:val="clear"/>
        <w:snapToGrid w:val="0"/>
        <w:spacing w:line="380" w:lineRule="exact"/>
        <w:jc w:val="left"/>
        <w:rPr>
          <w:rFonts w:hint="eastAsia" w:ascii="宋体"/>
          <w:color w:val="auto"/>
          <w:szCs w:val="21"/>
          <w:highlight w:val="none"/>
        </w:rPr>
      </w:pPr>
      <w:r>
        <w:rPr>
          <w:rFonts w:hint="eastAsia" w:ascii="宋体"/>
          <w:color w:val="auto"/>
          <w:szCs w:val="21"/>
          <w:highlight w:val="none"/>
        </w:rPr>
        <w:t xml:space="preserve">    （4）投标人拥有主要装备和检测设施的情况和现状（格式自拟）及项目实施人员一览表</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14:paraId="2B3072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center"/>
          </w:tcPr>
          <w:p w14:paraId="786443AE">
            <w:pPr>
              <w:shd w:val="clear"/>
              <w:snapToGrid w:val="0"/>
              <w:spacing w:before="156" w:beforeLines="50" w:after="50" w:line="360" w:lineRule="exact"/>
              <w:jc w:val="center"/>
              <w:rPr>
                <w:rFonts w:hint="eastAsia" w:ascii="宋体"/>
                <w:color w:val="auto"/>
                <w:szCs w:val="21"/>
                <w:highlight w:val="none"/>
              </w:rPr>
            </w:pPr>
            <w:r>
              <w:rPr>
                <w:rFonts w:hint="eastAsia" w:ascii="宋体"/>
                <w:color w:val="auto"/>
                <w:szCs w:val="21"/>
                <w:highlight w:val="none"/>
              </w:rPr>
              <w:t>姓名</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09C7840">
            <w:pPr>
              <w:shd w:val="clear"/>
              <w:snapToGrid w:val="0"/>
              <w:spacing w:before="156" w:beforeLines="50" w:after="50" w:line="360" w:lineRule="exact"/>
              <w:jc w:val="center"/>
              <w:rPr>
                <w:rFonts w:hint="eastAsia" w:ascii="宋体"/>
                <w:color w:val="auto"/>
                <w:szCs w:val="21"/>
                <w:highlight w:val="none"/>
              </w:rPr>
            </w:pPr>
            <w:r>
              <w:rPr>
                <w:rFonts w:hint="eastAsia" w:ascii="宋体"/>
                <w:color w:val="auto"/>
                <w:szCs w:val="21"/>
                <w:highlight w:val="none"/>
              </w:rPr>
              <w:t>职务</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27E6BCD">
            <w:pPr>
              <w:shd w:val="clear"/>
              <w:snapToGrid w:val="0"/>
              <w:spacing w:before="156" w:beforeLines="50" w:after="50" w:line="360" w:lineRule="exact"/>
              <w:jc w:val="center"/>
              <w:rPr>
                <w:rFonts w:hint="eastAsia" w:ascii="宋体"/>
                <w:color w:val="auto"/>
                <w:szCs w:val="21"/>
                <w:highlight w:val="none"/>
              </w:rPr>
            </w:pPr>
            <w:r>
              <w:rPr>
                <w:rFonts w:hint="eastAsia" w:ascii="宋体"/>
                <w:color w:val="auto"/>
                <w:szCs w:val="21"/>
                <w:highlight w:val="none"/>
              </w:rPr>
              <w:t>专业技术资格</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0C89A87">
            <w:pPr>
              <w:shd w:val="clear"/>
              <w:snapToGrid w:val="0"/>
              <w:spacing w:before="156" w:beforeLines="50" w:after="50" w:line="360" w:lineRule="exact"/>
              <w:jc w:val="center"/>
              <w:rPr>
                <w:rFonts w:hint="eastAsia" w:ascii="宋体"/>
                <w:color w:val="auto"/>
                <w:szCs w:val="21"/>
                <w:highlight w:val="none"/>
              </w:rPr>
            </w:pPr>
            <w:r>
              <w:rPr>
                <w:rFonts w:hint="eastAsia" w:ascii="宋体"/>
                <w:color w:val="auto"/>
                <w:szCs w:val="21"/>
                <w:highlight w:val="none"/>
              </w:rPr>
              <w:t>证书编号</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6E032077">
            <w:pPr>
              <w:shd w:val="clear"/>
              <w:snapToGrid w:val="0"/>
              <w:spacing w:before="156" w:beforeLines="50" w:after="50" w:line="200" w:lineRule="exact"/>
              <w:jc w:val="center"/>
              <w:rPr>
                <w:rFonts w:hint="eastAsia" w:ascii="宋体"/>
                <w:bCs/>
                <w:color w:val="auto"/>
                <w:szCs w:val="21"/>
                <w:highlight w:val="none"/>
              </w:rPr>
            </w:pPr>
            <w:r>
              <w:rPr>
                <w:rFonts w:hint="eastAsia" w:ascii="宋体"/>
                <w:bCs/>
                <w:color w:val="auto"/>
                <w:szCs w:val="21"/>
                <w:highlight w:val="none"/>
              </w:rPr>
              <w:t>参加本单位</w:t>
            </w:r>
          </w:p>
          <w:p w14:paraId="6D27C9E3">
            <w:pPr>
              <w:shd w:val="clear"/>
              <w:snapToGrid w:val="0"/>
              <w:spacing w:before="156" w:beforeLines="50" w:after="50" w:line="200" w:lineRule="exact"/>
              <w:jc w:val="center"/>
              <w:rPr>
                <w:rFonts w:hint="eastAsia" w:ascii="宋体"/>
                <w:bCs/>
                <w:color w:val="auto"/>
                <w:szCs w:val="21"/>
                <w:highlight w:val="none"/>
              </w:rPr>
            </w:pPr>
            <w:r>
              <w:rPr>
                <w:rFonts w:hint="eastAsia" w:ascii="宋体"/>
                <w:bCs/>
                <w:color w:val="auto"/>
                <w:szCs w:val="21"/>
                <w:highlight w:val="none"/>
              </w:rPr>
              <w:t>工作时间</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808FE64">
            <w:pPr>
              <w:shd w:val="clear"/>
              <w:snapToGrid w:val="0"/>
              <w:spacing w:before="156" w:beforeLines="50" w:after="50" w:line="360" w:lineRule="exact"/>
              <w:jc w:val="center"/>
              <w:rPr>
                <w:rFonts w:hint="eastAsia" w:ascii="宋体"/>
                <w:bCs/>
                <w:color w:val="auto"/>
                <w:szCs w:val="21"/>
                <w:highlight w:val="none"/>
              </w:rPr>
            </w:pPr>
            <w:r>
              <w:rPr>
                <w:rFonts w:hint="eastAsia" w:ascii="宋体"/>
                <w:bCs/>
                <w:color w:val="auto"/>
                <w:szCs w:val="21"/>
                <w:highlight w:val="none"/>
              </w:rPr>
              <w:t>劳动合同编号</w:t>
            </w:r>
          </w:p>
        </w:tc>
      </w:tr>
      <w:tr w14:paraId="67E44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0D6B6914">
            <w:pPr>
              <w:shd w:val="clear"/>
              <w:snapToGrid w:val="0"/>
              <w:spacing w:before="156" w:beforeLines="50" w:after="50" w:line="360" w:lineRule="exact"/>
              <w:rPr>
                <w:rFonts w:hint="eastAsia" w:asci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6E9B3444">
            <w:pPr>
              <w:shd w:val="clear"/>
              <w:snapToGrid w:val="0"/>
              <w:spacing w:before="156" w:beforeLines="50" w:after="50" w:line="360" w:lineRule="exact"/>
              <w:rPr>
                <w:rFonts w:hint="eastAsia" w:ascii="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1093B372">
            <w:pPr>
              <w:shd w:val="clear"/>
              <w:snapToGrid w:val="0"/>
              <w:spacing w:before="156" w:beforeLines="50" w:after="50" w:line="360" w:lineRule="exact"/>
              <w:rPr>
                <w:rFonts w:hint="eastAsia" w:asci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22CD1A78">
            <w:pPr>
              <w:shd w:val="clear"/>
              <w:snapToGrid w:val="0"/>
              <w:spacing w:before="156" w:beforeLines="50" w:after="50" w:line="360" w:lineRule="exact"/>
              <w:rPr>
                <w:rFonts w:hint="eastAsia" w:ascii="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6343B46A">
            <w:pPr>
              <w:shd w:val="clear"/>
              <w:snapToGrid w:val="0"/>
              <w:spacing w:before="156" w:beforeLines="50" w:after="50" w:line="360" w:lineRule="exact"/>
              <w:rPr>
                <w:rFonts w:hint="eastAsia" w:ascii="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7E8E2642">
            <w:pPr>
              <w:shd w:val="clear"/>
              <w:snapToGrid w:val="0"/>
              <w:spacing w:before="156" w:beforeLines="50" w:after="50" w:line="360" w:lineRule="exact"/>
              <w:rPr>
                <w:rFonts w:hint="eastAsia" w:ascii="宋体"/>
                <w:color w:val="auto"/>
                <w:szCs w:val="21"/>
                <w:highlight w:val="none"/>
              </w:rPr>
            </w:pPr>
          </w:p>
        </w:tc>
      </w:tr>
      <w:tr w14:paraId="30D466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1B6AB832">
            <w:pPr>
              <w:shd w:val="clear"/>
              <w:snapToGrid w:val="0"/>
              <w:spacing w:before="156" w:beforeLines="50" w:after="50" w:line="360" w:lineRule="exact"/>
              <w:rPr>
                <w:rFonts w:hint="eastAsia" w:asci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57F5691C">
            <w:pPr>
              <w:shd w:val="clear"/>
              <w:snapToGrid w:val="0"/>
              <w:spacing w:before="156" w:beforeLines="50" w:after="50" w:line="360" w:lineRule="exact"/>
              <w:rPr>
                <w:rFonts w:hint="eastAsia" w:ascii="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68CF007E">
            <w:pPr>
              <w:shd w:val="clear"/>
              <w:snapToGrid w:val="0"/>
              <w:spacing w:before="156" w:beforeLines="50" w:after="50" w:line="360" w:lineRule="exact"/>
              <w:rPr>
                <w:rFonts w:hint="eastAsia" w:asci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158FC2CC">
            <w:pPr>
              <w:shd w:val="clear"/>
              <w:snapToGrid w:val="0"/>
              <w:spacing w:before="156" w:beforeLines="50" w:after="50" w:line="360" w:lineRule="exact"/>
              <w:rPr>
                <w:rFonts w:hint="eastAsia" w:ascii="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35461E03">
            <w:pPr>
              <w:shd w:val="clear"/>
              <w:snapToGrid w:val="0"/>
              <w:spacing w:before="156" w:beforeLines="50" w:after="50" w:line="360" w:lineRule="exact"/>
              <w:rPr>
                <w:rFonts w:hint="eastAsia" w:ascii="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68F1FD5">
            <w:pPr>
              <w:shd w:val="clear"/>
              <w:snapToGrid w:val="0"/>
              <w:spacing w:before="156" w:beforeLines="50" w:after="50" w:line="360" w:lineRule="exact"/>
              <w:rPr>
                <w:rFonts w:hint="eastAsia" w:ascii="宋体"/>
                <w:color w:val="auto"/>
                <w:szCs w:val="21"/>
                <w:highlight w:val="none"/>
              </w:rPr>
            </w:pPr>
          </w:p>
        </w:tc>
      </w:tr>
      <w:tr w14:paraId="48E6C2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39491C80">
            <w:pPr>
              <w:shd w:val="clear"/>
              <w:snapToGrid w:val="0"/>
              <w:spacing w:before="156" w:beforeLines="50" w:after="50" w:line="360" w:lineRule="exact"/>
              <w:rPr>
                <w:rFonts w:hint="eastAsia" w:asci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676C77B2">
            <w:pPr>
              <w:shd w:val="clear"/>
              <w:snapToGrid w:val="0"/>
              <w:spacing w:before="156" w:beforeLines="50" w:after="50" w:line="360" w:lineRule="exact"/>
              <w:rPr>
                <w:rFonts w:hint="eastAsia" w:ascii="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0F498C52">
            <w:pPr>
              <w:pStyle w:val="28"/>
              <w:shd w:val="clear"/>
              <w:snapToGrid w:val="0"/>
              <w:spacing w:before="156" w:beforeLines="50" w:after="50" w:line="360" w:lineRule="exact"/>
              <w:ind w:left="5250"/>
              <w:rPr>
                <w:rFonts w:hint="eastAsia"/>
                <w:color w:val="auto"/>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277C5D62">
            <w:pPr>
              <w:shd w:val="clear"/>
              <w:snapToGrid w:val="0"/>
              <w:spacing w:before="156" w:beforeLines="50" w:after="50" w:line="360" w:lineRule="exact"/>
              <w:rPr>
                <w:rFonts w:hint="eastAsia" w:ascii="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52CC6CDF">
            <w:pPr>
              <w:shd w:val="clear"/>
              <w:snapToGrid w:val="0"/>
              <w:spacing w:before="156" w:beforeLines="50" w:after="50" w:line="360" w:lineRule="exact"/>
              <w:rPr>
                <w:rFonts w:hint="eastAsia" w:ascii="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F9B5BE6">
            <w:pPr>
              <w:shd w:val="clear"/>
              <w:snapToGrid w:val="0"/>
              <w:spacing w:before="156" w:beforeLines="50" w:after="50" w:line="360" w:lineRule="exact"/>
              <w:rPr>
                <w:rFonts w:hint="eastAsia" w:ascii="宋体"/>
                <w:color w:val="auto"/>
                <w:szCs w:val="21"/>
                <w:highlight w:val="none"/>
              </w:rPr>
            </w:pPr>
          </w:p>
        </w:tc>
      </w:tr>
    </w:tbl>
    <w:p w14:paraId="76476694">
      <w:pPr>
        <w:shd w:val="clear"/>
        <w:snapToGrid w:val="0"/>
        <w:spacing w:before="50" w:after="50" w:line="360" w:lineRule="exact"/>
        <w:rPr>
          <w:rFonts w:hint="eastAsia" w:ascii="宋体"/>
          <w:color w:val="auto"/>
          <w:spacing w:val="20"/>
          <w:szCs w:val="21"/>
          <w:highlight w:val="none"/>
          <w:u w:val="single"/>
        </w:rPr>
      </w:pPr>
      <w:r>
        <w:rPr>
          <w:rFonts w:hint="eastAsia" w:ascii="宋体"/>
          <w:color w:val="auto"/>
          <w:szCs w:val="21"/>
          <w:highlight w:val="none"/>
        </w:rPr>
        <w:t>法定代表人（负责人）或委托代理人签字或盖章</w:t>
      </w:r>
      <w:r>
        <w:rPr>
          <w:rFonts w:hint="eastAsia" w:ascii="宋体"/>
          <w:color w:val="auto"/>
          <w:spacing w:val="20"/>
          <w:szCs w:val="21"/>
          <w:highlight w:val="none"/>
        </w:rPr>
        <w:t>：</w:t>
      </w:r>
      <w:r>
        <w:rPr>
          <w:rFonts w:hint="eastAsia" w:ascii="宋体"/>
          <w:color w:val="auto"/>
          <w:spacing w:val="20"/>
          <w:szCs w:val="21"/>
          <w:highlight w:val="none"/>
          <w:u w:val="single"/>
        </w:rPr>
        <w:t xml:space="preserve">        </w:t>
      </w:r>
    </w:p>
    <w:p w14:paraId="005AC875">
      <w:pPr>
        <w:shd w:val="clear"/>
        <w:snapToGrid w:val="0"/>
        <w:spacing w:before="50" w:after="50" w:line="360" w:lineRule="exact"/>
        <w:rPr>
          <w:rFonts w:hint="eastAsia" w:ascii="宋体"/>
          <w:color w:val="auto"/>
          <w:szCs w:val="21"/>
          <w:highlight w:val="none"/>
        </w:rPr>
      </w:pPr>
      <w:r>
        <w:rPr>
          <w:rFonts w:hint="eastAsia" w:ascii="宋体"/>
          <w:color w:val="auto"/>
          <w:spacing w:val="20"/>
          <w:szCs w:val="21"/>
          <w:highlight w:val="none"/>
        </w:rPr>
        <w:t>投标人</w:t>
      </w:r>
      <w:r>
        <w:rPr>
          <w:rFonts w:hint="eastAsia"/>
          <w:color w:val="auto"/>
          <w:highlight w:val="none"/>
        </w:rPr>
        <w:t>名称（</w:t>
      </w:r>
      <w:r>
        <w:rPr>
          <w:rFonts w:hint="eastAsia" w:ascii="宋体"/>
          <w:color w:val="auto"/>
          <w:szCs w:val="21"/>
          <w:highlight w:val="none"/>
        </w:rPr>
        <w:t>盖章</w:t>
      </w:r>
      <w:r>
        <w:rPr>
          <w:rFonts w:hint="eastAsia"/>
          <w:color w:val="auto"/>
          <w:highlight w:val="none"/>
        </w:rPr>
        <w:t>）</w:t>
      </w:r>
      <w:r>
        <w:rPr>
          <w:rFonts w:hint="eastAsia" w:ascii="宋体"/>
          <w:color w:val="auto"/>
          <w:spacing w:val="20"/>
          <w:szCs w:val="21"/>
          <w:highlight w:val="none"/>
        </w:rPr>
        <w:t>：</w:t>
      </w:r>
      <w:r>
        <w:rPr>
          <w:rFonts w:hint="eastAsia" w:ascii="宋体"/>
          <w:color w:val="auto"/>
          <w:spacing w:val="20"/>
          <w:szCs w:val="21"/>
          <w:highlight w:val="none"/>
          <w:u w:val="single"/>
        </w:rPr>
        <w:t xml:space="preserve">            </w:t>
      </w:r>
      <w:r>
        <w:rPr>
          <w:rFonts w:hint="eastAsia" w:ascii="宋体"/>
          <w:color w:val="auto"/>
          <w:spacing w:val="20"/>
          <w:szCs w:val="21"/>
          <w:highlight w:val="none"/>
        </w:rPr>
        <w:t xml:space="preserve">            日 期：</w:t>
      </w:r>
      <w:r>
        <w:rPr>
          <w:rFonts w:hint="eastAsia" w:ascii="宋体"/>
          <w:color w:val="auto"/>
          <w:spacing w:val="20"/>
          <w:szCs w:val="21"/>
          <w:highlight w:val="none"/>
          <w:u w:val="single"/>
        </w:rPr>
        <w:t xml:space="preserve">            </w:t>
      </w:r>
    </w:p>
    <w:p w14:paraId="027F2F4B">
      <w:pPr>
        <w:shd w:val="clear"/>
        <w:rPr>
          <w:rFonts w:hint="eastAsia"/>
          <w:color w:val="auto"/>
          <w:highlight w:val="none"/>
        </w:rPr>
      </w:pPr>
    </w:p>
    <w:p w14:paraId="5E684313">
      <w:pPr>
        <w:shd w:val="clear"/>
        <w:rPr>
          <w:rFonts w:hint="eastAsia"/>
          <w:color w:val="auto"/>
          <w:highlight w:val="none"/>
        </w:rPr>
      </w:pPr>
    </w:p>
    <w:p w14:paraId="129455C1">
      <w:pPr>
        <w:shd w:val="clear"/>
        <w:spacing w:line="360" w:lineRule="exact"/>
        <w:rPr>
          <w:rFonts w:hint="eastAsia" w:eastAsia="宋体"/>
          <w:color w:val="auto"/>
          <w:highlight w:val="none"/>
          <w:lang w:eastAsia="zh-CN"/>
        </w:rPr>
      </w:pPr>
      <w:r>
        <w:rPr>
          <w:rFonts w:hint="eastAsia"/>
          <w:color w:val="auto"/>
          <w:highlight w:val="none"/>
        </w:rPr>
        <w:t xml:space="preserve">    </w:t>
      </w:r>
      <w:r>
        <w:rPr>
          <w:rFonts w:hint="eastAsia" w:ascii="宋体"/>
          <w:color w:val="auto"/>
          <w:szCs w:val="21"/>
          <w:highlight w:val="none"/>
        </w:rPr>
        <w:t>（5）投标人承诺给予招标人的各种优惠条件，包括备品备件、专用耗材、售后服务等方面的优惠</w:t>
      </w:r>
    </w:p>
    <w:p w14:paraId="4B95D538">
      <w:pPr>
        <w:shd w:val="clear"/>
        <w:snapToGrid w:val="0"/>
        <w:spacing w:before="50" w:after="156" w:afterLines="50" w:line="360" w:lineRule="exact"/>
        <w:jc w:val="left"/>
        <w:rPr>
          <w:rFonts w:ascii="宋体"/>
          <w:color w:val="auto"/>
          <w:szCs w:val="21"/>
          <w:highlight w:val="none"/>
        </w:rPr>
      </w:pPr>
      <w:r>
        <w:rPr>
          <w:rFonts w:hint="eastAsia" w:ascii="宋体"/>
          <w:color w:val="auto"/>
          <w:szCs w:val="21"/>
          <w:highlight w:val="none"/>
        </w:rPr>
        <w:t>备品备件、专用耗材、售后服务优惠表格式：</w:t>
      </w:r>
    </w:p>
    <w:p w14:paraId="7FD3E196">
      <w:pPr>
        <w:shd w:val="clear"/>
        <w:wordWrap w:val="0"/>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u w:val="single"/>
        </w:rPr>
        <w:t xml:space="preserve"> </w:t>
      </w:r>
      <w:r>
        <w:rPr>
          <w:rFonts w:ascii="宋体"/>
          <w:color w:val="auto"/>
          <w:szCs w:val="21"/>
          <w:highlight w:val="none"/>
          <w:u w:val="single"/>
        </w:rPr>
        <w:t xml:space="preserve">     </w:t>
      </w:r>
      <w:r>
        <w:rPr>
          <w:rFonts w:hint="eastAsia" w:ascii="宋体"/>
          <w:color w:val="auto"/>
          <w:szCs w:val="21"/>
          <w:highlight w:val="none"/>
        </w:rPr>
        <w:t>分标</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906"/>
        <w:gridCol w:w="3269"/>
        <w:gridCol w:w="1440"/>
        <w:gridCol w:w="1488"/>
        <w:gridCol w:w="2281"/>
      </w:tblGrid>
      <w:tr w14:paraId="2EC494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10" w:hRule="exact"/>
          <w:jc w:val="center"/>
        </w:trPr>
        <w:tc>
          <w:tcPr>
            <w:tcW w:w="90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568AE0">
            <w:pPr>
              <w:pStyle w:val="26"/>
              <w:shd w:val="clear"/>
              <w:snapToGrid w:val="0"/>
              <w:spacing w:before="295" w:after="295" w:line="300" w:lineRule="exact"/>
              <w:jc w:val="center"/>
              <w:rPr>
                <w:rFonts w:hint="eastAsia" w:cs="Courier New"/>
                <w:color w:val="auto"/>
                <w:highlight w:val="none"/>
                <w:lang w:val="en-US" w:eastAsia="zh-CN"/>
              </w:rPr>
            </w:pPr>
            <w:r>
              <w:rPr>
                <w:rFonts w:hint="eastAsia" w:cs="Courier New"/>
                <w:color w:val="auto"/>
                <w:highlight w:val="none"/>
                <w:lang w:val="en-US" w:eastAsia="zh-CN"/>
              </w:rPr>
              <w:t>序号</w:t>
            </w:r>
          </w:p>
        </w:tc>
        <w:tc>
          <w:tcPr>
            <w:tcW w:w="3269" w:type="dxa"/>
            <w:tcBorders>
              <w:top w:val="single" w:color="auto" w:sz="4" w:space="0"/>
              <w:left w:val="single" w:color="auto" w:sz="4" w:space="0"/>
              <w:bottom w:val="single" w:color="auto" w:sz="2" w:space="0"/>
              <w:right w:val="single" w:color="auto" w:sz="4" w:space="0"/>
            </w:tcBorders>
            <w:noWrap w:val="0"/>
            <w:vAlign w:val="center"/>
          </w:tcPr>
          <w:p w14:paraId="3133B258">
            <w:pPr>
              <w:pStyle w:val="26"/>
              <w:shd w:val="clear"/>
              <w:snapToGrid w:val="0"/>
              <w:spacing w:before="295" w:after="295" w:line="300" w:lineRule="exact"/>
              <w:jc w:val="center"/>
              <w:rPr>
                <w:rFonts w:hint="eastAsia" w:cs="Courier New"/>
                <w:color w:val="auto"/>
                <w:highlight w:val="none"/>
                <w:lang w:val="en-US" w:eastAsia="zh-CN"/>
              </w:rPr>
            </w:pPr>
            <w:r>
              <w:rPr>
                <w:rFonts w:hint="eastAsia" w:cs="Courier New"/>
                <w:color w:val="auto"/>
                <w:highlight w:val="none"/>
                <w:lang w:val="en-US" w:eastAsia="zh-CN"/>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14:paraId="11DAF854">
            <w:pPr>
              <w:pStyle w:val="26"/>
              <w:shd w:val="clear"/>
              <w:snapToGrid w:val="0"/>
              <w:spacing w:before="295" w:after="295" w:line="300" w:lineRule="exact"/>
              <w:jc w:val="center"/>
              <w:rPr>
                <w:rFonts w:hint="eastAsia" w:cs="Courier New"/>
                <w:color w:val="auto"/>
                <w:highlight w:val="none"/>
                <w:lang w:val="en-US" w:eastAsia="zh-CN"/>
              </w:rPr>
            </w:pPr>
            <w:r>
              <w:rPr>
                <w:rFonts w:hint="eastAsia" w:cs="Courier New"/>
                <w:color w:val="auto"/>
                <w:highlight w:val="none"/>
                <w:lang w:val="en-US" w:eastAsia="zh-CN"/>
              </w:rPr>
              <w:t>适用机型</w:t>
            </w:r>
          </w:p>
        </w:tc>
        <w:tc>
          <w:tcPr>
            <w:tcW w:w="1488" w:type="dxa"/>
            <w:tcBorders>
              <w:top w:val="single" w:color="auto" w:sz="4" w:space="0"/>
              <w:left w:val="single" w:color="auto" w:sz="4" w:space="0"/>
              <w:bottom w:val="single" w:color="auto" w:sz="2" w:space="0"/>
              <w:right w:val="single" w:color="auto" w:sz="4" w:space="0"/>
            </w:tcBorders>
            <w:noWrap w:val="0"/>
            <w:tcMar>
              <w:top w:w="15" w:type="dxa"/>
              <w:left w:w="15" w:type="dxa"/>
              <w:right w:w="15" w:type="dxa"/>
            </w:tcMar>
            <w:vAlign w:val="center"/>
          </w:tcPr>
          <w:p w14:paraId="043BAD3D">
            <w:pPr>
              <w:pStyle w:val="26"/>
              <w:shd w:val="clear"/>
              <w:snapToGrid w:val="0"/>
              <w:spacing w:before="295" w:after="295" w:line="300" w:lineRule="exact"/>
              <w:jc w:val="center"/>
              <w:rPr>
                <w:rFonts w:hint="eastAsia" w:cs="Courier New"/>
                <w:color w:val="auto"/>
                <w:highlight w:val="none"/>
                <w:lang w:val="en-US" w:eastAsia="zh-CN"/>
              </w:rPr>
            </w:pPr>
            <w:r>
              <w:rPr>
                <w:rFonts w:hint="eastAsia" w:cs="Courier New"/>
                <w:color w:val="auto"/>
                <w:highlight w:val="none"/>
                <w:lang w:val="en-US" w:eastAsia="zh-CN"/>
              </w:rPr>
              <w:t>单价</w:t>
            </w:r>
          </w:p>
        </w:tc>
        <w:tc>
          <w:tcPr>
            <w:tcW w:w="2281" w:type="dxa"/>
            <w:tcBorders>
              <w:top w:val="single" w:color="auto" w:sz="4" w:space="0"/>
              <w:left w:val="single" w:color="auto" w:sz="4" w:space="0"/>
              <w:bottom w:val="single" w:color="auto" w:sz="2" w:space="0"/>
              <w:right w:val="single" w:color="auto" w:sz="4" w:space="0"/>
            </w:tcBorders>
            <w:noWrap w:val="0"/>
            <w:vAlign w:val="center"/>
          </w:tcPr>
          <w:p w14:paraId="0BB03388">
            <w:pPr>
              <w:shd w:val="clear"/>
              <w:jc w:val="center"/>
              <w:rPr>
                <w:rFonts w:hint="eastAsia"/>
                <w:color w:val="auto"/>
                <w:highlight w:val="none"/>
              </w:rPr>
            </w:pPr>
            <w:r>
              <w:rPr>
                <w:rFonts w:hint="eastAsia"/>
                <w:color w:val="auto"/>
                <w:highlight w:val="none"/>
              </w:rPr>
              <w:t>比市场价优惠率</w:t>
            </w:r>
          </w:p>
        </w:tc>
      </w:tr>
      <w:tr w14:paraId="0E63C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7" w:hRule="exact"/>
          <w:jc w:val="center"/>
        </w:trPr>
        <w:tc>
          <w:tcPr>
            <w:tcW w:w="906" w:type="dxa"/>
            <w:tcBorders>
              <w:top w:val="single" w:color="auto" w:sz="4" w:space="0"/>
              <w:left w:val="single" w:color="auto" w:sz="4" w:space="0"/>
              <w:bottom w:val="single" w:color="auto" w:sz="4" w:space="0"/>
              <w:right w:val="single" w:color="auto" w:sz="2" w:space="0"/>
            </w:tcBorders>
            <w:noWrap w:val="0"/>
            <w:tcMar>
              <w:top w:w="15" w:type="dxa"/>
              <w:left w:w="15" w:type="dxa"/>
              <w:right w:w="15" w:type="dxa"/>
            </w:tcMar>
            <w:vAlign w:val="center"/>
          </w:tcPr>
          <w:p w14:paraId="64386AD3">
            <w:pPr>
              <w:pStyle w:val="26"/>
              <w:shd w:val="clear"/>
              <w:snapToGrid w:val="0"/>
              <w:spacing w:before="295" w:after="295" w:line="360" w:lineRule="exact"/>
              <w:jc w:val="center"/>
              <w:rPr>
                <w:rFonts w:hint="eastAsia" w:cs="Courier New"/>
                <w:color w:val="auto"/>
                <w:highlight w:val="none"/>
                <w:lang w:val="en-US" w:eastAsia="zh-CN"/>
              </w:rPr>
            </w:pPr>
          </w:p>
        </w:tc>
        <w:tc>
          <w:tcPr>
            <w:tcW w:w="3269" w:type="dxa"/>
            <w:tcBorders>
              <w:top w:val="single" w:color="auto" w:sz="2" w:space="0"/>
              <w:left w:val="single" w:color="auto" w:sz="2" w:space="0"/>
              <w:bottom w:val="single" w:color="auto" w:sz="6" w:space="0"/>
              <w:right w:val="single" w:color="auto" w:sz="4" w:space="0"/>
            </w:tcBorders>
            <w:noWrap w:val="0"/>
            <w:vAlign w:val="center"/>
          </w:tcPr>
          <w:p w14:paraId="47E3FED7">
            <w:pPr>
              <w:pStyle w:val="26"/>
              <w:shd w:val="clear"/>
              <w:snapToGrid w:val="0"/>
              <w:spacing w:before="295" w:after="295" w:line="360" w:lineRule="exact"/>
              <w:jc w:val="center"/>
              <w:rPr>
                <w:rFonts w:hint="eastAsia" w:cs="Courier New"/>
                <w:color w:val="auto"/>
                <w:highlight w:val="none"/>
                <w:lang w:val="en-US" w:eastAsia="zh-CN"/>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14:paraId="5A1B0780">
            <w:pPr>
              <w:pStyle w:val="26"/>
              <w:shd w:val="clear"/>
              <w:snapToGrid w:val="0"/>
              <w:spacing w:before="295" w:after="295" w:line="360" w:lineRule="exact"/>
              <w:jc w:val="center"/>
              <w:rPr>
                <w:rFonts w:hint="eastAsia" w:cs="Courier New"/>
                <w:color w:val="auto"/>
                <w:highlight w:val="none"/>
                <w:lang w:val="en-US" w:eastAsia="zh-CN"/>
              </w:rPr>
            </w:pPr>
          </w:p>
        </w:tc>
        <w:tc>
          <w:tcPr>
            <w:tcW w:w="1488" w:type="dxa"/>
            <w:tcBorders>
              <w:top w:val="single" w:color="auto" w:sz="2" w:space="0"/>
              <w:left w:val="single" w:color="auto" w:sz="6" w:space="0"/>
              <w:bottom w:val="single" w:color="auto" w:sz="6" w:space="0"/>
              <w:right w:val="single" w:color="auto" w:sz="6" w:space="0"/>
            </w:tcBorders>
            <w:noWrap w:val="0"/>
            <w:tcMar>
              <w:top w:w="15" w:type="dxa"/>
              <w:left w:w="15" w:type="dxa"/>
              <w:right w:w="15" w:type="dxa"/>
            </w:tcMar>
            <w:vAlign w:val="center"/>
          </w:tcPr>
          <w:p w14:paraId="2A49F9CC">
            <w:pPr>
              <w:pStyle w:val="26"/>
              <w:shd w:val="clear"/>
              <w:snapToGrid w:val="0"/>
              <w:spacing w:before="295" w:after="295" w:line="360" w:lineRule="exact"/>
              <w:jc w:val="center"/>
              <w:rPr>
                <w:rFonts w:hint="eastAsia" w:cs="Courier New"/>
                <w:color w:val="auto"/>
                <w:highlight w:val="none"/>
                <w:lang w:val="en-US" w:eastAsia="zh-CN"/>
              </w:rPr>
            </w:pPr>
          </w:p>
        </w:tc>
        <w:tc>
          <w:tcPr>
            <w:tcW w:w="2281" w:type="dxa"/>
            <w:tcBorders>
              <w:top w:val="single" w:color="auto" w:sz="2" w:space="0"/>
              <w:left w:val="single" w:color="auto" w:sz="6" w:space="0"/>
              <w:bottom w:val="single" w:color="auto" w:sz="6" w:space="0"/>
              <w:right w:val="single" w:color="auto" w:sz="2" w:space="0"/>
            </w:tcBorders>
            <w:noWrap w:val="0"/>
            <w:vAlign w:val="center"/>
          </w:tcPr>
          <w:p w14:paraId="00F4BC93">
            <w:pPr>
              <w:pStyle w:val="26"/>
              <w:shd w:val="clear"/>
              <w:snapToGrid w:val="0"/>
              <w:spacing w:before="295" w:after="295" w:line="360" w:lineRule="exact"/>
              <w:jc w:val="center"/>
              <w:rPr>
                <w:rFonts w:hint="eastAsia" w:cs="Courier New"/>
                <w:color w:val="auto"/>
                <w:highlight w:val="none"/>
                <w:lang w:val="en-US" w:eastAsia="zh-CN"/>
              </w:rPr>
            </w:pPr>
            <w:r>
              <w:rPr>
                <w:rFonts w:hint="eastAsia" w:cs="Courier New"/>
                <w:color w:val="auto"/>
                <w:highlight w:val="none"/>
                <w:u w:val="single"/>
                <w:lang w:val="en-US" w:eastAsia="zh-CN"/>
              </w:rPr>
              <w:t xml:space="preserve">          </w:t>
            </w:r>
            <w:r>
              <w:rPr>
                <w:rFonts w:hint="eastAsia" w:cs="Courier New"/>
                <w:color w:val="auto"/>
                <w:highlight w:val="none"/>
                <w:lang w:val="en-US" w:eastAsia="zh-CN"/>
              </w:rPr>
              <w:t>%</w:t>
            </w:r>
          </w:p>
        </w:tc>
      </w:tr>
      <w:tr w14:paraId="4C6F00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7" w:hRule="exact"/>
          <w:jc w:val="center"/>
        </w:trPr>
        <w:tc>
          <w:tcPr>
            <w:tcW w:w="906" w:type="dxa"/>
            <w:tcBorders>
              <w:top w:val="single" w:color="auto" w:sz="4" w:space="0"/>
              <w:left w:val="single" w:color="auto" w:sz="4" w:space="0"/>
              <w:bottom w:val="single" w:color="auto" w:sz="4" w:space="0"/>
              <w:right w:val="single" w:color="auto" w:sz="2" w:space="0"/>
            </w:tcBorders>
            <w:noWrap w:val="0"/>
            <w:tcMar>
              <w:top w:w="15" w:type="dxa"/>
              <w:left w:w="15" w:type="dxa"/>
              <w:right w:w="15" w:type="dxa"/>
            </w:tcMar>
            <w:vAlign w:val="center"/>
          </w:tcPr>
          <w:p w14:paraId="0F94A296">
            <w:pPr>
              <w:pStyle w:val="26"/>
              <w:shd w:val="clear"/>
              <w:snapToGrid w:val="0"/>
              <w:spacing w:before="295" w:after="295" w:line="360" w:lineRule="exact"/>
              <w:jc w:val="center"/>
              <w:rPr>
                <w:rFonts w:hint="eastAsia" w:cs="Courier New"/>
                <w:color w:val="auto"/>
                <w:highlight w:val="none"/>
                <w:lang w:val="en-US" w:eastAsia="zh-CN"/>
              </w:rPr>
            </w:pPr>
          </w:p>
        </w:tc>
        <w:tc>
          <w:tcPr>
            <w:tcW w:w="3269" w:type="dxa"/>
            <w:tcBorders>
              <w:top w:val="single" w:color="auto" w:sz="6" w:space="0"/>
              <w:left w:val="single" w:color="auto" w:sz="2" w:space="0"/>
              <w:bottom w:val="single" w:color="auto" w:sz="6" w:space="0"/>
              <w:right w:val="single" w:color="auto" w:sz="4" w:space="0"/>
            </w:tcBorders>
            <w:noWrap w:val="0"/>
            <w:vAlign w:val="center"/>
          </w:tcPr>
          <w:p w14:paraId="2482A8C4">
            <w:pPr>
              <w:pStyle w:val="26"/>
              <w:shd w:val="clear"/>
              <w:snapToGrid w:val="0"/>
              <w:spacing w:before="295" w:after="295" w:line="360" w:lineRule="exact"/>
              <w:jc w:val="center"/>
              <w:rPr>
                <w:rFonts w:hint="eastAsia" w:cs="Courier New"/>
                <w:color w:val="auto"/>
                <w:highlight w:val="none"/>
                <w:lang w:val="en-US" w:eastAsia="zh-CN"/>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7461CE02">
            <w:pPr>
              <w:pStyle w:val="26"/>
              <w:shd w:val="clear"/>
              <w:snapToGrid w:val="0"/>
              <w:spacing w:before="295" w:after="295" w:line="360" w:lineRule="exact"/>
              <w:jc w:val="center"/>
              <w:rPr>
                <w:rFonts w:hint="eastAsia" w:cs="Courier New"/>
                <w:color w:val="auto"/>
                <w:highlight w:val="none"/>
                <w:lang w:val="en-US" w:eastAsia="zh-CN"/>
              </w:rPr>
            </w:pPr>
          </w:p>
        </w:tc>
        <w:tc>
          <w:tcPr>
            <w:tcW w:w="1488" w:type="dxa"/>
            <w:tcBorders>
              <w:top w:val="single" w:color="auto" w:sz="6" w:space="0"/>
              <w:left w:val="single" w:color="auto" w:sz="6" w:space="0"/>
              <w:bottom w:val="single" w:color="auto" w:sz="6" w:space="0"/>
              <w:right w:val="single" w:color="auto" w:sz="6" w:space="0"/>
            </w:tcBorders>
            <w:noWrap w:val="0"/>
            <w:tcMar>
              <w:top w:w="15" w:type="dxa"/>
              <w:left w:w="15" w:type="dxa"/>
              <w:right w:w="15" w:type="dxa"/>
            </w:tcMar>
            <w:vAlign w:val="center"/>
          </w:tcPr>
          <w:p w14:paraId="1CEBC553">
            <w:pPr>
              <w:pStyle w:val="26"/>
              <w:shd w:val="clear"/>
              <w:snapToGrid w:val="0"/>
              <w:spacing w:before="295" w:after="295" w:line="360" w:lineRule="exact"/>
              <w:jc w:val="center"/>
              <w:rPr>
                <w:rFonts w:hint="eastAsia" w:cs="Courier New"/>
                <w:color w:val="auto"/>
                <w:highlight w:val="none"/>
                <w:lang w:val="en-US" w:eastAsia="zh-CN"/>
              </w:rPr>
            </w:pPr>
          </w:p>
        </w:tc>
        <w:tc>
          <w:tcPr>
            <w:tcW w:w="2281" w:type="dxa"/>
            <w:tcBorders>
              <w:top w:val="single" w:color="auto" w:sz="6" w:space="0"/>
              <w:left w:val="single" w:color="auto" w:sz="6" w:space="0"/>
              <w:bottom w:val="single" w:color="auto" w:sz="6" w:space="0"/>
              <w:right w:val="single" w:color="auto" w:sz="2" w:space="0"/>
            </w:tcBorders>
            <w:noWrap w:val="0"/>
            <w:vAlign w:val="center"/>
          </w:tcPr>
          <w:p w14:paraId="3B80F8C4">
            <w:pPr>
              <w:pStyle w:val="26"/>
              <w:shd w:val="clear"/>
              <w:snapToGrid w:val="0"/>
              <w:spacing w:before="295" w:after="295" w:line="360" w:lineRule="exact"/>
              <w:jc w:val="center"/>
              <w:rPr>
                <w:rFonts w:hint="eastAsia" w:cs="Courier New"/>
                <w:color w:val="auto"/>
                <w:highlight w:val="none"/>
                <w:lang w:val="en-US" w:eastAsia="zh-CN"/>
              </w:rPr>
            </w:pPr>
            <w:r>
              <w:rPr>
                <w:rFonts w:hint="eastAsia" w:cs="Courier New"/>
                <w:color w:val="auto"/>
                <w:highlight w:val="none"/>
                <w:u w:val="single"/>
                <w:lang w:val="en-US" w:eastAsia="zh-CN"/>
              </w:rPr>
              <w:t xml:space="preserve">          </w:t>
            </w:r>
            <w:r>
              <w:rPr>
                <w:rFonts w:hint="eastAsia" w:cs="Courier New"/>
                <w:color w:val="auto"/>
                <w:highlight w:val="none"/>
                <w:lang w:val="en-US" w:eastAsia="zh-CN"/>
              </w:rPr>
              <w:t>%</w:t>
            </w:r>
          </w:p>
        </w:tc>
      </w:tr>
      <w:tr w14:paraId="171AC1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7" w:hRule="exact"/>
          <w:jc w:val="center"/>
        </w:trPr>
        <w:tc>
          <w:tcPr>
            <w:tcW w:w="906" w:type="dxa"/>
            <w:tcBorders>
              <w:top w:val="single" w:color="auto" w:sz="4" w:space="0"/>
              <w:left w:val="single" w:color="auto" w:sz="4" w:space="0"/>
              <w:bottom w:val="single" w:color="auto" w:sz="4" w:space="0"/>
              <w:right w:val="single" w:color="auto" w:sz="2" w:space="0"/>
            </w:tcBorders>
            <w:noWrap w:val="0"/>
            <w:tcMar>
              <w:top w:w="15" w:type="dxa"/>
              <w:left w:w="15" w:type="dxa"/>
              <w:right w:w="15" w:type="dxa"/>
            </w:tcMar>
            <w:vAlign w:val="center"/>
          </w:tcPr>
          <w:p w14:paraId="02EE356A">
            <w:pPr>
              <w:pStyle w:val="26"/>
              <w:shd w:val="clear"/>
              <w:snapToGrid w:val="0"/>
              <w:spacing w:before="295" w:after="295" w:line="360" w:lineRule="exact"/>
              <w:jc w:val="center"/>
              <w:rPr>
                <w:rFonts w:hint="eastAsia" w:cs="Courier New"/>
                <w:color w:val="auto"/>
                <w:highlight w:val="none"/>
                <w:lang w:val="en-US" w:eastAsia="zh-CN"/>
              </w:rPr>
            </w:pPr>
          </w:p>
        </w:tc>
        <w:tc>
          <w:tcPr>
            <w:tcW w:w="3269" w:type="dxa"/>
            <w:tcBorders>
              <w:top w:val="single" w:color="auto" w:sz="6" w:space="0"/>
              <w:left w:val="single" w:color="auto" w:sz="2" w:space="0"/>
              <w:bottom w:val="single" w:color="auto" w:sz="6" w:space="0"/>
              <w:right w:val="single" w:color="auto" w:sz="4" w:space="0"/>
            </w:tcBorders>
            <w:noWrap w:val="0"/>
            <w:vAlign w:val="center"/>
          </w:tcPr>
          <w:p w14:paraId="3EA723FD">
            <w:pPr>
              <w:pStyle w:val="26"/>
              <w:shd w:val="clear"/>
              <w:snapToGrid w:val="0"/>
              <w:spacing w:before="295" w:after="295" w:line="360" w:lineRule="exact"/>
              <w:jc w:val="center"/>
              <w:rPr>
                <w:rFonts w:hint="eastAsia" w:cs="Courier New"/>
                <w:color w:val="auto"/>
                <w:highlight w:val="none"/>
                <w:lang w:val="en-US" w:eastAsia="zh-CN"/>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6B037901">
            <w:pPr>
              <w:pStyle w:val="26"/>
              <w:shd w:val="clear"/>
              <w:snapToGrid w:val="0"/>
              <w:spacing w:before="295" w:after="295" w:line="360" w:lineRule="exact"/>
              <w:jc w:val="center"/>
              <w:rPr>
                <w:rFonts w:hint="eastAsia" w:cs="Courier New"/>
                <w:color w:val="auto"/>
                <w:highlight w:val="none"/>
                <w:lang w:val="en-US" w:eastAsia="zh-CN"/>
              </w:rPr>
            </w:pPr>
          </w:p>
        </w:tc>
        <w:tc>
          <w:tcPr>
            <w:tcW w:w="1488" w:type="dxa"/>
            <w:tcBorders>
              <w:top w:val="single" w:color="auto" w:sz="6" w:space="0"/>
              <w:left w:val="single" w:color="auto" w:sz="6" w:space="0"/>
              <w:bottom w:val="single" w:color="auto" w:sz="6" w:space="0"/>
              <w:right w:val="single" w:color="auto" w:sz="6" w:space="0"/>
            </w:tcBorders>
            <w:noWrap w:val="0"/>
            <w:tcMar>
              <w:top w:w="15" w:type="dxa"/>
              <w:left w:w="15" w:type="dxa"/>
              <w:right w:w="15" w:type="dxa"/>
            </w:tcMar>
            <w:vAlign w:val="center"/>
          </w:tcPr>
          <w:p w14:paraId="6F230FA7">
            <w:pPr>
              <w:pStyle w:val="26"/>
              <w:shd w:val="clear"/>
              <w:snapToGrid w:val="0"/>
              <w:spacing w:before="295" w:after="295" w:line="360" w:lineRule="exact"/>
              <w:jc w:val="center"/>
              <w:rPr>
                <w:rFonts w:hint="eastAsia" w:cs="Courier New"/>
                <w:color w:val="auto"/>
                <w:highlight w:val="none"/>
                <w:lang w:val="en-US" w:eastAsia="zh-CN"/>
              </w:rPr>
            </w:pPr>
          </w:p>
        </w:tc>
        <w:tc>
          <w:tcPr>
            <w:tcW w:w="2281" w:type="dxa"/>
            <w:tcBorders>
              <w:top w:val="single" w:color="auto" w:sz="6" w:space="0"/>
              <w:left w:val="single" w:color="auto" w:sz="6" w:space="0"/>
              <w:bottom w:val="single" w:color="auto" w:sz="6" w:space="0"/>
              <w:right w:val="single" w:color="auto" w:sz="2" w:space="0"/>
            </w:tcBorders>
            <w:noWrap w:val="0"/>
            <w:vAlign w:val="center"/>
          </w:tcPr>
          <w:p w14:paraId="7163887F">
            <w:pPr>
              <w:pStyle w:val="26"/>
              <w:shd w:val="clear"/>
              <w:snapToGrid w:val="0"/>
              <w:spacing w:before="295" w:after="295" w:line="360" w:lineRule="exact"/>
              <w:jc w:val="center"/>
              <w:rPr>
                <w:rFonts w:hint="eastAsia" w:cs="Courier New"/>
                <w:color w:val="auto"/>
                <w:highlight w:val="none"/>
                <w:lang w:val="en-US" w:eastAsia="zh-CN"/>
              </w:rPr>
            </w:pPr>
            <w:r>
              <w:rPr>
                <w:rFonts w:hint="eastAsia" w:cs="Courier New"/>
                <w:color w:val="auto"/>
                <w:highlight w:val="none"/>
                <w:u w:val="single"/>
                <w:lang w:val="en-US" w:eastAsia="zh-CN"/>
              </w:rPr>
              <w:t xml:space="preserve">          </w:t>
            </w:r>
            <w:r>
              <w:rPr>
                <w:rFonts w:hint="eastAsia" w:cs="Courier New"/>
                <w:color w:val="auto"/>
                <w:highlight w:val="none"/>
                <w:lang w:val="en-US" w:eastAsia="zh-CN"/>
              </w:rPr>
              <w:t>%</w:t>
            </w:r>
          </w:p>
        </w:tc>
      </w:tr>
    </w:tbl>
    <w:p w14:paraId="06F71D97">
      <w:pPr>
        <w:shd w:val="clear"/>
        <w:snapToGrid w:val="0"/>
        <w:spacing w:before="50" w:after="50" w:line="360" w:lineRule="exact"/>
        <w:rPr>
          <w:rFonts w:hint="eastAsia" w:ascii="宋体"/>
          <w:color w:val="auto"/>
          <w:spacing w:val="20"/>
          <w:szCs w:val="21"/>
          <w:highlight w:val="none"/>
        </w:rPr>
      </w:pPr>
    </w:p>
    <w:p w14:paraId="664C55B3">
      <w:pPr>
        <w:shd w:val="clear"/>
        <w:snapToGrid w:val="0"/>
        <w:spacing w:before="50" w:after="50" w:line="360" w:lineRule="exact"/>
        <w:rPr>
          <w:rFonts w:hint="eastAsia" w:ascii="宋体"/>
          <w:color w:val="auto"/>
          <w:spacing w:val="20"/>
          <w:szCs w:val="21"/>
          <w:highlight w:val="none"/>
          <w:u w:val="single"/>
        </w:rPr>
      </w:pPr>
      <w:r>
        <w:rPr>
          <w:rFonts w:hint="eastAsia" w:ascii="宋体"/>
          <w:color w:val="auto"/>
          <w:szCs w:val="21"/>
          <w:highlight w:val="none"/>
        </w:rPr>
        <w:t>法定代表人（负责人）或委托代理人签字或盖章</w:t>
      </w:r>
      <w:r>
        <w:rPr>
          <w:rFonts w:hint="eastAsia" w:ascii="宋体"/>
          <w:color w:val="auto"/>
          <w:spacing w:val="20"/>
          <w:szCs w:val="21"/>
          <w:highlight w:val="none"/>
        </w:rPr>
        <w:t>：</w:t>
      </w:r>
      <w:r>
        <w:rPr>
          <w:rFonts w:hint="eastAsia" w:ascii="宋体"/>
          <w:color w:val="auto"/>
          <w:spacing w:val="20"/>
          <w:szCs w:val="21"/>
          <w:highlight w:val="none"/>
          <w:u w:val="single"/>
        </w:rPr>
        <w:t xml:space="preserve">        </w:t>
      </w:r>
    </w:p>
    <w:p w14:paraId="5EC497F9">
      <w:pPr>
        <w:shd w:val="clear"/>
        <w:snapToGrid w:val="0"/>
        <w:spacing w:before="50" w:after="50" w:line="360" w:lineRule="exact"/>
        <w:rPr>
          <w:rFonts w:hint="eastAsia" w:ascii="宋体"/>
          <w:color w:val="auto"/>
          <w:szCs w:val="21"/>
          <w:highlight w:val="none"/>
        </w:rPr>
      </w:pPr>
      <w:r>
        <w:rPr>
          <w:rFonts w:hint="eastAsia" w:ascii="宋体"/>
          <w:color w:val="auto"/>
          <w:spacing w:val="20"/>
          <w:szCs w:val="21"/>
          <w:highlight w:val="none"/>
        </w:rPr>
        <w:t>投标人</w:t>
      </w:r>
      <w:r>
        <w:rPr>
          <w:rFonts w:hint="eastAsia"/>
          <w:color w:val="auto"/>
          <w:highlight w:val="none"/>
        </w:rPr>
        <w:t>名称（</w:t>
      </w:r>
      <w:r>
        <w:rPr>
          <w:rFonts w:hint="eastAsia" w:ascii="宋体"/>
          <w:color w:val="auto"/>
          <w:szCs w:val="21"/>
          <w:highlight w:val="none"/>
        </w:rPr>
        <w:t>盖章</w:t>
      </w:r>
      <w:r>
        <w:rPr>
          <w:rFonts w:hint="eastAsia"/>
          <w:color w:val="auto"/>
          <w:highlight w:val="none"/>
        </w:rPr>
        <w:t>）</w:t>
      </w:r>
      <w:r>
        <w:rPr>
          <w:rFonts w:hint="eastAsia" w:ascii="宋体"/>
          <w:color w:val="auto"/>
          <w:spacing w:val="20"/>
          <w:szCs w:val="21"/>
          <w:highlight w:val="none"/>
        </w:rPr>
        <w:t>：</w:t>
      </w:r>
      <w:r>
        <w:rPr>
          <w:rFonts w:hint="eastAsia" w:ascii="宋体"/>
          <w:color w:val="auto"/>
          <w:spacing w:val="20"/>
          <w:szCs w:val="21"/>
          <w:highlight w:val="none"/>
          <w:u w:val="single"/>
        </w:rPr>
        <w:t xml:space="preserve">            </w:t>
      </w:r>
      <w:r>
        <w:rPr>
          <w:rFonts w:hint="eastAsia" w:ascii="宋体"/>
          <w:color w:val="auto"/>
          <w:spacing w:val="20"/>
          <w:szCs w:val="21"/>
          <w:highlight w:val="none"/>
        </w:rPr>
        <w:t xml:space="preserve">            日 期：</w:t>
      </w:r>
      <w:r>
        <w:rPr>
          <w:rFonts w:hint="eastAsia" w:ascii="宋体"/>
          <w:color w:val="auto"/>
          <w:spacing w:val="20"/>
          <w:szCs w:val="21"/>
          <w:highlight w:val="none"/>
          <w:u w:val="single"/>
        </w:rPr>
        <w:t xml:space="preserve">            </w:t>
      </w:r>
    </w:p>
    <w:p w14:paraId="1CD17B02">
      <w:pPr>
        <w:shd w:val="clear"/>
        <w:rPr>
          <w:rFonts w:hint="eastAsia"/>
          <w:color w:val="auto"/>
          <w:highlight w:val="none"/>
        </w:rPr>
      </w:pPr>
    </w:p>
    <w:p w14:paraId="36432F8D">
      <w:pPr>
        <w:shd w:val="clear"/>
        <w:rPr>
          <w:rFonts w:hint="eastAsia"/>
          <w:color w:val="auto"/>
          <w:highlight w:val="none"/>
        </w:rPr>
      </w:pPr>
    </w:p>
    <w:p w14:paraId="6C117039">
      <w:pPr>
        <w:shd w:val="clear"/>
        <w:spacing w:line="360" w:lineRule="exact"/>
        <w:rPr>
          <w:rFonts w:hint="eastAsia" w:ascii="宋体" w:eastAsia="宋体"/>
          <w:color w:val="auto"/>
          <w:szCs w:val="21"/>
          <w:highlight w:val="none"/>
          <w:lang w:eastAsia="zh-CN"/>
        </w:rPr>
      </w:pPr>
      <w:r>
        <w:rPr>
          <w:rFonts w:hint="eastAsia" w:ascii="宋体"/>
          <w:color w:val="auto"/>
          <w:szCs w:val="21"/>
          <w:highlight w:val="none"/>
        </w:rPr>
        <w:t xml:space="preserve">    （6）投标人对本项目的合理化建议和改进措施</w:t>
      </w:r>
      <w:r>
        <w:rPr>
          <w:rFonts w:hint="eastAsia" w:ascii="宋体"/>
          <w:color w:val="auto"/>
          <w:szCs w:val="21"/>
          <w:highlight w:val="none"/>
          <w:lang w:eastAsia="zh-CN"/>
        </w:rPr>
        <w:t>[格式自拟]</w:t>
      </w:r>
    </w:p>
    <w:p w14:paraId="53E088DE">
      <w:pPr>
        <w:shd w:val="clear"/>
        <w:spacing w:line="360" w:lineRule="exact"/>
        <w:rPr>
          <w:rFonts w:hint="eastAsia" w:ascii="宋体"/>
          <w:color w:val="auto"/>
          <w:szCs w:val="21"/>
          <w:highlight w:val="none"/>
        </w:rPr>
      </w:pPr>
    </w:p>
    <w:p w14:paraId="3580948D">
      <w:pPr>
        <w:shd w:val="clear"/>
        <w:spacing w:line="360" w:lineRule="exact"/>
        <w:rPr>
          <w:rFonts w:hint="eastAsia" w:ascii="宋体" w:eastAsia="宋体"/>
          <w:color w:val="auto"/>
          <w:szCs w:val="21"/>
          <w:highlight w:val="none"/>
          <w:lang w:eastAsia="zh-CN"/>
        </w:rPr>
      </w:pPr>
      <w:r>
        <w:rPr>
          <w:rFonts w:hint="eastAsia" w:ascii="宋体"/>
          <w:color w:val="auto"/>
          <w:szCs w:val="21"/>
          <w:highlight w:val="none"/>
        </w:rPr>
        <w:t xml:space="preserve">    （7）投标人认为需要提供的其他材料</w:t>
      </w:r>
      <w:r>
        <w:rPr>
          <w:rFonts w:hint="eastAsia" w:ascii="宋体"/>
          <w:color w:val="auto"/>
          <w:szCs w:val="21"/>
          <w:highlight w:val="none"/>
          <w:lang w:eastAsia="zh-CN"/>
        </w:rPr>
        <w:t>[格式自拟]</w:t>
      </w:r>
    </w:p>
    <w:p w14:paraId="4B0CDAFD">
      <w:pPr>
        <w:shd w:val="clear"/>
        <w:rPr>
          <w:rFonts w:hint="eastAsia"/>
          <w:color w:val="auto"/>
          <w:highlight w:val="none"/>
        </w:rPr>
      </w:pPr>
    </w:p>
    <w:p w14:paraId="6A1E4874">
      <w:pPr>
        <w:shd w:val="clear"/>
        <w:spacing w:line="360" w:lineRule="exact"/>
        <w:rPr>
          <w:rFonts w:hint="eastAsia" w:eastAsia="宋体"/>
          <w:color w:val="auto"/>
          <w:highlight w:val="none"/>
          <w:lang w:eastAsia="zh-CN"/>
        </w:rPr>
      </w:pPr>
      <w:r>
        <w:rPr>
          <w:rFonts w:hint="eastAsia"/>
          <w:color w:val="auto"/>
          <w:highlight w:val="none"/>
        </w:rPr>
        <w:t xml:space="preserve"> </w:t>
      </w:r>
      <w:r>
        <w:rPr>
          <w:rFonts w:hint="eastAsia" w:ascii="宋体"/>
          <w:color w:val="auto"/>
          <w:szCs w:val="21"/>
          <w:highlight w:val="none"/>
        </w:rPr>
        <w:t xml:space="preserve">   （8）招标项目采购需求中要求提供的材料</w:t>
      </w:r>
      <w:r>
        <w:rPr>
          <w:rFonts w:hint="eastAsia" w:ascii="宋体"/>
          <w:color w:val="auto"/>
          <w:szCs w:val="21"/>
          <w:highlight w:val="none"/>
          <w:lang w:eastAsia="zh-CN"/>
        </w:rPr>
        <w:t>[据实提供]</w:t>
      </w:r>
    </w:p>
    <w:p w14:paraId="16ECA5CC">
      <w:pPr>
        <w:shd w:val="clear"/>
        <w:spacing w:line="720" w:lineRule="auto"/>
        <w:rPr>
          <w:rFonts w:hint="eastAsia"/>
          <w:b/>
          <w:color w:val="auto"/>
          <w:highlight w:val="none"/>
        </w:rPr>
      </w:pPr>
      <w:r>
        <w:rPr>
          <w:color w:val="auto"/>
          <w:highlight w:val="none"/>
        </w:rPr>
        <w:br w:type="page"/>
      </w:r>
      <w:r>
        <w:rPr>
          <w:rFonts w:hint="eastAsia"/>
          <w:color w:val="auto"/>
          <w:highlight w:val="none"/>
          <w:lang w:eastAsia="zh-CN"/>
        </w:rPr>
        <w:t>（三）</w:t>
      </w:r>
      <w:r>
        <w:rPr>
          <w:rFonts w:hint="eastAsia"/>
          <w:b/>
          <w:color w:val="auto"/>
          <w:highlight w:val="none"/>
        </w:rPr>
        <w:t>报价文件部分 （格式）</w:t>
      </w:r>
    </w:p>
    <w:p w14:paraId="56EEB8F2">
      <w:pPr>
        <w:shd w:val="clear"/>
        <w:spacing w:line="360" w:lineRule="exact"/>
        <w:rPr>
          <w:rFonts w:hint="eastAsia" w:eastAsia="宋体"/>
          <w:color w:val="auto"/>
          <w:highlight w:val="none"/>
          <w:lang w:eastAsia="zh-CN"/>
        </w:rPr>
      </w:pPr>
      <w:r>
        <w:rPr>
          <w:rFonts w:hint="eastAsia"/>
          <w:color w:val="auto"/>
          <w:highlight w:val="none"/>
        </w:rPr>
        <w:t xml:space="preserve">    </w:t>
      </w:r>
      <w:r>
        <w:rPr>
          <w:rFonts w:hint="eastAsia" w:ascii="宋体"/>
          <w:color w:val="auto"/>
          <w:szCs w:val="21"/>
          <w:highlight w:val="none"/>
        </w:rPr>
        <w:t>（1）投标函格式</w:t>
      </w:r>
      <w:r>
        <w:rPr>
          <w:rFonts w:hint="eastAsia" w:ascii="宋体"/>
          <w:color w:val="auto"/>
          <w:szCs w:val="21"/>
          <w:highlight w:val="none"/>
          <w:lang w:eastAsia="zh-CN"/>
        </w:rPr>
        <w:t>：</w:t>
      </w:r>
    </w:p>
    <w:p w14:paraId="2693253B">
      <w:pPr>
        <w:shd w:val="clear"/>
        <w:snapToGrid w:val="0"/>
        <w:spacing w:before="156" w:beforeLines="50" w:after="50" w:line="360" w:lineRule="exact"/>
        <w:jc w:val="center"/>
        <w:rPr>
          <w:rFonts w:hint="eastAsia" w:ascii="宋体"/>
          <w:b/>
          <w:color w:val="auto"/>
          <w:sz w:val="24"/>
          <w:szCs w:val="21"/>
          <w:highlight w:val="none"/>
        </w:rPr>
      </w:pPr>
      <w:r>
        <w:rPr>
          <w:rFonts w:hint="eastAsia" w:ascii="宋体"/>
          <w:b/>
          <w:color w:val="auto"/>
          <w:sz w:val="24"/>
          <w:szCs w:val="21"/>
          <w:highlight w:val="none"/>
        </w:rPr>
        <w:t>投 标 函</w:t>
      </w:r>
    </w:p>
    <w:p w14:paraId="68B4E899">
      <w:pPr>
        <w:shd w:val="clear"/>
        <w:snapToGrid w:val="0"/>
        <w:spacing w:line="400" w:lineRule="exact"/>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highlight w:val="none"/>
          <w:u w:val="single"/>
        </w:rPr>
        <w:t xml:space="preserve">广西国力招标有限公司 </w:t>
      </w:r>
    </w:p>
    <w:p w14:paraId="7DF7222A">
      <w:pPr>
        <w:shd w:val="clear"/>
        <w:snapToGrid w:val="0"/>
        <w:spacing w:line="400" w:lineRule="exact"/>
        <w:rPr>
          <w:rFonts w:hint="eastAsia" w:ascii="宋体" w:hAnsi="宋体"/>
          <w:color w:val="auto"/>
          <w:szCs w:val="21"/>
          <w:highlight w:val="none"/>
        </w:rPr>
      </w:pPr>
      <w:r>
        <w:rPr>
          <w:rFonts w:hint="eastAsia" w:ascii="宋体" w:hAnsi="宋体"/>
          <w:color w:val="auto"/>
          <w:szCs w:val="21"/>
          <w:highlight w:val="none"/>
        </w:rPr>
        <w:t xml:space="preserve">    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项目的招标公告（项目编号：</w:t>
      </w:r>
      <w:r>
        <w:rPr>
          <w:rFonts w:hint="eastAsia" w:ascii="宋体" w:hAnsi="宋体"/>
          <w:color w:val="auto"/>
          <w:szCs w:val="21"/>
          <w:highlight w:val="none"/>
          <w:u w:val="single"/>
        </w:rPr>
        <w:t xml:space="preserve">            </w:t>
      </w:r>
      <w:r>
        <w:rPr>
          <w:rFonts w:hint="eastAsia" w:ascii="宋体" w:hAnsi="宋体"/>
          <w:color w:val="auto"/>
          <w:szCs w:val="21"/>
          <w:highlight w:val="none"/>
        </w:rPr>
        <w:t>），签字代表</w:t>
      </w:r>
      <w:r>
        <w:rPr>
          <w:rFonts w:hint="eastAsia" w:ascii="宋体" w:hAnsi="宋体"/>
          <w:color w:val="auto"/>
          <w:szCs w:val="21"/>
          <w:highlight w:val="none"/>
          <w:u w:val="single"/>
        </w:rPr>
        <w:t xml:space="preserve">        </w:t>
      </w:r>
      <w:r>
        <w:rPr>
          <w:rFonts w:hint="eastAsia" w:ascii="宋体" w:hAnsi="宋体"/>
          <w:color w:val="auto"/>
          <w:szCs w:val="21"/>
          <w:highlight w:val="none"/>
        </w:rPr>
        <w:t>（全名）经正式授权并代表投标人</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（投标人名称）上传并提交加密的电子投标文件一份。</w:t>
      </w:r>
    </w:p>
    <w:p w14:paraId="26AAA798">
      <w:pPr>
        <w:shd w:val="clear"/>
        <w:snapToGrid w:val="0"/>
        <w:spacing w:line="400" w:lineRule="exact"/>
        <w:rPr>
          <w:rFonts w:hint="eastAsia" w:ascii="宋体" w:hAnsi="宋体"/>
          <w:color w:val="auto"/>
          <w:szCs w:val="21"/>
          <w:highlight w:val="none"/>
        </w:rPr>
      </w:pPr>
      <w:r>
        <w:rPr>
          <w:rFonts w:hint="eastAsia" w:ascii="宋体" w:hAnsi="宋体"/>
          <w:color w:val="auto"/>
          <w:szCs w:val="21"/>
          <w:highlight w:val="none"/>
        </w:rPr>
        <w:t xml:space="preserve">    据此函，签字代表宣布同意如下：</w:t>
      </w:r>
    </w:p>
    <w:p w14:paraId="642A6FCB">
      <w:pPr>
        <w:shd w:val="clear"/>
        <w:snapToGrid w:val="0"/>
        <w:spacing w:line="400" w:lineRule="exact"/>
        <w:rPr>
          <w:rFonts w:hint="eastAsia" w:ascii="宋体" w:hAnsi="宋体"/>
          <w:color w:val="auto"/>
          <w:szCs w:val="21"/>
          <w:highlight w:val="none"/>
        </w:rPr>
      </w:pPr>
      <w:r>
        <w:rPr>
          <w:rFonts w:hint="eastAsia" w:ascii="宋体" w:hAnsi="宋体"/>
          <w:color w:val="auto"/>
          <w:szCs w:val="21"/>
          <w:highlight w:val="none"/>
        </w:rPr>
        <w:t xml:space="preserve">    1.投标人已详细审查全部“招标文件”，包括修改文件（如有的话）以及全部参考资料和有关附件，已经了解我方对于招标文件、采购过程、采购结果有依法进行询问、质疑、投诉的权利及相关渠道和要求。</w:t>
      </w:r>
    </w:p>
    <w:p w14:paraId="13D4BC3A">
      <w:pPr>
        <w:shd w:val="clear"/>
        <w:snapToGrid w:val="0"/>
        <w:spacing w:line="400" w:lineRule="exact"/>
        <w:rPr>
          <w:rFonts w:hint="eastAsia" w:ascii="宋体" w:hAnsi="宋体"/>
          <w:color w:val="auto"/>
          <w:szCs w:val="21"/>
          <w:highlight w:val="none"/>
        </w:rPr>
      </w:pPr>
      <w:r>
        <w:rPr>
          <w:rFonts w:hint="eastAsia" w:ascii="宋体" w:hAnsi="宋体"/>
          <w:color w:val="auto"/>
          <w:szCs w:val="21"/>
          <w:highlight w:val="none"/>
        </w:rPr>
        <w:t xml:space="preserve">    2.投标人在投标之前已经与贵方进行了充分的沟通，完全理解并接受招标文件的各项规定和要求，对招标文件的合理性、合法性不再有异议。</w:t>
      </w:r>
    </w:p>
    <w:p w14:paraId="678EB602">
      <w:pPr>
        <w:shd w:val="clear"/>
        <w:snapToGrid w:val="0"/>
        <w:spacing w:line="400" w:lineRule="exact"/>
        <w:rPr>
          <w:rFonts w:hint="eastAsia" w:ascii="宋体" w:hAnsi="宋体"/>
          <w:color w:val="auto"/>
          <w:szCs w:val="21"/>
          <w:highlight w:val="none"/>
        </w:rPr>
      </w:pPr>
      <w:r>
        <w:rPr>
          <w:rFonts w:hint="eastAsia" w:ascii="宋体" w:hAnsi="宋体"/>
          <w:color w:val="auto"/>
          <w:szCs w:val="21"/>
          <w:highlight w:val="none"/>
        </w:rPr>
        <w:t xml:space="preserve">    3.本投标有效期自提交投标文件截止之日起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60 </w:t>
      </w:r>
      <w:r>
        <w:rPr>
          <w:rFonts w:hint="eastAsia" w:ascii="宋体" w:hAnsi="宋体"/>
          <w:color w:val="auto"/>
          <w:szCs w:val="21"/>
          <w:highlight w:val="none"/>
          <w:u w:val="single"/>
        </w:rPr>
        <w:t xml:space="preserve"> </w:t>
      </w:r>
      <w:r>
        <w:rPr>
          <w:rFonts w:hint="eastAsia" w:ascii="宋体" w:hAnsi="宋体"/>
          <w:color w:val="auto"/>
          <w:szCs w:val="21"/>
          <w:highlight w:val="none"/>
        </w:rPr>
        <w:t>天。</w:t>
      </w:r>
    </w:p>
    <w:p w14:paraId="28980D89">
      <w:pPr>
        <w:shd w:val="clear"/>
        <w:snapToGrid w:val="0"/>
        <w:spacing w:line="400" w:lineRule="exact"/>
        <w:rPr>
          <w:rFonts w:hint="eastAsia" w:ascii="宋体" w:hAnsi="宋体"/>
          <w:color w:val="auto"/>
          <w:szCs w:val="21"/>
          <w:highlight w:val="none"/>
        </w:rPr>
      </w:pPr>
      <w:r>
        <w:rPr>
          <w:rFonts w:hint="eastAsia" w:ascii="宋体" w:hAnsi="宋体"/>
          <w:color w:val="auto"/>
          <w:szCs w:val="21"/>
          <w:highlight w:val="none"/>
        </w:rPr>
        <w:t xml:space="preserve">    4.如中标，本投标文件至本项目合同履行完毕止均保持有效，本投标人将按“招标文件”及政府采购</w:t>
      </w:r>
      <w:r>
        <w:rPr>
          <w:rFonts w:hint="eastAsia" w:ascii="宋体" w:hAnsi="宋体"/>
          <w:color w:val="auto"/>
          <w:szCs w:val="21"/>
          <w:highlight w:val="none"/>
          <w:lang w:eastAsia="zh-CN"/>
        </w:rPr>
        <w:t>法律法规</w:t>
      </w:r>
      <w:r>
        <w:rPr>
          <w:rFonts w:hint="eastAsia" w:ascii="宋体" w:hAnsi="宋体"/>
          <w:color w:val="auto"/>
          <w:szCs w:val="21"/>
          <w:highlight w:val="none"/>
        </w:rPr>
        <w:t>的规定履行合同责任和义务。</w:t>
      </w:r>
    </w:p>
    <w:p w14:paraId="06BC5414">
      <w:pPr>
        <w:shd w:val="clear"/>
        <w:snapToGrid w:val="0"/>
        <w:spacing w:line="400" w:lineRule="exact"/>
        <w:rPr>
          <w:rFonts w:hint="eastAsia" w:ascii="宋体" w:hAnsi="宋体"/>
          <w:color w:val="auto"/>
          <w:szCs w:val="21"/>
          <w:highlight w:val="none"/>
        </w:rPr>
      </w:pPr>
      <w:r>
        <w:rPr>
          <w:rFonts w:hint="eastAsia" w:ascii="宋体" w:hAnsi="宋体"/>
          <w:color w:val="auto"/>
          <w:szCs w:val="21"/>
          <w:highlight w:val="none"/>
        </w:rPr>
        <w:t xml:space="preserve">    5.投标人同意按照贵方要求提供与投标有关的一切数据或资料。</w:t>
      </w:r>
    </w:p>
    <w:p w14:paraId="6EDBEBA3">
      <w:pPr>
        <w:shd w:val="clear"/>
        <w:snapToGrid w:val="0"/>
        <w:spacing w:line="400" w:lineRule="exact"/>
        <w:rPr>
          <w:rFonts w:hint="eastAsia" w:ascii="宋体" w:hAnsi="宋体"/>
          <w:color w:val="auto"/>
          <w:szCs w:val="21"/>
          <w:highlight w:val="none"/>
        </w:rPr>
      </w:pPr>
      <w:r>
        <w:rPr>
          <w:rFonts w:hint="eastAsia" w:ascii="宋体" w:hAnsi="宋体"/>
          <w:color w:val="auto"/>
          <w:szCs w:val="21"/>
          <w:highlight w:val="none"/>
        </w:rPr>
        <w:t xml:space="preserve">    6.与本投标有关的一切正式往来信函请寄：</w:t>
      </w:r>
    </w:p>
    <w:p w14:paraId="4185456C">
      <w:pPr>
        <w:shd w:val="clear"/>
        <w:snapToGrid w:val="0"/>
        <w:spacing w:line="400" w:lineRule="exact"/>
        <w:rPr>
          <w:rFonts w:hint="eastAsia" w:ascii="宋体" w:hAnsi="宋体"/>
          <w:color w:val="auto"/>
          <w:szCs w:val="21"/>
          <w:highlight w:val="none"/>
        </w:rPr>
      </w:pPr>
    </w:p>
    <w:p w14:paraId="6FE525DA">
      <w:pPr>
        <w:shd w:val="clear"/>
        <w:snapToGrid w:val="0"/>
        <w:spacing w:line="400" w:lineRule="exact"/>
        <w:rPr>
          <w:rFonts w:hint="eastAsia" w:ascii="宋体"/>
          <w:color w:val="auto"/>
          <w:szCs w:val="21"/>
          <w:highlight w:val="none"/>
          <w:u w:val="single"/>
        </w:rPr>
      </w:pPr>
      <w:r>
        <w:rPr>
          <w:rFonts w:hint="eastAsia" w:ascii="宋体"/>
          <w:color w:val="auto"/>
          <w:szCs w:val="21"/>
          <w:highlight w:val="none"/>
        </w:rPr>
        <w:t>地址：</w:t>
      </w:r>
      <w:r>
        <w:rPr>
          <w:rFonts w:hint="eastAsia" w:ascii="宋体"/>
          <w:color w:val="auto"/>
          <w:szCs w:val="21"/>
          <w:highlight w:val="none"/>
          <w:u w:val="single"/>
        </w:rPr>
        <w:t xml:space="preserve">                         </w:t>
      </w:r>
      <w:r>
        <w:rPr>
          <w:rFonts w:hint="eastAsia" w:ascii="宋体"/>
          <w:color w:val="auto"/>
          <w:szCs w:val="21"/>
          <w:highlight w:val="none"/>
        </w:rPr>
        <w:t>邮编：</w:t>
      </w:r>
      <w:r>
        <w:rPr>
          <w:rFonts w:hint="eastAsia" w:ascii="宋体"/>
          <w:color w:val="auto"/>
          <w:szCs w:val="21"/>
          <w:highlight w:val="none"/>
          <w:u w:val="single"/>
        </w:rPr>
        <w:t xml:space="preserve">            </w:t>
      </w:r>
      <w:r>
        <w:rPr>
          <w:rFonts w:hint="eastAsia" w:ascii="宋体"/>
          <w:color w:val="auto"/>
          <w:szCs w:val="21"/>
          <w:highlight w:val="none"/>
        </w:rPr>
        <w:t xml:space="preserve">   电话：</w:t>
      </w:r>
      <w:r>
        <w:rPr>
          <w:rFonts w:hint="eastAsia" w:ascii="宋体"/>
          <w:color w:val="auto"/>
          <w:szCs w:val="21"/>
          <w:highlight w:val="none"/>
          <w:u w:val="single"/>
        </w:rPr>
        <w:t xml:space="preserve">               </w:t>
      </w:r>
    </w:p>
    <w:p w14:paraId="6E219623">
      <w:pPr>
        <w:shd w:val="clear"/>
        <w:snapToGrid w:val="0"/>
        <w:spacing w:line="400" w:lineRule="exact"/>
        <w:rPr>
          <w:rFonts w:hint="eastAsia" w:ascii="宋体"/>
          <w:color w:val="auto"/>
          <w:szCs w:val="21"/>
          <w:highlight w:val="none"/>
          <w:u w:val="single"/>
        </w:rPr>
      </w:pPr>
      <w:r>
        <w:rPr>
          <w:rFonts w:hint="eastAsia" w:ascii="宋体"/>
          <w:color w:val="auto"/>
          <w:szCs w:val="21"/>
          <w:highlight w:val="none"/>
        </w:rPr>
        <w:t>传真：</w:t>
      </w:r>
      <w:r>
        <w:rPr>
          <w:rFonts w:hint="eastAsia" w:ascii="宋体"/>
          <w:color w:val="auto"/>
          <w:szCs w:val="21"/>
          <w:highlight w:val="none"/>
          <w:u w:val="single"/>
        </w:rPr>
        <w:t xml:space="preserve">               </w:t>
      </w:r>
      <w:r>
        <w:rPr>
          <w:rFonts w:hint="eastAsia" w:ascii="宋体"/>
          <w:color w:val="auto"/>
          <w:szCs w:val="21"/>
          <w:highlight w:val="none"/>
        </w:rPr>
        <w:t>投标人代表姓名：</w:t>
      </w:r>
      <w:r>
        <w:rPr>
          <w:rFonts w:hint="eastAsia" w:ascii="宋体"/>
          <w:color w:val="auto"/>
          <w:szCs w:val="21"/>
          <w:highlight w:val="none"/>
          <w:u w:val="single"/>
        </w:rPr>
        <w:t xml:space="preserve">            </w:t>
      </w:r>
      <w:r>
        <w:rPr>
          <w:rFonts w:hint="eastAsia" w:ascii="宋体"/>
          <w:color w:val="auto"/>
          <w:szCs w:val="21"/>
          <w:highlight w:val="none"/>
        </w:rPr>
        <w:t xml:space="preserve">  职务：</w:t>
      </w:r>
      <w:r>
        <w:rPr>
          <w:rFonts w:hint="eastAsia" w:ascii="宋体"/>
          <w:color w:val="auto"/>
          <w:szCs w:val="21"/>
          <w:highlight w:val="none"/>
          <w:u w:val="single"/>
        </w:rPr>
        <w:t xml:space="preserve">               </w:t>
      </w:r>
    </w:p>
    <w:p w14:paraId="553D122C">
      <w:pPr>
        <w:shd w:val="clear"/>
        <w:snapToGrid w:val="0"/>
        <w:spacing w:line="400" w:lineRule="exact"/>
        <w:rPr>
          <w:rFonts w:hint="eastAsia" w:ascii="宋体"/>
          <w:color w:val="auto"/>
          <w:szCs w:val="21"/>
          <w:highlight w:val="none"/>
        </w:rPr>
      </w:pPr>
      <w:r>
        <w:rPr>
          <w:rFonts w:hint="eastAsia" w:ascii="宋体"/>
          <w:color w:val="auto"/>
          <w:szCs w:val="21"/>
          <w:highlight w:val="none"/>
        </w:rPr>
        <w:t>开户银行：</w:t>
      </w:r>
      <w:r>
        <w:rPr>
          <w:rFonts w:hint="eastAsia" w:ascii="宋体"/>
          <w:color w:val="auto"/>
          <w:szCs w:val="21"/>
          <w:highlight w:val="none"/>
          <w:u w:val="single"/>
        </w:rPr>
        <w:t xml:space="preserve">                      </w:t>
      </w:r>
      <w:r>
        <w:rPr>
          <w:rFonts w:hint="eastAsia" w:ascii="宋体"/>
          <w:color w:val="auto"/>
          <w:szCs w:val="21"/>
          <w:highlight w:val="none"/>
        </w:rPr>
        <w:t xml:space="preserve">   银行账号：</w:t>
      </w:r>
      <w:r>
        <w:rPr>
          <w:rFonts w:hint="eastAsia" w:ascii="宋体"/>
          <w:color w:val="auto"/>
          <w:szCs w:val="21"/>
          <w:highlight w:val="none"/>
          <w:u w:val="single"/>
        </w:rPr>
        <w:t xml:space="preserve">                    </w:t>
      </w:r>
      <w:r>
        <w:rPr>
          <w:rFonts w:hint="eastAsia" w:ascii="宋体"/>
          <w:color w:val="auto"/>
          <w:szCs w:val="21"/>
          <w:highlight w:val="none"/>
        </w:rPr>
        <w:t xml:space="preserve"> </w:t>
      </w:r>
    </w:p>
    <w:p w14:paraId="20480359">
      <w:pPr>
        <w:shd w:val="clear"/>
        <w:snapToGrid w:val="0"/>
        <w:spacing w:line="400" w:lineRule="exact"/>
        <w:rPr>
          <w:rFonts w:hint="eastAsia" w:ascii="宋体"/>
          <w:color w:val="auto"/>
          <w:szCs w:val="21"/>
          <w:highlight w:val="none"/>
        </w:rPr>
      </w:pPr>
    </w:p>
    <w:p w14:paraId="5EDCCF1A">
      <w:pPr>
        <w:shd w:val="clear"/>
        <w:snapToGrid w:val="0"/>
        <w:spacing w:line="400" w:lineRule="exact"/>
        <w:rPr>
          <w:rFonts w:hint="eastAsia" w:ascii="宋体"/>
          <w:color w:val="auto"/>
          <w:szCs w:val="21"/>
          <w:highlight w:val="none"/>
        </w:rPr>
      </w:pPr>
      <w:r>
        <w:rPr>
          <w:rFonts w:hint="eastAsia" w:ascii="宋体"/>
          <w:color w:val="auto"/>
          <w:szCs w:val="21"/>
          <w:highlight w:val="none"/>
        </w:rPr>
        <w:t>法定代表人（负责人）或委托代理人签字或盖章</w:t>
      </w:r>
      <w:r>
        <w:rPr>
          <w:rFonts w:hint="eastAsia" w:ascii="宋体"/>
          <w:color w:val="auto"/>
          <w:szCs w:val="21"/>
          <w:highlight w:val="none"/>
          <w:lang w:eastAsia="zh-CN"/>
        </w:rPr>
        <w:t>：</w:t>
      </w:r>
      <w:r>
        <w:rPr>
          <w:rFonts w:hint="eastAsia" w:ascii="宋体"/>
          <w:color w:val="auto"/>
          <w:szCs w:val="21"/>
          <w:highlight w:val="none"/>
          <w:u w:val="single"/>
        </w:rPr>
        <w:t xml:space="preserve">                </w:t>
      </w:r>
      <w:r>
        <w:rPr>
          <w:rFonts w:hint="eastAsia" w:ascii="宋体"/>
          <w:color w:val="auto"/>
          <w:szCs w:val="21"/>
          <w:highlight w:val="none"/>
        </w:rPr>
        <w:t xml:space="preserve">      </w:t>
      </w:r>
    </w:p>
    <w:p w14:paraId="29FF24FD">
      <w:pPr>
        <w:shd w:val="clear"/>
        <w:snapToGrid w:val="0"/>
        <w:spacing w:line="400" w:lineRule="exact"/>
        <w:rPr>
          <w:rFonts w:hint="eastAsia" w:ascii="宋体"/>
          <w:color w:val="auto"/>
          <w:szCs w:val="21"/>
          <w:highlight w:val="none"/>
        </w:rPr>
      </w:pPr>
      <w:r>
        <w:rPr>
          <w:rFonts w:hint="eastAsia"/>
          <w:color w:val="auto"/>
          <w:highlight w:val="none"/>
        </w:rPr>
        <w:t>投标人名称（</w:t>
      </w:r>
      <w:r>
        <w:rPr>
          <w:rFonts w:hint="eastAsia" w:ascii="宋体"/>
          <w:color w:val="auto"/>
          <w:szCs w:val="21"/>
          <w:highlight w:val="none"/>
        </w:rPr>
        <w:t>盖章</w:t>
      </w:r>
      <w:r>
        <w:rPr>
          <w:rFonts w:hint="eastAsia"/>
          <w:color w:val="auto"/>
          <w:highlight w:val="none"/>
        </w:rPr>
        <w:t>）</w:t>
      </w:r>
      <w:r>
        <w:rPr>
          <w:rFonts w:hint="eastAsia"/>
          <w:color w:val="auto"/>
          <w:highlight w:val="none"/>
          <w:lang w:eastAsia="zh-CN"/>
        </w:rPr>
        <w:t>：</w:t>
      </w:r>
      <w:r>
        <w:rPr>
          <w:rFonts w:hint="eastAsia" w:ascii="宋体"/>
          <w:color w:val="auto"/>
          <w:szCs w:val="21"/>
          <w:highlight w:val="none"/>
          <w:u w:val="single"/>
        </w:rPr>
        <w:t xml:space="preserve">              </w:t>
      </w:r>
    </w:p>
    <w:p w14:paraId="4A926016">
      <w:pPr>
        <w:shd w:val="clear"/>
        <w:snapToGrid w:val="0"/>
        <w:spacing w:line="400" w:lineRule="exact"/>
        <w:jc w:val="left"/>
        <w:rPr>
          <w:rFonts w:hint="eastAsia" w:ascii="宋体" w:hAnsi="宋体"/>
          <w:color w:val="auto"/>
          <w:szCs w:val="21"/>
          <w:highlight w:val="none"/>
        </w:rPr>
      </w:pPr>
      <w:r>
        <w:rPr>
          <w:rFonts w:hint="eastAsia" w:ascii="宋体"/>
          <w:color w:val="auto"/>
          <w:szCs w:val="21"/>
          <w:highlight w:val="none"/>
        </w:rPr>
        <w:t>日期</w:t>
      </w:r>
      <w:r>
        <w:rPr>
          <w:rFonts w:hint="eastAsia" w:ascii="宋体"/>
          <w:color w:val="auto"/>
          <w:szCs w:val="21"/>
          <w:highlight w:val="none"/>
          <w:lang w:eastAsia="zh-CN"/>
        </w:rPr>
        <w:t>：</w:t>
      </w:r>
      <w:r>
        <w:rPr>
          <w:rFonts w:hint="eastAsia" w:ascii="宋体"/>
          <w:color w:val="auto"/>
          <w:szCs w:val="21"/>
          <w:highlight w:val="none"/>
          <w:u w:val="single"/>
        </w:rPr>
        <w:t xml:space="preserve">       </w:t>
      </w:r>
      <w:r>
        <w:rPr>
          <w:rFonts w:hint="eastAsia" w:ascii="宋体"/>
          <w:color w:val="auto"/>
          <w:szCs w:val="21"/>
          <w:highlight w:val="none"/>
        </w:rPr>
        <w:t>年</w:t>
      </w:r>
      <w:r>
        <w:rPr>
          <w:rFonts w:hint="eastAsia" w:ascii="宋体"/>
          <w:color w:val="auto"/>
          <w:szCs w:val="21"/>
          <w:highlight w:val="none"/>
          <w:u w:val="single"/>
        </w:rPr>
        <w:t xml:space="preserve">    </w:t>
      </w:r>
      <w:r>
        <w:rPr>
          <w:rFonts w:hint="eastAsia" w:ascii="宋体"/>
          <w:color w:val="auto"/>
          <w:szCs w:val="21"/>
          <w:highlight w:val="none"/>
        </w:rPr>
        <w:t>月</w:t>
      </w:r>
      <w:r>
        <w:rPr>
          <w:rFonts w:hint="eastAsia" w:ascii="宋体"/>
          <w:color w:val="auto"/>
          <w:szCs w:val="21"/>
          <w:highlight w:val="none"/>
          <w:u w:val="single"/>
        </w:rPr>
        <w:t xml:space="preserve">    </w:t>
      </w:r>
      <w:r>
        <w:rPr>
          <w:rFonts w:hint="eastAsia" w:ascii="宋体"/>
          <w:color w:val="auto"/>
          <w:szCs w:val="21"/>
          <w:highlight w:val="none"/>
        </w:rPr>
        <w:t>日</w:t>
      </w:r>
    </w:p>
    <w:p w14:paraId="62F66971">
      <w:pPr>
        <w:shd w:val="clear"/>
        <w:rPr>
          <w:rFonts w:hint="eastAsia"/>
          <w:color w:val="auto"/>
          <w:highlight w:val="none"/>
        </w:rPr>
      </w:pPr>
    </w:p>
    <w:p w14:paraId="3402400E">
      <w:pPr>
        <w:shd w:val="clear"/>
        <w:rPr>
          <w:rFonts w:hint="eastAsia"/>
          <w:color w:val="auto"/>
          <w:highlight w:val="none"/>
        </w:rPr>
      </w:pPr>
    </w:p>
    <w:p w14:paraId="0AEA3A75">
      <w:pPr>
        <w:shd w:val="clear"/>
        <w:rPr>
          <w:rFonts w:hint="eastAsia"/>
          <w:color w:val="auto"/>
          <w:highlight w:val="none"/>
        </w:rPr>
      </w:pPr>
    </w:p>
    <w:p w14:paraId="6B2BFD32">
      <w:pPr>
        <w:shd w:val="clear"/>
        <w:spacing w:line="360" w:lineRule="exact"/>
        <w:rPr>
          <w:rFonts w:hint="eastAsia"/>
          <w:color w:val="auto"/>
          <w:highlight w:val="none"/>
        </w:rPr>
      </w:pPr>
      <w:r>
        <w:rPr>
          <w:color w:val="auto"/>
          <w:highlight w:val="none"/>
        </w:rPr>
        <w:br w:type="page"/>
      </w:r>
      <w:r>
        <w:rPr>
          <w:rFonts w:hint="eastAsia" w:ascii="宋体"/>
          <w:color w:val="auto"/>
          <w:szCs w:val="21"/>
          <w:highlight w:val="none"/>
        </w:rPr>
        <w:t xml:space="preserve">    （2）投标报价明细表格式</w:t>
      </w:r>
    </w:p>
    <w:p w14:paraId="4115562A">
      <w:pPr>
        <w:shd w:val="clear"/>
        <w:spacing w:line="360" w:lineRule="exact"/>
        <w:jc w:val="center"/>
        <w:rPr>
          <w:rFonts w:hint="eastAsia"/>
          <w:b/>
          <w:color w:val="auto"/>
          <w:highlight w:val="none"/>
        </w:rPr>
      </w:pPr>
      <w:r>
        <w:rPr>
          <w:rFonts w:hint="eastAsia"/>
          <w:b/>
          <w:color w:val="auto"/>
          <w:highlight w:val="none"/>
        </w:rPr>
        <w:t>投标报价明细表</w:t>
      </w:r>
    </w:p>
    <w:p w14:paraId="164A3F79">
      <w:pPr>
        <w:shd w:val="clear"/>
        <w:wordWrap w:val="0"/>
        <w:snapToGrid w:val="0"/>
        <w:spacing w:line="360" w:lineRule="exact"/>
        <w:ind w:firstLine="420" w:firstLineChars="200"/>
        <w:jc w:val="left"/>
        <w:rPr>
          <w:rFonts w:hint="eastAsia"/>
          <w:color w:val="auto"/>
          <w:highlight w:val="none"/>
        </w:rPr>
      </w:pPr>
      <w:r>
        <w:rPr>
          <w:rFonts w:hint="eastAsia"/>
          <w:color w:val="auto"/>
          <w:highlight w:val="none"/>
        </w:rPr>
        <w:t xml:space="preserve">  </w:t>
      </w:r>
      <w:r>
        <w:rPr>
          <w:rFonts w:hint="eastAsia" w:ascii="宋体"/>
          <w:color w:val="auto"/>
          <w:szCs w:val="21"/>
          <w:highlight w:val="none"/>
          <w:u w:val="single"/>
        </w:rPr>
        <w:t xml:space="preserve"> </w:t>
      </w:r>
      <w:r>
        <w:rPr>
          <w:rFonts w:ascii="宋体"/>
          <w:color w:val="auto"/>
          <w:szCs w:val="21"/>
          <w:highlight w:val="none"/>
          <w:u w:val="single"/>
        </w:rPr>
        <w:t xml:space="preserve">     </w:t>
      </w:r>
      <w:r>
        <w:rPr>
          <w:rFonts w:hint="eastAsia" w:ascii="宋体"/>
          <w:color w:val="auto"/>
          <w:szCs w:val="21"/>
          <w:highlight w:val="none"/>
        </w:rPr>
        <w:t>分标</w:t>
      </w:r>
      <w:r>
        <w:rPr>
          <w:rFonts w:hint="eastAsia"/>
          <w:color w:val="auto"/>
          <w:highlight w:val="none"/>
        </w:rPr>
        <w:t xml:space="preserve">                                                     金额单位：人民币（元）</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14:paraId="121EC5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0ED7D720">
            <w:pPr>
              <w:shd w:val="clear"/>
              <w:jc w:val="center"/>
              <w:rPr>
                <w:rFonts w:hint="eastAsia"/>
                <w:color w:val="auto"/>
                <w:highlight w:val="none"/>
              </w:rPr>
            </w:pPr>
            <w:r>
              <w:rPr>
                <w:rFonts w:hint="eastAsia"/>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92113A0">
            <w:pPr>
              <w:shd w:val="clear"/>
              <w:jc w:val="center"/>
              <w:rPr>
                <w:rFonts w:hint="eastAsia"/>
                <w:color w:val="auto"/>
                <w:highlight w:val="none"/>
              </w:rPr>
            </w:pPr>
            <w:r>
              <w:rPr>
                <w:rFonts w:hint="eastAsia"/>
                <w:color w:val="auto"/>
                <w:highlight w:val="none"/>
              </w:rPr>
              <w:t>设备名称</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33FC7F7">
            <w:pPr>
              <w:shd w:val="clear"/>
              <w:jc w:val="center"/>
              <w:rPr>
                <w:rFonts w:hint="eastAsia"/>
                <w:color w:val="auto"/>
                <w:highlight w:val="none"/>
              </w:rPr>
            </w:pPr>
            <w:r>
              <w:rPr>
                <w:rFonts w:hint="eastAsia"/>
                <w:color w:val="auto"/>
                <w:highlight w:val="none"/>
              </w:rPr>
              <w:t>品牌</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BAA45D5">
            <w:pPr>
              <w:shd w:val="clear"/>
              <w:jc w:val="center"/>
              <w:rPr>
                <w:rFonts w:hint="eastAsia"/>
                <w:color w:val="auto"/>
                <w:highlight w:val="none"/>
              </w:rPr>
            </w:pPr>
            <w:r>
              <w:rPr>
                <w:rFonts w:hint="eastAsia"/>
                <w:color w:val="auto"/>
                <w:highlight w:val="none"/>
              </w:rPr>
              <w:t>规格型号</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F22C4B4">
            <w:pPr>
              <w:shd w:val="clear"/>
              <w:jc w:val="center"/>
              <w:rPr>
                <w:rFonts w:hint="eastAsia"/>
                <w:color w:val="auto"/>
                <w:highlight w:val="none"/>
              </w:rPr>
            </w:pPr>
            <w:r>
              <w:rPr>
                <w:rFonts w:hint="eastAsia"/>
                <w:color w:val="auto"/>
                <w:highlight w:val="none"/>
              </w:rPr>
              <w:t>生产厂家</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C0BB9FD">
            <w:pPr>
              <w:shd w:val="clear"/>
              <w:jc w:val="center"/>
              <w:rPr>
                <w:rFonts w:hint="eastAsia"/>
                <w:color w:val="auto"/>
                <w:highlight w:val="none"/>
              </w:rPr>
            </w:pPr>
            <w:r>
              <w:rPr>
                <w:rFonts w:hint="eastAsia"/>
                <w:color w:val="auto"/>
                <w:highlight w:val="none"/>
              </w:rPr>
              <w:t>单位及数量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C35E464">
            <w:pPr>
              <w:shd w:val="clear"/>
              <w:jc w:val="center"/>
              <w:rPr>
                <w:rFonts w:hint="eastAsia"/>
                <w:color w:val="auto"/>
                <w:highlight w:val="none"/>
              </w:rPr>
            </w:pPr>
            <w:r>
              <w:rPr>
                <w:rFonts w:hint="eastAsia"/>
                <w:color w:val="auto"/>
                <w:highlight w:val="none"/>
              </w:rPr>
              <w:t>单价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97CF977">
            <w:pPr>
              <w:shd w:val="clear"/>
              <w:jc w:val="center"/>
              <w:rPr>
                <w:rFonts w:hint="eastAsia"/>
                <w:color w:val="auto"/>
                <w:highlight w:val="none"/>
              </w:rPr>
            </w:pPr>
            <w:r>
              <w:rPr>
                <w:rFonts w:hint="eastAsia"/>
                <w:color w:val="auto"/>
                <w:highlight w:val="none"/>
              </w:rPr>
              <w:t>金额</w:t>
            </w:r>
          </w:p>
        </w:tc>
      </w:tr>
      <w:tr w14:paraId="61E6EB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top"/>
          </w:tcPr>
          <w:p w14:paraId="1142CBD5">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B26A66F">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B136865">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C932C4A">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04AF4F2">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C162708">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4B062E0E">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26E4192A">
            <w:pPr>
              <w:shd w:val="clear"/>
              <w:tabs>
                <w:tab w:val="left" w:pos="1418"/>
              </w:tabs>
              <w:snapToGrid w:val="0"/>
              <w:spacing w:before="50" w:after="50" w:line="360" w:lineRule="exact"/>
              <w:jc w:val="center"/>
              <w:rPr>
                <w:rFonts w:hint="eastAsia" w:ascii="宋体"/>
                <w:color w:val="auto"/>
                <w:spacing w:val="20"/>
                <w:szCs w:val="21"/>
                <w:highlight w:val="none"/>
              </w:rPr>
            </w:pPr>
          </w:p>
        </w:tc>
      </w:tr>
      <w:tr w14:paraId="25E72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top"/>
          </w:tcPr>
          <w:p w14:paraId="630C0AD2">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64183B2">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9D4F5F4">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5AD03C2">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4B794D30">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ABB1666">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3F082CD6">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253263CA">
            <w:pPr>
              <w:shd w:val="clear"/>
              <w:tabs>
                <w:tab w:val="left" w:pos="1418"/>
              </w:tabs>
              <w:snapToGrid w:val="0"/>
              <w:spacing w:before="50" w:after="50" w:line="360" w:lineRule="exact"/>
              <w:jc w:val="center"/>
              <w:rPr>
                <w:rFonts w:hint="eastAsia" w:ascii="宋体"/>
                <w:color w:val="auto"/>
                <w:spacing w:val="20"/>
                <w:szCs w:val="21"/>
                <w:highlight w:val="none"/>
              </w:rPr>
            </w:pPr>
          </w:p>
        </w:tc>
      </w:tr>
      <w:tr w14:paraId="409975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top"/>
          </w:tcPr>
          <w:p w14:paraId="3447E72F">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18066B9">
            <w:pPr>
              <w:shd w:val="clear"/>
              <w:tabs>
                <w:tab w:val="left" w:pos="1418"/>
              </w:tabs>
              <w:snapToGrid w:val="0"/>
              <w:spacing w:before="50" w:after="50" w:line="360" w:lineRule="exact"/>
              <w:jc w:val="center"/>
              <w:rPr>
                <w:rFonts w:hint="eastAsia" w:ascii="宋体"/>
                <w:color w:val="auto"/>
                <w:spacing w:val="20"/>
                <w:szCs w:val="21"/>
                <w:highlight w:val="none"/>
              </w:rPr>
            </w:pPr>
            <w:r>
              <w:rPr>
                <w:rFonts w:hint="eastAsia" w:ascii="宋体"/>
                <w:color w:val="auto"/>
                <w:spacing w:val="20"/>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6322DF9E">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A8E284C">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745B606">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2E87704">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7F0E457A">
            <w:pPr>
              <w:shd w:val="clear"/>
              <w:tabs>
                <w:tab w:val="left" w:pos="1418"/>
              </w:tabs>
              <w:snapToGrid w:val="0"/>
              <w:spacing w:before="50" w:after="50" w:line="360" w:lineRule="exact"/>
              <w:jc w:val="center"/>
              <w:rPr>
                <w:rFonts w:hint="eastAsia" w:asci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0E898C8">
            <w:pPr>
              <w:shd w:val="clear"/>
              <w:tabs>
                <w:tab w:val="left" w:pos="1418"/>
              </w:tabs>
              <w:snapToGrid w:val="0"/>
              <w:spacing w:before="50" w:after="50" w:line="360" w:lineRule="exact"/>
              <w:jc w:val="center"/>
              <w:rPr>
                <w:rFonts w:hint="eastAsia" w:ascii="宋体"/>
                <w:color w:val="auto"/>
                <w:spacing w:val="20"/>
                <w:szCs w:val="21"/>
                <w:highlight w:val="none"/>
              </w:rPr>
            </w:pPr>
          </w:p>
        </w:tc>
      </w:tr>
      <w:tr w14:paraId="134CA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00" w:type="dxa"/>
            <w:gridSpan w:val="7"/>
            <w:tcBorders>
              <w:top w:val="single" w:color="auto" w:sz="4" w:space="0"/>
              <w:left w:val="single" w:color="auto" w:sz="4" w:space="0"/>
              <w:bottom w:val="single" w:color="auto" w:sz="4" w:space="0"/>
              <w:right w:val="single" w:color="auto" w:sz="4" w:space="0"/>
            </w:tcBorders>
            <w:noWrap w:val="0"/>
            <w:vAlign w:val="top"/>
          </w:tcPr>
          <w:p w14:paraId="280DFE1E">
            <w:pPr>
              <w:shd w:val="clear"/>
              <w:wordWrap w:val="0"/>
              <w:snapToGrid w:val="0"/>
              <w:spacing w:line="360" w:lineRule="exact"/>
              <w:jc w:val="left"/>
              <w:rPr>
                <w:rFonts w:hint="eastAsia" w:ascii="宋体"/>
                <w:color w:val="auto"/>
                <w:spacing w:val="20"/>
                <w:szCs w:val="21"/>
                <w:highlight w:val="none"/>
              </w:rPr>
            </w:pPr>
            <w:r>
              <w:rPr>
                <w:rFonts w:hint="eastAsia" w:ascii="宋体"/>
                <w:color w:val="auto"/>
                <w:szCs w:val="21"/>
                <w:highlight w:val="none"/>
                <w:u w:val="single"/>
              </w:rPr>
              <w:t xml:space="preserve"> </w:t>
            </w:r>
            <w:r>
              <w:rPr>
                <w:rFonts w:ascii="宋体"/>
                <w:color w:val="auto"/>
                <w:szCs w:val="21"/>
                <w:highlight w:val="none"/>
                <w:u w:val="single"/>
              </w:rPr>
              <w:t xml:space="preserve">     </w:t>
            </w:r>
            <w:r>
              <w:rPr>
                <w:rFonts w:hint="eastAsia" w:ascii="宋体"/>
                <w:color w:val="auto"/>
                <w:szCs w:val="21"/>
                <w:highlight w:val="none"/>
              </w:rPr>
              <w:t>分标</w:t>
            </w:r>
            <w:r>
              <w:rPr>
                <w:rFonts w:hint="eastAsia"/>
                <w:color w:val="auto"/>
                <w:highlight w:val="none"/>
              </w:rPr>
              <w:t>投标总价（</w:t>
            </w:r>
            <w:r>
              <w:rPr>
                <w:rFonts w:hint="eastAsia" w:ascii="宋体"/>
                <w:color w:val="auto"/>
                <w:szCs w:val="21"/>
                <w:highlight w:val="none"/>
              </w:rPr>
              <w:t xml:space="preserve">合计金额大写）：                                        </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290EBA6C">
            <w:pPr>
              <w:shd w:val="clear"/>
              <w:tabs>
                <w:tab w:val="left" w:pos="1418"/>
              </w:tabs>
              <w:snapToGrid w:val="0"/>
              <w:spacing w:before="50" w:after="50" w:line="360" w:lineRule="exact"/>
              <w:rPr>
                <w:rFonts w:hint="eastAsia" w:ascii="宋体"/>
                <w:color w:val="auto"/>
                <w:spacing w:val="20"/>
                <w:szCs w:val="21"/>
                <w:highlight w:val="none"/>
              </w:rPr>
            </w:pPr>
            <w:r>
              <w:rPr>
                <w:rFonts w:hint="eastAsia" w:ascii="宋体"/>
                <w:color w:val="auto"/>
                <w:szCs w:val="21"/>
                <w:highlight w:val="none"/>
              </w:rPr>
              <w:t>¥</w:t>
            </w:r>
            <w:r>
              <w:rPr>
                <w:rFonts w:hint="eastAsia" w:ascii="宋体"/>
                <w:color w:val="auto"/>
                <w:szCs w:val="21"/>
                <w:highlight w:val="none"/>
                <w:u w:val="single"/>
              </w:rPr>
              <w:t xml:space="preserve">            </w:t>
            </w:r>
          </w:p>
        </w:tc>
      </w:tr>
    </w:tbl>
    <w:p w14:paraId="2E7C2E9C">
      <w:pPr>
        <w:shd w:val="clear"/>
        <w:rPr>
          <w:rFonts w:hint="eastAsia"/>
          <w:color w:val="auto"/>
          <w:highlight w:val="none"/>
        </w:rPr>
      </w:pPr>
    </w:p>
    <w:p w14:paraId="328E99A9">
      <w:pPr>
        <w:shd w:val="clear"/>
        <w:snapToGrid w:val="0"/>
        <w:spacing w:before="50" w:after="50" w:line="360" w:lineRule="exact"/>
        <w:rPr>
          <w:rFonts w:hint="eastAsia" w:ascii="宋体"/>
          <w:color w:val="auto"/>
          <w:spacing w:val="20"/>
          <w:szCs w:val="21"/>
          <w:highlight w:val="none"/>
          <w:u w:val="single"/>
        </w:rPr>
      </w:pPr>
      <w:r>
        <w:rPr>
          <w:rFonts w:hint="eastAsia" w:ascii="宋体"/>
          <w:color w:val="auto"/>
          <w:szCs w:val="21"/>
          <w:highlight w:val="none"/>
        </w:rPr>
        <w:t>法定代表人（负责人）或委托代理人签字或盖章</w:t>
      </w:r>
      <w:r>
        <w:rPr>
          <w:rFonts w:hint="eastAsia" w:ascii="宋体"/>
          <w:color w:val="auto"/>
          <w:spacing w:val="20"/>
          <w:szCs w:val="21"/>
          <w:highlight w:val="none"/>
        </w:rPr>
        <w:t>：</w:t>
      </w:r>
      <w:r>
        <w:rPr>
          <w:rFonts w:hint="eastAsia" w:ascii="宋体"/>
          <w:color w:val="auto"/>
          <w:spacing w:val="20"/>
          <w:szCs w:val="21"/>
          <w:highlight w:val="none"/>
          <w:u w:val="single"/>
        </w:rPr>
        <w:t xml:space="preserve">            </w:t>
      </w:r>
    </w:p>
    <w:p w14:paraId="37C0E438">
      <w:pPr>
        <w:shd w:val="clear"/>
        <w:rPr>
          <w:rFonts w:hint="eastAsia"/>
          <w:color w:val="auto"/>
          <w:highlight w:val="none"/>
        </w:rPr>
      </w:pPr>
      <w:r>
        <w:rPr>
          <w:rFonts w:hint="eastAsia"/>
          <w:color w:val="auto"/>
          <w:highlight w:val="none"/>
        </w:rPr>
        <w:t>投标人名称（</w:t>
      </w:r>
      <w:r>
        <w:rPr>
          <w:rFonts w:hint="eastAsia" w:ascii="宋体"/>
          <w:color w:val="auto"/>
          <w:szCs w:val="21"/>
          <w:highlight w:val="none"/>
        </w:rPr>
        <w:t>盖章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日  期：</w:t>
      </w:r>
      <w:r>
        <w:rPr>
          <w:rFonts w:hint="eastAsia"/>
          <w:color w:val="auto"/>
          <w:highlight w:val="none"/>
          <w:u w:val="single"/>
        </w:rPr>
        <w:t xml:space="preserve">                    </w:t>
      </w:r>
    </w:p>
    <w:p w14:paraId="775BD98D">
      <w:pPr>
        <w:shd w:val="clear"/>
        <w:rPr>
          <w:rFonts w:hint="eastAsia"/>
          <w:color w:val="auto"/>
          <w:highlight w:val="none"/>
        </w:rPr>
      </w:pPr>
    </w:p>
    <w:p w14:paraId="351A5C46">
      <w:pPr>
        <w:shd w:val="clear"/>
        <w:rPr>
          <w:rFonts w:hint="eastAsia"/>
          <w:color w:val="auto"/>
          <w:highlight w:val="none"/>
        </w:rPr>
      </w:pPr>
    </w:p>
    <w:p w14:paraId="6DB6D27E">
      <w:pPr>
        <w:shd w:val="clear"/>
        <w:spacing w:line="360" w:lineRule="exact"/>
        <w:rPr>
          <w:rFonts w:hint="eastAsia" w:ascii="宋体" w:eastAsia="宋体"/>
          <w:color w:val="auto"/>
          <w:szCs w:val="21"/>
          <w:highlight w:val="none"/>
          <w:lang w:eastAsia="zh-CN"/>
        </w:rPr>
      </w:pPr>
      <w:r>
        <w:rPr>
          <w:rFonts w:hint="eastAsia"/>
          <w:color w:val="auto"/>
          <w:highlight w:val="none"/>
        </w:rPr>
        <w:t xml:space="preserve">  </w:t>
      </w:r>
      <w:r>
        <w:rPr>
          <w:rFonts w:hint="eastAsia" w:ascii="宋体"/>
          <w:color w:val="auto"/>
          <w:szCs w:val="21"/>
          <w:highlight w:val="none"/>
        </w:rPr>
        <w:t xml:space="preserve">  （3）投标人针对报价需要说明的其他文件和说明</w:t>
      </w:r>
      <w:r>
        <w:rPr>
          <w:rFonts w:hint="eastAsia" w:ascii="宋体"/>
          <w:color w:val="auto"/>
          <w:szCs w:val="21"/>
          <w:highlight w:val="none"/>
          <w:lang w:eastAsia="zh-CN"/>
        </w:rPr>
        <w:t>[格式自拟]</w:t>
      </w:r>
    </w:p>
    <w:p w14:paraId="6001CA2F">
      <w:pPr>
        <w:shd w:val="clear"/>
        <w:rPr>
          <w:rFonts w:hint="eastAsia"/>
          <w:color w:val="auto"/>
          <w:highlight w:val="none"/>
        </w:rPr>
      </w:pPr>
    </w:p>
    <w:p w14:paraId="024244D9">
      <w:pPr>
        <w:shd w:val="clear"/>
        <w:snapToGrid w:val="0"/>
        <w:spacing w:line="380" w:lineRule="exact"/>
        <w:jc w:val="left"/>
        <w:rPr>
          <w:rFonts w:hint="eastAsia" w:ascii="宋体" w:eastAsia="宋体"/>
          <w:color w:val="auto"/>
          <w:szCs w:val="21"/>
          <w:highlight w:val="none"/>
          <w:lang w:val="en-US" w:eastAsia="zh-CN"/>
        </w:rPr>
      </w:pPr>
      <w:r>
        <w:rPr>
          <w:color w:val="auto"/>
          <w:highlight w:val="none"/>
        </w:rPr>
        <w:br w:type="page"/>
      </w:r>
      <w:r>
        <w:rPr>
          <w:rFonts w:hint="eastAsia" w:ascii="宋体"/>
          <w:color w:val="auto"/>
          <w:szCs w:val="21"/>
          <w:highlight w:val="none"/>
        </w:rPr>
        <w:t>（</w:t>
      </w:r>
      <w:r>
        <w:rPr>
          <w:rFonts w:hint="eastAsia" w:ascii="宋体"/>
          <w:color w:val="auto"/>
          <w:szCs w:val="21"/>
          <w:highlight w:val="none"/>
          <w:lang w:val="en-US" w:eastAsia="zh-CN"/>
        </w:rPr>
        <w:t>4</w:t>
      </w:r>
      <w:r>
        <w:rPr>
          <w:rFonts w:hint="eastAsia" w:ascii="宋体"/>
          <w:color w:val="auto"/>
          <w:szCs w:val="21"/>
          <w:highlight w:val="none"/>
        </w:rPr>
        <w:t>）中小企业声明函</w:t>
      </w:r>
      <w:r>
        <w:rPr>
          <w:rFonts w:hint="eastAsia" w:ascii="宋体"/>
          <w:color w:val="auto"/>
          <w:szCs w:val="21"/>
          <w:highlight w:val="none"/>
          <w:lang w:val="en-US" w:eastAsia="zh-CN"/>
        </w:rPr>
        <w:t>格式：</w:t>
      </w:r>
    </w:p>
    <w:p w14:paraId="1D4BF29C">
      <w:pPr>
        <w:shd w:val="clear"/>
        <w:snapToGrid w:val="0"/>
        <w:spacing w:line="380" w:lineRule="exact"/>
        <w:ind w:firstLine="411" w:firstLineChars="196"/>
        <w:jc w:val="left"/>
        <w:rPr>
          <w:rFonts w:hint="eastAsia" w:ascii="宋体"/>
          <w:color w:val="auto"/>
          <w:szCs w:val="21"/>
          <w:highlight w:val="none"/>
        </w:rPr>
      </w:pPr>
    </w:p>
    <w:p w14:paraId="586CB2A9">
      <w:pPr>
        <w:pStyle w:val="26"/>
        <w:shd w:val="clear"/>
        <w:spacing w:line="500" w:lineRule="exact"/>
        <w:jc w:val="center"/>
        <w:rPr>
          <w:rFonts w:hint="eastAsia" w:hAnsi="宋体"/>
          <w:b/>
          <w:bCs/>
          <w:color w:val="auto"/>
          <w:sz w:val="30"/>
          <w:szCs w:val="30"/>
          <w:highlight w:val="none"/>
          <w:lang w:eastAsia="zh-CN"/>
        </w:rPr>
      </w:pPr>
      <w:r>
        <w:rPr>
          <w:rFonts w:hAnsi="宋体"/>
          <w:b/>
          <w:bCs/>
          <w:color w:val="auto"/>
          <w:sz w:val="30"/>
          <w:szCs w:val="30"/>
          <w:highlight w:val="none"/>
        </w:rPr>
        <w:t>中小企业声明函（</w:t>
      </w:r>
      <w:r>
        <w:rPr>
          <w:rFonts w:hint="eastAsia" w:hAnsi="宋体"/>
          <w:b/>
          <w:bCs/>
          <w:color w:val="auto"/>
          <w:sz w:val="30"/>
          <w:szCs w:val="30"/>
          <w:highlight w:val="none"/>
          <w:lang w:eastAsia="zh-CN"/>
        </w:rPr>
        <w:t>货物</w:t>
      </w:r>
      <w:r>
        <w:rPr>
          <w:rFonts w:hAnsi="宋体"/>
          <w:b/>
          <w:bCs/>
          <w:color w:val="auto"/>
          <w:sz w:val="30"/>
          <w:szCs w:val="30"/>
          <w:highlight w:val="none"/>
        </w:rPr>
        <w:t>）</w:t>
      </w:r>
    </w:p>
    <w:p w14:paraId="569E5885">
      <w:pPr>
        <w:pStyle w:val="26"/>
        <w:shd w:val="clear"/>
        <w:spacing w:line="500" w:lineRule="exact"/>
        <w:jc w:val="center"/>
        <w:rPr>
          <w:rFonts w:hint="eastAsia" w:hAnsi="宋体"/>
          <w:b/>
          <w:bCs/>
          <w:color w:val="auto"/>
          <w:sz w:val="30"/>
          <w:szCs w:val="30"/>
          <w:highlight w:val="none"/>
          <w:lang w:eastAsia="zh-CN"/>
        </w:rPr>
      </w:pPr>
    </w:p>
    <w:p w14:paraId="683F116C">
      <w:pPr>
        <w:pStyle w:val="26"/>
        <w:shd w:val="clear"/>
        <w:spacing w:line="500" w:lineRule="exact"/>
        <w:ind w:firstLine="525" w:firstLineChars="250"/>
        <w:jc w:val="left"/>
        <w:rPr>
          <w:rFonts w:hint="eastAsia"/>
          <w:color w:val="auto"/>
          <w:highlight w:val="none"/>
          <w:lang w:val="en-US" w:eastAsia="zh-CN"/>
        </w:rPr>
      </w:pPr>
      <w:r>
        <w:rPr>
          <w:rFonts w:hint="eastAsia"/>
          <w:color w:val="auto"/>
          <w:highlight w:val="none"/>
          <w:lang w:val="en-US" w:eastAsia="zh-CN"/>
        </w:rPr>
        <w:t>本公司（联合体）郑重声明，根据《政府采购促进中小企业发展管理办法》（财库﹝2020﹞46 号）的规定，本公司（联合体）参加</w:t>
      </w:r>
      <w:r>
        <w:rPr>
          <w:rFonts w:hint="eastAsia"/>
          <w:color w:val="auto"/>
          <w:highlight w:val="none"/>
          <w:u w:val="single"/>
          <w:lang w:val="en-US" w:eastAsia="zh-CN"/>
        </w:rPr>
        <w:t xml:space="preserve"> </w:t>
      </w:r>
      <w:r>
        <w:rPr>
          <w:rFonts w:hint="eastAsia"/>
          <w:b/>
          <w:bCs/>
          <w:color w:val="auto"/>
          <w:highlight w:val="none"/>
          <w:u w:val="single"/>
          <w:lang w:val="en-US" w:eastAsia="zh-CN"/>
        </w:rPr>
        <w:t>广西壮族自治区人工影响天气办公室</w:t>
      </w:r>
      <w:r>
        <w:rPr>
          <w:rFonts w:hint="eastAsia"/>
          <w:color w:val="auto"/>
          <w:highlight w:val="none"/>
          <w:u w:val="single"/>
          <w:lang w:val="en-US" w:eastAsia="zh-CN"/>
        </w:rPr>
        <w:t xml:space="preserve"> </w:t>
      </w:r>
      <w:r>
        <w:rPr>
          <w:rFonts w:hint="eastAsia"/>
          <w:color w:val="auto"/>
          <w:highlight w:val="none"/>
          <w:lang w:val="en-US" w:eastAsia="zh-CN"/>
        </w:rPr>
        <w:t>的</w:t>
      </w:r>
      <w:r>
        <w:rPr>
          <w:rFonts w:hint="eastAsia"/>
          <w:color w:val="auto"/>
          <w:highlight w:val="none"/>
          <w:u w:val="single"/>
          <w:lang w:val="en-US" w:eastAsia="zh-CN"/>
        </w:rPr>
        <w:t xml:space="preserve"> </w:t>
      </w:r>
      <w:r>
        <w:rPr>
          <w:rFonts w:hint="eastAsia"/>
          <w:b/>
          <w:bCs/>
          <w:color w:val="auto"/>
          <w:highlight w:val="none"/>
          <w:u w:val="single"/>
          <w:lang w:val="en-US" w:eastAsia="zh-CN"/>
        </w:rPr>
        <w:t>广西壮族自治区人工影响天气水资源保障工程-音视频调度及可视调度指挥显示支撑系统</w:t>
      </w:r>
      <w:r>
        <w:rPr>
          <w:rFonts w:hint="eastAsia"/>
          <w:color w:val="auto"/>
          <w:highlight w:val="none"/>
          <w:u w:val="single"/>
          <w:lang w:val="en-US" w:eastAsia="zh-CN"/>
        </w:rPr>
        <w:t xml:space="preserve"> </w:t>
      </w:r>
      <w:r>
        <w:rPr>
          <w:rFonts w:hint="eastAsia"/>
          <w:color w:val="auto"/>
          <w:highlight w:val="none"/>
          <w:lang w:val="en-US" w:eastAsia="zh-CN"/>
        </w:rPr>
        <w:t>采购活动，提供的货物全部由符合政策要求的中小企业制造。相关企业（含联合体中的中小企业、签订分包意向协议的中小企业）的具体情况如下：</w:t>
      </w:r>
    </w:p>
    <w:p w14:paraId="5CD0F086">
      <w:pPr>
        <w:pStyle w:val="26"/>
        <w:numPr>
          <w:ilvl w:val="0"/>
          <w:numId w:val="4"/>
        </w:numPr>
        <w:shd w:val="clear"/>
        <w:spacing w:line="500" w:lineRule="exact"/>
        <w:ind w:firstLine="420" w:firstLineChars="200"/>
        <w:jc w:val="left"/>
        <w:rPr>
          <w:rFonts w:hint="eastAsia"/>
          <w:color w:val="auto"/>
          <w:highlight w:val="none"/>
          <w:lang w:val="en-US" w:eastAsia="zh-CN"/>
        </w:rPr>
      </w:pPr>
      <w:r>
        <w:rPr>
          <w:rFonts w:hint="eastAsia"/>
          <w:color w:val="auto"/>
          <w:highlight w:val="none"/>
          <w:u w:val="single"/>
          <w:lang w:val="en-US" w:eastAsia="zh-CN"/>
        </w:rPr>
        <w:t>（货物名称）</w:t>
      </w:r>
      <w:r>
        <w:rPr>
          <w:rFonts w:hint="eastAsia"/>
          <w:color w:val="auto"/>
          <w:highlight w:val="none"/>
          <w:lang w:val="en-US" w:eastAsia="zh-CN"/>
        </w:rPr>
        <w:t>，属于</w:t>
      </w:r>
      <w:r>
        <w:rPr>
          <w:rFonts w:hint="eastAsia"/>
          <w:color w:val="auto"/>
          <w:highlight w:val="none"/>
          <w:u w:val="single"/>
          <w:lang w:val="en-US" w:eastAsia="zh-CN"/>
        </w:rPr>
        <w:t xml:space="preserve">  </w:t>
      </w:r>
      <w:r>
        <w:rPr>
          <w:rFonts w:hint="eastAsia"/>
          <w:b/>
          <w:bCs/>
          <w:color w:val="auto"/>
          <w:highlight w:val="none"/>
          <w:u w:val="single"/>
          <w:lang w:val="en-US" w:eastAsia="zh-CN"/>
        </w:rPr>
        <w:t>工业</w:t>
      </w:r>
      <w:r>
        <w:rPr>
          <w:rFonts w:hint="eastAsia"/>
          <w:color w:val="auto"/>
          <w:highlight w:val="none"/>
          <w:u w:val="single"/>
          <w:lang w:val="en-US" w:eastAsia="zh-CN"/>
        </w:rPr>
        <w:t xml:space="preserve">  </w:t>
      </w:r>
      <w:r>
        <w:rPr>
          <w:rFonts w:hint="eastAsia"/>
          <w:color w:val="auto"/>
          <w:highlight w:val="none"/>
          <w:u w:val="none"/>
          <w:lang w:val="en-US" w:eastAsia="zh-CN"/>
        </w:rPr>
        <w:t>行业</w:t>
      </w:r>
      <w:r>
        <w:rPr>
          <w:rFonts w:hint="eastAsia"/>
          <w:color w:val="auto"/>
          <w:highlight w:val="none"/>
          <w:lang w:val="en-US" w:eastAsia="zh-CN"/>
        </w:rPr>
        <w:t>；制造商为</w:t>
      </w:r>
      <w:r>
        <w:rPr>
          <w:rFonts w:hint="eastAsia"/>
          <w:color w:val="auto"/>
          <w:highlight w:val="none"/>
          <w:u w:val="single"/>
          <w:lang w:val="en-US" w:eastAsia="zh-CN"/>
        </w:rPr>
        <w:t>（企业名称）</w:t>
      </w:r>
      <w:r>
        <w:rPr>
          <w:rFonts w:hint="eastAsia"/>
          <w:color w:val="auto"/>
          <w:highlight w:val="none"/>
          <w:lang w:val="en-US" w:eastAsia="zh-CN"/>
        </w:rPr>
        <w:t>，从业人员</w:t>
      </w:r>
      <w:r>
        <w:rPr>
          <w:rFonts w:hint="eastAsia"/>
          <w:color w:val="auto"/>
          <w:highlight w:val="none"/>
          <w:u w:val="single"/>
          <w:lang w:val="en-US" w:eastAsia="zh-CN"/>
        </w:rPr>
        <w:t xml:space="preserve">     </w:t>
      </w:r>
      <w:r>
        <w:rPr>
          <w:rFonts w:hint="eastAsia"/>
          <w:color w:val="auto"/>
          <w:highlight w:val="none"/>
          <w:lang w:val="en-US" w:eastAsia="zh-CN"/>
        </w:rPr>
        <w:t>人，营业收入为</w:t>
      </w:r>
      <w:r>
        <w:rPr>
          <w:rFonts w:hint="eastAsia"/>
          <w:color w:val="auto"/>
          <w:highlight w:val="none"/>
          <w:u w:val="single"/>
          <w:lang w:val="en-US" w:eastAsia="zh-CN"/>
        </w:rPr>
        <w:t xml:space="preserve">     </w:t>
      </w:r>
      <w:r>
        <w:rPr>
          <w:rFonts w:hint="eastAsia"/>
          <w:color w:val="auto"/>
          <w:highlight w:val="none"/>
          <w:lang w:val="en-US" w:eastAsia="zh-CN"/>
        </w:rPr>
        <w:t>万元，资产总额为</w:t>
      </w:r>
      <w:r>
        <w:rPr>
          <w:rFonts w:hint="eastAsia"/>
          <w:color w:val="auto"/>
          <w:highlight w:val="none"/>
          <w:u w:val="single"/>
          <w:lang w:val="en-US" w:eastAsia="zh-CN"/>
        </w:rPr>
        <w:t xml:space="preserve">     </w:t>
      </w:r>
      <w:r>
        <w:rPr>
          <w:rFonts w:hint="eastAsia"/>
          <w:color w:val="auto"/>
          <w:highlight w:val="none"/>
          <w:lang w:val="en-US" w:eastAsia="zh-CN"/>
        </w:rPr>
        <w:t>万元，属于</w:t>
      </w:r>
      <w:r>
        <w:rPr>
          <w:rFonts w:hint="eastAsia"/>
          <w:color w:val="auto"/>
          <w:highlight w:val="none"/>
          <w:u w:val="single"/>
          <w:lang w:val="en-US" w:eastAsia="zh-CN"/>
        </w:rPr>
        <w:t>（中型企业、小型企业、微型企业）</w:t>
      </w:r>
      <w:r>
        <w:rPr>
          <w:rFonts w:hint="eastAsia"/>
          <w:color w:val="auto"/>
          <w:highlight w:val="none"/>
          <w:lang w:val="en-US" w:eastAsia="zh-CN"/>
        </w:rPr>
        <w:t>；</w:t>
      </w:r>
    </w:p>
    <w:p w14:paraId="7390D22F">
      <w:pPr>
        <w:pStyle w:val="26"/>
        <w:shd w:val="clear"/>
        <w:spacing w:line="500" w:lineRule="exact"/>
        <w:ind w:firstLine="420" w:firstLineChars="200"/>
        <w:jc w:val="left"/>
        <w:rPr>
          <w:rFonts w:hint="eastAsia"/>
          <w:color w:val="auto"/>
          <w:highlight w:val="none"/>
          <w:lang w:val="en-US" w:eastAsia="zh-CN"/>
        </w:rPr>
      </w:pPr>
      <w:r>
        <w:rPr>
          <w:rFonts w:hint="eastAsia"/>
          <w:color w:val="auto"/>
          <w:highlight w:val="none"/>
          <w:lang w:val="en-US" w:eastAsia="zh-CN"/>
        </w:rPr>
        <w:t>2.</w:t>
      </w:r>
      <w:r>
        <w:rPr>
          <w:rFonts w:hint="eastAsia"/>
          <w:b w:val="0"/>
          <w:bCs w:val="0"/>
          <w:color w:val="auto"/>
          <w:highlight w:val="none"/>
          <w:u w:val="single"/>
          <w:lang w:val="en-US" w:eastAsia="zh-CN"/>
        </w:rPr>
        <w:t>（货物名称）</w:t>
      </w:r>
      <w:r>
        <w:rPr>
          <w:rFonts w:hint="eastAsia"/>
          <w:color w:val="auto"/>
          <w:highlight w:val="none"/>
          <w:lang w:val="en-US" w:eastAsia="zh-CN"/>
        </w:rPr>
        <w:t>，属于</w:t>
      </w:r>
      <w:r>
        <w:rPr>
          <w:rFonts w:hint="eastAsia" w:ascii="Times New Roman" w:eastAsia="宋体"/>
          <w:color w:val="auto"/>
          <w:highlight w:val="none"/>
          <w:u w:val="single"/>
          <w:lang w:val="en-US" w:eastAsia="zh-CN"/>
        </w:rPr>
        <w:t xml:space="preserve">  </w:t>
      </w:r>
      <w:r>
        <w:rPr>
          <w:rFonts w:hint="eastAsia" w:ascii="Times New Roman" w:eastAsia="宋体"/>
          <w:b/>
          <w:bCs/>
          <w:color w:val="auto"/>
          <w:highlight w:val="none"/>
          <w:u w:val="single"/>
          <w:lang w:val="en-US" w:eastAsia="zh-CN"/>
        </w:rPr>
        <w:t>工业</w:t>
      </w:r>
      <w:r>
        <w:rPr>
          <w:rFonts w:hint="eastAsia" w:ascii="Times New Roman" w:eastAsia="宋体"/>
          <w:color w:val="auto"/>
          <w:highlight w:val="none"/>
          <w:u w:val="single"/>
          <w:lang w:val="en-US" w:eastAsia="zh-CN"/>
        </w:rPr>
        <w:t xml:space="preserve">  </w:t>
      </w:r>
      <w:r>
        <w:rPr>
          <w:rFonts w:hint="eastAsia" w:ascii="Times New Roman" w:eastAsia="宋体"/>
          <w:color w:val="auto"/>
          <w:highlight w:val="none"/>
          <w:u w:val="none"/>
          <w:lang w:val="en-US" w:eastAsia="zh-CN"/>
        </w:rPr>
        <w:t>行业</w:t>
      </w:r>
      <w:r>
        <w:rPr>
          <w:rFonts w:hint="eastAsia"/>
          <w:color w:val="auto"/>
          <w:highlight w:val="none"/>
          <w:lang w:val="en-US" w:eastAsia="zh-CN"/>
        </w:rPr>
        <w:t>；制造商为</w:t>
      </w:r>
      <w:r>
        <w:rPr>
          <w:rFonts w:hint="eastAsia"/>
          <w:color w:val="auto"/>
          <w:highlight w:val="none"/>
          <w:u w:val="single"/>
          <w:lang w:val="en-US" w:eastAsia="zh-CN"/>
        </w:rPr>
        <w:t>（企业名称）</w:t>
      </w:r>
      <w:r>
        <w:rPr>
          <w:rFonts w:hint="eastAsia"/>
          <w:color w:val="auto"/>
          <w:highlight w:val="none"/>
          <w:lang w:val="en-US" w:eastAsia="zh-CN"/>
        </w:rPr>
        <w:t>，从业人员</w:t>
      </w:r>
      <w:r>
        <w:rPr>
          <w:rFonts w:hint="eastAsia"/>
          <w:color w:val="auto"/>
          <w:highlight w:val="none"/>
          <w:u w:val="single"/>
          <w:lang w:val="en-US" w:eastAsia="zh-CN"/>
        </w:rPr>
        <w:t xml:space="preserve">     </w:t>
      </w:r>
      <w:r>
        <w:rPr>
          <w:rFonts w:hint="eastAsia"/>
          <w:color w:val="auto"/>
          <w:highlight w:val="none"/>
          <w:lang w:val="en-US" w:eastAsia="zh-CN"/>
        </w:rPr>
        <w:t>人，营业收入为</w:t>
      </w:r>
      <w:r>
        <w:rPr>
          <w:rFonts w:hint="eastAsia"/>
          <w:color w:val="auto"/>
          <w:highlight w:val="none"/>
          <w:u w:val="single"/>
          <w:lang w:val="en-US" w:eastAsia="zh-CN"/>
        </w:rPr>
        <w:t xml:space="preserve">     </w:t>
      </w:r>
      <w:r>
        <w:rPr>
          <w:rFonts w:hint="eastAsia"/>
          <w:color w:val="auto"/>
          <w:highlight w:val="none"/>
          <w:lang w:val="en-US" w:eastAsia="zh-CN"/>
        </w:rPr>
        <w:t>万元，资产总额为</w:t>
      </w:r>
      <w:r>
        <w:rPr>
          <w:rFonts w:hint="eastAsia"/>
          <w:color w:val="auto"/>
          <w:highlight w:val="none"/>
          <w:u w:val="single"/>
          <w:lang w:val="en-US" w:eastAsia="zh-CN"/>
        </w:rPr>
        <w:t xml:space="preserve">     </w:t>
      </w:r>
      <w:r>
        <w:rPr>
          <w:rFonts w:hint="eastAsia"/>
          <w:color w:val="auto"/>
          <w:highlight w:val="none"/>
          <w:lang w:val="en-US" w:eastAsia="zh-CN"/>
        </w:rPr>
        <w:t>万元，属于</w:t>
      </w:r>
      <w:r>
        <w:rPr>
          <w:rFonts w:hint="eastAsia"/>
          <w:color w:val="auto"/>
          <w:highlight w:val="none"/>
          <w:u w:val="single"/>
          <w:lang w:val="en-US" w:eastAsia="zh-CN"/>
        </w:rPr>
        <w:t>（中型企业、小型企业、微型企业）</w:t>
      </w:r>
      <w:r>
        <w:rPr>
          <w:rFonts w:hint="eastAsia"/>
          <w:color w:val="auto"/>
          <w:highlight w:val="none"/>
          <w:lang w:val="en-US" w:eastAsia="zh-CN"/>
        </w:rPr>
        <w:t>；</w:t>
      </w:r>
    </w:p>
    <w:p w14:paraId="60383B98">
      <w:pPr>
        <w:pStyle w:val="26"/>
        <w:shd w:val="clear"/>
        <w:spacing w:line="500" w:lineRule="exact"/>
        <w:ind w:firstLine="420" w:firstLineChars="200"/>
        <w:jc w:val="left"/>
        <w:rPr>
          <w:rFonts w:hint="eastAsia"/>
          <w:color w:val="auto"/>
          <w:highlight w:val="none"/>
          <w:lang w:val="en-US" w:eastAsia="zh-CN"/>
        </w:rPr>
      </w:pPr>
      <w:r>
        <w:rPr>
          <w:rFonts w:hint="eastAsia"/>
          <w:color w:val="auto"/>
          <w:highlight w:val="none"/>
          <w:lang w:val="en-US" w:eastAsia="zh-CN"/>
        </w:rPr>
        <w:t>……</w:t>
      </w:r>
    </w:p>
    <w:p w14:paraId="6438BEE6">
      <w:pPr>
        <w:pStyle w:val="26"/>
        <w:shd w:val="clear"/>
        <w:spacing w:line="500" w:lineRule="exact"/>
        <w:ind w:firstLine="420" w:firstLineChars="200"/>
        <w:jc w:val="left"/>
        <w:rPr>
          <w:rFonts w:hint="eastAsia"/>
          <w:color w:val="auto"/>
          <w:highlight w:val="none"/>
          <w:lang w:val="en-US" w:eastAsia="zh-CN"/>
        </w:rPr>
      </w:pPr>
      <w:r>
        <w:rPr>
          <w:rFonts w:hint="eastAsia"/>
          <w:color w:val="auto"/>
          <w:highlight w:val="none"/>
          <w:lang w:val="en-US" w:eastAsia="zh-CN"/>
        </w:rPr>
        <w:t>以上企业，不属于大企业的分支机构，不存在控股股东为大企业的情形，也不存在与大企业的负责人为同一人的情形。</w:t>
      </w:r>
    </w:p>
    <w:p w14:paraId="5780F035">
      <w:pPr>
        <w:pStyle w:val="26"/>
        <w:shd w:val="clear"/>
        <w:spacing w:line="500" w:lineRule="exact"/>
        <w:ind w:firstLine="420" w:firstLineChars="200"/>
        <w:jc w:val="left"/>
        <w:rPr>
          <w:rFonts w:hint="eastAsia"/>
          <w:color w:val="auto"/>
          <w:highlight w:val="none"/>
          <w:lang w:val="en-US" w:eastAsia="zh-CN"/>
        </w:rPr>
      </w:pPr>
      <w:r>
        <w:rPr>
          <w:rFonts w:hint="eastAsia"/>
          <w:color w:val="auto"/>
          <w:highlight w:val="none"/>
          <w:lang w:val="en-US" w:eastAsia="zh-CN"/>
        </w:rPr>
        <w:t>本企业对上述声明内容的真实性负责。如有虚假，将依法承担相应责任。</w:t>
      </w:r>
    </w:p>
    <w:p w14:paraId="3CCBFB7E">
      <w:pPr>
        <w:pStyle w:val="26"/>
        <w:shd w:val="clear"/>
        <w:spacing w:line="500" w:lineRule="exact"/>
        <w:ind w:firstLine="420" w:firstLineChars="200"/>
        <w:jc w:val="left"/>
        <w:rPr>
          <w:rFonts w:hint="eastAsia"/>
          <w:color w:val="auto"/>
          <w:highlight w:val="none"/>
          <w:lang w:val="en-US" w:eastAsia="zh-CN"/>
        </w:rPr>
      </w:pPr>
    </w:p>
    <w:p w14:paraId="060E0086">
      <w:pPr>
        <w:pStyle w:val="26"/>
        <w:shd w:val="clear"/>
        <w:spacing w:line="500" w:lineRule="exact"/>
        <w:ind w:firstLine="4620" w:firstLineChars="2200"/>
        <w:jc w:val="left"/>
        <w:rPr>
          <w:rFonts w:hint="eastAsia"/>
          <w:color w:val="auto"/>
          <w:highlight w:val="none"/>
          <w:lang w:val="en-US" w:eastAsia="zh-CN"/>
        </w:rPr>
      </w:pPr>
      <w:r>
        <w:rPr>
          <w:rFonts w:hint="eastAsia"/>
          <w:color w:val="auto"/>
          <w:highlight w:val="none"/>
          <w:lang w:val="en-US" w:eastAsia="zh-CN"/>
        </w:rPr>
        <w:t>企业名称（盖章）：</w:t>
      </w:r>
    </w:p>
    <w:p w14:paraId="636AA37B">
      <w:pPr>
        <w:pStyle w:val="26"/>
        <w:shd w:val="clear"/>
        <w:spacing w:line="500" w:lineRule="exact"/>
        <w:ind w:firstLine="4620" w:firstLineChars="2200"/>
        <w:jc w:val="left"/>
        <w:rPr>
          <w:rFonts w:hint="eastAsia"/>
          <w:color w:val="auto"/>
          <w:highlight w:val="none"/>
          <w:lang w:val="en-US" w:eastAsia="zh-CN"/>
        </w:rPr>
      </w:pPr>
      <w:r>
        <w:rPr>
          <w:rFonts w:hint="eastAsia"/>
          <w:color w:val="auto"/>
          <w:highlight w:val="none"/>
          <w:lang w:val="en-US" w:eastAsia="zh-CN"/>
        </w:rPr>
        <w:t>日 期：</w:t>
      </w:r>
    </w:p>
    <w:p w14:paraId="0A612CED">
      <w:pPr>
        <w:pStyle w:val="26"/>
        <w:shd w:val="clear"/>
        <w:spacing w:line="500" w:lineRule="exact"/>
        <w:jc w:val="left"/>
        <w:rPr>
          <w:rFonts w:hint="eastAsia"/>
          <w:color w:val="auto"/>
          <w:sz w:val="24"/>
          <w:szCs w:val="24"/>
          <w:highlight w:val="none"/>
          <w:lang w:val="en-US" w:eastAsia="zh-CN"/>
        </w:rPr>
      </w:pPr>
    </w:p>
    <w:p w14:paraId="0627F161">
      <w:pPr>
        <w:pStyle w:val="26"/>
        <w:shd w:val="clear"/>
        <w:spacing w:line="500" w:lineRule="exact"/>
        <w:jc w:val="left"/>
        <w:rPr>
          <w:rFonts w:hint="eastAsia"/>
          <w:color w:val="auto"/>
          <w:sz w:val="18"/>
          <w:szCs w:val="18"/>
          <w:highlight w:val="none"/>
        </w:rPr>
      </w:pPr>
      <w:r>
        <w:rPr>
          <w:rFonts w:hint="eastAsia"/>
          <w:color w:val="auto"/>
          <w:sz w:val="18"/>
          <w:szCs w:val="18"/>
          <w:highlight w:val="none"/>
          <w:lang w:val="en-US" w:eastAsia="zh-CN"/>
        </w:rPr>
        <w:t>注：1、从业人员、营业收入、资产总额填报上一年度数据，无上一年度数据的新成立企业可不填报。</w:t>
      </w:r>
    </w:p>
    <w:p w14:paraId="3ED96C40">
      <w:pPr>
        <w:shd w:val="clear"/>
        <w:snapToGrid w:val="0"/>
        <w:spacing w:line="380" w:lineRule="exact"/>
        <w:ind w:firstLine="352" w:firstLineChars="196"/>
        <w:jc w:val="left"/>
        <w:rPr>
          <w:rFonts w:hint="eastAsia" w:ascii="宋体"/>
          <w:color w:val="auto"/>
          <w:sz w:val="18"/>
          <w:szCs w:val="18"/>
          <w:highlight w:val="none"/>
        </w:rPr>
      </w:pPr>
      <w:r>
        <w:rPr>
          <w:rFonts w:hint="eastAsia" w:ascii="宋体"/>
          <w:color w:val="auto"/>
          <w:sz w:val="18"/>
          <w:szCs w:val="18"/>
          <w:highlight w:val="none"/>
          <w:lang w:eastAsia="zh-CN"/>
        </w:rPr>
        <w:t>2.</w:t>
      </w:r>
      <w:r>
        <w:rPr>
          <w:rFonts w:hint="eastAsia" w:ascii="宋体"/>
          <w:color w:val="auto"/>
          <w:sz w:val="18"/>
          <w:szCs w:val="18"/>
          <w:highlight w:val="none"/>
        </w:rPr>
        <w:t>请根据自己的真实情况出具《中小企业声明函》。依法享受中小企业优惠政策的，采购人或者采购代理机构在公告中标结果时，同时公告其《中小企业声明函》，接受社会监督。</w:t>
      </w:r>
    </w:p>
    <w:p w14:paraId="637393FD">
      <w:pPr>
        <w:shd w:val="clear"/>
        <w:snapToGrid w:val="0"/>
        <w:spacing w:line="380" w:lineRule="exact"/>
        <w:ind w:firstLine="352" w:firstLineChars="196"/>
        <w:jc w:val="left"/>
        <w:rPr>
          <w:rFonts w:hint="eastAsia" w:ascii="宋体"/>
          <w:color w:val="auto"/>
          <w:sz w:val="18"/>
          <w:szCs w:val="18"/>
          <w:highlight w:val="none"/>
        </w:rPr>
      </w:pPr>
      <w:r>
        <w:rPr>
          <w:rFonts w:hint="eastAsia" w:ascii="宋体"/>
          <w:color w:val="auto"/>
          <w:sz w:val="18"/>
          <w:szCs w:val="18"/>
          <w:highlight w:val="none"/>
          <w:lang w:eastAsia="zh-CN"/>
        </w:rPr>
        <w:t>3.</w:t>
      </w:r>
      <w:r>
        <w:rPr>
          <w:rFonts w:hint="eastAsia" w:ascii="宋体"/>
          <w:color w:val="auto"/>
          <w:sz w:val="18"/>
          <w:szCs w:val="18"/>
          <w:highlight w:val="none"/>
        </w:rPr>
        <w:t>在政府采购活动中，供应商提供的货物、工程或者服务符合下列情形的，享受《政府采购促进中小企业发展管理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政府采购促进中小企业发展管理办法》规定的中小企业扶持政策。以联合体形式参加政府采购活动，联合体各方均为中小企业的，联合体视同中小企业。其中，联合体各方均为小微企业的，联合体视同小微企业。</w:t>
      </w:r>
      <w:r>
        <w:rPr>
          <w:rFonts w:ascii="宋体"/>
          <w:color w:val="auto"/>
          <w:sz w:val="18"/>
          <w:szCs w:val="18"/>
          <w:highlight w:val="none"/>
        </w:rPr>
        <w:br w:type="page"/>
      </w:r>
    </w:p>
    <w:p w14:paraId="351B0738">
      <w:pPr>
        <w:shd w:val="clear"/>
        <w:spacing w:line="528" w:lineRule="exact"/>
        <w:ind w:firstLine="2200" w:firstLineChars="550"/>
        <w:rPr>
          <w:rFonts w:ascii="宋体" w:hAnsi="宋体" w:cs="Arial Unicode MS"/>
          <w:color w:val="auto"/>
          <w:sz w:val="40"/>
          <w:szCs w:val="40"/>
          <w:highlight w:val="none"/>
        </w:rPr>
      </w:pPr>
      <w:r>
        <w:rPr>
          <w:rFonts w:hint="eastAsia" w:ascii="宋体" w:hAnsi="宋体" w:cs="微软雅黑"/>
          <w:color w:val="auto"/>
          <w:sz w:val="40"/>
          <w:szCs w:val="40"/>
          <w:highlight w:val="none"/>
        </w:rPr>
        <w:t>中小微企业划型标准</w:t>
      </w:r>
    </w:p>
    <w:tbl>
      <w:tblPr>
        <w:tblStyle w:val="50"/>
        <w:tblW w:w="8591" w:type="dxa"/>
        <w:tblInd w:w="250" w:type="dxa"/>
        <w:tblLayout w:type="fixed"/>
        <w:tblCellMar>
          <w:top w:w="0" w:type="dxa"/>
          <w:left w:w="108" w:type="dxa"/>
          <w:bottom w:w="0" w:type="dxa"/>
          <w:right w:w="108" w:type="dxa"/>
        </w:tblCellMar>
      </w:tblPr>
      <w:tblGrid>
        <w:gridCol w:w="1831"/>
        <w:gridCol w:w="1489"/>
        <w:gridCol w:w="983"/>
        <w:gridCol w:w="1743"/>
        <w:gridCol w:w="1549"/>
        <w:gridCol w:w="996"/>
      </w:tblGrid>
      <w:tr w14:paraId="7384CF95">
        <w:tblPrEx>
          <w:tblCellMar>
            <w:top w:w="0" w:type="dxa"/>
            <w:left w:w="108" w:type="dxa"/>
            <w:bottom w:w="0" w:type="dxa"/>
            <w:right w:w="108" w:type="dxa"/>
          </w:tblCellMar>
        </w:tblPrEx>
        <w:trPr>
          <w:trHeight w:val="287" w:hRule="atLeast"/>
        </w:trPr>
        <w:tc>
          <w:tcPr>
            <w:tcW w:w="1831" w:type="dxa"/>
            <w:tcBorders>
              <w:top w:val="single" w:color="auto" w:sz="4" w:space="0"/>
              <w:left w:val="single" w:color="auto" w:sz="4" w:space="0"/>
              <w:bottom w:val="single" w:color="auto" w:sz="4" w:space="0"/>
              <w:right w:val="single" w:color="auto" w:sz="4" w:space="0"/>
            </w:tcBorders>
            <w:noWrap w:val="0"/>
            <w:vAlign w:val="center"/>
          </w:tcPr>
          <w:p w14:paraId="01D4B958">
            <w:pPr>
              <w:widowControl/>
              <w:shd w:val="clear"/>
              <w:jc w:val="center"/>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489" w:type="dxa"/>
            <w:tcBorders>
              <w:top w:val="single" w:color="auto" w:sz="4" w:space="0"/>
              <w:left w:val="nil"/>
              <w:bottom w:val="single" w:color="auto" w:sz="4" w:space="0"/>
              <w:right w:val="single" w:color="auto" w:sz="4" w:space="0"/>
            </w:tcBorders>
            <w:noWrap w:val="0"/>
            <w:vAlign w:val="center"/>
          </w:tcPr>
          <w:p w14:paraId="246F3C33">
            <w:pPr>
              <w:widowControl/>
              <w:shd w:val="clear"/>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983" w:type="dxa"/>
            <w:tcBorders>
              <w:top w:val="single" w:color="auto" w:sz="4" w:space="0"/>
              <w:left w:val="nil"/>
              <w:bottom w:val="single" w:color="auto" w:sz="4" w:space="0"/>
              <w:right w:val="single" w:color="auto" w:sz="4" w:space="0"/>
            </w:tcBorders>
            <w:noWrap w:val="0"/>
            <w:vAlign w:val="center"/>
          </w:tcPr>
          <w:p w14:paraId="100F5A0B">
            <w:pPr>
              <w:widowControl/>
              <w:shd w:val="clear"/>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计量</w:t>
            </w:r>
          </w:p>
          <w:p w14:paraId="6365ACC7">
            <w:pPr>
              <w:widowControl/>
              <w:shd w:val="clear"/>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单位</w:t>
            </w:r>
          </w:p>
        </w:tc>
        <w:tc>
          <w:tcPr>
            <w:tcW w:w="1743" w:type="dxa"/>
            <w:tcBorders>
              <w:top w:val="single" w:color="auto" w:sz="4" w:space="0"/>
              <w:left w:val="nil"/>
              <w:bottom w:val="single" w:color="auto" w:sz="4" w:space="0"/>
              <w:right w:val="single" w:color="auto" w:sz="4" w:space="0"/>
            </w:tcBorders>
            <w:noWrap w:val="0"/>
            <w:vAlign w:val="center"/>
          </w:tcPr>
          <w:p w14:paraId="72B86997">
            <w:pPr>
              <w:widowControl/>
              <w:shd w:val="clear"/>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549" w:type="dxa"/>
            <w:tcBorders>
              <w:top w:val="single" w:color="auto" w:sz="4" w:space="0"/>
              <w:left w:val="nil"/>
              <w:bottom w:val="single" w:color="auto" w:sz="4" w:space="0"/>
              <w:right w:val="single" w:color="auto" w:sz="4" w:space="0"/>
            </w:tcBorders>
            <w:noWrap w:val="0"/>
            <w:vAlign w:val="center"/>
          </w:tcPr>
          <w:p w14:paraId="7E68F4A3">
            <w:pPr>
              <w:widowControl/>
              <w:shd w:val="clear"/>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996" w:type="dxa"/>
            <w:tcBorders>
              <w:top w:val="single" w:color="auto" w:sz="4" w:space="0"/>
              <w:left w:val="nil"/>
              <w:bottom w:val="single" w:color="auto" w:sz="4" w:space="0"/>
              <w:right w:val="single" w:color="auto" w:sz="4" w:space="0"/>
            </w:tcBorders>
            <w:noWrap w:val="0"/>
            <w:vAlign w:val="center"/>
          </w:tcPr>
          <w:p w14:paraId="212DE2AF">
            <w:pPr>
              <w:widowControl/>
              <w:shd w:val="clear"/>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5A537CC2">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center"/>
          </w:tcPr>
          <w:p w14:paraId="7E874AC8">
            <w:pPr>
              <w:widowControl/>
              <w:shd w:val="clear"/>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489" w:type="dxa"/>
            <w:tcBorders>
              <w:top w:val="nil"/>
              <w:left w:val="nil"/>
              <w:bottom w:val="single" w:color="auto" w:sz="4" w:space="0"/>
              <w:right w:val="single" w:color="auto" w:sz="4" w:space="0"/>
            </w:tcBorders>
            <w:noWrap w:val="0"/>
            <w:vAlign w:val="center"/>
          </w:tcPr>
          <w:p w14:paraId="55346CC3">
            <w:pPr>
              <w:widowControl/>
              <w:shd w:val="clear"/>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42DADF51">
            <w:pPr>
              <w:widowControl/>
              <w:shd w:val="clear"/>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6003E450">
            <w:pPr>
              <w:widowControl/>
              <w:shd w:val="clear"/>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49" w:type="dxa"/>
            <w:tcBorders>
              <w:top w:val="nil"/>
              <w:left w:val="nil"/>
              <w:bottom w:val="single" w:color="auto" w:sz="4" w:space="0"/>
              <w:right w:val="single" w:color="auto" w:sz="4" w:space="0"/>
            </w:tcBorders>
            <w:noWrap w:val="0"/>
            <w:vAlign w:val="center"/>
          </w:tcPr>
          <w:p w14:paraId="7364B1EF">
            <w:pPr>
              <w:widowControl/>
              <w:shd w:val="clear"/>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6" w:type="dxa"/>
            <w:tcBorders>
              <w:top w:val="nil"/>
              <w:left w:val="nil"/>
              <w:bottom w:val="single" w:color="auto" w:sz="4" w:space="0"/>
              <w:right w:val="single" w:color="auto" w:sz="4" w:space="0"/>
            </w:tcBorders>
            <w:noWrap w:val="0"/>
            <w:vAlign w:val="center"/>
          </w:tcPr>
          <w:p w14:paraId="3BF23370">
            <w:pPr>
              <w:widowControl/>
              <w:shd w:val="clear"/>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7EBC0CA">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14075F5E">
            <w:pPr>
              <w:widowControl/>
              <w:shd w:val="clear"/>
              <w:jc w:val="center"/>
              <w:rPr>
                <w:rFonts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4FE6F056">
            <w:pPr>
              <w:widowControl/>
              <w:shd w:val="clear"/>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37025F1F">
            <w:pPr>
              <w:widowControl/>
              <w:shd w:val="clear"/>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4E86B386">
            <w:pPr>
              <w:widowControl/>
              <w:shd w:val="clear"/>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549" w:type="dxa"/>
            <w:tcBorders>
              <w:top w:val="nil"/>
              <w:left w:val="nil"/>
              <w:bottom w:val="single" w:color="auto" w:sz="4" w:space="0"/>
              <w:right w:val="single" w:color="auto" w:sz="4" w:space="0"/>
            </w:tcBorders>
            <w:noWrap w:val="0"/>
            <w:vAlign w:val="center"/>
          </w:tcPr>
          <w:p w14:paraId="484C078E">
            <w:pPr>
              <w:widowControl/>
              <w:shd w:val="clear"/>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6" w:type="dxa"/>
            <w:tcBorders>
              <w:top w:val="nil"/>
              <w:left w:val="nil"/>
              <w:bottom w:val="single" w:color="auto" w:sz="4" w:space="0"/>
              <w:right w:val="single" w:color="auto" w:sz="4" w:space="0"/>
            </w:tcBorders>
            <w:noWrap w:val="0"/>
            <w:vAlign w:val="center"/>
          </w:tcPr>
          <w:p w14:paraId="07400978">
            <w:pPr>
              <w:widowControl/>
              <w:shd w:val="clear"/>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bl>
    <w:p w14:paraId="561C452C">
      <w:pPr>
        <w:shd w:val="clear"/>
        <w:snapToGrid w:val="0"/>
        <w:spacing w:line="380" w:lineRule="exact"/>
        <w:ind w:firstLine="411" w:firstLineChars="196"/>
        <w:jc w:val="left"/>
        <w:rPr>
          <w:rFonts w:hint="eastAsia" w:ascii="宋体"/>
          <w:color w:val="auto"/>
          <w:sz w:val="18"/>
          <w:szCs w:val="18"/>
          <w:highlight w:val="none"/>
        </w:rPr>
      </w:pPr>
      <w:r>
        <w:rPr>
          <w:rFonts w:hint="eastAsia" w:ascii="宋体" w:hAnsi="宋体"/>
          <w:color w:val="auto"/>
          <w:szCs w:val="21"/>
          <w:highlight w:val="none"/>
        </w:rPr>
        <w:t>说明：上述标准参照《关于印发中小企业划型标准规定的通知》（工信部联企业</w:t>
      </w:r>
      <w:r>
        <w:rPr>
          <w:rFonts w:hint="eastAsia" w:ascii="宋体" w:hAnsi="宋体"/>
          <w:color w:val="auto"/>
          <w:szCs w:val="21"/>
          <w:highlight w:val="none"/>
          <w:lang w:eastAsia="zh-CN"/>
        </w:rPr>
        <w:t>〔2011〕300号</w:t>
      </w:r>
      <w:r>
        <w:rPr>
          <w:rFonts w:hint="eastAsia" w:ascii="宋体" w:hAnsi="宋体"/>
          <w:color w:val="auto"/>
          <w:szCs w:val="21"/>
          <w:highlight w:val="none"/>
        </w:rPr>
        <w:t>），大型、中型和小型企业须同时满足所列指标的下限，否则下划一档；微型企业只</w:t>
      </w:r>
      <w:r>
        <w:rPr>
          <w:rFonts w:hint="eastAsia" w:ascii="宋体" w:hAnsi="宋体"/>
          <w:color w:val="auto"/>
          <w:szCs w:val="21"/>
          <w:highlight w:val="none"/>
          <w:lang w:eastAsia="zh-CN"/>
        </w:rPr>
        <w:t>需</w:t>
      </w:r>
      <w:r>
        <w:rPr>
          <w:rFonts w:hint="eastAsia" w:ascii="宋体" w:hAnsi="宋体"/>
          <w:color w:val="auto"/>
          <w:szCs w:val="21"/>
          <w:highlight w:val="none"/>
        </w:rPr>
        <w:t>满足所列指标中的一项即可。</w:t>
      </w:r>
    </w:p>
    <w:p w14:paraId="0290AF39">
      <w:pPr>
        <w:shd w:val="clear"/>
        <w:spacing w:line="360" w:lineRule="auto"/>
        <w:contextualSpacing/>
        <w:jc w:val="center"/>
        <w:rPr>
          <w:color w:val="auto"/>
          <w:highlight w:val="none"/>
        </w:rPr>
      </w:pPr>
      <w:r>
        <w:rPr>
          <w:color w:val="auto"/>
          <w:highlight w:val="none"/>
        </w:rPr>
        <w:br w:type="page"/>
      </w:r>
    </w:p>
    <w:p w14:paraId="7AC0E11E">
      <w:pPr>
        <w:shd w:val="clear"/>
        <w:spacing w:line="360" w:lineRule="auto"/>
        <w:contextualSpacing/>
        <w:jc w:val="center"/>
        <w:rPr>
          <w:rFonts w:ascii="仿宋_GB2312" w:hAnsi="仿宋_GB2312" w:eastAsia="仿宋_GB2312" w:cs="仿宋_GB2312"/>
          <w:b/>
          <w:bCs/>
          <w:color w:val="auto"/>
          <w:sz w:val="28"/>
          <w:szCs w:val="28"/>
          <w:highlight w:val="none"/>
        </w:rPr>
      </w:pPr>
      <w:r>
        <w:rPr>
          <w:rFonts w:hint="eastAsia" w:ascii="宋体" w:hAnsi="宋体" w:eastAsia="宋体" w:cs="微软雅黑"/>
          <w:b/>
          <w:bCs/>
          <w:color w:val="auto"/>
          <w:sz w:val="28"/>
          <w:szCs w:val="28"/>
          <w:highlight w:val="none"/>
        </w:rPr>
        <w:t>残疾人福利性单位声明函</w:t>
      </w:r>
    </w:p>
    <w:p w14:paraId="53B56088">
      <w:pPr>
        <w:shd w:val="clear"/>
        <w:spacing w:line="520" w:lineRule="exact"/>
        <w:rPr>
          <w:rFonts w:ascii="仿宋_GB2312" w:hAnsi="仿宋_GB2312" w:eastAsia="仿宋_GB2312" w:cs="仿宋_GB2312"/>
          <w:color w:val="auto"/>
          <w:sz w:val="32"/>
          <w:szCs w:val="32"/>
          <w:highlight w:val="none"/>
        </w:rPr>
      </w:pPr>
    </w:p>
    <w:p w14:paraId="5111E001">
      <w:pPr>
        <w:shd w:val="clear"/>
        <w:spacing w:line="360" w:lineRule="auto"/>
        <w:ind w:firstLine="420" w:firstLineChars="2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1"/>
          <w:szCs w:val="21"/>
          <w:highlight w:val="none"/>
          <w:u w:val="single"/>
        </w:rPr>
        <w:t xml:space="preserve">       </w:t>
      </w:r>
      <w:r>
        <w:rPr>
          <w:rFonts w:hint="eastAsia" w:ascii="宋体" w:hAnsi="宋体" w:cs="仿宋_GB2312"/>
          <w:color w:val="auto"/>
          <w:sz w:val="21"/>
          <w:szCs w:val="21"/>
          <w:highlight w:val="none"/>
        </w:rPr>
        <w:t>单位的</w:t>
      </w:r>
      <w:r>
        <w:rPr>
          <w:rFonts w:hint="eastAsia" w:ascii="宋体" w:hAnsi="宋体" w:cs="仿宋_GB2312"/>
          <w:color w:val="auto"/>
          <w:sz w:val="21"/>
          <w:szCs w:val="21"/>
          <w:highlight w:val="none"/>
          <w:u w:val="single"/>
        </w:rPr>
        <w:t xml:space="preserve">        </w:t>
      </w:r>
      <w:r>
        <w:rPr>
          <w:rFonts w:hint="eastAsia" w:ascii="宋体" w:hAnsi="宋体" w:cs="仿宋_GB2312"/>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6C324146">
      <w:pPr>
        <w:shd w:val="clear"/>
        <w:spacing w:line="360" w:lineRule="auto"/>
        <w:ind w:firstLine="420" w:firstLineChars="2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本单位对上述声明的真实性负责。如有虚假，将依法承担相应责任。</w:t>
      </w:r>
    </w:p>
    <w:p w14:paraId="06121481">
      <w:pPr>
        <w:shd w:val="clear"/>
        <w:spacing w:line="360" w:lineRule="auto"/>
        <w:contextualSpacing/>
        <w:rPr>
          <w:rFonts w:ascii="宋体" w:hAnsi="宋体" w:cs="仿宋_GB2312"/>
          <w:color w:val="auto"/>
          <w:sz w:val="21"/>
          <w:szCs w:val="21"/>
          <w:highlight w:val="none"/>
        </w:rPr>
      </w:pPr>
    </w:p>
    <w:p w14:paraId="66941888">
      <w:pPr>
        <w:shd w:val="clear"/>
        <w:spacing w:line="360" w:lineRule="auto"/>
        <w:ind w:firstLine="2100" w:firstLineChars="10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单位名称（盖电子章）：</w:t>
      </w:r>
    </w:p>
    <w:p w14:paraId="69277B86">
      <w:pPr>
        <w:shd w:val="clear"/>
        <w:spacing w:line="360" w:lineRule="auto"/>
        <w:ind w:firstLine="3150" w:firstLineChars="15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日  期：</w:t>
      </w:r>
    </w:p>
    <w:p w14:paraId="7E7E627A">
      <w:pPr>
        <w:shd w:val="clear"/>
        <w:spacing w:line="360" w:lineRule="auto"/>
        <w:contextualSpacing/>
        <w:rPr>
          <w:rFonts w:ascii="宋体" w:hAnsi="宋体" w:cs="仿宋_GB2312"/>
          <w:color w:val="auto"/>
          <w:sz w:val="21"/>
          <w:szCs w:val="21"/>
          <w:highlight w:val="none"/>
        </w:rPr>
      </w:pPr>
    </w:p>
    <w:p w14:paraId="5F362B8B">
      <w:pPr>
        <w:shd w:val="clear"/>
        <w:spacing w:line="360" w:lineRule="auto"/>
        <w:contextualSpacing/>
        <w:rPr>
          <w:rFonts w:ascii="宋体" w:hAnsi="宋体" w:cs="仿宋_GB2312"/>
          <w:color w:val="auto"/>
          <w:sz w:val="21"/>
          <w:szCs w:val="21"/>
          <w:highlight w:val="none"/>
        </w:rPr>
      </w:pPr>
    </w:p>
    <w:p w14:paraId="0D0FCD1E">
      <w:pPr>
        <w:shd w:val="clear"/>
        <w:spacing w:line="360" w:lineRule="auto"/>
        <w:contextualSpacing/>
        <w:rPr>
          <w:rFonts w:ascii="宋体" w:hAnsi="宋体" w:cs="仿宋_GB2312"/>
          <w:color w:val="auto"/>
          <w:sz w:val="21"/>
          <w:szCs w:val="21"/>
          <w:highlight w:val="none"/>
        </w:rPr>
      </w:pPr>
    </w:p>
    <w:p w14:paraId="22495B7C">
      <w:pPr>
        <w:shd w:val="clear"/>
        <w:spacing w:line="360" w:lineRule="auto"/>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19160B50">
      <w:pPr>
        <w:numPr>
          <w:ilvl w:val="0"/>
          <w:numId w:val="0"/>
        </w:numPr>
        <w:shd w:val="clear"/>
        <w:spacing w:line="720" w:lineRule="auto"/>
        <w:rPr>
          <w:rFonts w:hint="eastAsia" w:ascii="宋体" w:hAnsi="宋体" w:eastAsia="宋体" w:cs="宋体"/>
          <w:color w:val="auto"/>
          <w:highlight w:val="none"/>
          <w:lang w:val="en-US" w:eastAsia="zh-CN"/>
        </w:rPr>
      </w:pPr>
      <w:r>
        <w:rPr>
          <w:color w:val="auto"/>
          <w:highlight w:val="none"/>
        </w:rPr>
        <w:br w:type="page"/>
      </w:r>
      <w:r>
        <w:rPr>
          <w:rFonts w:hint="eastAsia" w:ascii="宋体" w:hAnsi="宋体" w:eastAsia="宋体" w:cs="宋体"/>
          <w:color w:val="auto"/>
          <w:kern w:val="2"/>
          <w:sz w:val="21"/>
          <w:szCs w:val="24"/>
          <w:highlight w:val="none"/>
          <w:lang w:val="en-US" w:eastAsia="zh-CN" w:bidi="ar-SA"/>
        </w:rPr>
        <w:t>（5）</w:t>
      </w:r>
      <w:r>
        <w:rPr>
          <w:rFonts w:hint="eastAsia" w:ascii="宋体" w:hAnsi="宋体" w:eastAsia="宋体" w:cs="宋体"/>
          <w:color w:val="auto"/>
          <w:highlight w:val="none"/>
          <w:lang w:val="en-US" w:eastAsia="zh-CN"/>
        </w:rPr>
        <w:t>《关于符合本国产品标准的声明函》或者财政部会同有关部门规定的有关证明文件</w:t>
      </w:r>
    </w:p>
    <w:p w14:paraId="63A86E78">
      <w:pPr>
        <w:numPr>
          <w:ilvl w:val="0"/>
          <w:numId w:val="0"/>
        </w:numPr>
        <w:shd w:val="clear"/>
        <w:spacing w:line="72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关于符合本国产品标准的声明函</w:t>
      </w:r>
    </w:p>
    <w:p w14:paraId="6D136337">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exact"/>
        <w:ind w:left="0" w:right="0" w:firstLine="420" w:firstLineChars="20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E8B48D2">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exact"/>
        <w:ind w:left="0" w:right="0" w:firstLine="420" w:firstLineChars="20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w:t>
      </w:r>
      <w:r>
        <w:rPr>
          <w:rStyle w:val="55"/>
          <w:rFonts w:hint="eastAsia" w:ascii="宋体" w:hAnsi="宋体" w:eastAsia="宋体" w:cs="宋体"/>
          <w:i w:val="0"/>
          <w:iCs w:val="0"/>
          <w:caps w:val="0"/>
          <w:color w:val="auto"/>
          <w:spacing w:val="0"/>
          <w:sz w:val="21"/>
          <w:szCs w:val="21"/>
          <w:highlight w:val="none"/>
          <w:u w:val="single"/>
          <w:shd w:val="clear" w:color="auto" w:fill="FFFFFF"/>
        </w:rPr>
        <w:t>（产品名称1）</w:t>
      </w:r>
      <w:r>
        <w:rPr>
          <w:rStyle w:val="55"/>
          <w:rFonts w:hint="eastAsia" w:ascii="宋体" w:hAnsi="宋体" w:eastAsia="宋体" w:cs="宋体"/>
          <w:i w:val="0"/>
          <w:iCs w:val="0"/>
          <w:caps w:val="0"/>
          <w:color w:val="auto"/>
          <w:spacing w:val="0"/>
          <w:sz w:val="21"/>
          <w:szCs w:val="21"/>
          <w:highlight w:val="none"/>
          <w:u w:val="single"/>
          <w:shd w:val="clear" w:color="auto" w:fill="FFFFFF"/>
          <w:vertAlign w:val="superscript"/>
        </w:rPr>
        <w:t>1</w:t>
      </w:r>
      <w:r>
        <w:rPr>
          <w:rFonts w:hint="eastAsia" w:ascii="宋体" w:hAnsi="宋体" w:eastAsia="宋体" w:cs="宋体"/>
          <w:i w:val="0"/>
          <w:iCs w:val="0"/>
          <w:caps w:val="0"/>
          <w:color w:val="auto"/>
          <w:spacing w:val="0"/>
          <w:sz w:val="21"/>
          <w:szCs w:val="21"/>
          <w:highlight w:val="none"/>
          <w:shd w:val="clear" w:color="auto" w:fill="FFFFFF"/>
        </w:rPr>
        <w:t>，生产厂为</w:t>
      </w:r>
      <w:r>
        <w:rPr>
          <w:rStyle w:val="55"/>
          <w:rFonts w:hint="eastAsia" w:ascii="宋体" w:hAnsi="宋体" w:eastAsia="宋体" w:cs="宋体"/>
          <w:i w:val="0"/>
          <w:iCs w:val="0"/>
          <w:caps w:val="0"/>
          <w:color w:val="auto"/>
          <w:spacing w:val="0"/>
          <w:sz w:val="21"/>
          <w:szCs w:val="21"/>
          <w:highlight w:val="none"/>
          <w:u w:val="single"/>
          <w:shd w:val="clear" w:color="auto" w:fill="FFFFFF"/>
        </w:rPr>
        <w:t>（厂名）</w:t>
      </w:r>
      <w:r>
        <w:rPr>
          <w:rStyle w:val="55"/>
          <w:rFonts w:hint="eastAsia" w:ascii="宋体" w:hAnsi="宋体" w:eastAsia="宋体" w:cs="宋体"/>
          <w:i w:val="0"/>
          <w:iCs w:val="0"/>
          <w:caps w:val="0"/>
          <w:color w:val="auto"/>
          <w:spacing w:val="0"/>
          <w:sz w:val="21"/>
          <w:szCs w:val="21"/>
          <w:highlight w:val="none"/>
          <w:u w:val="single"/>
          <w:shd w:val="clear" w:color="auto" w:fill="FFFFFF"/>
          <w:vertAlign w:val="superscript"/>
        </w:rPr>
        <w:t>2</w:t>
      </w:r>
      <w:r>
        <w:rPr>
          <w:rFonts w:hint="eastAsia" w:ascii="宋体" w:hAnsi="宋体" w:eastAsia="宋体" w:cs="宋体"/>
          <w:i w:val="0"/>
          <w:iCs w:val="0"/>
          <w:caps w:val="0"/>
          <w:color w:val="auto"/>
          <w:spacing w:val="0"/>
          <w:sz w:val="21"/>
          <w:szCs w:val="21"/>
          <w:highlight w:val="none"/>
          <w:shd w:val="clear" w:color="auto" w:fill="FFFFFF"/>
        </w:rPr>
        <w:t>，厂址为</w:t>
      </w:r>
      <w:r>
        <w:rPr>
          <w:rStyle w:val="55"/>
          <w:rFonts w:hint="eastAsia" w:ascii="宋体" w:hAnsi="宋体" w:eastAsia="宋体" w:cs="宋体"/>
          <w:i w:val="0"/>
          <w:iCs w:val="0"/>
          <w:caps w:val="0"/>
          <w:color w:val="auto"/>
          <w:spacing w:val="0"/>
          <w:sz w:val="21"/>
          <w:szCs w:val="21"/>
          <w:highlight w:val="none"/>
          <w:u w:val="singl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55"/>
          <w:rFonts w:hint="eastAsia" w:ascii="宋体" w:hAnsi="宋体" w:eastAsia="宋体" w:cs="宋体"/>
          <w:i w:val="0"/>
          <w:iCs w:val="0"/>
          <w:caps w:val="0"/>
          <w:color w:val="auto"/>
          <w:spacing w:val="0"/>
          <w:sz w:val="21"/>
          <w:szCs w:val="21"/>
          <w:highlight w:val="none"/>
          <w:u w:val="singl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55"/>
          <w:rFonts w:hint="eastAsia" w:ascii="宋体" w:hAnsi="宋体" w:eastAsia="宋体" w:cs="宋体"/>
          <w:i w:val="0"/>
          <w:iCs w:val="0"/>
          <w:caps w:val="0"/>
          <w:color w:val="auto"/>
          <w:spacing w:val="0"/>
          <w:sz w:val="21"/>
          <w:szCs w:val="21"/>
          <w:highlight w:val="none"/>
          <w:u w:val="single"/>
          <w:shd w:val="clear" w:color="auto" w:fill="FFFFFF"/>
        </w:rPr>
        <w:t>（规定比例）</w:t>
      </w:r>
      <w:r>
        <w:rPr>
          <w:rStyle w:val="55"/>
          <w:rFonts w:hint="eastAsia" w:ascii="宋体" w:hAnsi="宋体" w:eastAsia="宋体" w:cs="宋体"/>
          <w:i w:val="0"/>
          <w:iCs w:val="0"/>
          <w:caps w:val="0"/>
          <w:color w:val="auto"/>
          <w:spacing w:val="0"/>
          <w:sz w:val="21"/>
          <w:szCs w:val="21"/>
          <w:highlight w:val="none"/>
          <w:u w:val="single"/>
          <w:shd w:val="clear" w:color="auto" w:fill="FFFFFF"/>
          <w:vertAlign w:val="superscript"/>
        </w:rPr>
        <w:t>3</w:t>
      </w:r>
      <w:r>
        <w:rPr>
          <w:rFonts w:hint="eastAsia" w:ascii="宋体" w:hAnsi="宋体" w:eastAsia="宋体" w:cs="宋体"/>
          <w:i w:val="0"/>
          <w:iCs w:val="0"/>
          <w:caps w:val="0"/>
          <w:color w:val="auto"/>
          <w:spacing w:val="0"/>
          <w:sz w:val="21"/>
          <w:szCs w:val="21"/>
          <w:highlight w:val="none"/>
          <w:shd w:val="clear" w:color="auto" w:fill="FFFFFF"/>
        </w:rPr>
        <w:t>。</w:t>
      </w:r>
      <w:r>
        <w:rPr>
          <w:rStyle w:val="55"/>
          <w:rFonts w:hint="eastAsia" w:ascii="宋体" w:hAnsi="宋体" w:eastAsia="宋体" w:cs="宋体"/>
          <w:i w:val="0"/>
          <w:iCs w:val="0"/>
          <w:caps w:val="0"/>
          <w:color w:val="auto"/>
          <w:spacing w:val="0"/>
          <w:sz w:val="21"/>
          <w:szCs w:val="21"/>
          <w:highlight w:val="none"/>
          <w:u w:val="singl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55"/>
          <w:rFonts w:hint="eastAsia" w:ascii="宋体" w:hAnsi="宋体" w:eastAsia="宋体" w:cs="宋体"/>
          <w:i w:val="0"/>
          <w:iCs w:val="0"/>
          <w:caps w:val="0"/>
          <w:color w:val="auto"/>
          <w:spacing w:val="0"/>
          <w:sz w:val="21"/>
          <w:szCs w:val="21"/>
          <w:highlight w:val="none"/>
          <w:u w:val="single"/>
          <w:shd w:val="clear" w:color="auto" w:fill="FFFFFF"/>
        </w:rPr>
        <w:t>（关键组件）</w:t>
      </w:r>
      <w:r>
        <w:rPr>
          <w:rStyle w:val="55"/>
          <w:rFonts w:hint="eastAsia" w:ascii="宋体" w:hAnsi="宋体" w:eastAsia="宋体" w:cs="宋体"/>
          <w:i w:val="0"/>
          <w:iCs w:val="0"/>
          <w:caps w:val="0"/>
          <w:color w:val="auto"/>
          <w:spacing w:val="0"/>
          <w:sz w:val="21"/>
          <w:szCs w:val="21"/>
          <w:highlight w:val="none"/>
          <w:u w:val="single"/>
          <w:shd w:val="clear" w:color="auto" w:fill="FFFFFF"/>
          <w:vertAlign w:val="superscript"/>
        </w:rPr>
        <w:t>4</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55"/>
          <w:rFonts w:hint="eastAsia" w:ascii="宋体" w:hAnsi="宋体" w:eastAsia="宋体" w:cs="宋体"/>
          <w:i w:val="0"/>
          <w:iCs w:val="0"/>
          <w:caps w:val="0"/>
          <w:color w:val="auto"/>
          <w:spacing w:val="0"/>
          <w:sz w:val="21"/>
          <w:szCs w:val="21"/>
          <w:highlight w:val="none"/>
          <w:u w:val="singl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55"/>
          <w:rFonts w:hint="eastAsia" w:ascii="宋体" w:hAnsi="宋体" w:eastAsia="宋体" w:cs="宋体"/>
          <w:i w:val="0"/>
          <w:iCs w:val="0"/>
          <w:caps w:val="0"/>
          <w:color w:val="auto"/>
          <w:spacing w:val="0"/>
          <w:sz w:val="21"/>
          <w:szCs w:val="21"/>
          <w:highlight w:val="none"/>
          <w:u w:val="single"/>
          <w:shd w:val="clear" w:color="auto" w:fill="FFFFFF"/>
        </w:rPr>
        <w:t>（关键工序）</w:t>
      </w:r>
      <w:r>
        <w:rPr>
          <w:rStyle w:val="55"/>
          <w:rFonts w:hint="eastAsia" w:ascii="宋体" w:hAnsi="宋体" w:eastAsia="宋体" w:cs="宋体"/>
          <w:i w:val="0"/>
          <w:iCs w:val="0"/>
          <w:caps w:val="0"/>
          <w:color w:val="auto"/>
          <w:spacing w:val="0"/>
          <w:sz w:val="21"/>
          <w:szCs w:val="21"/>
          <w:highlight w:val="none"/>
          <w:u w:val="single"/>
          <w:shd w:val="clear" w:color="auto" w:fill="FFFFFF"/>
          <w:vertAlign w:val="superscript"/>
        </w:rPr>
        <w:t>5</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78B43F1B">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exact"/>
        <w:ind w:left="0" w:right="0" w:firstLine="420" w:firstLineChars="20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w:t>
      </w:r>
      <w:r>
        <w:rPr>
          <w:rStyle w:val="55"/>
          <w:rFonts w:hint="eastAsia" w:ascii="宋体" w:hAnsi="宋体" w:eastAsia="宋体" w:cs="宋体"/>
          <w:i w:val="0"/>
          <w:iCs w:val="0"/>
          <w:caps w:val="0"/>
          <w:color w:val="auto"/>
          <w:spacing w:val="0"/>
          <w:sz w:val="21"/>
          <w:szCs w:val="21"/>
          <w:highlight w:val="none"/>
          <w:u w:val="singl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，生产厂为</w:t>
      </w:r>
      <w:r>
        <w:rPr>
          <w:rStyle w:val="55"/>
          <w:rFonts w:hint="eastAsia" w:ascii="宋体" w:hAnsi="宋体" w:eastAsia="宋体" w:cs="宋体"/>
          <w:i w:val="0"/>
          <w:iCs w:val="0"/>
          <w:caps w:val="0"/>
          <w:color w:val="auto"/>
          <w:spacing w:val="0"/>
          <w:sz w:val="21"/>
          <w:szCs w:val="21"/>
          <w:highlight w:val="none"/>
          <w:u w:val="single"/>
          <w:shd w:val="clear" w:color="auto" w:fill="FFFFFF"/>
        </w:rPr>
        <w:t>（厂名）</w:t>
      </w:r>
      <w:r>
        <w:rPr>
          <w:rFonts w:hint="eastAsia" w:ascii="宋体" w:hAnsi="宋体" w:eastAsia="宋体" w:cs="宋体"/>
          <w:i w:val="0"/>
          <w:iCs w:val="0"/>
          <w:caps w:val="0"/>
          <w:color w:val="auto"/>
          <w:spacing w:val="0"/>
          <w:sz w:val="21"/>
          <w:szCs w:val="21"/>
          <w:highlight w:val="none"/>
          <w:shd w:val="clear" w:color="auto" w:fill="FFFFFF"/>
        </w:rPr>
        <w:t>，厂址为</w:t>
      </w:r>
      <w:r>
        <w:rPr>
          <w:rStyle w:val="55"/>
          <w:rFonts w:hint="eastAsia" w:ascii="宋体" w:hAnsi="宋体" w:eastAsia="宋体" w:cs="宋体"/>
          <w:i w:val="0"/>
          <w:iCs w:val="0"/>
          <w:caps w:val="0"/>
          <w:color w:val="auto"/>
          <w:spacing w:val="0"/>
          <w:sz w:val="21"/>
          <w:szCs w:val="21"/>
          <w:highlight w:val="none"/>
          <w:u w:val="singl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55"/>
          <w:rFonts w:hint="eastAsia" w:ascii="宋体" w:hAnsi="宋体" w:eastAsia="宋体" w:cs="宋体"/>
          <w:i w:val="0"/>
          <w:iCs w:val="0"/>
          <w:caps w:val="0"/>
          <w:color w:val="auto"/>
          <w:spacing w:val="0"/>
          <w:sz w:val="21"/>
          <w:szCs w:val="21"/>
          <w:highlight w:val="none"/>
          <w:u w:val="singl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55"/>
          <w:rFonts w:hint="eastAsia" w:ascii="宋体" w:hAnsi="宋体" w:eastAsia="宋体" w:cs="宋体"/>
          <w:i w:val="0"/>
          <w:iCs w:val="0"/>
          <w:caps w:val="0"/>
          <w:color w:val="auto"/>
          <w:spacing w:val="0"/>
          <w:sz w:val="21"/>
          <w:szCs w:val="21"/>
          <w:highlight w:val="none"/>
          <w:u w:val="single"/>
          <w:shd w:val="clear" w:color="auto" w:fill="FFFFFF"/>
        </w:rPr>
        <w:t>（规定比例）</w:t>
      </w:r>
      <w:r>
        <w:rPr>
          <w:rFonts w:hint="eastAsia" w:ascii="宋体" w:hAnsi="宋体" w:eastAsia="宋体" w:cs="宋体"/>
          <w:i w:val="0"/>
          <w:iCs w:val="0"/>
          <w:caps w:val="0"/>
          <w:color w:val="auto"/>
          <w:spacing w:val="0"/>
          <w:sz w:val="21"/>
          <w:szCs w:val="21"/>
          <w:highlight w:val="none"/>
          <w:shd w:val="clear" w:color="auto" w:fill="FFFFFF"/>
        </w:rPr>
        <w:t>。</w:t>
      </w:r>
      <w:r>
        <w:rPr>
          <w:rStyle w:val="55"/>
          <w:rFonts w:hint="eastAsia" w:ascii="宋体" w:hAnsi="宋体" w:eastAsia="宋体" w:cs="宋体"/>
          <w:i w:val="0"/>
          <w:iCs w:val="0"/>
          <w:caps w:val="0"/>
          <w:color w:val="auto"/>
          <w:spacing w:val="0"/>
          <w:sz w:val="21"/>
          <w:szCs w:val="21"/>
          <w:highlight w:val="none"/>
          <w:u w:val="singl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55"/>
          <w:rFonts w:hint="eastAsia" w:ascii="宋体" w:hAnsi="宋体" w:eastAsia="宋体" w:cs="宋体"/>
          <w:i w:val="0"/>
          <w:iCs w:val="0"/>
          <w:caps w:val="0"/>
          <w:color w:val="auto"/>
          <w:spacing w:val="0"/>
          <w:sz w:val="21"/>
          <w:szCs w:val="21"/>
          <w:highlight w:val="none"/>
          <w:u w:val="single"/>
          <w:shd w:val="clear" w:color="auto" w:fill="FFFFFF"/>
        </w:rPr>
        <w:t>（关键组件）</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55"/>
          <w:rFonts w:hint="eastAsia" w:ascii="宋体" w:hAnsi="宋体" w:eastAsia="宋体" w:cs="宋体"/>
          <w:i w:val="0"/>
          <w:iCs w:val="0"/>
          <w:caps w:val="0"/>
          <w:color w:val="auto"/>
          <w:spacing w:val="0"/>
          <w:sz w:val="21"/>
          <w:szCs w:val="21"/>
          <w:highlight w:val="none"/>
          <w:u w:val="singl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55"/>
          <w:rFonts w:hint="eastAsia" w:ascii="宋体" w:hAnsi="宋体" w:eastAsia="宋体" w:cs="宋体"/>
          <w:i w:val="0"/>
          <w:iCs w:val="0"/>
          <w:caps w:val="0"/>
          <w:color w:val="auto"/>
          <w:spacing w:val="0"/>
          <w:sz w:val="21"/>
          <w:szCs w:val="21"/>
          <w:highlight w:val="none"/>
          <w:u w:val="single"/>
          <w:shd w:val="clear" w:color="auto" w:fill="FFFFFF"/>
        </w:rPr>
        <w:t>（关键工序）</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25F5ACDE">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exact"/>
        <w:ind w:left="0" w:right="0" w:firstLine="420" w:firstLineChars="20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w:t>
      </w:r>
    </w:p>
    <w:p w14:paraId="6C92F08C">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exact"/>
        <w:ind w:left="0" w:right="0" w:firstLine="420" w:firstLineChars="20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本公司（单位）对上述声明内容的真实性负责。如有虚假，愿承担相应法律责任。</w:t>
      </w:r>
    </w:p>
    <w:p w14:paraId="0EC53384">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exact"/>
        <w:ind w:left="0" w:right="0" w:firstLine="420" w:firstLineChars="200"/>
        <w:jc w:val="left"/>
        <w:rPr>
          <w:rFonts w:hint="eastAsia" w:ascii="宋体" w:hAnsi="宋体" w:eastAsia="宋体" w:cs="宋体"/>
          <w:i w:val="0"/>
          <w:iCs w:val="0"/>
          <w:caps w:val="0"/>
          <w:color w:val="auto"/>
          <w:spacing w:val="0"/>
          <w:sz w:val="21"/>
          <w:szCs w:val="21"/>
          <w:highlight w:val="none"/>
          <w:shd w:val="clear" w:color="auto" w:fill="FFFFFF"/>
        </w:rPr>
      </w:pPr>
    </w:p>
    <w:p w14:paraId="1D0DABB2">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exact"/>
        <w:ind w:left="0" w:right="0" w:firstLine="420" w:firstLineChars="20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29E7E1E5">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exact"/>
        <w:ind w:left="0" w:right="0" w:firstLine="420" w:firstLineChars="20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日期：　　　年　　月　日    </w:t>
      </w:r>
    </w:p>
    <w:p w14:paraId="32777F85">
      <w:pPr>
        <w:numPr>
          <w:ilvl w:val="0"/>
          <w:numId w:val="0"/>
        </w:numPr>
        <w:shd w:val="clear"/>
        <w:spacing w:line="400" w:lineRule="exact"/>
        <w:ind w:firstLine="420" w:firstLineChars="200"/>
        <w:jc w:val="left"/>
        <w:rPr>
          <w:rFonts w:hint="eastAsia" w:ascii="宋体" w:hAnsi="宋体" w:eastAsia="宋体" w:cs="宋体"/>
          <w:b w:val="0"/>
          <w:bCs w:val="0"/>
          <w:color w:val="auto"/>
          <w:sz w:val="21"/>
          <w:szCs w:val="21"/>
          <w:highlight w:val="none"/>
        </w:rPr>
      </w:pPr>
    </w:p>
    <w:p w14:paraId="3152C04D">
      <w:pPr>
        <w:numPr>
          <w:ilvl w:val="0"/>
          <w:numId w:val="0"/>
        </w:numPr>
        <w:shd w:val="clear"/>
        <w:spacing w:line="400" w:lineRule="exact"/>
        <w:ind w:firstLine="420" w:firstLineChars="200"/>
        <w:jc w:val="left"/>
        <w:rPr>
          <w:rFonts w:hint="eastAsia" w:ascii="宋体" w:hAnsi="宋体" w:eastAsia="宋体" w:cs="宋体"/>
          <w:b w:val="0"/>
          <w:bCs w:val="0"/>
          <w:color w:val="auto"/>
          <w:sz w:val="21"/>
          <w:szCs w:val="21"/>
          <w:highlight w:val="none"/>
        </w:rPr>
      </w:pPr>
    </w:p>
    <w:p w14:paraId="3C33E93E">
      <w:pPr>
        <w:keepNext w:val="0"/>
        <w:keepLines w:val="0"/>
        <w:pageBreakBefore w:val="0"/>
        <w:numPr>
          <w:ilvl w:val="0"/>
          <w:numId w:val="0"/>
        </w:numPr>
        <w:shd w:val="clear"/>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关于符合本国产品标准的声明函说明： </w:t>
      </w:r>
    </w:p>
    <w:p w14:paraId="6D185819">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1.产品如有型号，请在“产品名称”栏一并填写。</w:t>
      </w:r>
    </w:p>
    <w:p w14:paraId="28486B7D">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2.生产厂名与厂址应与生产厂营业执照载明的相关信息保持一致。</w:t>
      </w:r>
    </w:p>
    <w:p w14:paraId="2D18BFD9">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3.该产品的中国境内生产的组件成本占比相关要求实施前，“规定比例”栏可不填，下同。</w:t>
      </w:r>
    </w:p>
    <w:p w14:paraId="4AE0E7A7">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4.该产品的关键组件要求实施前，“关键组件”栏可不填，下同。</w:t>
      </w:r>
    </w:p>
    <w:p w14:paraId="5E0E8659">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5.该产品的关键工序要求实施前，“关键工序”栏可不填，下同。</w:t>
      </w:r>
    </w:p>
    <w:p w14:paraId="3BF60F40">
      <w:pPr>
        <w:numPr>
          <w:ilvl w:val="0"/>
          <w:numId w:val="0"/>
        </w:numPr>
        <w:shd w:val="clear"/>
        <w:spacing w:line="720" w:lineRule="auto"/>
        <w:jc w:val="center"/>
        <w:rPr>
          <w:rFonts w:ascii="宋体" w:hAnsi="宋体" w:eastAsia="宋体" w:cs="宋体"/>
          <w:b/>
          <w:bCs/>
          <w:color w:val="auto"/>
          <w:sz w:val="28"/>
          <w:szCs w:val="28"/>
          <w:highlight w:val="none"/>
        </w:rPr>
      </w:pPr>
      <w:r>
        <w:rPr>
          <w:color w:val="auto"/>
          <w:highlight w:val="none"/>
        </w:rPr>
        <w:br w:type="page"/>
      </w:r>
      <w:r>
        <w:rPr>
          <w:rFonts w:hint="eastAsia" w:ascii="宋体" w:hAnsi="宋体" w:eastAsia="宋体" w:cs="宋体"/>
          <w:b/>
          <w:bCs/>
          <w:color w:val="auto"/>
          <w:sz w:val="28"/>
          <w:szCs w:val="28"/>
          <w:highlight w:val="none"/>
          <w:lang w:val="en-US" w:eastAsia="zh-CN"/>
        </w:rPr>
        <w:t>2）</w:t>
      </w:r>
      <w:r>
        <w:rPr>
          <w:rFonts w:ascii="宋体" w:hAnsi="宋体" w:eastAsia="宋体" w:cs="宋体"/>
          <w:b/>
          <w:bCs/>
          <w:color w:val="auto"/>
          <w:sz w:val="28"/>
          <w:szCs w:val="28"/>
          <w:highlight w:val="none"/>
        </w:rPr>
        <w:t>关于本国产品比例的承诺函（如适用）</w:t>
      </w:r>
    </w:p>
    <w:p w14:paraId="7F6EFB85">
      <w:pPr>
        <w:numPr>
          <w:ilvl w:val="0"/>
          <w:numId w:val="0"/>
        </w:numPr>
        <w:shd w:val="clear"/>
        <w:spacing w:line="400" w:lineRule="exact"/>
        <w:ind w:firstLine="420" w:firstLineChars="200"/>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本公司</w:t>
      </w:r>
      <w:r>
        <w:rPr>
          <w:rFonts w:hint="eastAsia" w:ascii="宋体" w:hAnsi="宋体" w:eastAsia="宋体" w:cs="宋体"/>
          <w:color w:val="auto"/>
          <w:kern w:val="0"/>
          <w:szCs w:val="21"/>
          <w:highlight w:val="none"/>
          <w:shd w:val="clear" w:color="auto" w:fill="FFFFFF"/>
          <w:lang w:eastAsia="zh-CN"/>
        </w:rPr>
        <w:t>（</w:t>
      </w:r>
      <w:r>
        <w:rPr>
          <w:rFonts w:hint="eastAsia" w:ascii="宋体" w:hAnsi="宋体" w:eastAsia="宋体" w:cs="宋体"/>
          <w:color w:val="auto"/>
          <w:kern w:val="0"/>
          <w:szCs w:val="21"/>
          <w:highlight w:val="none"/>
          <w:shd w:val="clear" w:color="auto" w:fill="FFFFFF"/>
        </w:rPr>
        <w:t>单位</w:t>
      </w:r>
      <w:r>
        <w:rPr>
          <w:rFonts w:hint="eastAsia" w:ascii="宋体" w:hAnsi="宋体" w:eastAsia="宋体" w:cs="宋体"/>
          <w:color w:val="auto"/>
          <w:kern w:val="0"/>
          <w:szCs w:val="21"/>
          <w:highlight w:val="none"/>
          <w:shd w:val="clear" w:color="auto" w:fill="FFFFFF"/>
          <w:lang w:eastAsia="zh-CN"/>
        </w:rPr>
        <w:t>）</w:t>
      </w:r>
      <w:r>
        <w:rPr>
          <w:rFonts w:hint="eastAsia" w:ascii="宋体" w:hAnsi="宋体" w:eastAsia="宋体" w:cs="宋体"/>
          <w:color w:val="auto"/>
          <w:kern w:val="0"/>
          <w:szCs w:val="21"/>
          <w:highlight w:val="none"/>
          <w:shd w:val="clear" w:color="auto" w:fill="FFFFFF"/>
        </w:rPr>
        <w:t>郑重声明，根据《国务院办公厅关于在政府采购中实施本国产品标准及相关政策的通知》</w:t>
      </w:r>
      <w:r>
        <w:rPr>
          <w:rFonts w:hint="eastAsia" w:ascii="宋体" w:hAnsi="宋体" w:eastAsia="宋体" w:cs="宋体"/>
          <w:color w:val="auto"/>
          <w:kern w:val="0"/>
          <w:szCs w:val="21"/>
          <w:highlight w:val="none"/>
          <w:shd w:val="clear" w:color="auto" w:fill="FFFFFF"/>
          <w:lang w:eastAsia="zh-CN"/>
        </w:rPr>
        <w:t>（</w:t>
      </w:r>
      <w:r>
        <w:rPr>
          <w:rFonts w:hint="eastAsia" w:ascii="宋体" w:hAnsi="宋体" w:eastAsia="宋体" w:cs="宋体"/>
          <w:color w:val="auto"/>
          <w:kern w:val="0"/>
          <w:szCs w:val="21"/>
          <w:highlight w:val="none"/>
          <w:shd w:val="clear" w:color="auto" w:fill="FFFFFF"/>
        </w:rPr>
        <w:t>国办发</w:t>
      </w:r>
      <w:r>
        <w:rPr>
          <w:rFonts w:hint="eastAsia" w:ascii="宋体" w:hAnsi="宋体" w:eastAsia="宋体" w:cs="宋体"/>
          <w:color w:val="auto"/>
          <w:kern w:val="0"/>
          <w:szCs w:val="21"/>
          <w:highlight w:val="none"/>
          <w:shd w:val="clear" w:color="auto" w:fill="FFFFFF"/>
          <w:lang w:eastAsia="zh-CN"/>
        </w:rPr>
        <w:t>〔2025〕34号）</w:t>
      </w:r>
      <w:r>
        <w:rPr>
          <w:rFonts w:hint="eastAsia" w:ascii="宋体" w:hAnsi="宋体" w:eastAsia="宋体" w:cs="宋体"/>
          <w:color w:val="auto"/>
          <w:kern w:val="0"/>
          <w:szCs w:val="21"/>
          <w:highlight w:val="none"/>
          <w:shd w:val="clear" w:color="auto" w:fill="FFFFFF"/>
        </w:rPr>
        <w:t>的规定，本公司</w:t>
      </w:r>
      <w:r>
        <w:rPr>
          <w:rFonts w:hint="eastAsia" w:ascii="宋体" w:hAnsi="宋体" w:eastAsia="宋体" w:cs="宋体"/>
          <w:color w:val="auto"/>
          <w:kern w:val="0"/>
          <w:szCs w:val="21"/>
          <w:highlight w:val="none"/>
          <w:shd w:val="clear" w:color="auto" w:fill="FFFFFF"/>
          <w:lang w:eastAsia="zh-CN"/>
        </w:rPr>
        <w:t>（</w:t>
      </w:r>
      <w:r>
        <w:rPr>
          <w:rFonts w:hint="eastAsia" w:ascii="宋体" w:hAnsi="宋体" w:eastAsia="宋体" w:cs="宋体"/>
          <w:color w:val="auto"/>
          <w:kern w:val="0"/>
          <w:szCs w:val="21"/>
          <w:highlight w:val="none"/>
          <w:shd w:val="clear" w:color="auto" w:fill="FFFFFF"/>
        </w:rPr>
        <w:t>单位</w:t>
      </w:r>
      <w:r>
        <w:rPr>
          <w:rFonts w:hint="eastAsia" w:ascii="宋体" w:hAnsi="宋体" w:eastAsia="宋体" w:cs="宋体"/>
          <w:color w:val="auto"/>
          <w:kern w:val="0"/>
          <w:szCs w:val="21"/>
          <w:highlight w:val="none"/>
          <w:shd w:val="clear" w:color="auto" w:fill="FFFFFF"/>
          <w:lang w:eastAsia="zh-CN"/>
        </w:rPr>
        <w:t>）</w:t>
      </w:r>
      <w:r>
        <w:rPr>
          <w:rFonts w:hint="eastAsia" w:ascii="宋体" w:hAnsi="宋体" w:eastAsia="宋体" w:cs="宋体"/>
          <w:color w:val="auto"/>
          <w:kern w:val="0"/>
          <w:szCs w:val="21"/>
          <w:highlight w:val="none"/>
          <w:shd w:val="clear" w:color="auto" w:fill="FFFFFF"/>
        </w:rPr>
        <w:t>提供的符合本国产品标准的产品成本之和占提供的全部产品成本之和的比例达到 80%以上。</w:t>
      </w:r>
    </w:p>
    <w:p w14:paraId="73657270">
      <w:pPr>
        <w:numPr>
          <w:ilvl w:val="0"/>
          <w:numId w:val="0"/>
        </w:numPr>
        <w:shd w:val="clear"/>
        <w:spacing w:line="400" w:lineRule="exact"/>
        <w:ind w:firstLine="420" w:firstLineChars="200"/>
        <w:jc w:val="left"/>
        <w:rPr>
          <w:rFonts w:hint="eastAsia" w:ascii="宋体" w:hAnsi="宋体" w:eastAsia="宋体" w:cs="宋体"/>
          <w:b w:val="0"/>
          <w:bCs w:val="0"/>
          <w:color w:val="auto"/>
          <w:kern w:val="0"/>
          <w:sz w:val="21"/>
          <w:szCs w:val="21"/>
          <w:highlight w:val="none"/>
          <w:shd w:val="clear" w:color="auto" w:fill="FFFFFF"/>
          <w:lang w:val="en-US" w:eastAsia="zh-CN"/>
        </w:rPr>
      </w:pPr>
      <w:r>
        <w:rPr>
          <w:rFonts w:hint="eastAsia" w:ascii="宋体" w:hAnsi="宋体" w:eastAsia="宋体" w:cs="宋体"/>
          <w:b w:val="0"/>
          <w:bCs w:val="0"/>
          <w:color w:val="auto"/>
          <w:kern w:val="0"/>
          <w:sz w:val="21"/>
          <w:szCs w:val="21"/>
          <w:highlight w:val="none"/>
          <w:shd w:val="clear" w:color="auto" w:fill="FFFFFF"/>
        </w:rPr>
        <w:t>本公司</w:t>
      </w:r>
      <w:r>
        <w:rPr>
          <w:rFonts w:hint="eastAsia" w:ascii="宋体" w:hAnsi="宋体" w:eastAsia="宋体" w:cs="宋体"/>
          <w:b w:val="0"/>
          <w:bCs w:val="0"/>
          <w:color w:val="auto"/>
          <w:kern w:val="0"/>
          <w:sz w:val="21"/>
          <w:szCs w:val="21"/>
          <w:highlight w:val="none"/>
          <w:shd w:val="clear" w:color="auto" w:fill="FFFFFF"/>
          <w:lang w:eastAsia="zh-CN"/>
        </w:rPr>
        <w:t>（</w:t>
      </w:r>
      <w:r>
        <w:rPr>
          <w:rFonts w:hint="eastAsia" w:ascii="宋体" w:hAnsi="宋体" w:eastAsia="宋体" w:cs="宋体"/>
          <w:b w:val="0"/>
          <w:bCs w:val="0"/>
          <w:color w:val="auto"/>
          <w:kern w:val="0"/>
          <w:sz w:val="21"/>
          <w:szCs w:val="21"/>
          <w:highlight w:val="none"/>
          <w:shd w:val="clear" w:color="auto" w:fill="FFFFFF"/>
        </w:rPr>
        <w:t>单位</w:t>
      </w:r>
      <w:r>
        <w:rPr>
          <w:rFonts w:hint="eastAsia" w:ascii="宋体" w:hAnsi="宋体" w:eastAsia="宋体" w:cs="宋体"/>
          <w:b w:val="0"/>
          <w:bCs w:val="0"/>
          <w:color w:val="auto"/>
          <w:kern w:val="0"/>
          <w:sz w:val="21"/>
          <w:szCs w:val="21"/>
          <w:highlight w:val="none"/>
          <w:shd w:val="clear" w:color="auto" w:fill="FFFFFF"/>
          <w:lang w:eastAsia="zh-CN"/>
        </w:rPr>
        <w:t>）</w:t>
      </w:r>
      <w:r>
        <w:rPr>
          <w:rFonts w:hint="eastAsia" w:ascii="宋体" w:hAnsi="宋体" w:eastAsia="宋体" w:cs="宋体"/>
          <w:b w:val="0"/>
          <w:bCs w:val="0"/>
          <w:color w:val="auto"/>
          <w:kern w:val="0"/>
          <w:sz w:val="21"/>
          <w:szCs w:val="21"/>
          <w:highlight w:val="none"/>
          <w:shd w:val="clear" w:color="auto" w:fill="FFFFFF"/>
        </w:rPr>
        <w:t>对上述承诺内容的真实性负责。如有虚假，愿承担相应法律</w:t>
      </w:r>
      <w:r>
        <w:rPr>
          <w:rFonts w:hint="eastAsia" w:ascii="宋体" w:hAnsi="宋体" w:eastAsia="宋体" w:cs="宋体"/>
          <w:b w:val="0"/>
          <w:bCs w:val="0"/>
          <w:color w:val="auto"/>
          <w:kern w:val="0"/>
          <w:sz w:val="21"/>
          <w:szCs w:val="21"/>
          <w:highlight w:val="none"/>
          <w:shd w:val="clear" w:color="auto" w:fill="FFFFFF"/>
          <w:lang w:val="en-US" w:eastAsia="zh-CN"/>
        </w:rPr>
        <w:t>责任。</w:t>
      </w:r>
    </w:p>
    <w:p w14:paraId="1B715334">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exact"/>
        <w:ind w:left="0" w:right="0" w:firstLine="0" w:firstLineChars="0"/>
        <w:jc w:val="left"/>
        <w:rPr>
          <w:rFonts w:hint="eastAsia" w:ascii="宋体" w:hAnsi="宋体" w:eastAsia="宋体" w:cs="宋体"/>
          <w:i w:val="0"/>
          <w:iCs w:val="0"/>
          <w:caps w:val="0"/>
          <w:color w:val="auto"/>
          <w:spacing w:val="0"/>
          <w:sz w:val="21"/>
          <w:szCs w:val="21"/>
          <w:highlight w:val="none"/>
          <w:shd w:val="clear" w:color="auto" w:fill="FFFFFF"/>
        </w:rPr>
      </w:pPr>
    </w:p>
    <w:p w14:paraId="509174D8">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exact"/>
        <w:ind w:left="0" w:right="0" w:firstLine="210" w:firstLineChars="10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04A3CEF5">
      <w:pPr>
        <w:numPr>
          <w:ilvl w:val="0"/>
          <w:numId w:val="0"/>
        </w:numPr>
        <w:shd w:val="clear"/>
        <w:spacing w:line="720" w:lineRule="auto"/>
        <w:ind w:firstLine="210" w:firstLineChars="1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FFFFFF"/>
        </w:rPr>
        <w:t>日期：　　　年　　</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月</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　日   </w:t>
      </w:r>
    </w:p>
    <w:p w14:paraId="23C40C17">
      <w:pPr>
        <w:shd w:val="clear"/>
        <w:spacing w:line="720" w:lineRule="auto"/>
        <w:rPr>
          <w:rFonts w:hint="eastAsia" w:ascii="宋体" w:hAnsi="宋体" w:eastAsia="宋体"/>
          <w:b/>
          <w:color w:val="auto"/>
          <w:highlight w:val="none"/>
          <w:lang w:val="en-US" w:eastAsia="zh-CN"/>
        </w:rPr>
      </w:pPr>
      <w:r>
        <w:rPr>
          <w:rFonts w:hint="eastAsia" w:ascii="宋体" w:hAnsi="宋体" w:eastAsia="宋体" w:cs="宋体"/>
          <w:b w:val="0"/>
          <w:bCs w:val="0"/>
          <w:color w:val="auto"/>
          <w:kern w:val="0"/>
          <w:sz w:val="21"/>
          <w:szCs w:val="21"/>
          <w:highlight w:val="none"/>
          <w:shd w:val="clear" w:color="auto" w:fill="FFFFFF"/>
        </w:rPr>
        <w:t>注：当采购项目或采购包中含有多种产品，符合有关政策的，供应商还应当提供本承诺函。</w:t>
      </w:r>
      <w:r>
        <w:rPr>
          <w:color w:val="auto"/>
          <w:highlight w:val="none"/>
        </w:rPr>
        <w:br w:type="page"/>
      </w:r>
      <w:r>
        <w:rPr>
          <w:rFonts w:hint="eastAsia" w:ascii="宋体" w:hAnsi="宋体"/>
          <w:b/>
          <w:color w:val="auto"/>
          <w:highlight w:val="none"/>
        </w:rPr>
        <w:t>（</w:t>
      </w:r>
      <w:r>
        <w:rPr>
          <w:rFonts w:hint="eastAsia" w:ascii="宋体" w:hAnsi="宋体"/>
          <w:b/>
          <w:color w:val="auto"/>
          <w:highlight w:val="none"/>
          <w:lang w:val="en-US" w:eastAsia="zh-CN"/>
        </w:rPr>
        <w:t>6</w:t>
      </w:r>
      <w:r>
        <w:rPr>
          <w:rFonts w:hint="eastAsia" w:ascii="宋体" w:hAnsi="宋体"/>
          <w:b/>
          <w:color w:val="auto"/>
          <w:highlight w:val="none"/>
        </w:rPr>
        <w:t>）开标一览表</w:t>
      </w:r>
      <w:r>
        <w:rPr>
          <w:rFonts w:hint="eastAsia" w:ascii="宋体" w:hAnsi="宋体"/>
          <w:b/>
          <w:color w:val="auto"/>
          <w:highlight w:val="none"/>
          <w:lang w:val="en-US" w:eastAsia="zh-CN"/>
        </w:rPr>
        <w:t>格式：</w:t>
      </w:r>
    </w:p>
    <w:p w14:paraId="3841ADE1">
      <w:pPr>
        <w:shd w:val="clear"/>
        <w:jc w:val="center"/>
        <w:rPr>
          <w:rFonts w:hint="eastAsia" w:ascii="宋体" w:hAnsi="宋体"/>
          <w:b/>
          <w:color w:val="auto"/>
          <w:highlight w:val="none"/>
        </w:rPr>
      </w:pPr>
      <w:r>
        <w:rPr>
          <w:rFonts w:hint="eastAsia" w:ascii="宋体" w:hAnsi="宋体"/>
          <w:b/>
          <w:color w:val="auto"/>
          <w:highlight w:val="none"/>
        </w:rPr>
        <w:t>开标一览表</w:t>
      </w:r>
    </w:p>
    <w:p w14:paraId="0DA4BBEF">
      <w:pPr>
        <w:shd w:val="clear"/>
        <w:spacing w:line="360" w:lineRule="exact"/>
        <w:rPr>
          <w:rFonts w:hint="eastAsia" w:ascii="宋体" w:hAnsi="宋体"/>
          <w:color w:val="auto"/>
          <w:highlight w:val="none"/>
        </w:rPr>
      </w:pPr>
      <w:r>
        <w:rPr>
          <w:rFonts w:hint="eastAsia" w:ascii="宋体" w:hAnsi="宋体"/>
          <w:color w:val="auto"/>
          <w:highlight w:val="none"/>
        </w:rPr>
        <w:t xml:space="preserve">采购项目名称： </w:t>
      </w:r>
      <w:r>
        <w:rPr>
          <w:rFonts w:ascii="宋体" w:hAnsi="宋体"/>
          <w:color w:val="auto"/>
          <w:highlight w:val="none"/>
        </w:rPr>
        <w:t xml:space="preserve">                                                   </w:t>
      </w:r>
    </w:p>
    <w:p w14:paraId="40CCA8BE">
      <w:pPr>
        <w:shd w:val="clear"/>
        <w:spacing w:line="360" w:lineRule="exact"/>
        <w:rPr>
          <w:rFonts w:hint="eastAsia" w:ascii="宋体" w:hAnsi="宋体"/>
          <w:color w:val="auto"/>
          <w:highlight w:val="none"/>
        </w:rPr>
      </w:pPr>
      <w:r>
        <w:rPr>
          <w:rFonts w:hint="eastAsia" w:ascii="宋体" w:hAnsi="宋体"/>
          <w:color w:val="auto"/>
          <w:highlight w:val="none"/>
        </w:rPr>
        <w:t>采购项目编号：                                                       金额单位：人民币（元）</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713"/>
        <w:gridCol w:w="1276"/>
        <w:gridCol w:w="1276"/>
        <w:gridCol w:w="1447"/>
      </w:tblGrid>
      <w:tr w14:paraId="12561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6D861ACC">
            <w:pPr>
              <w:shd w:val="clear"/>
              <w:snapToGrid w:val="0"/>
              <w:spacing w:before="50" w:after="50" w:line="360" w:lineRule="exact"/>
              <w:rPr>
                <w:rFonts w:hint="eastAsia" w:ascii="宋体" w:hAnsi="宋体"/>
                <w:color w:val="auto"/>
                <w:szCs w:val="21"/>
                <w:highlight w:val="none"/>
              </w:rPr>
            </w:pPr>
            <w:r>
              <w:rPr>
                <w:rFonts w:hint="eastAsia" w:ascii="宋体" w:hAnsi="宋体"/>
                <w:color w:val="auto"/>
                <w:szCs w:val="21"/>
                <w:highlight w:val="none"/>
              </w:rPr>
              <w:t>序号</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60A521E">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FF49B5F">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数量</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753A61B5">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产地</w:t>
            </w:r>
          </w:p>
        </w:tc>
        <w:tc>
          <w:tcPr>
            <w:tcW w:w="1713" w:type="dxa"/>
            <w:tcBorders>
              <w:top w:val="single" w:color="auto" w:sz="4" w:space="0"/>
              <w:left w:val="single" w:color="auto" w:sz="4" w:space="0"/>
              <w:bottom w:val="single" w:color="auto" w:sz="4" w:space="0"/>
              <w:right w:val="single" w:color="auto" w:sz="4" w:space="0"/>
            </w:tcBorders>
            <w:noWrap w:val="0"/>
            <w:vAlign w:val="center"/>
          </w:tcPr>
          <w:p w14:paraId="44611864">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品牌及厂家</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A0EF259">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规格型号</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D0FEAF0">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单价</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11316A6">
            <w:pPr>
              <w:shd w:val="clea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投标报价</w:t>
            </w:r>
          </w:p>
        </w:tc>
      </w:tr>
      <w:tr w14:paraId="3D2F29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216F8EB6">
            <w:pPr>
              <w:shd w:val="clear"/>
              <w:jc w:val="center"/>
              <w:rPr>
                <w:rFonts w:hint="eastAsia" w:ascii="宋体" w:hAnsi="宋体"/>
                <w:color w:val="auto"/>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0301126">
            <w:pPr>
              <w:shd w:val="clear"/>
              <w:jc w:val="center"/>
              <w:rPr>
                <w:rFonts w:hint="eastAsia"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B6D4381">
            <w:pPr>
              <w:shd w:val="clear"/>
              <w:jc w:val="center"/>
              <w:rPr>
                <w:rFonts w:hint="eastAsia" w:ascii="宋体" w:hAnsi="宋体"/>
                <w:color w:val="auto"/>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7FF14F6F">
            <w:pPr>
              <w:shd w:val="clear"/>
              <w:jc w:val="center"/>
              <w:rPr>
                <w:rFonts w:hint="eastAsia" w:ascii="宋体" w:hAnsi="宋体"/>
                <w:color w:val="auto"/>
                <w:highlight w:val="none"/>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66CAA268">
            <w:pPr>
              <w:shd w:val="clear"/>
              <w:jc w:val="center"/>
              <w:rPr>
                <w:rFonts w:hint="eastAsia" w:ascii="宋体" w:hAnsi="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51A7F9D">
            <w:pPr>
              <w:shd w:val="clear"/>
              <w:jc w:val="center"/>
              <w:rPr>
                <w:rFonts w:hint="eastAsia" w:ascii="宋体" w:hAnsi="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1528909">
            <w:pPr>
              <w:shd w:val="clear"/>
              <w:jc w:val="center"/>
              <w:rPr>
                <w:rFonts w:hint="eastAsia" w:ascii="宋体" w:hAnsi="宋体"/>
                <w:color w:val="auto"/>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13F45D47">
            <w:pPr>
              <w:shd w:val="clear"/>
              <w:jc w:val="center"/>
              <w:rPr>
                <w:rFonts w:hint="eastAsia" w:ascii="宋体" w:hAnsi="宋体"/>
                <w:color w:val="auto"/>
                <w:highlight w:val="none"/>
              </w:rPr>
            </w:pPr>
          </w:p>
        </w:tc>
      </w:tr>
      <w:tr w14:paraId="671A7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615F7B02">
            <w:pPr>
              <w:shd w:val="clear"/>
              <w:jc w:val="center"/>
              <w:rPr>
                <w:rFonts w:hint="eastAsia" w:ascii="宋体" w:hAnsi="宋体"/>
                <w:color w:val="auto"/>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6FAE54E8">
            <w:pPr>
              <w:shd w:val="clear"/>
              <w:jc w:val="center"/>
              <w:rPr>
                <w:rFonts w:hint="eastAsia"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3947077">
            <w:pPr>
              <w:shd w:val="clear"/>
              <w:jc w:val="center"/>
              <w:rPr>
                <w:rFonts w:hint="eastAsia" w:ascii="宋体" w:hAnsi="宋体"/>
                <w:color w:val="auto"/>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17A666FD">
            <w:pPr>
              <w:shd w:val="clear"/>
              <w:jc w:val="center"/>
              <w:rPr>
                <w:rFonts w:hint="eastAsia" w:ascii="宋体" w:hAnsi="宋体"/>
                <w:color w:val="auto"/>
                <w:highlight w:val="none"/>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7C5B7813">
            <w:pPr>
              <w:shd w:val="clear"/>
              <w:jc w:val="center"/>
              <w:rPr>
                <w:rFonts w:hint="eastAsia" w:ascii="宋体" w:hAnsi="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2D9C84E">
            <w:pPr>
              <w:shd w:val="clear"/>
              <w:jc w:val="center"/>
              <w:rPr>
                <w:rFonts w:hint="eastAsia" w:ascii="宋体" w:hAnsi="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0022A3B">
            <w:pPr>
              <w:shd w:val="clear"/>
              <w:jc w:val="center"/>
              <w:rPr>
                <w:rFonts w:hint="eastAsia" w:ascii="宋体" w:hAnsi="宋体"/>
                <w:color w:val="auto"/>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96311C0">
            <w:pPr>
              <w:shd w:val="clear"/>
              <w:jc w:val="center"/>
              <w:rPr>
                <w:rFonts w:hint="eastAsia" w:ascii="宋体" w:hAnsi="宋体"/>
                <w:color w:val="auto"/>
                <w:highlight w:val="none"/>
              </w:rPr>
            </w:pPr>
          </w:p>
        </w:tc>
      </w:tr>
      <w:tr w14:paraId="6ADDA5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36626C31">
            <w:pPr>
              <w:shd w:val="clear"/>
              <w:jc w:val="center"/>
              <w:rPr>
                <w:rFonts w:hint="eastAsia" w:ascii="宋体" w:hAnsi="宋体"/>
                <w:color w:val="auto"/>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447032FF">
            <w:pPr>
              <w:shd w:val="clear"/>
              <w:jc w:val="center"/>
              <w:rPr>
                <w:rFonts w:hint="eastAsia"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901CBD7">
            <w:pPr>
              <w:shd w:val="clear"/>
              <w:jc w:val="center"/>
              <w:rPr>
                <w:rFonts w:hint="eastAsia" w:ascii="宋体" w:hAnsi="宋体"/>
                <w:color w:val="auto"/>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75C4BC5D">
            <w:pPr>
              <w:shd w:val="clear"/>
              <w:jc w:val="center"/>
              <w:rPr>
                <w:rFonts w:hint="eastAsia" w:ascii="宋体" w:hAnsi="宋体"/>
                <w:color w:val="auto"/>
                <w:highlight w:val="none"/>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6BE5E54A">
            <w:pPr>
              <w:shd w:val="clear"/>
              <w:jc w:val="center"/>
              <w:rPr>
                <w:rFonts w:hint="eastAsia" w:ascii="宋体" w:hAnsi="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20EE7A5">
            <w:pPr>
              <w:shd w:val="clear"/>
              <w:jc w:val="center"/>
              <w:rPr>
                <w:rFonts w:hint="eastAsia" w:ascii="宋体" w:hAnsi="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05E75CF">
            <w:pPr>
              <w:shd w:val="clear"/>
              <w:jc w:val="center"/>
              <w:rPr>
                <w:rFonts w:hint="eastAsia" w:ascii="宋体" w:hAnsi="宋体"/>
                <w:color w:val="auto"/>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320A199E">
            <w:pPr>
              <w:shd w:val="clear"/>
              <w:jc w:val="center"/>
              <w:rPr>
                <w:rFonts w:hint="eastAsia" w:ascii="宋体" w:hAnsi="宋体"/>
                <w:color w:val="auto"/>
                <w:highlight w:val="none"/>
              </w:rPr>
            </w:pPr>
          </w:p>
        </w:tc>
      </w:tr>
      <w:tr w14:paraId="208FA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8"/>
            <w:tcBorders>
              <w:top w:val="single" w:color="auto" w:sz="4" w:space="0"/>
              <w:left w:val="single" w:color="auto" w:sz="4" w:space="0"/>
              <w:bottom w:val="single" w:color="auto" w:sz="4" w:space="0"/>
              <w:right w:val="single" w:color="auto" w:sz="4" w:space="0"/>
            </w:tcBorders>
            <w:noWrap w:val="0"/>
            <w:vAlign w:val="center"/>
          </w:tcPr>
          <w:p w14:paraId="2D4A3898">
            <w:pPr>
              <w:shd w:val="clear"/>
              <w:wordWrap w:val="0"/>
              <w:snapToGrid w:val="0"/>
              <w:spacing w:line="360" w:lineRule="exact"/>
              <w:jc w:val="left"/>
              <w:rPr>
                <w:rFonts w:hint="eastAsia" w:ascii="宋体" w:hAnsi="宋体"/>
                <w:color w:val="auto"/>
                <w:szCs w:val="21"/>
                <w:highlight w:val="none"/>
                <w:u w:val="single"/>
              </w:rPr>
            </w:pPr>
            <w:r>
              <w:rPr>
                <w:rFonts w:hint="eastAsia" w:ascii="宋体"/>
                <w:color w:val="auto"/>
                <w:szCs w:val="21"/>
                <w:highlight w:val="none"/>
                <w:u w:val="single"/>
              </w:rPr>
              <w:t xml:space="preserve"> </w:t>
            </w:r>
            <w:r>
              <w:rPr>
                <w:rFonts w:ascii="宋体"/>
                <w:color w:val="auto"/>
                <w:szCs w:val="21"/>
                <w:highlight w:val="none"/>
                <w:u w:val="single"/>
              </w:rPr>
              <w:t xml:space="preserve">     </w:t>
            </w:r>
            <w:r>
              <w:rPr>
                <w:rFonts w:hint="eastAsia" w:ascii="宋体"/>
                <w:color w:val="auto"/>
                <w:szCs w:val="21"/>
                <w:highlight w:val="none"/>
              </w:rPr>
              <w:t>分标</w:t>
            </w:r>
            <w:r>
              <w:rPr>
                <w:rFonts w:hint="eastAsia" w:ascii="宋体" w:hAnsi="宋体"/>
                <w:color w:val="auto"/>
                <w:highlight w:val="none"/>
              </w:rPr>
              <w:t>投标总价（</w:t>
            </w:r>
            <w:r>
              <w:rPr>
                <w:rFonts w:hint="eastAsia" w:ascii="宋体" w:hAnsi="宋体"/>
                <w:color w:val="auto"/>
                <w:szCs w:val="21"/>
                <w:highlight w:val="none"/>
              </w:rPr>
              <w:t>合计金额大写）：                                       ¥</w:t>
            </w:r>
            <w:r>
              <w:rPr>
                <w:rFonts w:hint="eastAsia" w:ascii="宋体" w:hAnsi="宋体"/>
                <w:color w:val="auto"/>
                <w:szCs w:val="21"/>
                <w:highlight w:val="none"/>
                <w:u w:val="single"/>
              </w:rPr>
              <w:t xml:space="preserve">            </w:t>
            </w:r>
          </w:p>
        </w:tc>
      </w:tr>
    </w:tbl>
    <w:p w14:paraId="6649B15C">
      <w:pPr>
        <w:shd w:val="clear"/>
        <w:spacing w:line="360" w:lineRule="exact"/>
        <w:rPr>
          <w:rFonts w:hint="eastAsia" w:ascii="宋体" w:hAnsi="宋体"/>
          <w:color w:val="auto"/>
          <w:sz w:val="20"/>
          <w:highlight w:val="none"/>
        </w:rPr>
      </w:pPr>
      <w:r>
        <w:rPr>
          <w:rFonts w:hint="eastAsia" w:ascii="宋体" w:hAnsi="宋体"/>
          <w:color w:val="auto"/>
          <w:sz w:val="20"/>
          <w:highlight w:val="none"/>
        </w:rPr>
        <w:t>注：1.报价一经涂改，应在涂改处加盖单位公章或者由法定代表人（负责人）或授权委托人签字或盖章，否则其投标作无效标处理。</w:t>
      </w:r>
    </w:p>
    <w:p w14:paraId="35FD98A1">
      <w:pPr>
        <w:shd w:val="clear"/>
        <w:spacing w:line="360" w:lineRule="exact"/>
        <w:rPr>
          <w:rFonts w:hint="eastAsia" w:ascii="宋体" w:hAnsi="宋体"/>
          <w:color w:val="auto"/>
          <w:sz w:val="20"/>
          <w:highlight w:val="none"/>
        </w:rPr>
      </w:pPr>
      <w:r>
        <w:rPr>
          <w:rFonts w:hint="eastAsia" w:ascii="宋体" w:hAnsi="宋体"/>
          <w:color w:val="auto"/>
          <w:sz w:val="20"/>
          <w:highlight w:val="none"/>
        </w:rPr>
        <w:t xml:space="preserve">    2.凡需用专用辅材、耗材的专用设备类采购项目，应按招标文件规定的辅材、耗材量或按耗材的常规试用量提供报价。</w:t>
      </w:r>
    </w:p>
    <w:p w14:paraId="542F5453">
      <w:pPr>
        <w:shd w:val="clear"/>
        <w:spacing w:line="360" w:lineRule="exact"/>
        <w:rPr>
          <w:rFonts w:hint="eastAsia" w:ascii="宋体" w:hAnsi="宋体"/>
          <w:color w:val="auto"/>
          <w:sz w:val="20"/>
          <w:highlight w:val="none"/>
        </w:rPr>
      </w:pPr>
      <w:r>
        <w:rPr>
          <w:rFonts w:hint="eastAsia" w:ascii="宋体" w:hAnsi="宋体"/>
          <w:color w:val="auto"/>
          <w:sz w:val="20"/>
          <w:highlight w:val="none"/>
        </w:rPr>
        <w:t xml:space="preserve">    3.开标一览表中的“设备名称</w:t>
      </w:r>
      <w:r>
        <w:rPr>
          <w:rFonts w:hint="eastAsia" w:ascii="宋体" w:hAnsi="宋体"/>
          <w:color w:val="auto"/>
          <w:sz w:val="20"/>
          <w:highlight w:val="none"/>
          <w:lang w:eastAsia="zh-CN"/>
        </w:rPr>
        <w:t>”“</w:t>
      </w:r>
      <w:r>
        <w:rPr>
          <w:rFonts w:hint="eastAsia" w:ascii="宋体" w:hAnsi="宋体"/>
          <w:color w:val="auto"/>
          <w:sz w:val="20"/>
          <w:highlight w:val="none"/>
        </w:rPr>
        <w:t>数量</w:t>
      </w:r>
      <w:r>
        <w:rPr>
          <w:rFonts w:hint="eastAsia" w:ascii="宋体" w:hAnsi="宋体"/>
          <w:color w:val="auto"/>
          <w:sz w:val="20"/>
          <w:highlight w:val="none"/>
          <w:lang w:eastAsia="zh-CN"/>
        </w:rPr>
        <w:t>”“</w:t>
      </w:r>
      <w:r>
        <w:rPr>
          <w:rFonts w:hint="eastAsia" w:ascii="宋体" w:hAnsi="宋体"/>
          <w:color w:val="auto"/>
          <w:sz w:val="20"/>
          <w:highlight w:val="none"/>
        </w:rPr>
        <w:t>单价</w:t>
      </w:r>
      <w:r>
        <w:rPr>
          <w:rFonts w:hint="eastAsia" w:ascii="宋体" w:hAnsi="宋体"/>
          <w:color w:val="auto"/>
          <w:sz w:val="20"/>
          <w:highlight w:val="none"/>
          <w:lang w:eastAsia="zh-CN"/>
        </w:rPr>
        <w:t>”“</w:t>
      </w:r>
      <w:r>
        <w:rPr>
          <w:rFonts w:hint="eastAsia" w:ascii="宋体" w:hAnsi="宋体"/>
          <w:color w:val="auto"/>
          <w:sz w:val="20"/>
          <w:highlight w:val="none"/>
        </w:rPr>
        <w:t>投标报价”列必须填写；设备类项目“品牌及厂家”和“规格型号”列必须填写（定制产品和服务除外）。</w:t>
      </w:r>
    </w:p>
    <w:p w14:paraId="1FE44ADE">
      <w:pPr>
        <w:shd w:val="clear"/>
        <w:spacing w:line="360" w:lineRule="exact"/>
        <w:rPr>
          <w:rFonts w:hint="eastAsia" w:ascii="宋体" w:hAnsi="宋体"/>
          <w:color w:val="auto"/>
          <w:sz w:val="20"/>
          <w:highlight w:val="none"/>
        </w:rPr>
      </w:pPr>
      <w:r>
        <w:rPr>
          <w:rFonts w:hint="eastAsia" w:ascii="宋体" w:hAnsi="宋体"/>
          <w:color w:val="auto"/>
          <w:sz w:val="20"/>
          <w:highlight w:val="none"/>
        </w:rPr>
        <w:t xml:space="preserve">    4.投标费用包括项目实施所需的人工费、服务费、运输费、安装调试费、获取及制作标书费、税费及其他一切费用。</w:t>
      </w:r>
    </w:p>
    <w:p w14:paraId="52464925">
      <w:pPr>
        <w:shd w:val="clear"/>
        <w:spacing w:line="360" w:lineRule="exact"/>
        <w:rPr>
          <w:rFonts w:hint="eastAsia" w:ascii="宋体" w:hAnsi="宋体"/>
          <w:color w:val="auto"/>
          <w:sz w:val="20"/>
          <w:highlight w:val="none"/>
        </w:rPr>
      </w:pPr>
      <w:r>
        <w:rPr>
          <w:rFonts w:hint="eastAsia" w:ascii="宋体" w:hAnsi="宋体"/>
          <w:color w:val="auto"/>
          <w:sz w:val="20"/>
          <w:highlight w:val="none"/>
        </w:rPr>
        <w:t xml:space="preserve">    5.以上报价应与“投标报价明细表”中的“投标总价”相一致。</w:t>
      </w:r>
    </w:p>
    <w:p w14:paraId="692B2CBC">
      <w:pPr>
        <w:shd w:val="clear"/>
        <w:spacing w:line="360" w:lineRule="exact"/>
        <w:rPr>
          <w:rFonts w:hint="eastAsia" w:ascii="宋体" w:hAnsi="宋体"/>
          <w:color w:val="auto"/>
          <w:sz w:val="20"/>
          <w:highlight w:val="none"/>
        </w:rPr>
      </w:pPr>
      <w:r>
        <w:rPr>
          <w:rFonts w:hint="eastAsia" w:ascii="宋体" w:hAnsi="宋体"/>
          <w:color w:val="auto"/>
          <w:sz w:val="20"/>
          <w:highlight w:val="none"/>
        </w:rPr>
        <w:t xml:space="preserve">   </w:t>
      </w:r>
      <w:r>
        <w:rPr>
          <w:rFonts w:hint="eastAsia" w:ascii="宋体" w:hAnsi="宋体"/>
          <w:b/>
          <w:color w:val="auto"/>
          <w:sz w:val="20"/>
          <w:highlight w:val="none"/>
        </w:rPr>
        <w:t xml:space="preserve"> </w:t>
      </w:r>
      <w:r>
        <w:rPr>
          <w:rFonts w:hint="eastAsia" w:ascii="宋体" w:hAnsi="宋体"/>
          <w:color w:val="auto"/>
          <w:sz w:val="20"/>
          <w:highlight w:val="none"/>
        </w:rPr>
        <w:t>6.联合体投标时，开标一览表中投标人名称必须注明联合体并加盖联合体各方公章，同时须提供联合协议。</w:t>
      </w:r>
    </w:p>
    <w:p w14:paraId="7D940629">
      <w:pPr>
        <w:shd w:val="clear"/>
        <w:spacing w:line="360" w:lineRule="exact"/>
        <w:rPr>
          <w:rFonts w:hint="eastAsia" w:ascii="宋体" w:hAnsi="宋体"/>
          <w:color w:val="auto"/>
          <w:sz w:val="20"/>
          <w:highlight w:val="none"/>
        </w:rPr>
      </w:pPr>
      <w:r>
        <w:rPr>
          <w:rFonts w:hint="eastAsia" w:ascii="宋体" w:hAnsi="宋体"/>
          <w:color w:val="auto"/>
          <w:sz w:val="20"/>
          <w:highlight w:val="none"/>
        </w:rPr>
        <w:t xml:space="preserve">    7.项目中如有多个分标的，每一分标的开标一览表必须分别按格式要求填写并签字、盖章。</w:t>
      </w:r>
    </w:p>
    <w:p w14:paraId="04A745A5">
      <w:pPr>
        <w:shd w:val="clear"/>
        <w:snapToGrid w:val="0"/>
        <w:spacing w:before="50" w:after="50" w:line="360" w:lineRule="exact"/>
        <w:ind w:left="-2" w:leftChars="-1" w:right="-816" w:rightChars="-389" w:firstLine="420" w:firstLineChars="200"/>
        <w:rPr>
          <w:rFonts w:hint="eastAsia"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lang w:eastAsia="zh-CN"/>
        </w:rPr>
        <w:t>（</w:t>
      </w:r>
      <w:r>
        <w:rPr>
          <w:rFonts w:hint="eastAsia" w:ascii="宋体" w:hAnsi="宋体"/>
          <w:color w:val="auto"/>
          <w:szCs w:val="21"/>
          <w:highlight w:val="none"/>
        </w:rPr>
        <w:t>负责人</w:t>
      </w:r>
      <w:r>
        <w:rPr>
          <w:rFonts w:hint="eastAsia" w:ascii="宋体" w:hAnsi="宋体"/>
          <w:color w:val="auto"/>
          <w:szCs w:val="21"/>
          <w:highlight w:val="none"/>
          <w:lang w:eastAsia="zh-CN"/>
        </w:rPr>
        <w:t>）</w:t>
      </w:r>
      <w:r>
        <w:rPr>
          <w:rFonts w:hint="eastAsia" w:ascii="宋体" w:hAnsi="宋体"/>
          <w:color w:val="auto"/>
          <w:szCs w:val="21"/>
          <w:highlight w:val="none"/>
        </w:rPr>
        <w:t>或委托代理人（签字或盖章）：</w:t>
      </w:r>
      <w:r>
        <w:rPr>
          <w:rFonts w:hint="eastAsia" w:ascii="宋体" w:hAnsi="宋体"/>
          <w:color w:val="auto"/>
          <w:szCs w:val="21"/>
          <w:highlight w:val="none"/>
          <w:u w:val="single"/>
        </w:rPr>
        <w:t xml:space="preserve">                   </w:t>
      </w:r>
    </w:p>
    <w:p w14:paraId="7BA10940">
      <w:pPr>
        <w:shd w:val="clear"/>
        <w:snapToGrid w:val="0"/>
        <w:spacing w:before="50" w:after="50" w:line="360" w:lineRule="exact"/>
        <w:ind w:right="-816" w:rightChars="-389" w:firstLine="420" w:firstLineChars="200"/>
        <w:rPr>
          <w:rFonts w:hint="eastAsia" w:ascii="宋体" w:hAnsi="宋体"/>
          <w:color w:val="auto"/>
          <w:szCs w:val="21"/>
          <w:highlight w:val="none"/>
        </w:rPr>
      </w:pPr>
      <w:r>
        <w:rPr>
          <w:rFonts w:hint="eastAsia" w:ascii="宋体" w:hAnsi="宋体"/>
          <w:color w:val="auto"/>
          <w:szCs w:val="21"/>
          <w:highlight w:val="none"/>
        </w:rPr>
        <w:t>投标人名称（盖章）：</w:t>
      </w:r>
      <w:r>
        <w:rPr>
          <w:rFonts w:hint="eastAsia" w:ascii="宋体" w:hAnsi="宋体"/>
          <w:color w:val="auto"/>
          <w:szCs w:val="21"/>
          <w:highlight w:val="none"/>
          <w:u w:val="single"/>
        </w:rPr>
        <w:t xml:space="preserve">                               </w:t>
      </w:r>
    </w:p>
    <w:p w14:paraId="1685CB67">
      <w:pPr>
        <w:shd w:val="clear"/>
        <w:snapToGrid w:val="0"/>
        <w:spacing w:before="50" w:after="50" w:line="360" w:lineRule="exact"/>
        <w:ind w:right="-816" w:rightChars="-389" w:firstLine="420"/>
        <w:rPr>
          <w:rFonts w:hint="eastAsia" w:ascii="宋体" w:hAnsi="宋体"/>
          <w:color w:val="auto"/>
          <w:szCs w:val="21"/>
          <w:highlight w:val="none"/>
        </w:rPr>
      </w:pPr>
      <w:r>
        <w:rPr>
          <w:rFonts w:hint="eastAsia" w:ascii="宋体" w:hAnsi="宋体"/>
          <w:color w:val="auto"/>
          <w:szCs w:val="21"/>
          <w:highlight w:val="none"/>
        </w:rPr>
        <w:t>日期：    年    月    日</w:t>
      </w:r>
    </w:p>
    <w:sectPr>
      <w:footerReference r:id="rId7" w:type="default"/>
      <w:pgSz w:w="11906" w:h="16838"/>
      <w:pgMar w:top="1134" w:right="1312" w:bottom="1134" w:left="1134" w:header="851" w:footer="992" w:gutter="0"/>
      <w:pgBorders>
        <w:top w:val="none" w:sz="0" w:space="0"/>
        <w:left w:val="none" w:sz="0" w:space="0"/>
        <w:bottom w:val="none" w:sz="0" w:space="0"/>
        <w:right w:val="none" w:sz="0" w:space="0"/>
      </w:pgBorders>
      <w:pgNumType w:fmt="decimal"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创艺简黑体">
    <w:altName w:val="Times New Roman"/>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A2620">
    <w:pPr>
      <w:pStyle w:val="32"/>
      <w:framePr w:wrap="around" w:vAnchor="text" w:hAnchor="margin" w:xAlign="center" w:y="1"/>
      <w:rPr>
        <w:rStyle w:val="53"/>
      </w:rPr>
    </w:pPr>
    <w:r>
      <w:fldChar w:fldCharType="begin"/>
    </w:r>
    <w:r>
      <w:rPr>
        <w:rStyle w:val="53"/>
      </w:rPr>
      <w:instrText xml:space="preserve">PAGE  </w:instrText>
    </w:r>
    <w:r>
      <w:fldChar w:fldCharType="separate"/>
    </w:r>
    <w:r>
      <w:t xml:space="preserve"> </w:t>
    </w:r>
    <w:r>
      <w:fldChar w:fldCharType="end"/>
    </w:r>
  </w:p>
  <w:p w14:paraId="15CDBCA0">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4A9F2">
    <w:pPr>
      <w:pStyle w:val="32"/>
      <w:ind w:right="360"/>
      <w:jc w:val="both"/>
      <w:rPr>
        <w:rFonts w:hint="eastAsia"/>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8BF5F">
    <w:pPr>
      <w:pStyle w:val="3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4FF4B">
    <w:pPr>
      <w:widowControl w:val="0"/>
      <w:tabs>
        <w:tab w:val="center" w:pos="4153"/>
        <w:tab w:val="right" w:pos="8306"/>
      </w:tabs>
      <w:snapToGrid w:val="0"/>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B78D1E">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CB78D1E">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AF6D9">
    <w:pPr>
      <w:pStyle w:val="33"/>
      <w:wordWrap w:val="0"/>
      <w:jc w:val="right"/>
      <w:rPr>
        <w:rFonts w:hint="eastAsia" w:ascii="宋体" w:hAnsi="宋体" w:eastAsia="宋体" w:cs="宋体"/>
      </w:rPr>
    </w:pPr>
    <w:r>
      <w:rPr>
        <w:rFonts w:hint="eastAsia" w:ascii="宋体" w:hAnsi="宋体" w:cs="宋体"/>
        <w:lang w:eastAsia="zh-CN"/>
      </w:rPr>
      <w:t>广西壮族自治区人工影响天气水资源保障工程-音视频调度及可视调度指挥显示支撑系统</w:t>
    </w:r>
    <w:r>
      <w:rPr>
        <w:rFonts w:hint="eastAsia" w:ascii="宋体" w:hAnsi="宋体" w:eastAsia="宋体" w:cs="宋体"/>
      </w:rPr>
      <w:t>（</w:t>
    </w:r>
    <w:r>
      <w:rPr>
        <w:rFonts w:hint="eastAsia" w:ascii="宋体" w:hAnsi="宋体" w:cs="宋体"/>
        <w:lang w:eastAsia="zh-CN"/>
      </w:rPr>
      <w:t>GXZC2026-G1-002561-GLZB</w:t>
    </w:r>
    <w:r>
      <w:rPr>
        <w:rFonts w:hint="eastAsia" w:ascii="宋体" w:hAnsi="宋体" w:eastAsia="宋体" w:cs="宋体"/>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2EFA6C"/>
    <w:multiLevelType w:val="singleLevel"/>
    <w:tmpl w:val="8D2EFA6C"/>
    <w:lvl w:ilvl="0" w:tentative="0">
      <w:start w:val="1"/>
      <w:numFmt w:val="decimal"/>
      <w:suff w:val="nothing"/>
      <w:lvlText w:val="（%1）"/>
      <w:lvlJc w:val="left"/>
    </w:lvl>
  </w:abstractNum>
  <w:abstractNum w:abstractNumId="1">
    <w:nsid w:val="D889FFDB"/>
    <w:multiLevelType w:val="singleLevel"/>
    <w:tmpl w:val="D889FFDB"/>
    <w:lvl w:ilvl="0" w:tentative="0">
      <w:start w:val="1"/>
      <w:numFmt w:val="decimal"/>
      <w:suff w:val="space"/>
      <w:lvlText w:val="%1."/>
      <w:lvlJc w:val="left"/>
    </w:lvl>
  </w:abstractNum>
  <w:abstractNum w:abstractNumId="2">
    <w:nsid w:val="6A3A06E3"/>
    <w:multiLevelType w:val="multilevel"/>
    <w:tmpl w:val="6A3A06E3"/>
    <w:lvl w:ilvl="0" w:tentative="0">
      <w:start w:val="1"/>
      <w:numFmt w:val="decimal"/>
      <w:lvlText w:val="%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11461B3"/>
    <w:multiLevelType w:val="multilevel"/>
    <w:tmpl w:val="711461B3"/>
    <w:lvl w:ilvl="0" w:tentative="0">
      <w:start w:val="1"/>
      <w:numFmt w:val="decimal"/>
      <w:suff w:val="nothing"/>
      <w:lvlText w:val="%1"/>
      <w:lvlJc w:val="center"/>
      <w:pPr>
        <w:tabs>
          <w:tab w:val="left" w:pos="0"/>
        </w:tabs>
        <w:ind w:left="0" w:firstLine="0"/>
      </w:pPr>
      <w:rPr>
        <w:rFonts w:hint="eastAsia"/>
      </w:rPr>
    </w:lvl>
    <w:lvl w:ilvl="1" w:tentative="0">
      <w:start w:val="1"/>
      <w:numFmt w:val="lowerLetter"/>
      <w:lvlText w:val="%2)"/>
      <w:lvlJc w:val="left"/>
      <w:pPr>
        <w:tabs>
          <w:tab w:val="left" w:pos="0"/>
        </w:tabs>
        <w:ind w:left="840" w:hanging="420"/>
      </w:pPr>
      <w:rPr>
        <w:rFonts w:hint="eastAsia"/>
      </w:rPr>
    </w:lvl>
    <w:lvl w:ilvl="2" w:tentative="0">
      <w:start w:val="1"/>
      <w:numFmt w:val="lowerRoman"/>
      <w:lvlText w:val="%3."/>
      <w:lvlJc w:val="right"/>
      <w:pPr>
        <w:tabs>
          <w:tab w:val="left" w:pos="0"/>
        </w:tabs>
        <w:ind w:left="1260" w:hanging="420"/>
      </w:pPr>
      <w:rPr>
        <w:rFonts w:hint="eastAsia"/>
      </w:rPr>
    </w:lvl>
    <w:lvl w:ilvl="3" w:tentative="0">
      <w:start w:val="1"/>
      <w:numFmt w:val="decimal"/>
      <w:lvlText w:val="%4."/>
      <w:lvlJc w:val="left"/>
      <w:pPr>
        <w:tabs>
          <w:tab w:val="left" w:pos="0"/>
        </w:tabs>
        <w:ind w:left="1680" w:hanging="420"/>
      </w:pPr>
      <w:rPr>
        <w:rFonts w:hint="eastAsia"/>
      </w:rPr>
    </w:lvl>
    <w:lvl w:ilvl="4" w:tentative="0">
      <w:start w:val="1"/>
      <w:numFmt w:val="lowerLetter"/>
      <w:lvlText w:val="%5)"/>
      <w:lvlJc w:val="left"/>
      <w:pPr>
        <w:tabs>
          <w:tab w:val="left" w:pos="0"/>
        </w:tabs>
        <w:ind w:left="2100" w:hanging="420"/>
      </w:pPr>
      <w:rPr>
        <w:rFonts w:hint="eastAsia"/>
      </w:rPr>
    </w:lvl>
    <w:lvl w:ilvl="5" w:tentative="0">
      <w:start w:val="1"/>
      <w:numFmt w:val="lowerRoman"/>
      <w:lvlText w:val="%6."/>
      <w:lvlJc w:val="right"/>
      <w:pPr>
        <w:tabs>
          <w:tab w:val="left" w:pos="0"/>
        </w:tabs>
        <w:ind w:left="2520" w:hanging="420"/>
      </w:pPr>
      <w:rPr>
        <w:rFonts w:hint="eastAsia"/>
      </w:rPr>
    </w:lvl>
    <w:lvl w:ilvl="6" w:tentative="0">
      <w:start w:val="1"/>
      <w:numFmt w:val="decimal"/>
      <w:lvlText w:val="%7."/>
      <w:lvlJc w:val="left"/>
      <w:pPr>
        <w:tabs>
          <w:tab w:val="left" w:pos="0"/>
        </w:tabs>
        <w:ind w:left="2940" w:hanging="420"/>
      </w:pPr>
      <w:rPr>
        <w:rFonts w:hint="eastAsia"/>
      </w:rPr>
    </w:lvl>
    <w:lvl w:ilvl="7" w:tentative="0">
      <w:start w:val="1"/>
      <w:numFmt w:val="lowerLetter"/>
      <w:lvlText w:val="%8)"/>
      <w:lvlJc w:val="left"/>
      <w:pPr>
        <w:tabs>
          <w:tab w:val="left" w:pos="0"/>
        </w:tabs>
        <w:ind w:left="3360" w:hanging="420"/>
      </w:pPr>
      <w:rPr>
        <w:rFonts w:hint="eastAsia"/>
      </w:rPr>
    </w:lvl>
    <w:lvl w:ilvl="8" w:tentative="0">
      <w:start w:val="1"/>
      <w:numFmt w:val="lowerRoman"/>
      <w:lvlText w:val="%9."/>
      <w:lvlJc w:val="right"/>
      <w:pPr>
        <w:tabs>
          <w:tab w:val="left" w:pos="0"/>
        </w:tabs>
        <w:ind w:left="3780" w:hanging="420"/>
      </w:pPr>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1YWFmODQxZDI2NmJhMzMxMWI5M2JhNTg5NjQ4NjgifQ=="/>
  </w:docVars>
  <w:rsids>
    <w:rsidRoot w:val="00172A27"/>
    <w:rsid w:val="00001DA8"/>
    <w:rsid w:val="00004EB4"/>
    <w:rsid w:val="00005B8D"/>
    <w:rsid w:val="00006DFF"/>
    <w:rsid w:val="00007922"/>
    <w:rsid w:val="00010092"/>
    <w:rsid w:val="00010513"/>
    <w:rsid w:val="00012D3F"/>
    <w:rsid w:val="00014EEC"/>
    <w:rsid w:val="00017F2D"/>
    <w:rsid w:val="00020359"/>
    <w:rsid w:val="00020EFF"/>
    <w:rsid w:val="00020FB4"/>
    <w:rsid w:val="000211AC"/>
    <w:rsid w:val="00022FA6"/>
    <w:rsid w:val="000244FE"/>
    <w:rsid w:val="0002539D"/>
    <w:rsid w:val="00025763"/>
    <w:rsid w:val="00025D70"/>
    <w:rsid w:val="00026B2F"/>
    <w:rsid w:val="00026F26"/>
    <w:rsid w:val="00035D91"/>
    <w:rsid w:val="00036520"/>
    <w:rsid w:val="0003723B"/>
    <w:rsid w:val="00037494"/>
    <w:rsid w:val="000379C9"/>
    <w:rsid w:val="000419CA"/>
    <w:rsid w:val="00042107"/>
    <w:rsid w:val="0004468F"/>
    <w:rsid w:val="00044EF2"/>
    <w:rsid w:val="00045C1C"/>
    <w:rsid w:val="00046808"/>
    <w:rsid w:val="00047434"/>
    <w:rsid w:val="0004795F"/>
    <w:rsid w:val="000500E7"/>
    <w:rsid w:val="00050A62"/>
    <w:rsid w:val="00051C50"/>
    <w:rsid w:val="00051F20"/>
    <w:rsid w:val="00053DCB"/>
    <w:rsid w:val="000569A2"/>
    <w:rsid w:val="00056D63"/>
    <w:rsid w:val="0005759C"/>
    <w:rsid w:val="00057E74"/>
    <w:rsid w:val="000630BA"/>
    <w:rsid w:val="00063C06"/>
    <w:rsid w:val="00064446"/>
    <w:rsid w:val="00064A97"/>
    <w:rsid w:val="000655C3"/>
    <w:rsid w:val="000661DB"/>
    <w:rsid w:val="000662F5"/>
    <w:rsid w:val="00066522"/>
    <w:rsid w:val="0006704E"/>
    <w:rsid w:val="0006767F"/>
    <w:rsid w:val="00070221"/>
    <w:rsid w:val="00071B1E"/>
    <w:rsid w:val="00073425"/>
    <w:rsid w:val="00073D30"/>
    <w:rsid w:val="00074A79"/>
    <w:rsid w:val="000768BD"/>
    <w:rsid w:val="00080601"/>
    <w:rsid w:val="000813FD"/>
    <w:rsid w:val="00084084"/>
    <w:rsid w:val="000843DD"/>
    <w:rsid w:val="00087535"/>
    <w:rsid w:val="00087D17"/>
    <w:rsid w:val="000914DA"/>
    <w:rsid w:val="00092EC1"/>
    <w:rsid w:val="00093575"/>
    <w:rsid w:val="00094C78"/>
    <w:rsid w:val="00095E01"/>
    <w:rsid w:val="000A1D20"/>
    <w:rsid w:val="000A233D"/>
    <w:rsid w:val="000A233E"/>
    <w:rsid w:val="000A584A"/>
    <w:rsid w:val="000A621A"/>
    <w:rsid w:val="000B1062"/>
    <w:rsid w:val="000B1C06"/>
    <w:rsid w:val="000B2A35"/>
    <w:rsid w:val="000B2B2C"/>
    <w:rsid w:val="000B6D29"/>
    <w:rsid w:val="000B7584"/>
    <w:rsid w:val="000B7FB9"/>
    <w:rsid w:val="000C0AFA"/>
    <w:rsid w:val="000C1933"/>
    <w:rsid w:val="000C2779"/>
    <w:rsid w:val="000C311D"/>
    <w:rsid w:val="000C493D"/>
    <w:rsid w:val="000C5014"/>
    <w:rsid w:val="000C5B63"/>
    <w:rsid w:val="000C66D4"/>
    <w:rsid w:val="000C76CF"/>
    <w:rsid w:val="000D3D1B"/>
    <w:rsid w:val="000D66EB"/>
    <w:rsid w:val="000E20AF"/>
    <w:rsid w:val="000E239F"/>
    <w:rsid w:val="000E350C"/>
    <w:rsid w:val="000E463B"/>
    <w:rsid w:val="000E62B1"/>
    <w:rsid w:val="000E7A8C"/>
    <w:rsid w:val="000F0ADD"/>
    <w:rsid w:val="000F182B"/>
    <w:rsid w:val="000F3606"/>
    <w:rsid w:val="000F3E19"/>
    <w:rsid w:val="000F547D"/>
    <w:rsid w:val="00100097"/>
    <w:rsid w:val="0010397C"/>
    <w:rsid w:val="001044E9"/>
    <w:rsid w:val="001065E6"/>
    <w:rsid w:val="00111A73"/>
    <w:rsid w:val="00112A1C"/>
    <w:rsid w:val="001138BF"/>
    <w:rsid w:val="00114407"/>
    <w:rsid w:val="001148E0"/>
    <w:rsid w:val="00114C4A"/>
    <w:rsid w:val="00114E0F"/>
    <w:rsid w:val="001174BE"/>
    <w:rsid w:val="001177E9"/>
    <w:rsid w:val="00117D82"/>
    <w:rsid w:val="00121016"/>
    <w:rsid w:val="001216CE"/>
    <w:rsid w:val="00122239"/>
    <w:rsid w:val="001226C8"/>
    <w:rsid w:val="00122E85"/>
    <w:rsid w:val="0012506E"/>
    <w:rsid w:val="00125351"/>
    <w:rsid w:val="001255E9"/>
    <w:rsid w:val="001303A5"/>
    <w:rsid w:val="00131D59"/>
    <w:rsid w:val="00133AA9"/>
    <w:rsid w:val="00134908"/>
    <w:rsid w:val="00134A3B"/>
    <w:rsid w:val="00136D11"/>
    <w:rsid w:val="001409D6"/>
    <w:rsid w:val="001417A5"/>
    <w:rsid w:val="00143AF3"/>
    <w:rsid w:val="00145A14"/>
    <w:rsid w:val="00145BA3"/>
    <w:rsid w:val="001466CA"/>
    <w:rsid w:val="00147D58"/>
    <w:rsid w:val="001520B8"/>
    <w:rsid w:val="001556F2"/>
    <w:rsid w:val="00155F65"/>
    <w:rsid w:val="00157EB3"/>
    <w:rsid w:val="00157EB5"/>
    <w:rsid w:val="00161124"/>
    <w:rsid w:val="00162E03"/>
    <w:rsid w:val="00163523"/>
    <w:rsid w:val="00163942"/>
    <w:rsid w:val="00164E6F"/>
    <w:rsid w:val="00166592"/>
    <w:rsid w:val="00166A71"/>
    <w:rsid w:val="0017064D"/>
    <w:rsid w:val="001756B2"/>
    <w:rsid w:val="00175DFC"/>
    <w:rsid w:val="00181184"/>
    <w:rsid w:val="00182D5A"/>
    <w:rsid w:val="001841E0"/>
    <w:rsid w:val="001845AE"/>
    <w:rsid w:val="00185ECD"/>
    <w:rsid w:val="00186604"/>
    <w:rsid w:val="00186E59"/>
    <w:rsid w:val="00187776"/>
    <w:rsid w:val="00187B29"/>
    <w:rsid w:val="001900DE"/>
    <w:rsid w:val="001914CD"/>
    <w:rsid w:val="00191A16"/>
    <w:rsid w:val="00191DBF"/>
    <w:rsid w:val="00193CF0"/>
    <w:rsid w:val="0019418C"/>
    <w:rsid w:val="001943B7"/>
    <w:rsid w:val="0019444C"/>
    <w:rsid w:val="00194E38"/>
    <w:rsid w:val="00196F36"/>
    <w:rsid w:val="00197515"/>
    <w:rsid w:val="001A10C1"/>
    <w:rsid w:val="001A1CC6"/>
    <w:rsid w:val="001A2972"/>
    <w:rsid w:val="001A345E"/>
    <w:rsid w:val="001A490C"/>
    <w:rsid w:val="001A58A2"/>
    <w:rsid w:val="001A5F81"/>
    <w:rsid w:val="001A7BA4"/>
    <w:rsid w:val="001B006F"/>
    <w:rsid w:val="001B3B8F"/>
    <w:rsid w:val="001B4224"/>
    <w:rsid w:val="001B52A5"/>
    <w:rsid w:val="001B5B4B"/>
    <w:rsid w:val="001B603A"/>
    <w:rsid w:val="001C1CB4"/>
    <w:rsid w:val="001C2EAF"/>
    <w:rsid w:val="001C3D6C"/>
    <w:rsid w:val="001C5686"/>
    <w:rsid w:val="001C597D"/>
    <w:rsid w:val="001C681C"/>
    <w:rsid w:val="001C705F"/>
    <w:rsid w:val="001D1614"/>
    <w:rsid w:val="001D1845"/>
    <w:rsid w:val="001D2C9E"/>
    <w:rsid w:val="001D5C5B"/>
    <w:rsid w:val="001D7ADB"/>
    <w:rsid w:val="001E1EC5"/>
    <w:rsid w:val="001E55E4"/>
    <w:rsid w:val="001F02DA"/>
    <w:rsid w:val="001F0EB0"/>
    <w:rsid w:val="001F185F"/>
    <w:rsid w:val="001F294C"/>
    <w:rsid w:val="001F2A48"/>
    <w:rsid w:val="001F2D3E"/>
    <w:rsid w:val="001F3BCC"/>
    <w:rsid w:val="001F4862"/>
    <w:rsid w:val="001F6B4A"/>
    <w:rsid w:val="00200431"/>
    <w:rsid w:val="00201A34"/>
    <w:rsid w:val="00202CD3"/>
    <w:rsid w:val="002035E5"/>
    <w:rsid w:val="00204A5E"/>
    <w:rsid w:val="00205FAF"/>
    <w:rsid w:val="002105C3"/>
    <w:rsid w:val="00212B61"/>
    <w:rsid w:val="002132C4"/>
    <w:rsid w:val="00214C3F"/>
    <w:rsid w:val="002152CF"/>
    <w:rsid w:val="002158B8"/>
    <w:rsid w:val="00216A0D"/>
    <w:rsid w:val="0022049E"/>
    <w:rsid w:val="00220624"/>
    <w:rsid w:val="00225529"/>
    <w:rsid w:val="0022660E"/>
    <w:rsid w:val="00227BB3"/>
    <w:rsid w:val="00230FB4"/>
    <w:rsid w:val="00231B59"/>
    <w:rsid w:val="00232652"/>
    <w:rsid w:val="00232D64"/>
    <w:rsid w:val="00233845"/>
    <w:rsid w:val="00233AC8"/>
    <w:rsid w:val="00234C80"/>
    <w:rsid w:val="002366A4"/>
    <w:rsid w:val="0024096B"/>
    <w:rsid w:val="00243A7D"/>
    <w:rsid w:val="002457F0"/>
    <w:rsid w:val="002459C3"/>
    <w:rsid w:val="00247466"/>
    <w:rsid w:val="00247B63"/>
    <w:rsid w:val="0025074E"/>
    <w:rsid w:val="00250E8A"/>
    <w:rsid w:val="00254063"/>
    <w:rsid w:val="0025435C"/>
    <w:rsid w:val="00260664"/>
    <w:rsid w:val="0026072F"/>
    <w:rsid w:val="002617F4"/>
    <w:rsid w:val="00262FFA"/>
    <w:rsid w:val="002643D1"/>
    <w:rsid w:val="002658F8"/>
    <w:rsid w:val="00266F8C"/>
    <w:rsid w:val="00271A46"/>
    <w:rsid w:val="00271C1E"/>
    <w:rsid w:val="002754FE"/>
    <w:rsid w:val="0027639B"/>
    <w:rsid w:val="00281651"/>
    <w:rsid w:val="002818D7"/>
    <w:rsid w:val="0028503E"/>
    <w:rsid w:val="0028738B"/>
    <w:rsid w:val="00291823"/>
    <w:rsid w:val="00291C34"/>
    <w:rsid w:val="0029219A"/>
    <w:rsid w:val="002937DB"/>
    <w:rsid w:val="00295D9E"/>
    <w:rsid w:val="00296378"/>
    <w:rsid w:val="002A0308"/>
    <w:rsid w:val="002A3EE5"/>
    <w:rsid w:val="002A5404"/>
    <w:rsid w:val="002A5627"/>
    <w:rsid w:val="002A703D"/>
    <w:rsid w:val="002A7C89"/>
    <w:rsid w:val="002A7D08"/>
    <w:rsid w:val="002B000B"/>
    <w:rsid w:val="002B1563"/>
    <w:rsid w:val="002B24DA"/>
    <w:rsid w:val="002B7B93"/>
    <w:rsid w:val="002C2A89"/>
    <w:rsid w:val="002C3AFF"/>
    <w:rsid w:val="002C3EC8"/>
    <w:rsid w:val="002C4D69"/>
    <w:rsid w:val="002C680D"/>
    <w:rsid w:val="002C718E"/>
    <w:rsid w:val="002D2BBC"/>
    <w:rsid w:val="002D2F55"/>
    <w:rsid w:val="002D3683"/>
    <w:rsid w:val="002D5DE0"/>
    <w:rsid w:val="002D6F59"/>
    <w:rsid w:val="002E10B3"/>
    <w:rsid w:val="002E3CBE"/>
    <w:rsid w:val="002E55CD"/>
    <w:rsid w:val="002E6BF9"/>
    <w:rsid w:val="002E6F6A"/>
    <w:rsid w:val="002F0BDB"/>
    <w:rsid w:val="002F3539"/>
    <w:rsid w:val="002F7157"/>
    <w:rsid w:val="003008E6"/>
    <w:rsid w:val="00301C29"/>
    <w:rsid w:val="0030487E"/>
    <w:rsid w:val="0030506E"/>
    <w:rsid w:val="0030588E"/>
    <w:rsid w:val="00305DD1"/>
    <w:rsid w:val="00307CB2"/>
    <w:rsid w:val="0031410D"/>
    <w:rsid w:val="003141AD"/>
    <w:rsid w:val="003175AA"/>
    <w:rsid w:val="00322903"/>
    <w:rsid w:val="00322A37"/>
    <w:rsid w:val="003233FE"/>
    <w:rsid w:val="00325CB2"/>
    <w:rsid w:val="003302EF"/>
    <w:rsid w:val="00330337"/>
    <w:rsid w:val="00330EC2"/>
    <w:rsid w:val="0033160B"/>
    <w:rsid w:val="003317DE"/>
    <w:rsid w:val="00333F8C"/>
    <w:rsid w:val="00334868"/>
    <w:rsid w:val="00335FD2"/>
    <w:rsid w:val="00335FD5"/>
    <w:rsid w:val="0033766F"/>
    <w:rsid w:val="003412B4"/>
    <w:rsid w:val="003439FA"/>
    <w:rsid w:val="0034470E"/>
    <w:rsid w:val="00347F54"/>
    <w:rsid w:val="00351D87"/>
    <w:rsid w:val="0035289C"/>
    <w:rsid w:val="00353FC5"/>
    <w:rsid w:val="00354A34"/>
    <w:rsid w:val="003550B2"/>
    <w:rsid w:val="0035514C"/>
    <w:rsid w:val="00355517"/>
    <w:rsid w:val="003558B5"/>
    <w:rsid w:val="00355B3A"/>
    <w:rsid w:val="00355E7D"/>
    <w:rsid w:val="0035789C"/>
    <w:rsid w:val="00357F22"/>
    <w:rsid w:val="003600E3"/>
    <w:rsid w:val="00360226"/>
    <w:rsid w:val="0036120B"/>
    <w:rsid w:val="00361A05"/>
    <w:rsid w:val="00362B0D"/>
    <w:rsid w:val="00363442"/>
    <w:rsid w:val="003643BB"/>
    <w:rsid w:val="00365244"/>
    <w:rsid w:val="003667D1"/>
    <w:rsid w:val="003669E9"/>
    <w:rsid w:val="00367C08"/>
    <w:rsid w:val="00370EEC"/>
    <w:rsid w:val="00373DB1"/>
    <w:rsid w:val="00382022"/>
    <w:rsid w:val="003825A8"/>
    <w:rsid w:val="0038269A"/>
    <w:rsid w:val="0038284B"/>
    <w:rsid w:val="00383249"/>
    <w:rsid w:val="00384D5B"/>
    <w:rsid w:val="00384D77"/>
    <w:rsid w:val="00387579"/>
    <w:rsid w:val="003875AD"/>
    <w:rsid w:val="003914D3"/>
    <w:rsid w:val="00391D36"/>
    <w:rsid w:val="00391D40"/>
    <w:rsid w:val="00392712"/>
    <w:rsid w:val="00393BBE"/>
    <w:rsid w:val="003941D0"/>
    <w:rsid w:val="00394519"/>
    <w:rsid w:val="0039730E"/>
    <w:rsid w:val="003A026B"/>
    <w:rsid w:val="003A1226"/>
    <w:rsid w:val="003A13D1"/>
    <w:rsid w:val="003A413E"/>
    <w:rsid w:val="003A432D"/>
    <w:rsid w:val="003A458F"/>
    <w:rsid w:val="003A464F"/>
    <w:rsid w:val="003B0269"/>
    <w:rsid w:val="003B0887"/>
    <w:rsid w:val="003B0E47"/>
    <w:rsid w:val="003B44EC"/>
    <w:rsid w:val="003B5BE1"/>
    <w:rsid w:val="003B6D52"/>
    <w:rsid w:val="003B78E8"/>
    <w:rsid w:val="003B7A4A"/>
    <w:rsid w:val="003C361E"/>
    <w:rsid w:val="003C3D44"/>
    <w:rsid w:val="003C6C12"/>
    <w:rsid w:val="003C7280"/>
    <w:rsid w:val="003C7530"/>
    <w:rsid w:val="003D3885"/>
    <w:rsid w:val="003D4971"/>
    <w:rsid w:val="003D5369"/>
    <w:rsid w:val="003D6070"/>
    <w:rsid w:val="003D6BD1"/>
    <w:rsid w:val="003D6E13"/>
    <w:rsid w:val="003E04C2"/>
    <w:rsid w:val="003E2C6D"/>
    <w:rsid w:val="003E32A2"/>
    <w:rsid w:val="003E3BE0"/>
    <w:rsid w:val="003F05BE"/>
    <w:rsid w:val="003F1745"/>
    <w:rsid w:val="003F2678"/>
    <w:rsid w:val="003F295F"/>
    <w:rsid w:val="003F3C8A"/>
    <w:rsid w:val="003F500B"/>
    <w:rsid w:val="003F51AD"/>
    <w:rsid w:val="004021C6"/>
    <w:rsid w:val="00403AB3"/>
    <w:rsid w:val="0040590F"/>
    <w:rsid w:val="00406F9A"/>
    <w:rsid w:val="00410365"/>
    <w:rsid w:val="0041110C"/>
    <w:rsid w:val="0041230D"/>
    <w:rsid w:val="00412633"/>
    <w:rsid w:val="00414CD5"/>
    <w:rsid w:val="004156A5"/>
    <w:rsid w:val="00420AED"/>
    <w:rsid w:val="00420B3E"/>
    <w:rsid w:val="00420EAD"/>
    <w:rsid w:val="00422AA6"/>
    <w:rsid w:val="004251E1"/>
    <w:rsid w:val="004260B9"/>
    <w:rsid w:val="00430ACD"/>
    <w:rsid w:val="00430E37"/>
    <w:rsid w:val="00432BE3"/>
    <w:rsid w:val="0043302C"/>
    <w:rsid w:val="0043611E"/>
    <w:rsid w:val="004373A4"/>
    <w:rsid w:val="004403BA"/>
    <w:rsid w:val="00442725"/>
    <w:rsid w:val="0044313A"/>
    <w:rsid w:val="00443BA8"/>
    <w:rsid w:val="004444F7"/>
    <w:rsid w:val="00447028"/>
    <w:rsid w:val="00447093"/>
    <w:rsid w:val="00450AD3"/>
    <w:rsid w:val="004511B1"/>
    <w:rsid w:val="00452D19"/>
    <w:rsid w:val="00453B4C"/>
    <w:rsid w:val="00455EF3"/>
    <w:rsid w:val="00455F4C"/>
    <w:rsid w:val="00460FB3"/>
    <w:rsid w:val="00461EAE"/>
    <w:rsid w:val="004621F2"/>
    <w:rsid w:val="004622AE"/>
    <w:rsid w:val="004636A7"/>
    <w:rsid w:val="00465CA4"/>
    <w:rsid w:val="00466420"/>
    <w:rsid w:val="00467852"/>
    <w:rsid w:val="00467979"/>
    <w:rsid w:val="004713AD"/>
    <w:rsid w:val="00473985"/>
    <w:rsid w:val="0047499E"/>
    <w:rsid w:val="00474F1B"/>
    <w:rsid w:val="00475295"/>
    <w:rsid w:val="00475EA3"/>
    <w:rsid w:val="004768F6"/>
    <w:rsid w:val="004772DD"/>
    <w:rsid w:val="00480C6D"/>
    <w:rsid w:val="00481C6D"/>
    <w:rsid w:val="00482192"/>
    <w:rsid w:val="00482199"/>
    <w:rsid w:val="00485AD1"/>
    <w:rsid w:val="0048731E"/>
    <w:rsid w:val="00487A0F"/>
    <w:rsid w:val="0049185B"/>
    <w:rsid w:val="00492734"/>
    <w:rsid w:val="00494FAC"/>
    <w:rsid w:val="00495A82"/>
    <w:rsid w:val="00495B97"/>
    <w:rsid w:val="004963AE"/>
    <w:rsid w:val="00497DF9"/>
    <w:rsid w:val="004A2BDE"/>
    <w:rsid w:val="004A32BB"/>
    <w:rsid w:val="004A364B"/>
    <w:rsid w:val="004A6434"/>
    <w:rsid w:val="004B0CA4"/>
    <w:rsid w:val="004B1A6C"/>
    <w:rsid w:val="004B2C97"/>
    <w:rsid w:val="004B32F5"/>
    <w:rsid w:val="004B3995"/>
    <w:rsid w:val="004B6D6C"/>
    <w:rsid w:val="004B784A"/>
    <w:rsid w:val="004B7E3D"/>
    <w:rsid w:val="004C0083"/>
    <w:rsid w:val="004C314E"/>
    <w:rsid w:val="004C34AC"/>
    <w:rsid w:val="004C48EE"/>
    <w:rsid w:val="004C4C3B"/>
    <w:rsid w:val="004C5BDA"/>
    <w:rsid w:val="004C6382"/>
    <w:rsid w:val="004D00EB"/>
    <w:rsid w:val="004D11D5"/>
    <w:rsid w:val="004D19C0"/>
    <w:rsid w:val="004D238E"/>
    <w:rsid w:val="004D42F6"/>
    <w:rsid w:val="004D4B57"/>
    <w:rsid w:val="004D4FB2"/>
    <w:rsid w:val="004D6055"/>
    <w:rsid w:val="004D7456"/>
    <w:rsid w:val="004D76A1"/>
    <w:rsid w:val="004E09F9"/>
    <w:rsid w:val="004E1698"/>
    <w:rsid w:val="004E1DB7"/>
    <w:rsid w:val="004E2B60"/>
    <w:rsid w:val="004E4842"/>
    <w:rsid w:val="004E4ABA"/>
    <w:rsid w:val="004E5AF7"/>
    <w:rsid w:val="004F149F"/>
    <w:rsid w:val="004F2974"/>
    <w:rsid w:val="004F4BD9"/>
    <w:rsid w:val="00501C66"/>
    <w:rsid w:val="00501F3E"/>
    <w:rsid w:val="0050258E"/>
    <w:rsid w:val="0050362F"/>
    <w:rsid w:val="005052FE"/>
    <w:rsid w:val="00507D5D"/>
    <w:rsid w:val="0051126E"/>
    <w:rsid w:val="00513221"/>
    <w:rsid w:val="005139E9"/>
    <w:rsid w:val="00515CE7"/>
    <w:rsid w:val="00515D4A"/>
    <w:rsid w:val="005209BE"/>
    <w:rsid w:val="00522CE9"/>
    <w:rsid w:val="00522F4B"/>
    <w:rsid w:val="00523068"/>
    <w:rsid w:val="00530D79"/>
    <w:rsid w:val="00534466"/>
    <w:rsid w:val="005348F8"/>
    <w:rsid w:val="005351F6"/>
    <w:rsid w:val="00540762"/>
    <w:rsid w:val="00541A9F"/>
    <w:rsid w:val="00544926"/>
    <w:rsid w:val="00546CE5"/>
    <w:rsid w:val="00546D5B"/>
    <w:rsid w:val="005517EF"/>
    <w:rsid w:val="00554B89"/>
    <w:rsid w:val="005561EB"/>
    <w:rsid w:val="00556423"/>
    <w:rsid w:val="0055750D"/>
    <w:rsid w:val="00560F48"/>
    <w:rsid w:val="0056108C"/>
    <w:rsid w:val="005632A5"/>
    <w:rsid w:val="00564747"/>
    <w:rsid w:val="005658E0"/>
    <w:rsid w:val="00567CE0"/>
    <w:rsid w:val="00570CF7"/>
    <w:rsid w:val="00572815"/>
    <w:rsid w:val="00574CB9"/>
    <w:rsid w:val="005822C0"/>
    <w:rsid w:val="00583342"/>
    <w:rsid w:val="005839DD"/>
    <w:rsid w:val="00584D36"/>
    <w:rsid w:val="0058515D"/>
    <w:rsid w:val="00587118"/>
    <w:rsid w:val="00587136"/>
    <w:rsid w:val="00587D46"/>
    <w:rsid w:val="0059234C"/>
    <w:rsid w:val="005932A1"/>
    <w:rsid w:val="00595737"/>
    <w:rsid w:val="00596219"/>
    <w:rsid w:val="0059712F"/>
    <w:rsid w:val="005A101E"/>
    <w:rsid w:val="005A22CD"/>
    <w:rsid w:val="005A2684"/>
    <w:rsid w:val="005A3104"/>
    <w:rsid w:val="005A48DB"/>
    <w:rsid w:val="005B25C8"/>
    <w:rsid w:val="005B3677"/>
    <w:rsid w:val="005B3E98"/>
    <w:rsid w:val="005B57EB"/>
    <w:rsid w:val="005B5D28"/>
    <w:rsid w:val="005B6A9A"/>
    <w:rsid w:val="005C43D7"/>
    <w:rsid w:val="005C512C"/>
    <w:rsid w:val="005C5AB0"/>
    <w:rsid w:val="005C6F8E"/>
    <w:rsid w:val="005C7D47"/>
    <w:rsid w:val="005D0CA5"/>
    <w:rsid w:val="005D25B4"/>
    <w:rsid w:val="005D3507"/>
    <w:rsid w:val="005D3D4F"/>
    <w:rsid w:val="005D6C0A"/>
    <w:rsid w:val="005D7EDF"/>
    <w:rsid w:val="005E0A1C"/>
    <w:rsid w:val="005E161C"/>
    <w:rsid w:val="005E16D6"/>
    <w:rsid w:val="005E34D0"/>
    <w:rsid w:val="005E4670"/>
    <w:rsid w:val="005E5351"/>
    <w:rsid w:val="005E6649"/>
    <w:rsid w:val="005E7B55"/>
    <w:rsid w:val="005F063E"/>
    <w:rsid w:val="005F3799"/>
    <w:rsid w:val="005F517D"/>
    <w:rsid w:val="005F57A6"/>
    <w:rsid w:val="005F7C6C"/>
    <w:rsid w:val="00600574"/>
    <w:rsid w:val="00602C3A"/>
    <w:rsid w:val="00603274"/>
    <w:rsid w:val="006041E6"/>
    <w:rsid w:val="00607511"/>
    <w:rsid w:val="006079B4"/>
    <w:rsid w:val="00610EF9"/>
    <w:rsid w:val="00611336"/>
    <w:rsid w:val="00612B52"/>
    <w:rsid w:val="006144A1"/>
    <w:rsid w:val="00616B5D"/>
    <w:rsid w:val="0062156A"/>
    <w:rsid w:val="006234DB"/>
    <w:rsid w:val="00631EA8"/>
    <w:rsid w:val="00632941"/>
    <w:rsid w:val="00633165"/>
    <w:rsid w:val="006415C3"/>
    <w:rsid w:val="00641A56"/>
    <w:rsid w:val="00642D40"/>
    <w:rsid w:val="006445A1"/>
    <w:rsid w:val="00645B6E"/>
    <w:rsid w:val="006465DB"/>
    <w:rsid w:val="00652796"/>
    <w:rsid w:val="00652CF4"/>
    <w:rsid w:val="006542D3"/>
    <w:rsid w:val="00655038"/>
    <w:rsid w:val="00662342"/>
    <w:rsid w:val="00663496"/>
    <w:rsid w:val="006642AF"/>
    <w:rsid w:val="00672CD0"/>
    <w:rsid w:val="00673045"/>
    <w:rsid w:val="00674F0A"/>
    <w:rsid w:val="00680118"/>
    <w:rsid w:val="00683A07"/>
    <w:rsid w:val="00684A36"/>
    <w:rsid w:val="00686554"/>
    <w:rsid w:val="00686AFC"/>
    <w:rsid w:val="00691969"/>
    <w:rsid w:val="006929CF"/>
    <w:rsid w:val="00694FCD"/>
    <w:rsid w:val="006967C6"/>
    <w:rsid w:val="006A0D26"/>
    <w:rsid w:val="006A1CD1"/>
    <w:rsid w:val="006A4B65"/>
    <w:rsid w:val="006B0A69"/>
    <w:rsid w:val="006B14F8"/>
    <w:rsid w:val="006B40ED"/>
    <w:rsid w:val="006B4D15"/>
    <w:rsid w:val="006B5652"/>
    <w:rsid w:val="006B6C7D"/>
    <w:rsid w:val="006B7BE4"/>
    <w:rsid w:val="006C05A7"/>
    <w:rsid w:val="006C31F7"/>
    <w:rsid w:val="006C48B6"/>
    <w:rsid w:val="006C6E98"/>
    <w:rsid w:val="006D547F"/>
    <w:rsid w:val="006D5B44"/>
    <w:rsid w:val="006D6E5C"/>
    <w:rsid w:val="006E0BAA"/>
    <w:rsid w:val="006E1D7A"/>
    <w:rsid w:val="006E247A"/>
    <w:rsid w:val="006E3B0E"/>
    <w:rsid w:val="006E6468"/>
    <w:rsid w:val="006F0478"/>
    <w:rsid w:val="006F232B"/>
    <w:rsid w:val="006F4042"/>
    <w:rsid w:val="006F4401"/>
    <w:rsid w:val="006F4713"/>
    <w:rsid w:val="006F4EAF"/>
    <w:rsid w:val="006F6FC1"/>
    <w:rsid w:val="006F7B1D"/>
    <w:rsid w:val="00700E93"/>
    <w:rsid w:val="0070299F"/>
    <w:rsid w:val="00702E13"/>
    <w:rsid w:val="00704263"/>
    <w:rsid w:val="00705B28"/>
    <w:rsid w:val="00711777"/>
    <w:rsid w:val="00711BB8"/>
    <w:rsid w:val="00713E1B"/>
    <w:rsid w:val="00714148"/>
    <w:rsid w:val="00714A33"/>
    <w:rsid w:val="00720A28"/>
    <w:rsid w:val="00724320"/>
    <w:rsid w:val="007252D1"/>
    <w:rsid w:val="00725ACD"/>
    <w:rsid w:val="00727992"/>
    <w:rsid w:val="007309D6"/>
    <w:rsid w:val="007310F7"/>
    <w:rsid w:val="0073204F"/>
    <w:rsid w:val="00732B81"/>
    <w:rsid w:val="0073380D"/>
    <w:rsid w:val="00735AAF"/>
    <w:rsid w:val="00736559"/>
    <w:rsid w:val="00736EC6"/>
    <w:rsid w:val="007375A8"/>
    <w:rsid w:val="00737797"/>
    <w:rsid w:val="007418B4"/>
    <w:rsid w:val="00743F5D"/>
    <w:rsid w:val="007456C0"/>
    <w:rsid w:val="0074628C"/>
    <w:rsid w:val="00746B7F"/>
    <w:rsid w:val="00747610"/>
    <w:rsid w:val="00750F3B"/>
    <w:rsid w:val="00753337"/>
    <w:rsid w:val="007567FB"/>
    <w:rsid w:val="007619B3"/>
    <w:rsid w:val="007619C0"/>
    <w:rsid w:val="007633C2"/>
    <w:rsid w:val="00764FD6"/>
    <w:rsid w:val="0076553A"/>
    <w:rsid w:val="00771550"/>
    <w:rsid w:val="00771847"/>
    <w:rsid w:val="00772E9D"/>
    <w:rsid w:val="00772EBC"/>
    <w:rsid w:val="007765F8"/>
    <w:rsid w:val="00780933"/>
    <w:rsid w:val="007817DC"/>
    <w:rsid w:val="00782673"/>
    <w:rsid w:val="00782E3B"/>
    <w:rsid w:val="00783449"/>
    <w:rsid w:val="00786389"/>
    <w:rsid w:val="007864B4"/>
    <w:rsid w:val="007867E4"/>
    <w:rsid w:val="00787CFE"/>
    <w:rsid w:val="0079283B"/>
    <w:rsid w:val="0079342F"/>
    <w:rsid w:val="00793FC4"/>
    <w:rsid w:val="00794BF9"/>
    <w:rsid w:val="00794C67"/>
    <w:rsid w:val="00796371"/>
    <w:rsid w:val="00796AE5"/>
    <w:rsid w:val="0079717C"/>
    <w:rsid w:val="0079783B"/>
    <w:rsid w:val="007A0ED9"/>
    <w:rsid w:val="007A2540"/>
    <w:rsid w:val="007A26DE"/>
    <w:rsid w:val="007A3F90"/>
    <w:rsid w:val="007A576D"/>
    <w:rsid w:val="007A642D"/>
    <w:rsid w:val="007A773C"/>
    <w:rsid w:val="007B21C3"/>
    <w:rsid w:val="007C0832"/>
    <w:rsid w:val="007C085B"/>
    <w:rsid w:val="007C0E06"/>
    <w:rsid w:val="007C1C6A"/>
    <w:rsid w:val="007C1D0A"/>
    <w:rsid w:val="007C2F2F"/>
    <w:rsid w:val="007C3E16"/>
    <w:rsid w:val="007C7A94"/>
    <w:rsid w:val="007D01F5"/>
    <w:rsid w:val="007D1C86"/>
    <w:rsid w:val="007D53C5"/>
    <w:rsid w:val="007D5CA9"/>
    <w:rsid w:val="007D66F0"/>
    <w:rsid w:val="007E1F11"/>
    <w:rsid w:val="007E314E"/>
    <w:rsid w:val="007E4014"/>
    <w:rsid w:val="007E41CB"/>
    <w:rsid w:val="007F08AE"/>
    <w:rsid w:val="007F0BBA"/>
    <w:rsid w:val="007F20E0"/>
    <w:rsid w:val="007F2318"/>
    <w:rsid w:val="007F31C5"/>
    <w:rsid w:val="007F4C4A"/>
    <w:rsid w:val="00800BFC"/>
    <w:rsid w:val="0080169E"/>
    <w:rsid w:val="008019BC"/>
    <w:rsid w:val="00802A46"/>
    <w:rsid w:val="008049AE"/>
    <w:rsid w:val="0081011F"/>
    <w:rsid w:val="0081232B"/>
    <w:rsid w:val="00812D12"/>
    <w:rsid w:val="0081586A"/>
    <w:rsid w:val="00816FB9"/>
    <w:rsid w:val="00817600"/>
    <w:rsid w:val="0081786F"/>
    <w:rsid w:val="00821170"/>
    <w:rsid w:val="00821CB9"/>
    <w:rsid w:val="00822D15"/>
    <w:rsid w:val="00824E62"/>
    <w:rsid w:val="008272EB"/>
    <w:rsid w:val="00827678"/>
    <w:rsid w:val="00827816"/>
    <w:rsid w:val="0083039D"/>
    <w:rsid w:val="00830878"/>
    <w:rsid w:val="00830A5C"/>
    <w:rsid w:val="00830BB1"/>
    <w:rsid w:val="00830D9D"/>
    <w:rsid w:val="00831742"/>
    <w:rsid w:val="00833D19"/>
    <w:rsid w:val="0083513A"/>
    <w:rsid w:val="00835765"/>
    <w:rsid w:val="008406AB"/>
    <w:rsid w:val="00840B43"/>
    <w:rsid w:val="00841B7F"/>
    <w:rsid w:val="0084212A"/>
    <w:rsid w:val="008443BF"/>
    <w:rsid w:val="00845E9D"/>
    <w:rsid w:val="008477C1"/>
    <w:rsid w:val="00847BBE"/>
    <w:rsid w:val="00847DAB"/>
    <w:rsid w:val="00850DE2"/>
    <w:rsid w:val="00850DF8"/>
    <w:rsid w:val="00851795"/>
    <w:rsid w:val="008528A6"/>
    <w:rsid w:val="0085346D"/>
    <w:rsid w:val="00853A2B"/>
    <w:rsid w:val="0085714C"/>
    <w:rsid w:val="0086091A"/>
    <w:rsid w:val="008635E5"/>
    <w:rsid w:val="00863EFF"/>
    <w:rsid w:val="00866047"/>
    <w:rsid w:val="00870208"/>
    <w:rsid w:val="00873B4C"/>
    <w:rsid w:val="00874531"/>
    <w:rsid w:val="0087476D"/>
    <w:rsid w:val="008751E5"/>
    <w:rsid w:val="00875AE1"/>
    <w:rsid w:val="0088295F"/>
    <w:rsid w:val="00885098"/>
    <w:rsid w:val="00886EC4"/>
    <w:rsid w:val="008871C8"/>
    <w:rsid w:val="008874DF"/>
    <w:rsid w:val="00891DEC"/>
    <w:rsid w:val="0089395D"/>
    <w:rsid w:val="008960B4"/>
    <w:rsid w:val="008A0694"/>
    <w:rsid w:val="008A1CD1"/>
    <w:rsid w:val="008A2AD4"/>
    <w:rsid w:val="008A583F"/>
    <w:rsid w:val="008A6051"/>
    <w:rsid w:val="008A6E9F"/>
    <w:rsid w:val="008A7BCD"/>
    <w:rsid w:val="008B07BC"/>
    <w:rsid w:val="008B18D2"/>
    <w:rsid w:val="008B68C0"/>
    <w:rsid w:val="008C1C28"/>
    <w:rsid w:val="008C32A1"/>
    <w:rsid w:val="008C3AAC"/>
    <w:rsid w:val="008C4703"/>
    <w:rsid w:val="008C5FD5"/>
    <w:rsid w:val="008D0761"/>
    <w:rsid w:val="008D2047"/>
    <w:rsid w:val="008D4458"/>
    <w:rsid w:val="008D5698"/>
    <w:rsid w:val="008D7ED1"/>
    <w:rsid w:val="008E220C"/>
    <w:rsid w:val="008E411B"/>
    <w:rsid w:val="008E4CC1"/>
    <w:rsid w:val="008E6E11"/>
    <w:rsid w:val="008F2DA9"/>
    <w:rsid w:val="008F547D"/>
    <w:rsid w:val="008F679F"/>
    <w:rsid w:val="008F74B8"/>
    <w:rsid w:val="008F7E0D"/>
    <w:rsid w:val="0090204E"/>
    <w:rsid w:val="00902D88"/>
    <w:rsid w:val="009051C4"/>
    <w:rsid w:val="00913758"/>
    <w:rsid w:val="009137CE"/>
    <w:rsid w:val="00920B77"/>
    <w:rsid w:val="009220DC"/>
    <w:rsid w:val="00923F2B"/>
    <w:rsid w:val="00923F2C"/>
    <w:rsid w:val="00925F16"/>
    <w:rsid w:val="00927426"/>
    <w:rsid w:val="00927CF3"/>
    <w:rsid w:val="00933B90"/>
    <w:rsid w:val="00937641"/>
    <w:rsid w:val="009419E4"/>
    <w:rsid w:val="009420FD"/>
    <w:rsid w:val="00943308"/>
    <w:rsid w:val="00943502"/>
    <w:rsid w:val="0094511C"/>
    <w:rsid w:val="00945FD9"/>
    <w:rsid w:val="009462D7"/>
    <w:rsid w:val="009522AA"/>
    <w:rsid w:val="00952396"/>
    <w:rsid w:val="00955913"/>
    <w:rsid w:val="00955B02"/>
    <w:rsid w:val="00956D38"/>
    <w:rsid w:val="00957C77"/>
    <w:rsid w:val="00957FB2"/>
    <w:rsid w:val="009605EC"/>
    <w:rsid w:val="00960ECA"/>
    <w:rsid w:val="009667E7"/>
    <w:rsid w:val="0096695C"/>
    <w:rsid w:val="00967565"/>
    <w:rsid w:val="00970EA2"/>
    <w:rsid w:val="00970FC7"/>
    <w:rsid w:val="00972898"/>
    <w:rsid w:val="00974128"/>
    <w:rsid w:val="00975236"/>
    <w:rsid w:val="00976532"/>
    <w:rsid w:val="0098353D"/>
    <w:rsid w:val="00983E58"/>
    <w:rsid w:val="00985EDF"/>
    <w:rsid w:val="00987C73"/>
    <w:rsid w:val="00991217"/>
    <w:rsid w:val="00992A54"/>
    <w:rsid w:val="009945E6"/>
    <w:rsid w:val="00997069"/>
    <w:rsid w:val="009971E3"/>
    <w:rsid w:val="009A109B"/>
    <w:rsid w:val="009A274B"/>
    <w:rsid w:val="009A45D0"/>
    <w:rsid w:val="009A63CF"/>
    <w:rsid w:val="009A7A22"/>
    <w:rsid w:val="009B4BF9"/>
    <w:rsid w:val="009B7EB9"/>
    <w:rsid w:val="009C1659"/>
    <w:rsid w:val="009C1C79"/>
    <w:rsid w:val="009C3BE3"/>
    <w:rsid w:val="009C641C"/>
    <w:rsid w:val="009D024D"/>
    <w:rsid w:val="009D2FA3"/>
    <w:rsid w:val="009D4516"/>
    <w:rsid w:val="009D654F"/>
    <w:rsid w:val="009D6DC1"/>
    <w:rsid w:val="009E0D7B"/>
    <w:rsid w:val="009E1261"/>
    <w:rsid w:val="009E1351"/>
    <w:rsid w:val="009E34B4"/>
    <w:rsid w:val="009E4859"/>
    <w:rsid w:val="009E7494"/>
    <w:rsid w:val="009F2BDD"/>
    <w:rsid w:val="009F429B"/>
    <w:rsid w:val="009F5C42"/>
    <w:rsid w:val="009F6CEA"/>
    <w:rsid w:val="009F7BFD"/>
    <w:rsid w:val="00A00333"/>
    <w:rsid w:val="00A0129F"/>
    <w:rsid w:val="00A02173"/>
    <w:rsid w:val="00A05918"/>
    <w:rsid w:val="00A069E3"/>
    <w:rsid w:val="00A11057"/>
    <w:rsid w:val="00A11AC4"/>
    <w:rsid w:val="00A154B6"/>
    <w:rsid w:val="00A17BF0"/>
    <w:rsid w:val="00A22BED"/>
    <w:rsid w:val="00A252FA"/>
    <w:rsid w:val="00A2548C"/>
    <w:rsid w:val="00A25723"/>
    <w:rsid w:val="00A27612"/>
    <w:rsid w:val="00A32A34"/>
    <w:rsid w:val="00A33F71"/>
    <w:rsid w:val="00A40370"/>
    <w:rsid w:val="00A40611"/>
    <w:rsid w:val="00A4452C"/>
    <w:rsid w:val="00A44BA2"/>
    <w:rsid w:val="00A45D0D"/>
    <w:rsid w:val="00A45D9B"/>
    <w:rsid w:val="00A46608"/>
    <w:rsid w:val="00A471C2"/>
    <w:rsid w:val="00A471DF"/>
    <w:rsid w:val="00A47712"/>
    <w:rsid w:val="00A47B97"/>
    <w:rsid w:val="00A50FC8"/>
    <w:rsid w:val="00A511E1"/>
    <w:rsid w:val="00A54228"/>
    <w:rsid w:val="00A5689E"/>
    <w:rsid w:val="00A603B2"/>
    <w:rsid w:val="00A60DE4"/>
    <w:rsid w:val="00A63769"/>
    <w:rsid w:val="00A65A7F"/>
    <w:rsid w:val="00A65CF8"/>
    <w:rsid w:val="00A66585"/>
    <w:rsid w:val="00A6669C"/>
    <w:rsid w:val="00A7014C"/>
    <w:rsid w:val="00A70593"/>
    <w:rsid w:val="00A70A74"/>
    <w:rsid w:val="00A71A49"/>
    <w:rsid w:val="00A71AE8"/>
    <w:rsid w:val="00A7213A"/>
    <w:rsid w:val="00A7287B"/>
    <w:rsid w:val="00A72DA7"/>
    <w:rsid w:val="00A74084"/>
    <w:rsid w:val="00A746DB"/>
    <w:rsid w:val="00A75424"/>
    <w:rsid w:val="00A75C3C"/>
    <w:rsid w:val="00A76CC3"/>
    <w:rsid w:val="00A80BEF"/>
    <w:rsid w:val="00A81974"/>
    <w:rsid w:val="00A81B4F"/>
    <w:rsid w:val="00A82B99"/>
    <w:rsid w:val="00A83E09"/>
    <w:rsid w:val="00A90619"/>
    <w:rsid w:val="00A90F7A"/>
    <w:rsid w:val="00A93933"/>
    <w:rsid w:val="00A94148"/>
    <w:rsid w:val="00A96C9A"/>
    <w:rsid w:val="00AA22D1"/>
    <w:rsid w:val="00AA301D"/>
    <w:rsid w:val="00AA3C04"/>
    <w:rsid w:val="00AA4EDA"/>
    <w:rsid w:val="00AB17D8"/>
    <w:rsid w:val="00AB3DC1"/>
    <w:rsid w:val="00AB5FEB"/>
    <w:rsid w:val="00AC0574"/>
    <w:rsid w:val="00AC077B"/>
    <w:rsid w:val="00AC0C2A"/>
    <w:rsid w:val="00AC119E"/>
    <w:rsid w:val="00AC4C6B"/>
    <w:rsid w:val="00AC4C97"/>
    <w:rsid w:val="00AC56E5"/>
    <w:rsid w:val="00AC57B8"/>
    <w:rsid w:val="00AC6BEC"/>
    <w:rsid w:val="00AD755F"/>
    <w:rsid w:val="00AE014F"/>
    <w:rsid w:val="00AE10A9"/>
    <w:rsid w:val="00AE67C0"/>
    <w:rsid w:val="00AF19D0"/>
    <w:rsid w:val="00AF1CFB"/>
    <w:rsid w:val="00AF33B6"/>
    <w:rsid w:val="00AF7F0F"/>
    <w:rsid w:val="00B0157C"/>
    <w:rsid w:val="00B01786"/>
    <w:rsid w:val="00B02731"/>
    <w:rsid w:val="00B050FC"/>
    <w:rsid w:val="00B070D1"/>
    <w:rsid w:val="00B0733C"/>
    <w:rsid w:val="00B10616"/>
    <w:rsid w:val="00B12C32"/>
    <w:rsid w:val="00B12EB5"/>
    <w:rsid w:val="00B13F14"/>
    <w:rsid w:val="00B14EE8"/>
    <w:rsid w:val="00B21399"/>
    <w:rsid w:val="00B23B1F"/>
    <w:rsid w:val="00B23F49"/>
    <w:rsid w:val="00B26A79"/>
    <w:rsid w:val="00B27AE5"/>
    <w:rsid w:val="00B27C1E"/>
    <w:rsid w:val="00B3032E"/>
    <w:rsid w:val="00B3181B"/>
    <w:rsid w:val="00B334C3"/>
    <w:rsid w:val="00B368F6"/>
    <w:rsid w:val="00B37179"/>
    <w:rsid w:val="00B45131"/>
    <w:rsid w:val="00B46075"/>
    <w:rsid w:val="00B47178"/>
    <w:rsid w:val="00B47BFA"/>
    <w:rsid w:val="00B54B18"/>
    <w:rsid w:val="00B54BE7"/>
    <w:rsid w:val="00B55BA9"/>
    <w:rsid w:val="00B56134"/>
    <w:rsid w:val="00B56CA2"/>
    <w:rsid w:val="00B60162"/>
    <w:rsid w:val="00B62312"/>
    <w:rsid w:val="00B62B38"/>
    <w:rsid w:val="00B63132"/>
    <w:rsid w:val="00B6397D"/>
    <w:rsid w:val="00B63CE3"/>
    <w:rsid w:val="00B650DC"/>
    <w:rsid w:val="00B66AC2"/>
    <w:rsid w:val="00B71D1B"/>
    <w:rsid w:val="00B72FFC"/>
    <w:rsid w:val="00B730D7"/>
    <w:rsid w:val="00B753BC"/>
    <w:rsid w:val="00B80777"/>
    <w:rsid w:val="00B84A03"/>
    <w:rsid w:val="00B84C38"/>
    <w:rsid w:val="00B8518D"/>
    <w:rsid w:val="00B907A5"/>
    <w:rsid w:val="00B91131"/>
    <w:rsid w:val="00B917C5"/>
    <w:rsid w:val="00B9475F"/>
    <w:rsid w:val="00B9545B"/>
    <w:rsid w:val="00B95697"/>
    <w:rsid w:val="00B95F2D"/>
    <w:rsid w:val="00BA1563"/>
    <w:rsid w:val="00BA22E6"/>
    <w:rsid w:val="00BA2880"/>
    <w:rsid w:val="00BA3659"/>
    <w:rsid w:val="00BA3927"/>
    <w:rsid w:val="00BB004F"/>
    <w:rsid w:val="00BB25A0"/>
    <w:rsid w:val="00BB2F54"/>
    <w:rsid w:val="00BB3F40"/>
    <w:rsid w:val="00BB445A"/>
    <w:rsid w:val="00BB6AE4"/>
    <w:rsid w:val="00BC16EB"/>
    <w:rsid w:val="00BC18BD"/>
    <w:rsid w:val="00BC4747"/>
    <w:rsid w:val="00BC6874"/>
    <w:rsid w:val="00BD0C7E"/>
    <w:rsid w:val="00BD24F1"/>
    <w:rsid w:val="00BD7507"/>
    <w:rsid w:val="00BD756C"/>
    <w:rsid w:val="00BD7A9D"/>
    <w:rsid w:val="00BE1917"/>
    <w:rsid w:val="00BE45C8"/>
    <w:rsid w:val="00BE5242"/>
    <w:rsid w:val="00BE71BE"/>
    <w:rsid w:val="00BE75CA"/>
    <w:rsid w:val="00BF1C1E"/>
    <w:rsid w:val="00BF20E2"/>
    <w:rsid w:val="00BF4F34"/>
    <w:rsid w:val="00BF5FB2"/>
    <w:rsid w:val="00BF72C5"/>
    <w:rsid w:val="00BF7C11"/>
    <w:rsid w:val="00C012A0"/>
    <w:rsid w:val="00C03549"/>
    <w:rsid w:val="00C04113"/>
    <w:rsid w:val="00C05EE7"/>
    <w:rsid w:val="00C11195"/>
    <w:rsid w:val="00C12022"/>
    <w:rsid w:val="00C12EEA"/>
    <w:rsid w:val="00C13E80"/>
    <w:rsid w:val="00C14C95"/>
    <w:rsid w:val="00C1730D"/>
    <w:rsid w:val="00C17FB5"/>
    <w:rsid w:val="00C206B1"/>
    <w:rsid w:val="00C301DE"/>
    <w:rsid w:val="00C30A85"/>
    <w:rsid w:val="00C30D01"/>
    <w:rsid w:val="00C31A79"/>
    <w:rsid w:val="00C32376"/>
    <w:rsid w:val="00C32509"/>
    <w:rsid w:val="00C33C6F"/>
    <w:rsid w:val="00C34B48"/>
    <w:rsid w:val="00C36E99"/>
    <w:rsid w:val="00C422DA"/>
    <w:rsid w:val="00C45E6B"/>
    <w:rsid w:val="00C45FA1"/>
    <w:rsid w:val="00C463F7"/>
    <w:rsid w:val="00C51FA3"/>
    <w:rsid w:val="00C52ECC"/>
    <w:rsid w:val="00C553D7"/>
    <w:rsid w:val="00C5634C"/>
    <w:rsid w:val="00C56428"/>
    <w:rsid w:val="00C56A57"/>
    <w:rsid w:val="00C574C2"/>
    <w:rsid w:val="00C61D4F"/>
    <w:rsid w:val="00C62636"/>
    <w:rsid w:val="00C64774"/>
    <w:rsid w:val="00C64815"/>
    <w:rsid w:val="00C655CF"/>
    <w:rsid w:val="00C6757E"/>
    <w:rsid w:val="00C75B90"/>
    <w:rsid w:val="00C76228"/>
    <w:rsid w:val="00C77EBE"/>
    <w:rsid w:val="00C828A8"/>
    <w:rsid w:val="00C82CD8"/>
    <w:rsid w:val="00C845C5"/>
    <w:rsid w:val="00C85DCF"/>
    <w:rsid w:val="00C8720F"/>
    <w:rsid w:val="00C908F8"/>
    <w:rsid w:val="00C9183E"/>
    <w:rsid w:val="00C926D2"/>
    <w:rsid w:val="00C95353"/>
    <w:rsid w:val="00C95FD5"/>
    <w:rsid w:val="00C96856"/>
    <w:rsid w:val="00C96B0E"/>
    <w:rsid w:val="00C96D6B"/>
    <w:rsid w:val="00C96FB6"/>
    <w:rsid w:val="00C9708E"/>
    <w:rsid w:val="00C9718D"/>
    <w:rsid w:val="00CA05B1"/>
    <w:rsid w:val="00CA0D1F"/>
    <w:rsid w:val="00CA3A0B"/>
    <w:rsid w:val="00CA3D70"/>
    <w:rsid w:val="00CB15D5"/>
    <w:rsid w:val="00CB1A41"/>
    <w:rsid w:val="00CB5F6C"/>
    <w:rsid w:val="00CC49EB"/>
    <w:rsid w:val="00CC5321"/>
    <w:rsid w:val="00CC569E"/>
    <w:rsid w:val="00CD4E1E"/>
    <w:rsid w:val="00CD5FC2"/>
    <w:rsid w:val="00CD60E8"/>
    <w:rsid w:val="00CD6404"/>
    <w:rsid w:val="00CD78AA"/>
    <w:rsid w:val="00CE03E8"/>
    <w:rsid w:val="00CE0FFB"/>
    <w:rsid w:val="00CE37DB"/>
    <w:rsid w:val="00CE50F8"/>
    <w:rsid w:val="00CE5CB5"/>
    <w:rsid w:val="00CE756E"/>
    <w:rsid w:val="00CE7EED"/>
    <w:rsid w:val="00CF2833"/>
    <w:rsid w:val="00CF3FBF"/>
    <w:rsid w:val="00CF4099"/>
    <w:rsid w:val="00CF440C"/>
    <w:rsid w:val="00CF4CD3"/>
    <w:rsid w:val="00CF53F5"/>
    <w:rsid w:val="00CF55C0"/>
    <w:rsid w:val="00CF76AB"/>
    <w:rsid w:val="00D019E9"/>
    <w:rsid w:val="00D02B24"/>
    <w:rsid w:val="00D032B4"/>
    <w:rsid w:val="00D04C4B"/>
    <w:rsid w:val="00D051FB"/>
    <w:rsid w:val="00D07086"/>
    <w:rsid w:val="00D11F62"/>
    <w:rsid w:val="00D14799"/>
    <w:rsid w:val="00D153B5"/>
    <w:rsid w:val="00D15F21"/>
    <w:rsid w:val="00D15F2C"/>
    <w:rsid w:val="00D234FC"/>
    <w:rsid w:val="00D23AAB"/>
    <w:rsid w:val="00D24900"/>
    <w:rsid w:val="00D251C3"/>
    <w:rsid w:val="00D3381C"/>
    <w:rsid w:val="00D33954"/>
    <w:rsid w:val="00D33FBF"/>
    <w:rsid w:val="00D353FF"/>
    <w:rsid w:val="00D35BAD"/>
    <w:rsid w:val="00D3672D"/>
    <w:rsid w:val="00D413A7"/>
    <w:rsid w:val="00D41C1A"/>
    <w:rsid w:val="00D4376A"/>
    <w:rsid w:val="00D4378C"/>
    <w:rsid w:val="00D437DF"/>
    <w:rsid w:val="00D46FEE"/>
    <w:rsid w:val="00D51A4C"/>
    <w:rsid w:val="00D5398A"/>
    <w:rsid w:val="00D560B4"/>
    <w:rsid w:val="00D5682A"/>
    <w:rsid w:val="00D606CD"/>
    <w:rsid w:val="00D618B9"/>
    <w:rsid w:val="00D62E13"/>
    <w:rsid w:val="00D63A91"/>
    <w:rsid w:val="00D63B41"/>
    <w:rsid w:val="00D64ED9"/>
    <w:rsid w:val="00D713F4"/>
    <w:rsid w:val="00D72342"/>
    <w:rsid w:val="00D72EF5"/>
    <w:rsid w:val="00D73D1D"/>
    <w:rsid w:val="00D74705"/>
    <w:rsid w:val="00D74C32"/>
    <w:rsid w:val="00D77746"/>
    <w:rsid w:val="00D81FD5"/>
    <w:rsid w:val="00D82E46"/>
    <w:rsid w:val="00D83F3D"/>
    <w:rsid w:val="00D84FD5"/>
    <w:rsid w:val="00D931B5"/>
    <w:rsid w:val="00D93C97"/>
    <w:rsid w:val="00D93CB7"/>
    <w:rsid w:val="00D94DE7"/>
    <w:rsid w:val="00DA300C"/>
    <w:rsid w:val="00DA4F20"/>
    <w:rsid w:val="00DA5F91"/>
    <w:rsid w:val="00DA6E2B"/>
    <w:rsid w:val="00DB1443"/>
    <w:rsid w:val="00DB1615"/>
    <w:rsid w:val="00DB1C9D"/>
    <w:rsid w:val="00DB2475"/>
    <w:rsid w:val="00DB316B"/>
    <w:rsid w:val="00DC15FA"/>
    <w:rsid w:val="00DC308D"/>
    <w:rsid w:val="00DC38E8"/>
    <w:rsid w:val="00DC4563"/>
    <w:rsid w:val="00DD32DF"/>
    <w:rsid w:val="00DD36A5"/>
    <w:rsid w:val="00DD395B"/>
    <w:rsid w:val="00DD3D34"/>
    <w:rsid w:val="00DD4EB5"/>
    <w:rsid w:val="00DD5177"/>
    <w:rsid w:val="00DD5ACF"/>
    <w:rsid w:val="00DD7F17"/>
    <w:rsid w:val="00DE0AED"/>
    <w:rsid w:val="00DE0ECA"/>
    <w:rsid w:val="00DE2FF1"/>
    <w:rsid w:val="00DE57CD"/>
    <w:rsid w:val="00DE66B5"/>
    <w:rsid w:val="00DE7145"/>
    <w:rsid w:val="00DE7A49"/>
    <w:rsid w:val="00DF0B80"/>
    <w:rsid w:val="00DF127E"/>
    <w:rsid w:val="00DF18E9"/>
    <w:rsid w:val="00DF3A68"/>
    <w:rsid w:val="00DF4006"/>
    <w:rsid w:val="00DF5AB1"/>
    <w:rsid w:val="00DF5CAB"/>
    <w:rsid w:val="00E0276D"/>
    <w:rsid w:val="00E031C3"/>
    <w:rsid w:val="00E038EF"/>
    <w:rsid w:val="00E05540"/>
    <w:rsid w:val="00E057DC"/>
    <w:rsid w:val="00E06C11"/>
    <w:rsid w:val="00E119D4"/>
    <w:rsid w:val="00E122AB"/>
    <w:rsid w:val="00E13FE6"/>
    <w:rsid w:val="00E14B5E"/>
    <w:rsid w:val="00E212E4"/>
    <w:rsid w:val="00E24B33"/>
    <w:rsid w:val="00E2666F"/>
    <w:rsid w:val="00E318E6"/>
    <w:rsid w:val="00E3382F"/>
    <w:rsid w:val="00E342B0"/>
    <w:rsid w:val="00E34FB5"/>
    <w:rsid w:val="00E35954"/>
    <w:rsid w:val="00E359E9"/>
    <w:rsid w:val="00E40F57"/>
    <w:rsid w:val="00E41BA9"/>
    <w:rsid w:val="00E445F8"/>
    <w:rsid w:val="00E449BC"/>
    <w:rsid w:val="00E45983"/>
    <w:rsid w:val="00E476DD"/>
    <w:rsid w:val="00E512BC"/>
    <w:rsid w:val="00E521C4"/>
    <w:rsid w:val="00E565E6"/>
    <w:rsid w:val="00E57580"/>
    <w:rsid w:val="00E6165B"/>
    <w:rsid w:val="00E61689"/>
    <w:rsid w:val="00E61E0E"/>
    <w:rsid w:val="00E63460"/>
    <w:rsid w:val="00E65ACC"/>
    <w:rsid w:val="00E664AA"/>
    <w:rsid w:val="00E672FE"/>
    <w:rsid w:val="00E710CB"/>
    <w:rsid w:val="00E72A49"/>
    <w:rsid w:val="00E72D85"/>
    <w:rsid w:val="00E76D00"/>
    <w:rsid w:val="00E84BD5"/>
    <w:rsid w:val="00E905EF"/>
    <w:rsid w:val="00E909F3"/>
    <w:rsid w:val="00E91FA4"/>
    <w:rsid w:val="00E928CD"/>
    <w:rsid w:val="00E96E92"/>
    <w:rsid w:val="00E977B2"/>
    <w:rsid w:val="00EA1902"/>
    <w:rsid w:val="00EA2677"/>
    <w:rsid w:val="00EA4DA6"/>
    <w:rsid w:val="00EA743E"/>
    <w:rsid w:val="00EB0D67"/>
    <w:rsid w:val="00EB1E4B"/>
    <w:rsid w:val="00EB39D3"/>
    <w:rsid w:val="00EB3A1D"/>
    <w:rsid w:val="00EC1F40"/>
    <w:rsid w:val="00EC4161"/>
    <w:rsid w:val="00EC4FB9"/>
    <w:rsid w:val="00EC7267"/>
    <w:rsid w:val="00ED0025"/>
    <w:rsid w:val="00ED0268"/>
    <w:rsid w:val="00ED0975"/>
    <w:rsid w:val="00ED0D79"/>
    <w:rsid w:val="00ED4CCF"/>
    <w:rsid w:val="00ED5DB4"/>
    <w:rsid w:val="00ED639D"/>
    <w:rsid w:val="00ED71B7"/>
    <w:rsid w:val="00ED7836"/>
    <w:rsid w:val="00EE2DAB"/>
    <w:rsid w:val="00EE40DF"/>
    <w:rsid w:val="00EE43F0"/>
    <w:rsid w:val="00EE5C6D"/>
    <w:rsid w:val="00EE7A33"/>
    <w:rsid w:val="00EE7BA9"/>
    <w:rsid w:val="00EF0F78"/>
    <w:rsid w:val="00EF4234"/>
    <w:rsid w:val="00EF66B5"/>
    <w:rsid w:val="00F00349"/>
    <w:rsid w:val="00F00455"/>
    <w:rsid w:val="00F0102B"/>
    <w:rsid w:val="00F019D5"/>
    <w:rsid w:val="00F04699"/>
    <w:rsid w:val="00F04F0F"/>
    <w:rsid w:val="00F053BC"/>
    <w:rsid w:val="00F06E86"/>
    <w:rsid w:val="00F074F7"/>
    <w:rsid w:val="00F105E7"/>
    <w:rsid w:val="00F10908"/>
    <w:rsid w:val="00F11052"/>
    <w:rsid w:val="00F12CB2"/>
    <w:rsid w:val="00F143BA"/>
    <w:rsid w:val="00F17515"/>
    <w:rsid w:val="00F17C91"/>
    <w:rsid w:val="00F2056B"/>
    <w:rsid w:val="00F2376D"/>
    <w:rsid w:val="00F262B8"/>
    <w:rsid w:val="00F27593"/>
    <w:rsid w:val="00F27799"/>
    <w:rsid w:val="00F371D2"/>
    <w:rsid w:val="00F37CF6"/>
    <w:rsid w:val="00F37D5F"/>
    <w:rsid w:val="00F37E79"/>
    <w:rsid w:val="00F4171C"/>
    <w:rsid w:val="00F436A6"/>
    <w:rsid w:val="00F43D47"/>
    <w:rsid w:val="00F44371"/>
    <w:rsid w:val="00F45496"/>
    <w:rsid w:val="00F45595"/>
    <w:rsid w:val="00F46177"/>
    <w:rsid w:val="00F46A65"/>
    <w:rsid w:val="00F4787F"/>
    <w:rsid w:val="00F47DB8"/>
    <w:rsid w:val="00F52C36"/>
    <w:rsid w:val="00F536A2"/>
    <w:rsid w:val="00F56B5C"/>
    <w:rsid w:val="00F5711B"/>
    <w:rsid w:val="00F57406"/>
    <w:rsid w:val="00F60666"/>
    <w:rsid w:val="00F60BE8"/>
    <w:rsid w:val="00F63060"/>
    <w:rsid w:val="00F64875"/>
    <w:rsid w:val="00F658EC"/>
    <w:rsid w:val="00F65E60"/>
    <w:rsid w:val="00F67374"/>
    <w:rsid w:val="00F67C42"/>
    <w:rsid w:val="00F707FE"/>
    <w:rsid w:val="00F72943"/>
    <w:rsid w:val="00F72FAB"/>
    <w:rsid w:val="00F73AEA"/>
    <w:rsid w:val="00F760B9"/>
    <w:rsid w:val="00F761E8"/>
    <w:rsid w:val="00F8035C"/>
    <w:rsid w:val="00F8142F"/>
    <w:rsid w:val="00F816CD"/>
    <w:rsid w:val="00F82146"/>
    <w:rsid w:val="00F831B3"/>
    <w:rsid w:val="00F834FA"/>
    <w:rsid w:val="00F83F8A"/>
    <w:rsid w:val="00F8497D"/>
    <w:rsid w:val="00F851DC"/>
    <w:rsid w:val="00F86E18"/>
    <w:rsid w:val="00F872DB"/>
    <w:rsid w:val="00F929DB"/>
    <w:rsid w:val="00F92CD7"/>
    <w:rsid w:val="00F937EC"/>
    <w:rsid w:val="00F94225"/>
    <w:rsid w:val="00F9652F"/>
    <w:rsid w:val="00F967EE"/>
    <w:rsid w:val="00FA1ABF"/>
    <w:rsid w:val="00FA1AC2"/>
    <w:rsid w:val="00FA2B24"/>
    <w:rsid w:val="00FA4A29"/>
    <w:rsid w:val="00FA54C9"/>
    <w:rsid w:val="00FB569B"/>
    <w:rsid w:val="00FB5BA1"/>
    <w:rsid w:val="00FC11CD"/>
    <w:rsid w:val="00FC17B0"/>
    <w:rsid w:val="00FC37AC"/>
    <w:rsid w:val="00FC4536"/>
    <w:rsid w:val="00FC7108"/>
    <w:rsid w:val="00FD1546"/>
    <w:rsid w:val="00FD1C43"/>
    <w:rsid w:val="00FD2801"/>
    <w:rsid w:val="00FD325C"/>
    <w:rsid w:val="00FD3E40"/>
    <w:rsid w:val="00FD44A7"/>
    <w:rsid w:val="00FD7481"/>
    <w:rsid w:val="00FD7D8D"/>
    <w:rsid w:val="00FE49AA"/>
    <w:rsid w:val="00FF2484"/>
    <w:rsid w:val="00FF4C93"/>
    <w:rsid w:val="00FF4FEC"/>
    <w:rsid w:val="00FF7216"/>
    <w:rsid w:val="012F1F88"/>
    <w:rsid w:val="0160084E"/>
    <w:rsid w:val="03286AEC"/>
    <w:rsid w:val="03CA0498"/>
    <w:rsid w:val="03E54960"/>
    <w:rsid w:val="0411533A"/>
    <w:rsid w:val="04257A4E"/>
    <w:rsid w:val="04463D30"/>
    <w:rsid w:val="054C4145"/>
    <w:rsid w:val="05905063"/>
    <w:rsid w:val="072E6CF9"/>
    <w:rsid w:val="07FE1216"/>
    <w:rsid w:val="08A13F27"/>
    <w:rsid w:val="09397F76"/>
    <w:rsid w:val="0A3E5960"/>
    <w:rsid w:val="0A487AF9"/>
    <w:rsid w:val="0A631503"/>
    <w:rsid w:val="0AB52A5C"/>
    <w:rsid w:val="0D651657"/>
    <w:rsid w:val="0DCA6A96"/>
    <w:rsid w:val="0E2844A2"/>
    <w:rsid w:val="0E3C4D8B"/>
    <w:rsid w:val="0E4E5304"/>
    <w:rsid w:val="0EDA35B9"/>
    <w:rsid w:val="0FC401FA"/>
    <w:rsid w:val="104F68CF"/>
    <w:rsid w:val="10FC0A7D"/>
    <w:rsid w:val="10FD7E68"/>
    <w:rsid w:val="11263022"/>
    <w:rsid w:val="118B06AB"/>
    <w:rsid w:val="120D2558"/>
    <w:rsid w:val="122C13DD"/>
    <w:rsid w:val="12493D73"/>
    <w:rsid w:val="12706417"/>
    <w:rsid w:val="14C010C6"/>
    <w:rsid w:val="14EA24B1"/>
    <w:rsid w:val="15095874"/>
    <w:rsid w:val="157A24C8"/>
    <w:rsid w:val="160222AF"/>
    <w:rsid w:val="161E52C1"/>
    <w:rsid w:val="1623694E"/>
    <w:rsid w:val="16BA5EB3"/>
    <w:rsid w:val="17D13CA1"/>
    <w:rsid w:val="1890336F"/>
    <w:rsid w:val="1A4A39F2"/>
    <w:rsid w:val="1ADD5BEF"/>
    <w:rsid w:val="1B844F9E"/>
    <w:rsid w:val="1C1E49A7"/>
    <w:rsid w:val="1DE20FF7"/>
    <w:rsid w:val="1EC92C3C"/>
    <w:rsid w:val="1ED01E61"/>
    <w:rsid w:val="1F8B1FA7"/>
    <w:rsid w:val="210E7C4B"/>
    <w:rsid w:val="217F7027"/>
    <w:rsid w:val="21E04C3A"/>
    <w:rsid w:val="21F62E13"/>
    <w:rsid w:val="22C5154D"/>
    <w:rsid w:val="237D0196"/>
    <w:rsid w:val="23843B81"/>
    <w:rsid w:val="253319F8"/>
    <w:rsid w:val="26671392"/>
    <w:rsid w:val="29DB7E34"/>
    <w:rsid w:val="2A8B1BE9"/>
    <w:rsid w:val="2B7B455D"/>
    <w:rsid w:val="2C9A1154"/>
    <w:rsid w:val="2CD8259B"/>
    <w:rsid w:val="2D9A3185"/>
    <w:rsid w:val="2E3473CF"/>
    <w:rsid w:val="2EB14F54"/>
    <w:rsid w:val="2F276C26"/>
    <w:rsid w:val="2FE029D7"/>
    <w:rsid w:val="30055F99"/>
    <w:rsid w:val="302F1268"/>
    <w:rsid w:val="30523054"/>
    <w:rsid w:val="31E22A36"/>
    <w:rsid w:val="340475C8"/>
    <w:rsid w:val="3477599F"/>
    <w:rsid w:val="3497243E"/>
    <w:rsid w:val="349E1A54"/>
    <w:rsid w:val="34B920AB"/>
    <w:rsid w:val="34D25AD2"/>
    <w:rsid w:val="35074561"/>
    <w:rsid w:val="36351674"/>
    <w:rsid w:val="366E4EA6"/>
    <w:rsid w:val="378105FB"/>
    <w:rsid w:val="37D324B2"/>
    <w:rsid w:val="382736AC"/>
    <w:rsid w:val="38B56C50"/>
    <w:rsid w:val="39C131AC"/>
    <w:rsid w:val="3A1A51A7"/>
    <w:rsid w:val="3ADB2E57"/>
    <w:rsid w:val="3BE216CA"/>
    <w:rsid w:val="3BFE395F"/>
    <w:rsid w:val="3C8F414C"/>
    <w:rsid w:val="3D85696B"/>
    <w:rsid w:val="3D8A58DE"/>
    <w:rsid w:val="3DF9336D"/>
    <w:rsid w:val="3E8912B2"/>
    <w:rsid w:val="3F2D33E2"/>
    <w:rsid w:val="3F450B50"/>
    <w:rsid w:val="40CD5322"/>
    <w:rsid w:val="418753BD"/>
    <w:rsid w:val="43030BE5"/>
    <w:rsid w:val="43457110"/>
    <w:rsid w:val="44675956"/>
    <w:rsid w:val="45B65AE3"/>
    <w:rsid w:val="46267C3B"/>
    <w:rsid w:val="469F190B"/>
    <w:rsid w:val="46CE7EBD"/>
    <w:rsid w:val="46D11A78"/>
    <w:rsid w:val="47380F7D"/>
    <w:rsid w:val="482C274C"/>
    <w:rsid w:val="491D0802"/>
    <w:rsid w:val="49A65959"/>
    <w:rsid w:val="4A0A26D2"/>
    <w:rsid w:val="4A313BF6"/>
    <w:rsid w:val="4CA60907"/>
    <w:rsid w:val="4DEC770A"/>
    <w:rsid w:val="4E0964F5"/>
    <w:rsid w:val="4E264136"/>
    <w:rsid w:val="4E4A33B9"/>
    <w:rsid w:val="4EC9429B"/>
    <w:rsid w:val="517B3D0D"/>
    <w:rsid w:val="51B26E5B"/>
    <w:rsid w:val="52A35479"/>
    <w:rsid w:val="52CC25BB"/>
    <w:rsid w:val="53EB70D0"/>
    <w:rsid w:val="53EC0A64"/>
    <w:rsid w:val="55CC22A8"/>
    <w:rsid w:val="567A473C"/>
    <w:rsid w:val="56A44532"/>
    <w:rsid w:val="57B96FCA"/>
    <w:rsid w:val="588E44CE"/>
    <w:rsid w:val="5A9304C2"/>
    <w:rsid w:val="5AB43E9C"/>
    <w:rsid w:val="5B1D14D8"/>
    <w:rsid w:val="5C8A4BE0"/>
    <w:rsid w:val="5E7D4577"/>
    <w:rsid w:val="5F146D83"/>
    <w:rsid w:val="5FA85294"/>
    <w:rsid w:val="625E13B5"/>
    <w:rsid w:val="62942C89"/>
    <w:rsid w:val="62C42F30"/>
    <w:rsid w:val="62F91FF6"/>
    <w:rsid w:val="634F2F3D"/>
    <w:rsid w:val="635946C8"/>
    <w:rsid w:val="63986BFC"/>
    <w:rsid w:val="63B1110F"/>
    <w:rsid w:val="6449399F"/>
    <w:rsid w:val="64B16403"/>
    <w:rsid w:val="657E6CA9"/>
    <w:rsid w:val="678420E1"/>
    <w:rsid w:val="67E92CE5"/>
    <w:rsid w:val="67EB4DFC"/>
    <w:rsid w:val="68AC4020"/>
    <w:rsid w:val="68D17BC5"/>
    <w:rsid w:val="698C353C"/>
    <w:rsid w:val="6A25736F"/>
    <w:rsid w:val="6A7900FC"/>
    <w:rsid w:val="6A865F51"/>
    <w:rsid w:val="6AFC3B7A"/>
    <w:rsid w:val="6B50447B"/>
    <w:rsid w:val="6C953733"/>
    <w:rsid w:val="6C9C4A6C"/>
    <w:rsid w:val="6CC8224D"/>
    <w:rsid w:val="6D185A0C"/>
    <w:rsid w:val="6E2476C2"/>
    <w:rsid w:val="6F315F51"/>
    <w:rsid w:val="6FFA6132"/>
    <w:rsid w:val="702D2451"/>
    <w:rsid w:val="7032766D"/>
    <w:rsid w:val="703579CB"/>
    <w:rsid w:val="705E0269"/>
    <w:rsid w:val="705F7559"/>
    <w:rsid w:val="71A861A9"/>
    <w:rsid w:val="720D24B0"/>
    <w:rsid w:val="724F2AC9"/>
    <w:rsid w:val="74884354"/>
    <w:rsid w:val="749123CA"/>
    <w:rsid w:val="75183646"/>
    <w:rsid w:val="752F5C4E"/>
    <w:rsid w:val="75502EFC"/>
    <w:rsid w:val="755651FF"/>
    <w:rsid w:val="760342F6"/>
    <w:rsid w:val="76070232"/>
    <w:rsid w:val="771D13E7"/>
    <w:rsid w:val="780277F0"/>
    <w:rsid w:val="79B41C94"/>
    <w:rsid w:val="7A2A4D97"/>
    <w:rsid w:val="7B1830CE"/>
    <w:rsid w:val="7C2537C3"/>
    <w:rsid w:val="7C593933"/>
    <w:rsid w:val="7CF978CE"/>
    <w:rsid w:val="7DAE2167"/>
    <w:rsid w:val="7E127997"/>
    <w:rsid w:val="7EC15BF0"/>
    <w:rsid w:val="7F3013EC"/>
    <w:rsid w:val="7F6F11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9"/>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bCs/>
      <w:kern w:val="0"/>
      <w:sz w:val="32"/>
      <w:szCs w:val="32"/>
    </w:rPr>
  </w:style>
  <w:style w:type="paragraph" w:styleId="4">
    <w:name w:val="heading 3"/>
    <w:basedOn w:val="1"/>
    <w:next w:val="1"/>
    <w:qFormat/>
    <w:uiPriority w:val="0"/>
    <w:pPr>
      <w:keepNext/>
      <w:keepLines/>
      <w:widowControl w:val="0"/>
      <w:spacing w:before="260" w:after="260" w:line="415" w:lineRule="auto"/>
      <w:outlineLvl w:val="2"/>
    </w:pPr>
    <w:rPr>
      <w:b/>
      <w:bCs/>
      <w:kern w:val="0"/>
      <w:sz w:val="32"/>
      <w:szCs w:val="32"/>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qFormat/>
    <w:uiPriority w:val="0"/>
    <w:pPr>
      <w:keepNext/>
      <w:keepLines/>
      <w:widowControl w:val="0"/>
      <w:spacing w:before="280" w:after="290" w:line="376" w:lineRule="auto"/>
      <w:outlineLvl w:val="4"/>
    </w:pPr>
    <w:rPr>
      <w:b/>
      <w:sz w:val="28"/>
    </w:rPr>
  </w:style>
  <w:style w:type="paragraph" w:styleId="8">
    <w:name w:val="heading 6"/>
    <w:basedOn w:val="1"/>
    <w:next w:val="1"/>
    <w:qFormat/>
    <w:uiPriority w:val="0"/>
    <w:pPr>
      <w:keepNext/>
      <w:keepLines/>
      <w:widowControl w:val="0"/>
      <w:spacing w:before="240" w:after="64" w:line="319" w:lineRule="auto"/>
      <w:outlineLvl w:val="5"/>
    </w:pPr>
    <w:rPr>
      <w:rFonts w:ascii="Arial" w:hAnsi="Arial" w:eastAsia="黑体"/>
      <w:b/>
      <w:sz w:val="24"/>
    </w:rPr>
  </w:style>
  <w:style w:type="paragraph" w:styleId="9">
    <w:name w:val="heading 7"/>
    <w:basedOn w:val="1"/>
    <w:next w:val="7"/>
    <w:qFormat/>
    <w:uiPriority w:val="0"/>
    <w:pPr>
      <w:keepNext/>
      <w:keepLines/>
      <w:widowControl w:val="0"/>
      <w:spacing w:before="240" w:after="64" w:line="319" w:lineRule="auto"/>
      <w:outlineLvl w:val="6"/>
    </w:pPr>
    <w:rPr>
      <w:b/>
      <w:sz w:val="24"/>
    </w:rPr>
  </w:style>
  <w:style w:type="paragraph" w:styleId="10">
    <w:name w:val="heading 8"/>
    <w:basedOn w:val="1"/>
    <w:next w:val="7"/>
    <w:qFormat/>
    <w:uiPriority w:val="0"/>
    <w:pPr>
      <w:keepNext/>
      <w:keepLines/>
      <w:widowControl w:val="0"/>
      <w:spacing w:before="240" w:after="64" w:line="319" w:lineRule="auto"/>
      <w:outlineLvl w:val="7"/>
    </w:pPr>
    <w:rPr>
      <w:rFonts w:ascii="Arial" w:hAnsi="Arial" w:eastAsia="黑体"/>
      <w:sz w:val="24"/>
    </w:rPr>
  </w:style>
  <w:style w:type="paragraph" w:styleId="11">
    <w:name w:val="heading 9"/>
    <w:basedOn w:val="1"/>
    <w:next w:val="7"/>
    <w:qFormat/>
    <w:uiPriority w:val="0"/>
    <w:pPr>
      <w:keepNext/>
      <w:keepLines/>
      <w:widowControl w:val="0"/>
      <w:spacing w:before="240" w:after="64" w:line="319" w:lineRule="auto"/>
      <w:outlineLvl w:val="8"/>
    </w:pPr>
    <w:rPr>
      <w:rFonts w:ascii="Arial" w:hAnsi="Arial" w:eastAsia="黑体"/>
    </w:rPr>
  </w:style>
  <w:style w:type="character" w:default="1" w:styleId="51">
    <w:name w:val="Default Paragraph Font"/>
    <w:qFormat/>
    <w:uiPriority w:val="0"/>
  </w:style>
  <w:style w:type="table" w:default="1" w:styleId="50">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lang w:bidi="ar-SA"/>
    </w:rPr>
  </w:style>
  <w:style w:type="paragraph" w:styleId="15">
    <w:name w:val="Document Map"/>
    <w:basedOn w:val="1"/>
    <w:qFormat/>
    <w:uiPriority w:val="0"/>
    <w:pPr>
      <w:shd w:val="clear" w:color="auto" w:fill="000080"/>
    </w:pPr>
  </w:style>
  <w:style w:type="paragraph" w:styleId="16">
    <w:name w:val="annotation text"/>
    <w:basedOn w:val="1"/>
    <w:link w:val="59"/>
    <w:qFormat/>
    <w:uiPriority w:val="0"/>
    <w:pPr>
      <w:adjustRightInd w:val="0"/>
      <w:spacing w:line="360" w:lineRule="atLeast"/>
      <w:jc w:val="left"/>
      <w:textAlignment w:val="baseline"/>
    </w:pPr>
    <w:rPr>
      <w:kern w:val="0"/>
      <w:sz w:val="24"/>
      <w:szCs w:val="20"/>
    </w:rPr>
  </w:style>
  <w:style w:type="paragraph" w:styleId="17">
    <w:name w:val="Salutation"/>
    <w:basedOn w:val="1"/>
    <w:next w:val="1"/>
    <w:qFormat/>
    <w:uiPriority w:val="0"/>
    <w:rPr>
      <w:sz w:val="28"/>
    </w:rPr>
  </w:style>
  <w:style w:type="paragraph" w:styleId="18">
    <w:name w:val="Body Text 3"/>
    <w:basedOn w:val="1"/>
    <w:qFormat/>
    <w:uiPriority w:val="0"/>
    <w:pPr>
      <w:spacing w:line="500" w:lineRule="exact"/>
    </w:pPr>
    <w:rPr>
      <w:b/>
      <w:bCs/>
      <w:sz w:val="24"/>
    </w:rPr>
  </w:style>
  <w:style w:type="paragraph" w:styleId="19">
    <w:name w:val="Body Text"/>
    <w:basedOn w:val="1"/>
    <w:next w:val="1"/>
    <w:qFormat/>
    <w:uiPriority w:val="0"/>
    <w:pPr>
      <w:spacing w:line="380" w:lineRule="exact"/>
    </w:pPr>
    <w:rPr>
      <w:sz w:val="24"/>
    </w:rPr>
  </w:style>
  <w:style w:type="paragraph" w:styleId="20">
    <w:name w:val="Body Text Indent"/>
    <w:basedOn w:val="1"/>
    <w:qFormat/>
    <w:uiPriority w:val="0"/>
    <w:pPr>
      <w:ind w:firstLine="352" w:firstLineChars="352"/>
    </w:pPr>
    <w:rPr>
      <w:rFonts w:ascii="仿宋_GB2312" w:eastAsia="仿宋_GB2312"/>
      <w:sz w:val="32"/>
      <w:szCs w:val="20"/>
    </w:rPr>
  </w:style>
  <w:style w:type="paragraph" w:styleId="21">
    <w:name w:val="List Number 3"/>
    <w:basedOn w:val="1"/>
    <w:qFormat/>
    <w:uiPriority w:val="0"/>
    <w:pPr>
      <w:tabs>
        <w:tab w:val="left" w:pos="360"/>
      </w:tabs>
      <w:ind w:left="360" w:hanging="360"/>
    </w:pPr>
  </w:style>
  <w:style w:type="paragraph" w:styleId="22">
    <w:name w:val="List 2"/>
    <w:basedOn w:val="1"/>
    <w:qFormat/>
    <w:uiPriority w:val="0"/>
    <w:pPr>
      <w:ind w:left="4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0"/>
    <w:pPr>
      <w:ind w:left="400" w:leftChars="400"/>
    </w:pPr>
  </w:style>
  <w:style w:type="paragraph" w:styleId="26">
    <w:name w:val="Plain Text"/>
    <w:basedOn w:val="1"/>
    <w:next w:val="5"/>
    <w:link w:val="60"/>
    <w:qFormat/>
    <w:uiPriority w:val="0"/>
    <w:rPr>
      <w:rFonts w:ascii="宋体"/>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qFormat/>
    <w:uiPriority w:val="0"/>
    <w:pPr>
      <w:ind w:left="2500" w:leftChars="2500"/>
    </w:pPr>
    <w:rPr>
      <w:rFonts w:ascii="宋体" w:cs="Courier New"/>
      <w:szCs w:val="21"/>
      <w:lang w:bidi="ar-SA"/>
    </w:rPr>
  </w:style>
  <w:style w:type="paragraph" w:styleId="29">
    <w:name w:val="Body Text Indent 2"/>
    <w:basedOn w:val="1"/>
    <w:qFormat/>
    <w:uiPriority w:val="0"/>
    <w:pPr>
      <w:ind w:firstLine="630"/>
    </w:pPr>
    <w:rPr>
      <w:sz w:val="32"/>
      <w:szCs w:val="20"/>
    </w:rPr>
  </w:style>
  <w:style w:type="paragraph" w:styleId="30">
    <w:name w:val="endnote text"/>
    <w:basedOn w:val="1"/>
    <w:qFormat/>
    <w:uiPriority w:val="0"/>
    <w:pPr>
      <w:snapToGrid w:val="0"/>
      <w:jc w:val="left"/>
    </w:pPr>
    <w:rPr>
      <w:rFonts w:ascii="Calibri" w:hAnsi="Calibri"/>
      <w:szCs w:val="22"/>
    </w:r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szCs w:val="18"/>
    </w:rPr>
  </w:style>
  <w:style w:type="paragraph" w:styleId="3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0"/>
    <w:pPr>
      <w:tabs>
        <w:tab w:val="right" w:leader="dot" w:pos="8296"/>
        <w:tab w:val="right" w:leader="dot" w:pos="8398"/>
      </w:tabs>
      <w:spacing w:before="120" w:after="120" w:line="320" w:lineRule="exact"/>
      <w:ind w:firstLine="400" w:firstLineChars="400"/>
      <w:jc w:val="left"/>
    </w:pPr>
    <w:rPr>
      <w:rFonts w:ascii="仿宋_GB2312" w:eastAsia="仿宋_GB2312" w:cs="Courier New"/>
      <w:bCs/>
      <w:caps/>
      <w:szCs w:val="21"/>
      <w:lang w:bidi="ar-SA"/>
    </w:rPr>
  </w:style>
  <w:style w:type="paragraph" w:styleId="35">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8">
    <w:name w:val="List 5"/>
    <w:basedOn w:val="1"/>
    <w:qFormat/>
    <w:uiPriority w:val="0"/>
    <w:pPr>
      <w:ind w:left="2100" w:hanging="420"/>
    </w:pPr>
    <w:rPr>
      <w:szCs w:val="20"/>
    </w:rPr>
  </w:style>
  <w:style w:type="paragraph" w:styleId="39">
    <w:name w:val="Body Text Indent 3"/>
    <w:basedOn w:val="1"/>
    <w:qFormat/>
    <w:uiPriority w:val="0"/>
    <w:pPr>
      <w:spacing w:after="120"/>
      <w:ind w:left="200" w:leftChars="200"/>
    </w:pPr>
    <w:rPr>
      <w:sz w:val="16"/>
      <w:szCs w:val="16"/>
    </w:rPr>
  </w:style>
  <w:style w:type="paragraph" w:styleId="40">
    <w:name w:val="toc 2"/>
    <w:basedOn w:val="1"/>
    <w:next w:val="1"/>
    <w:qFormat/>
    <w:uiPriority w:val="0"/>
    <w:pPr>
      <w:ind w:left="200" w:leftChars="200"/>
    </w:pPr>
  </w:style>
  <w:style w:type="paragraph" w:styleId="4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2">
    <w:name w:val="Body Text 2"/>
    <w:basedOn w:val="1"/>
    <w:qFormat/>
    <w:uiPriority w:val="0"/>
    <w:pPr>
      <w:spacing w:after="120" w:line="480" w:lineRule="auto"/>
    </w:pPr>
  </w:style>
  <w:style w:type="paragraph" w:styleId="4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cs="Courier New"/>
      <w:kern w:val="0"/>
      <w:sz w:val="20"/>
      <w:szCs w:val="20"/>
      <w:lang w:bidi="ar-SA"/>
    </w:rPr>
  </w:style>
  <w:style w:type="paragraph" w:styleId="44">
    <w:name w:val="Normal (Web)"/>
    <w:basedOn w:val="1"/>
    <w:qFormat/>
    <w:uiPriority w:val="0"/>
    <w:pPr>
      <w:widowControl/>
      <w:spacing w:before="100" w:beforeAutospacing="1" w:after="100" w:afterAutospacing="1"/>
      <w:jc w:val="left"/>
    </w:pPr>
    <w:rPr>
      <w:rFonts w:ascii="宋体"/>
      <w:kern w:val="0"/>
      <w:sz w:val="24"/>
    </w:rPr>
  </w:style>
  <w:style w:type="paragraph" w:styleId="45">
    <w:name w:val="index 1"/>
    <w:basedOn w:val="1"/>
    <w:next w:val="1"/>
    <w:qFormat/>
    <w:uiPriority w:val="0"/>
    <w:pPr>
      <w:spacing w:line="400" w:lineRule="exact"/>
      <w:ind w:firstLine="200" w:firstLineChars="200"/>
    </w:pPr>
    <w:rPr>
      <w:rFonts w:ascii="宋体"/>
      <w:b/>
      <w:szCs w:val="20"/>
    </w:rPr>
  </w:style>
  <w:style w:type="paragraph" w:styleId="46">
    <w:name w:val="Title"/>
    <w:basedOn w:val="1"/>
    <w:qFormat/>
    <w:uiPriority w:val="0"/>
    <w:pPr>
      <w:spacing w:before="240" w:after="60"/>
      <w:jc w:val="center"/>
      <w:outlineLvl w:val="0"/>
    </w:pPr>
    <w:rPr>
      <w:rFonts w:ascii="Arial" w:hAnsi="Arial"/>
      <w:b/>
      <w:bCs/>
      <w:sz w:val="32"/>
      <w:szCs w:val="32"/>
    </w:rPr>
  </w:style>
  <w:style w:type="paragraph" w:styleId="47">
    <w:name w:val="annotation subject"/>
    <w:basedOn w:val="16"/>
    <w:next w:val="16"/>
    <w:qFormat/>
    <w:uiPriority w:val="0"/>
    <w:pPr>
      <w:adjustRightInd/>
      <w:spacing w:line="240" w:lineRule="auto"/>
      <w:textAlignment w:val="auto"/>
    </w:pPr>
    <w:rPr>
      <w:b/>
      <w:bCs/>
      <w:kern w:val="2"/>
      <w:sz w:val="21"/>
      <w:szCs w:val="24"/>
    </w:rPr>
  </w:style>
  <w:style w:type="paragraph" w:styleId="48">
    <w:name w:val="Body Text First Indent"/>
    <w:basedOn w:val="19"/>
    <w:next w:val="37"/>
    <w:unhideWhenUsed/>
    <w:qFormat/>
    <w:uiPriority w:val="99"/>
    <w:pPr>
      <w:spacing w:beforeLines="0" w:afterLines="0"/>
      <w:ind w:firstLine="420" w:firstLineChars="100"/>
    </w:pPr>
    <w:rPr>
      <w:rFonts w:hint="default"/>
      <w:sz w:val="24"/>
    </w:rPr>
  </w:style>
  <w:style w:type="paragraph" w:styleId="49">
    <w:name w:val="Body Text First Indent 2"/>
    <w:basedOn w:val="20"/>
    <w:unhideWhenUsed/>
    <w:qFormat/>
    <w:uiPriority w:val="0"/>
    <w:pPr>
      <w:ind w:firstLine="420" w:firstLineChars="200"/>
    </w:pPr>
  </w:style>
  <w:style w:type="character" w:styleId="52">
    <w:name w:val="Strong"/>
    <w:qFormat/>
    <w:uiPriority w:val="0"/>
    <w:rPr>
      <w:b/>
      <w:bCs/>
    </w:rPr>
  </w:style>
  <w:style w:type="character" w:styleId="53">
    <w:name w:val="page number"/>
    <w:basedOn w:val="51"/>
    <w:qFormat/>
    <w:uiPriority w:val="0"/>
  </w:style>
  <w:style w:type="character" w:styleId="54">
    <w:name w:val="FollowedHyperlink"/>
    <w:qFormat/>
    <w:uiPriority w:val="0"/>
    <w:rPr>
      <w:color w:val="800080"/>
      <w:u w:val="single"/>
    </w:rPr>
  </w:style>
  <w:style w:type="character" w:styleId="55">
    <w:name w:val="Emphasis"/>
    <w:qFormat/>
    <w:uiPriority w:val="0"/>
    <w:rPr>
      <w:color w:val="CC0000"/>
    </w:rPr>
  </w:style>
  <w:style w:type="character" w:styleId="56">
    <w:name w:val="Hyperlink"/>
    <w:qFormat/>
    <w:uiPriority w:val="0"/>
    <w:rPr>
      <w:color w:val="0000FF"/>
      <w:u w:val="single"/>
    </w:rPr>
  </w:style>
  <w:style w:type="character" w:styleId="57">
    <w:name w:val="annotation reference"/>
    <w:qFormat/>
    <w:uiPriority w:val="0"/>
    <w:rPr>
      <w:sz w:val="21"/>
      <w:szCs w:val="21"/>
    </w:rPr>
  </w:style>
  <w:style w:type="character" w:customStyle="1" w:styleId="58">
    <w:name w:val="标题 1 Char"/>
    <w:basedOn w:val="51"/>
    <w:link w:val="2"/>
    <w:qFormat/>
    <w:uiPriority w:val="9"/>
    <w:rPr>
      <w:b/>
      <w:bCs/>
      <w:kern w:val="44"/>
      <w:sz w:val="44"/>
      <w:szCs w:val="44"/>
    </w:rPr>
  </w:style>
  <w:style w:type="character" w:customStyle="1" w:styleId="59">
    <w:name w:val="批注文字 Char"/>
    <w:link w:val="16"/>
    <w:qFormat/>
    <w:uiPriority w:val="0"/>
    <w:rPr>
      <w:sz w:val="24"/>
    </w:rPr>
  </w:style>
  <w:style w:type="character" w:customStyle="1" w:styleId="60">
    <w:name w:val="纯文本 Char"/>
    <w:link w:val="26"/>
    <w:qFormat/>
    <w:uiPriority w:val="0"/>
    <w:rPr>
      <w:rFonts w:ascii="宋体" w:eastAsia="宋体" w:cs="Courier New"/>
      <w:kern w:val="2"/>
      <w:sz w:val="21"/>
      <w:szCs w:val="21"/>
    </w:rPr>
  </w:style>
  <w:style w:type="character" w:customStyle="1" w:styleId="61">
    <w:name w:val="普通文字 Char Char4"/>
    <w:qFormat/>
    <w:uiPriority w:val="0"/>
    <w:rPr>
      <w:rFonts w:ascii="宋体" w:eastAsia="宋体" w:cs="Courier New"/>
      <w:kern w:val="2"/>
      <w:sz w:val="21"/>
      <w:szCs w:val="21"/>
      <w:lang w:val="en-US" w:eastAsia="zh-CN" w:bidi="ar-SA"/>
    </w:rPr>
  </w:style>
  <w:style w:type="character" w:customStyle="1" w:styleId="62">
    <w:name w:val=" Char Char Char Char Char"/>
    <w:qFormat/>
    <w:uiPriority w:val="0"/>
    <w:rPr>
      <w:rFonts w:eastAsia="宋体"/>
      <w:b/>
      <w:bCs/>
      <w:kern w:val="44"/>
      <w:sz w:val="44"/>
      <w:szCs w:val="44"/>
      <w:lang w:val="en-US" w:eastAsia="zh-CN" w:bidi="ar-SA"/>
    </w:rPr>
  </w:style>
  <w:style w:type="character" w:customStyle="1" w:styleId="63">
    <w:name w:val=" Char Char23"/>
    <w:qFormat/>
    <w:uiPriority w:val="0"/>
    <w:rPr>
      <w:rFonts w:ascii="Times New Roman" w:hAnsi="Times New Roman" w:eastAsia="宋体" w:cs="Times New Roman"/>
      <w:b/>
      <w:bCs/>
      <w:kern w:val="44"/>
      <w:sz w:val="44"/>
      <w:szCs w:val="44"/>
      <w:lang w:bidi="ar-SA"/>
    </w:rPr>
  </w:style>
  <w:style w:type="character" w:customStyle="1" w:styleId="64">
    <w:name w:val="标题 Char1"/>
    <w:qFormat/>
    <w:uiPriority w:val="0"/>
    <w:rPr>
      <w:rFonts w:ascii="Cambria" w:hAnsi="Cambria" w:cs="Times New Roman"/>
      <w:b/>
      <w:bCs/>
      <w:kern w:val="2"/>
      <w:sz w:val="32"/>
      <w:szCs w:val="32"/>
      <w:lang w:bidi="ar-SA"/>
    </w:rPr>
  </w:style>
  <w:style w:type="character" w:customStyle="1" w:styleId="65">
    <w:name w:val="cubane_hilight1"/>
    <w:qFormat/>
    <w:uiPriority w:val="0"/>
    <w:rPr>
      <w:color w:val="CC0000"/>
    </w:rPr>
  </w:style>
  <w:style w:type="character" w:customStyle="1" w:styleId="66">
    <w:name w:val="纯文本 Char1"/>
    <w:qFormat/>
    <w:uiPriority w:val="0"/>
    <w:rPr>
      <w:rFonts w:ascii="宋体" w:eastAsia="宋体" w:cs="Courier New"/>
      <w:kern w:val="2"/>
      <w:sz w:val="21"/>
      <w:szCs w:val="21"/>
      <w:lang w:val="en-US" w:eastAsia="zh-CN" w:bidi="ar-SA"/>
    </w:rPr>
  </w:style>
  <w:style w:type="character" w:customStyle="1" w:styleId="67">
    <w:name w:val="H1 Char1"/>
    <w:qFormat/>
    <w:uiPriority w:val="0"/>
    <w:rPr>
      <w:rFonts w:eastAsia="宋体"/>
      <w:b/>
      <w:bCs/>
      <w:kern w:val="44"/>
      <w:sz w:val="44"/>
      <w:szCs w:val="44"/>
      <w:lang w:val="en-US" w:eastAsia="zh-CN" w:bidi="ar-SA"/>
    </w:rPr>
  </w:style>
  <w:style w:type="character" w:customStyle="1" w:styleId="68">
    <w:name w:val="style31"/>
    <w:qFormat/>
    <w:uiPriority w:val="0"/>
    <w:rPr>
      <w:sz w:val="18"/>
      <w:szCs w:val="18"/>
    </w:rPr>
  </w:style>
  <w:style w:type="character" w:customStyle="1" w:styleId="69">
    <w:name w:val=" Char Char14"/>
    <w:qFormat/>
    <w:uiPriority w:val="0"/>
    <w:rPr>
      <w:sz w:val="18"/>
      <w:szCs w:val="18"/>
    </w:rPr>
  </w:style>
  <w:style w:type="character" w:customStyle="1" w:styleId="70">
    <w:name w:val="llyf92"/>
    <w:qFormat/>
    <w:uiPriority w:val="0"/>
    <w:rPr>
      <w:sz w:val="18"/>
      <w:szCs w:val="18"/>
    </w:rPr>
  </w:style>
  <w:style w:type="character" w:customStyle="1" w:styleId="71">
    <w:name w:val=" Char Char11"/>
    <w:qFormat/>
    <w:uiPriority w:val="0"/>
    <w:rPr>
      <w:rFonts w:ascii="Times New Roman" w:hAnsi="Times New Roman" w:eastAsia="宋体" w:cs="Times New Roman"/>
      <w:sz w:val="30"/>
      <w:szCs w:val="24"/>
      <w:lang w:bidi="ar-SA"/>
    </w:rPr>
  </w:style>
  <w:style w:type="character" w:customStyle="1" w:styleId="72">
    <w:name w:val="style21"/>
    <w:qFormat/>
    <w:uiPriority w:val="0"/>
    <w:rPr>
      <w:sz w:val="18"/>
      <w:szCs w:val="18"/>
    </w:rPr>
  </w:style>
  <w:style w:type="character" w:customStyle="1" w:styleId="73">
    <w:name w:val="Char Char17"/>
    <w:qFormat/>
    <w:uiPriority w:val="0"/>
    <w:rPr>
      <w:rFonts w:ascii="Times New Roman" w:hAnsi="Times New Roman" w:cs="Times New Roman"/>
      <w:b/>
      <w:bCs/>
      <w:kern w:val="2"/>
      <w:sz w:val="21"/>
      <w:szCs w:val="24"/>
      <w:lang w:bidi="ar-SA"/>
    </w:rPr>
  </w:style>
  <w:style w:type="character" w:customStyle="1" w:styleId="74">
    <w:name w:val=" Char Char15"/>
    <w:qFormat/>
    <w:uiPriority w:val="0"/>
    <w:rPr>
      <w:sz w:val="18"/>
      <w:szCs w:val="18"/>
    </w:rPr>
  </w:style>
  <w:style w:type="character" w:customStyle="1" w:styleId="75">
    <w:name w:val="无间隔 Char Char"/>
    <w:qFormat/>
    <w:uiPriority w:val="0"/>
    <w:rPr>
      <w:rFonts w:ascii="Calibri" w:hAnsi="Calibri" w:eastAsia="宋体"/>
      <w:sz w:val="22"/>
      <w:szCs w:val="22"/>
      <w:lang w:val="en-US" w:eastAsia="zh-CN" w:bidi="ar-SA"/>
    </w:rPr>
  </w:style>
  <w:style w:type="character" w:customStyle="1" w:styleId="76">
    <w:name w:val="正文文本缩进 Char1"/>
    <w:qFormat/>
    <w:uiPriority w:val="0"/>
    <w:rPr>
      <w:kern w:val="2"/>
      <w:sz w:val="21"/>
      <w:szCs w:val="22"/>
    </w:rPr>
  </w:style>
  <w:style w:type="character" w:customStyle="1" w:styleId="77">
    <w:name w:val="正文文字首行缩进 Char"/>
    <w:qFormat/>
    <w:uiPriority w:val="0"/>
    <w:rPr>
      <w:rFonts w:ascii="仿宋_GB2312" w:eastAsia="仿宋_GB2312"/>
      <w:kern w:val="2"/>
      <w:sz w:val="32"/>
    </w:rPr>
  </w:style>
  <w:style w:type="character" w:customStyle="1" w:styleId="78">
    <w:name w:val="H1 Char"/>
    <w:qFormat/>
    <w:uiPriority w:val="0"/>
    <w:rPr>
      <w:rFonts w:eastAsia="宋体"/>
      <w:b/>
      <w:bCs/>
      <w:kern w:val="44"/>
      <w:sz w:val="44"/>
      <w:szCs w:val="44"/>
      <w:lang w:val="en-US" w:eastAsia="zh-CN" w:bidi="ar-SA"/>
    </w:rPr>
  </w:style>
  <w:style w:type="character" w:customStyle="1" w:styleId="79">
    <w:name w:val="unnamed3"/>
    <w:basedOn w:val="51"/>
    <w:qFormat/>
    <w:uiPriority w:val="0"/>
  </w:style>
  <w:style w:type="character" w:customStyle="1" w:styleId="80">
    <w:name w:val="style161"/>
    <w:qFormat/>
    <w:uiPriority w:val="0"/>
    <w:rPr>
      <w:color w:val="666666"/>
    </w:rPr>
  </w:style>
  <w:style w:type="character" w:customStyle="1" w:styleId="81">
    <w:name w:val="p1"/>
    <w:basedOn w:val="51"/>
    <w:qFormat/>
    <w:uiPriority w:val="0"/>
  </w:style>
  <w:style w:type="character" w:customStyle="1" w:styleId="82">
    <w:name w:val="Body Text Char"/>
    <w:qFormat/>
    <w:uiPriority w:val="0"/>
    <w:rPr>
      <w:rFonts w:eastAsia="宋体"/>
      <w:kern w:val="2"/>
      <w:sz w:val="24"/>
      <w:szCs w:val="24"/>
      <w:lang w:val="en-US" w:eastAsia="zh-CN" w:bidi="ar-SA"/>
    </w:rPr>
  </w:style>
  <w:style w:type="character" w:customStyle="1" w:styleId="83">
    <w:name w:val="ca-0"/>
    <w:qFormat/>
    <w:uiPriority w:val="0"/>
  </w:style>
  <w:style w:type="character" w:customStyle="1" w:styleId="84">
    <w:name w:val=" Char Char10"/>
    <w:qFormat/>
    <w:uiPriority w:val="0"/>
    <w:rPr>
      <w:rFonts w:eastAsia="宋体"/>
      <w:kern w:val="2"/>
      <w:sz w:val="24"/>
      <w:szCs w:val="24"/>
      <w:lang w:val="en-US" w:eastAsia="zh-CN" w:bidi="ar-SA"/>
    </w:rPr>
  </w:style>
  <w:style w:type="character" w:customStyle="1" w:styleId="85">
    <w:name w:val="普通文字 Char Char2"/>
    <w:qFormat/>
    <w:uiPriority w:val="0"/>
    <w:rPr>
      <w:rFonts w:ascii="宋体" w:eastAsia="宋体"/>
      <w:kern w:val="2"/>
      <w:sz w:val="21"/>
      <w:lang w:val="en-US" w:eastAsia="zh-CN" w:bidi="ar-SA"/>
    </w:rPr>
  </w:style>
  <w:style w:type="character" w:customStyle="1" w:styleId="86">
    <w:name w:val="自定义标题一 Char Char"/>
    <w:qFormat/>
    <w:uiPriority w:val="0"/>
    <w:rPr>
      <w:rFonts w:asci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87">
    <w:name w:val="1ji Char Char"/>
    <w:qFormat/>
    <w:uiPriority w:val="0"/>
    <w:rPr>
      <w:rFonts w:ascii="宋体" w:eastAsia="宋体"/>
      <w:b/>
      <w:bCs/>
      <w:kern w:val="44"/>
      <w:sz w:val="36"/>
      <w:szCs w:val="44"/>
    </w:rPr>
  </w:style>
  <w:style w:type="character" w:customStyle="1" w:styleId="88">
    <w:name w:val="apple-style-span"/>
    <w:basedOn w:val="51"/>
    <w:qFormat/>
    <w:uiPriority w:val="0"/>
  </w:style>
  <w:style w:type="character" w:customStyle="1" w:styleId="89">
    <w:name w:val="H1 Char2"/>
    <w:qFormat/>
    <w:uiPriority w:val="0"/>
    <w:rPr>
      <w:rFonts w:eastAsia="宋体"/>
      <w:b/>
      <w:bCs/>
      <w:kern w:val="44"/>
      <w:sz w:val="44"/>
      <w:szCs w:val="44"/>
      <w:lang w:val="en-US" w:eastAsia="zh-CN" w:bidi="ar-SA"/>
    </w:rPr>
  </w:style>
  <w:style w:type="paragraph" w:customStyle="1" w:styleId="90">
    <w:name w:val="文章附标题"/>
    <w:basedOn w:val="1"/>
    <w:next w:val="2"/>
    <w:qFormat/>
    <w:uiPriority w:val="0"/>
    <w:pPr>
      <w:widowControl/>
      <w:spacing w:before="187" w:after="175" w:line="374" w:lineRule="atLeast"/>
      <w:jc w:val="center"/>
      <w:textAlignment w:val="baseline"/>
    </w:pPr>
    <w:rPr>
      <w:color w:val="000000"/>
      <w:kern w:val="0"/>
      <w:sz w:val="36"/>
      <w:szCs w:val="20"/>
      <w:u w:val="none" w:color="000000"/>
    </w:rPr>
  </w:style>
  <w:style w:type="paragraph" w:customStyle="1" w:styleId="9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92">
    <w:name w:val="_Style 91"/>
    <w:qFormat/>
    <w:uiPriority w:val="0"/>
    <w:rPr>
      <w:rFonts w:ascii="Times New Roman" w:hAnsi="Times New Roman" w:eastAsia="宋体" w:cs="Times New Roman"/>
      <w:kern w:val="2"/>
      <w:sz w:val="21"/>
      <w:szCs w:val="24"/>
      <w:lang w:val="en-US" w:eastAsia="zh-CN" w:bidi="ar-SA"/>
    </w:rPr>
  </w:style>
  <w:style w:type="paragraph" w:customStyle="1" w:styleId="93">
    <w:name w:val="默认段落字体 Para Char"/>
    <w:basedOn w:val="1"/>
    <w:qFormat/>
    <w:uiPriority w:val="0"/>
    <w:pPr>
      <w:adjustRightInd w:val="0"/>
      <w:spacing w:line="360" w:lineRule="auto"/>
    </w:pPr>
    <w:rPr>
      <w:szCs w:val="20"/>
    </w:rPr>
  </w:style>
  <w:style w:type="paragraph" w:customStyle="1" w:styleId="94">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95">
    <w:name w:val="目录标题"/>
    <w:basedOn w:val="1"/>
    <w:next w:val="1"/>
    <w:qFormat/>
    <w:uiPriority w:val="0"/>
    <w:pPr>
      <w:widowControl/>
      <w:spacing w:before="566" w:after="544" w:line="566" w:lineRule="atLeast"/>
      <w:ind w:firstLine="419"/>
      <w:jc w:val="center"/>
      <w:textAlignment w:val="baseline"/>
    </w:pPr>
    <w:rPr>
      <w:rFonts w:ascii="Arial" w:hAnsi="Arial" w:eastAsia="黑体"/>
      <w:color w:val="000000"/>
      <w:spacing w:val="566"/>
      <w:kern w:val="0"/>
      <w:sz w:val="54"/>
      <w:szCs w:val="20"/>
      <w:u w:val="none" w:color="000000"/>
    </w:rPr>
  </w:style>
  <w:style w:type="paragraph" w:customStyle="1" w:styleId="96">
    <w:name w:val="Char Char1 Char Char Char Char"/>
    <w:basedOn w:val="15"/>
    <w:qFormat/>
    <w:uiPriority w:val="0"/>
    <w:rPr>
      <w:rFonts w:ascii="Tahoma" w:hAnsi="Tahoma"/>
      <w:sz w:val="24"/>
    </w:rPr>
  </w:style>
  <w:style w:type="paragraph" w:customStyle="1" w:styleId="97">
    <w:name w:val="p15"/>
    <w:basedOn w:val="1"/>
    <w:qFormat/>
    <w:uiPriority w:val="0"/>
    <w:pPr>
      <w:widowControl/>
    </w:pPr>
    <w:rPr>
      <w:rFonts w:ascii="宋体" w:cs="宋体"/>
      <w:kern w:val="0"/>
      <w:szCs w:val="21"/>
      <w:lang w:bidi="ar-SA"/>
    </w:rPr>
  </w:style>
  <w:style w:type="paragraph" w:customStyle="1" w:styleId="98">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9">
    <w:name w:val="样式 正文文字 + 小四 段后: 0 磅 行距: 1.5 倍行距"/>
    <w:basedOn w:val="19"/>
    <w:qFormat/>
    <w:uiPriority w:val="0"/>
    <w:pPr>
      <w:spacing w:line="360" w:lineRule="auto"/>
      <w:ind w:firstLine="200" w:firstLineChars="200"/>
    </w:pPr>
    <w:rPr>
      <w:rFonts w:cs="宋体"/>
      <w:szCs w:val="20"/>
      <w:lang w:bidi="ar-SA"/>
    </w:rPr>
  </w:style>
  <w:style w:type="paragraph" w:customStyle="1" w:styleId="100">
    <w:name w:val="正文文本缩进 Char Char Char Char"/>
    <w:basedOn w:val="1"/>
    <w:qFormat/>
    <w:uiPriority w:val="0"/>
    <w:pPr>
      <w:ind w:firstLine="540"/>
    </w:pPr>
    <w:rPr>
      <w:rFonts w:ascii="宋体"/>
      <w:szCs w:val="20"/>
    </w:rPr>
  </w:style>
  <w:style w:type="paragraph" w:customStyle="1" w:styleId="10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lang w:bidi="ar-SA"/>
    </w:rPr>
  </w:style>
  <w:style w:type="paragraph" w:customStyle="1" w:styleId="102">
    <w:name w:val="_Style 35"/>
    <w:basedOn w:val="15"/>
    <w:qFormat/>
    <w:uiPriority w:val="0"/>
    <w:pPr>
      <w:widowControl/>
      <w:ind w:firstLine="454"/>
      <w:jc w:val="left"/>
    </w:pPr>
  </w:style>
  <w:style w:type="paragraph" w:customStyle="1" w:styleId="103">
    <w:name w:val="自定义标题一"/>
    <w:basedOn w:val="2"/>
    <w:qFormat/>
    <w:uiPriority w:val="0"/>
    <w:pPr>
      <w:keepNext/>
      <w:keepLines/>
      <w:pageBreakBefore/>
      <w:widowControl w:val="0"/>
      <w:tabs>
        <w:tab w:val="left" w:pos="144"/>
      </w:tabs>
      <w:spacing w:before="0" w:after="0" w:line="360" w:lineRule="auto"/>
      <w:ind w:left="144" w:hanging="144"/>
      <w:jc w:val="center"/>
    </w:pPr>
    <w:rPr>
      <w:rFonts w:ascii="黑体" w:eastAsia="黑体"/>
      <w14:shadow w14:blurRad="50800" w14:dist="38100" w14:dir="2700000" w14:sx="100000" w14:sy="100000" w14:kx="0" w14:ky="0" w14:algn="tl">
        <w14:srgbClr w14:val="000000">
          <w14:alpha w14:val="60000"/>
        </w14:srgbClr>
      </w14:shadow>
    </w:rPr>
  </w:style>
  <w:style w:type="paragraph" w:customStyle="1" w:styleId="104">
    <w:name w:val="2ji"/>
    <w:basedOn w:val="3"/>
    <w:qFormat/>
    <w:uiPriority w:val="0"/>
    <w:pPr>
      <w:adjustRightInd w:val="0"/>
      <w:spacing w:before="0" w:after="0" w:line="360" w:lineRule="auto"/>
      <w:textAlignment w:val="baseline"/>
    </w:pPr>
    <w:rPr>
      <w:rFonts w:ascii="宋体" w:eastAsia="宋体"/>
      <w:sz w:val="21"/>
      <w:szCs w:val="21"/>
    </w:rPr>
  </w:style>
  <w:style w:type="paragraph" w:customStyle="1" w:styleId="105">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106">
    <w:name w:val="插图题注"/>
    <w:next w:val="1"/>
    <w:qFormat/>
    <w:uiPriority w:val="0"/>
    <w:pPr>
      <w:spacing w:after="100" w:afterLines="100"/>
      <w:ind w:left="1089" w:hanging="369"/>
      <w:jc w:val="center"/>
    </w:pPr>
    <w:rPr>
      <w:rFonts w:ascii="Arial" w:hAnsi="Arial" w:eastAsia="宋体" w:cs="Times New Roman"/>
      <w:sz w:val="18"/>
      <w:szCs w:val="18"/>
      <w:lang w:val="en-US" w:eastAsia="zh-CN" w:bidi="ar-SA"/>
    </w:rPr>
  </w:style>
  <w:style w:type="paragraph" w:customStyle="1" w:styleId="107">
    <w:name w:val="样式 首行缩进:  2 字符"/>
    <w:basedOn w:val="1"/>
    <w:qFormat/>
    <w:uiPriority w:val="0"/>
    <w:pPr>
      <w:spacing w:line="400" w:lineRule="exact"/>
      <w:ind w:firstLine="200" w:firstLineChars="200"/>
    </w:pPr>
    <w:rPr>
      <w:rFonts w:cs="宋体"/>
      <w:sz w:val="24"/>
      <w:lang w:bidi="ar-SA"/>
    </w:rPr>
  </w:style>
  <w:style w:type="paragraph" w:customStyle="1" w:styleId="108">
    <w:name w:val="标题1"/>
    <w:basedOn w:val="2"/>
    <w:qFormat/>
    <w:uiPriority w:val="0"/>
    <w:pPr>
      <w:keepNext/>
      <w:keepLines w:val="0"/>
      <w:widowControl/>
      <w:pBdr>
        <w:bottom w:val="single" w:color="auto" w:sz="8" w:space="6"/>
      </w:pBdr>
      <w:tabs>
        <w:tab w:val="left" w:pos="0"/>
      </w:tabs>
      <w:spacing w:before="480" w:after="240" w:line="360" w:lineRule="auto"/>
      <w:ind w:left="567" w:hanging="567"/>
      <w:jc w:val="left"/>
    </w:pPr>
    <w:rPr>
      <w:rFonts w:ascii="宋体"/>
      <w:smallCaps/>
      <w:color w:val="000000"/>
      <w:spacing w:val="10"/>
      <w:kern w:val="20"/>
      <w:sz w:val="21"/>
      <w:szCs w:val="21"/>
    </w:rPr>
  </w:style>
  <w:style w:type="paragraph" w:customStyle="1" w:styleId="109">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10">
    <w:name w:val="Char Char Char Char Char Char Char Char Char"/>
    <w:basedOn w:val="1"/>
    <w:qFormat/>
    <w:uiPriority w:val="0"/>
    <w:pPr>
      <w:widowControl/>
      <w:spacing w:after="160" w:line="240" w:lineRule="exact"/>
      <w:jc w:val="left"/>
    </w:pPr>
    <w:rPr>
      <w:szCs w:val="20"/>
    </w:rPr>
  </w:style>
  <w:style w:type="paragraph" w:customStyle="1" w:styleId="11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12">
    <w:name w:val="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3">
    <w:name w:val="正文首行缩进两字符"/>
    <w:basedOn w:val="1"/>
    <w:qFormat/>
    <w:uiPriority w:val="0"/>
    <w:pPr>
      <w:spacing w:line="360" w:lineRule="auto"/>
      <w:ind w:firstLine="200" w:firstLineChars="200"/>
    </w:pPr>
  </w:style>
  <w:style w:type="paragraph" w:customStyle="1" w:styleId="114">
    <w:name w:val="目录2"/>
    <w:basedOn w:val="1"/>
    <w:next w:val="1"/>
    <w:qFormat/>
    <w:uiPriority w:val="0"/>
    <w:pPr>
      <w:widowControl/>
      <w:tabs>
        <w:tab w:val="left" w:leader="dot" w:pos="8503"/>
      </w:tabs>
      <w:spacing w:line="317" w:lineRule="atLeast"/>
      <w:ind w:firstLine="209"/>
      <w:textAlignment w:val="baseline"/>
    </w:pPr>
    <w:rPr>
      <w:color w:val="000000"/>
      <w:kern w:val="0"/>
      <w:szCs w:val="20"/>
      <w:u w:val="none" w:color="000000"/>
    </w:rPr>
  </w:style>
  <w:style w:type="paragraph" w:customStyle="1" w:styleId="115">
    <w:name w:val="小节标题"/>
    <w:basedOn w:val="1"/>
    <w:next w:val="1"/>
    <w:qFormat/>
    <w:uiPriority w:val="0"/>
    <w:pPr>
      <w:widowControl/>
      <w:spacing w:before="175" w:after="102" w:line="351" w:lineRule="atLeast"/>
      <w:textAlignment w:val="baseline"/>
    </w:pPr>
    <w:rPr>
      <w:rFonts w:eastAsia="黑体"/>
      <w:color w:val="000000"/>
      <w:kern w:val="0"/>
      <w:szCs w:val="20"/>
      <w:u w:val="none" w:color="000000"/>
    </w:rPr>
  </w:style>
  <w:style w:type="paragraph" w:customStyle="1" w:styleId="116">
    <w:name w:val="F2"/>
    <w:basedOn w:val="1"/>
    <w:qFormat/>
    <w:uiPriority w:val="0"/>
    <w:pPr>
      <w:autoSpaceDE w:val="0"/>
      <w:autoSpaceDN w:val="0"/>
      <w:adjustRightInd w:val="0"/>
      <w:ind w:firstLine="601"/>
    </w:pPr>
    <w:rPr>
      <w:kern w:val="0"/>
      <w:sz w:val="24"/>
      <w:szCs w:val="20"/>
    </w:rPr>
  </w:style>
  <w:style w:type="paragraph" w:customStyle="1" w:styleId="117">
    <w:name w:val="List Paragraph1"/>
    <w:basedOn w:val="1"/>
    <w:qFormat/>
    <w:uiPriority w:val="0"/>
    <w:pPr>
      <w:ind w:firstLine="200" w:firstLineChars="200"/>
    </w:pPr>
    <w:rPr>
      <w:rFonts w:ascii="Calibri" w:hAnsi="Calibri"/>
      <w:szCs w:val="22"/>
    </w:rPr>
  </w:style>
  <w:style w:type="paragraph" w:customStyle="1" w:styleId="118">
    <w:name w:val="2-2ji"/>
    <w:basedOn w:val="3"/>
    <w:qFormat/>
    <w:uiPriority w:val="0"/>
    <w:pPr>
      <w:adjustRightInd w:val="0"/>
      <w:spacing w:before="0" w:after="0" w:line="360" w:lineRule="auto"/>
      <w:jc w:val="center"/>
      <w:textAlignment w:val="baseline"/>
    </w:pPr>
    <w:rPr>
      <w:rFonts w:ascii="宋体" w:eastAsia="宋体"/>
      <w:bCs w:val="0"/>
      <w:sz w:val="36"/>
    </w:rPr>
  </w:style>
  <w:style w:type="paragraph" w:customStyle="1" w:styleId="119">
    <w:name w:val="标题3"/>
    <w:basedOn w:val="4"/>
    <w:qFormat/>
    <w:uiPriority w:val="0"/>
    <w:pPr>
      <w:keepNext/>
      <w:keepLines w:val="0"/>
      <w:widowControl/>
      <w:tabs>
        <w:tab w:val="left" w:pos="1247"/>
      </w:tabs>
      <w:spacing w:before="240" w:after="120" w:line="360" w:lineRule="auto"/>
      <w:ind w:left="1247" w:hanging="1247"/>
      <w:jc w:val="left"/>
    </w:pPr>
    <w:rPr>
      <w:rFonts w:ascii="Arial" w:hAnsi="Arial"/>
      <w:sz w:val="52"/>
      <w:szCs w:val="52"/>
      <w:lang w:val="en-US" w:eastAsia="zh-CN"/>
    </w:rPr>
  </w:style>
  <w:style w:type="paragraph" w:customStyle="1" w:styleId="12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21">
    <w:name w:val="1ji"/>
    <w:basedOn w:val="2"/>
    <w:qFormat/>
    <w:uiPriority w:val="0"/>
    <w:pPr>
      <w:keepNext/>
      <w:keepLines w:val="0"/>
      <w:widowControl/>
      <w:spacing w:before="0" w:after="0" w:line="240" w:lineRule="auto"/>
      <w:jc w:val="center"/>
    </w:pPr>
    <w:rPr>
      <w:rFonts w:ascii="宋体"/>
      <w:sz w:val="36"/>
    </w:rPr>
  </w:style>
  <w:style w:type="paragraph" w:customStyle="1" w:styleId="122">
    <w:name w:val="默认段落字体 Para Char Char Char Char Char Char Char Char Char1 Char Char Char Char"/>
    <w:basedOn w:val="1"/>
    <w:qFormat/>
    <w:uiPriority w:val="0"/>
    <w:rPr>
      <w:rFonts w:ascii="Tahoma" w:hAnsi="Tahoma"/>
      <w:sz w:val="24"/>
      <w:szCs w:val="20"/>
    </w:rPr>
  </w:style>
  <w:style w:type="paragraph" w:customStyle="1" w:styleId="123">
    <w:name w:val="Body"/>
    <w:basedOn w:val="1"/>
    <w:qFormat/>
    <w:uiPriority w:val="0"/>
    <w:pPr>
      <w:widowControl/>
      <w:tabs>
        <w:tab w:val="left" w:pos="1980"/>
      </w:tabs>
      <w:spacing w:before="80" w:after="80" w:line="360" w:lineRule="auto"/>
      <w:jc w:val="center"/>
    </w:pPr>
    <w:rPr>
      <w:szCs w:val="21"/>
    </w:rPr>
  </w:style>
  <w:style w:type="paragraph" w:customStyle="1" w:styleId="124">
    <w:name w:val="样式1"/>
    <w:basedOn w:val="1"/>
    <w:qFormat/>
    <w:uiPriority w:val="0"/>
    <w:pPr>
      <w:spacing w:before="120" w:after="120" w:line="300" w:lineRule="auto"/>
    </w:pPr>
    <w:rPr>
      <w:rFonts w:ascii="宋体"/>
      <w:b/>
      <w:sz w:val="24"/>
      <w:szCs w:val="20"/>
    </w:rPr>
  </w:style>
  <w:style w:type="paragraph" w:customStyle="1" w:styleId="125">
    <w:name w:val="4"/>
    <w:basedOn w:val="1"/>
    <w:next w:val="29"/>
    <w:qFormat/>
    <w:uiPriority w:val="0"/>
    <w:pPr>
      <w:spacing w:line="420" w:lineRule="exact"/>
      <w:ind w:firstLine="195" w:firstLineChars="195"/>
    </w:pPr>
  </w:style>
  <w:style w:type="paragraph" w:styleId="126">
    <w:name w:val="List Paragraph"/>
    <w:basedOn w:val="1"/>
    <w:qFormat/>
    <w:uiPriority w:val="34"/>
    <w:pPr>
      <w:ind w:firstLine="200" w:firstLineChars="200"/>
    </w:pPr>
    <w:rPr>
      <w:rFonts w:ascii="Calibri" w:hAnsi="Calibri"/>
      <w:szCs w:val="22"/>
    </w:rPr>
  </w:style>
  <w:style w:type="paragraph" w:customStyle="1" w:styleId="127">
    <w:name w:val="目录1"/>
    <w:basedOn w:val="1"/>
    <w:next w:val="1"/>
    <w:qFormat/>
    <w:uiPriority w:val="0"/>
    <w:pPr>
      <w:widowControl/>
      <w:tabs>
        <w:tab w:val="left" w:leader="dot" w:pos="8503"/>
      </w:tabs>
      <w:spacing w:after="136" w:line="289" w:lineRule="atLeast"/>
      <w:jc w:val="left"/>
      <w:textAlignment w:val="baseline"/>
    </w:pPr>
    <w:rPr>
      <w:rFonts w:ascii="Arial" w:hAnsi="Arial" w:eastAsia="黑体"/>
      <w:color w:val="000000"/>
      <w:kern w:val="0"/>
      <w:sz w:val="28"/>
      <w:szCs w:val="20"/>
      <w:u w:val="none" w:color="000000"/>
    </w:rPr>
  </w:style>
  <w:style w:type="paragraph" w:customStyle="1" w:styleId="128">
    <w:name w:val="样式 标题 2 + (西文) 宋体 非加粗 居中"/>
    <w:basedOn w:val="3"/>
    <w:qFormat/>
    <w:uiPriority w:val="0"/>
    <w:pPr>
      <w:jc w:val="center"/>
    </w:pPr>
    <w:rPr>
      <w:rFonts w:ascii="宋体" w:hAnsi="宋体" w:cs="宋体"/>
      <w:b w:val="0"/>
      <w:bCs w:val="0"/>
      <w:spacing w:val="2"/>
      <w:sz w:val="28"/>
      <w:szCs w:val="20"/>
      <w:lang w:bidi="ar-SA"/>
    </w:rPr>
  </w:style>
  <w:style w:type="paragraph" w:customStyle="1" w:styleId="129">
    <w:name w:val="正文段"/>
    <w:basedOn w:val="1"/>
    <w:qFormat/>
    <w:uiPriority w:val="0"/>
    <w:pPr>
      <w:widowControl/>
      <w:snapToGrid w:val="0"/>
      <w:spacing w:after="50" w:afterLines="50"/>
      <w:ind w:firstLine="200" w:firstLineChars="200"/>
    </w:pPr>
    <w:rPr>
      <w:kern w:val="0"/>
      <w:sz w:val="24"/>
      <w:szCs w:val="20"/>
    </w:rPr>
  </w:style>
  <w:style w:type="paragraph" w:customStyle="1" w:styleId="130">
    <w:name w:val="文章总标题"/>
    <w:basedOn w:val="1"/>
    <w:next w:val="90"/>
    <w:qFormat/>
    <w:uiPriority w:val="0"/>
    <w:pPr>
      <w:widowControl/>
      <w:spacing w:before="566" w:after="544" w:line="566" w:lineRule="atLeast"/>
      <w:jc w:val="center"/>
      <w:textAlignment w:val="baseline"/>
    </w:pPr>
    <w:rPr>
      <w:rFonts w:ascii="Arial" w:hAnsi="Arial" w:eastAsia="黑体"/>
      <w:color w:val="000000"/>
      <w:kern w:val="0"/>
      <w:sz w:val="54"/>
      <w:szCs w:val="20"/>
      <w:u w:val="none" w:color="000000"/>
    </w:rPr>
  </w:style>
  <w:style w:type="paragraph" w:customStyle="1" w:styleId="131">
    <w:name w:val="Plain Text"/>
    <w:basedOn w:val="1"/>
    <w:qFormat/>
    <w:uiPriority w:val="0"/>
    <w:rPr>
      <w:rFonts w:ascii="宋体"/>
      <w:szCs w:val="20"/>
    </w:rPr>
  </w:style>
  <w:style w:type="paragraph" w:customStyle="1" w:styleId="1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3">
    <w:name w:val="Char Char Char Char"/>
    <w:basedOn w:val="15"/>
    <w:qFormat/>
    <w:uiPriority w:val="0"/>
    <w:pPr>
      <w:adjustRightInd w:val="0"/>
      <w:snapToGrid w:val="0"/>
      <w:spacing w:line="360" w:lineRule="auto"/>
    </w:pPr>
    <w:rPr>
      <w:rFonts w:ascii="Tahoma" w:hAnsi="Tahoma"/>
      <w:sz w:val="24"/>
    </w:rPr>
  </w:style>
  <w:style w:type="paragraph" w:customStyle="1" w:styleId="134">
    <w:name w:val="列出段落1"/>
    <w:qFormat/>
    <w:uiPriority w:val="0"/>
    <w:pPr>
      <w:ind w:firstLine="200" w:firstLineChars="200"/>
    </w:pPr>
    <w:rPr>
      <w:rFonts w:ascii="Calibri" w:hAnsi="Calibri" w:eastAsia="宋体" w:cs="Times New Roman"/>
      <w:szCs w:val="22"/>
      <w:lang w:val="en-US" w:eastAsia="zh-CN" w:bidi="ar-SA"/>
    </w:rPr>
  </w:style>
  <w:style w:type="paragraph" w:customStyle="1" w:styleId="135">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6">
    <w:name w:val=" Char Char1 Char Char Char Char"/>
    <w:basedOn w:val="15"/>
    <w:qFormat/>
    <w:uiPriority w:val="0"/>
    <w:rPr>
      <w:rFonts w:ascii="Tahoma" w:hAnsi="Tahoma"/>
      <w:sz w:val="24"/>
    </w:rPr>
  </w:style>
  <w:style w:type="paragraph" w:customStyle="1" w:styleId="13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lang w:bidi="ar-SA"/>
    </w:rPr>
  </w:style>
  <w:style w:type="paragraph" w:customStyle="1" w:styleId="138">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39">
    <w:name w:val="1"/>
    <w:basedOn w:val="1"/>
    <w:next w:val="26"/>
    <w:qFormat/>
    <w:uiPriority w:val="0"/>
    <w:rPr>
      <w:rFonts w:ascii="宋体"/>
      <w:szCs w:val="20"/>
    </w:rPr>
  </w:style>
  <w:style w:type="paragraph" w:customStyle="1" w:styleId="140">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41">
    <w:name w:val="节标题"/>
    <w:basedOn w:val="1"/>
    <w:next w:val="115"/>
    <w:qFormat/>
    <w:uiPriority w:val="0"/>
    <w:pPr>
      <w:widowControl/>
      <w:spacing w:line="289" w:lineRule="atLeast"/>
      <w:jc w:val="center"/>
      <w:textAlignment w:val="baseline"/>
    </w:pPr>
    <w:rPr>
      <w:color w:val="000000"/>
      <w:kern w:val="0"/>
      <w:sz w:val="28"/>
      <w:szCs w:val="20"/>
      <w:u w:val="none" w:color="000000"/>
    </w:rPr>
  </w:style>
  <w:style w:type="paragraph" w:customStyle="1" w:styleId="14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3">
    <w:name w:val="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4">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145">
    <w:name w:val="Char1"/>
    <w:basedOn w:val="1"/>
    <w:qFormat/>
    <w:uiPriority w:val="0"/>
    <w:rPr>
      <w:szCs w:val="21"/>
    </w:rPr>
  </w:style>
  <w:style w:type="paragraph" w:customStyle="1" w:styleId="14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47">
    <w:name w:val=" Char"/>
    <w:basedOn w:val="15"/>
    <w:qFormat/>
    <w:uiPriority w:val="0"/>
    <w:pPr>
      <w:widowControl/>
      <w:ind w:firstLine="454"/>
      <w:jc w:val="left"/>
    </w:pPr>
    <w:rPr>
      <w:rFonts w:ascii="Tahoma" w:hAnsi="Tahoma" w:cs="宋体"/>
      <w:kern w:val="0"/>
      <w:sz w:val="24"/>
      <w:szCs w:val="20"/>
      <w:lang w:bidi="ar-SA"/>
    </w:rPr>
  </w:style>
  <w:style w:type="paragraph" w:customStyle="1" w:styleId="148">
    <w:name w:val="表内文字"/>
    <w:basedOn w:val="1"/>
    <w:qFormat/>
    <w:uiPriority w:val="0"/>
    <w:pPr>
      <w:snapToGrid w:val="0"/>
      <w:spacing w:before="50" w:after="50" w:line="360" w:lineRule="exact"/>
    </w:pPr>
    <w:rPr>
      <w:rFonts w:ascii="宋体"/>
      <w:b/>
      <w:color w:val="0000FF"/>
      <w:szCs w:val="21"/>
    </w:rPr>
  </w:style>
  <w:style w:type="paragraph" w:customStyle="1" w:styleId="149">
    <w:name w:val="表格题注"/>
    <w:next w:val="1"/>
    <w:qFormat/>
    <w:uiPriority w:val="0"/>
    <w:pPr>
      <w:keepLines/>
      <w:spacing w:before="100" w:beforeLines="100"/>
      <w:ind w:left="1089" w:hanging="369"/>
      <w:jc w:val="center"/>
    </w:pPr>
    <w:rPr>
      <w:rFonts w:ascii="Arial" w:hAnsi="Arial" w:eastAsia="宋体" w:cs="Times New Roman"/>
      <w:sz w:val="18"/>
      <w:szCs w:val="18"/>
      <w:lang w:val="en-US" w:eastAsia="zh-CN" w:bidi="ar-SA"/>
    </w:rPr>
  </w:style>
  <w:style w:type="paragraph" w:customStyle="1" w:styleId="150">
    <w:name w:val="Char"/>
    <w:basedOn w:val="15"/>
    <w:qFormat/>
    <w:uiPriority w:val="0"/>
    <w:pPr>
      <w:widowControl/>
      <w:ind w:firstLine="454"/>
      <w:jc w:val="left"/>
    </w:pPr>
    <w:rPr>
      <w:rFonts w:ascii="Tahoma" w:hAnsi="Tahoma" w:cs="宋体"/>
      <w:kern w:val="0"/>
      <w:sz w:val="24"/>
      <w:szCs w:val="20"/>
      <w:lang w:bidi="ar-SA"/>
    </w:rPr>
  </w:style>
  <w:style w:type="paragraph" w:customStyle="1" w:styleId="151">
    <w:name w:val="表格"/>
    <w:basedOn w:val="1"/>
    <w:qFormat/>
    <w:uiPriority w:val="0"/>
    <w:pPr>
      <w:spacing w:line="400" w:lineRule="exact"/>
    </w:pPr>
    <w:rPr>
      <w:sz w:val="24"/>
    </w:rPr>
  </w:style>
  <w:style w:type="paragraph" w:customStyle="1" w:styleId="152">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kern w:val="0"/>
      <w:szCs w:val="21"/>
    </w:rPr>
  </w:style>
  <w:style w:type="paragraph" w:styleId="153">
    <w:name w:val="No Spacing"/>
    <w:qFormat/>
    <w:uiPriority w:val="0"/>
    <w:rPr>
      <w:rFonts w:ascii="Calibri" w:hAnsi="Calibri" w:eastAsia="宋体" w:cs="Times New Roman"/>
      <w:sz w:val="22"/>
      <w:szCs w:val="22"/>
      <w:lang w:val="en-US" w:eastAsia="zh-CN" w:bidi="ar-SA"/>
    </w:rPr>
  </w:style>
  <w:style w:type="paragraph" w:customStyle="1" w:styleId="154">
    <w:name w:val=" Char2"/>
    <w:basedOn w:val="1"/>
    <w:qFormat/>
    <w:uiPriority w:val="0"/>
    <w:rPr>
      <w:szCs w:val="20"/>
    </w:rPr>
  </w:style>
  <w:style w:type="paragraph" w:customStyle="1" w:styleId="155">
    <w:name w:val="目录3"/>
    <w:basedOn w:val="1"/>
    <w:next w:val="1"/>
    <w:qFormat/>
    <w:uiPriority w:val="0"/>
    <w:pPr>
      <w:widowControl/>
      <w:tabs>
        <w:tab w:val="left" w:leader="dot" w:pos="8503"/>
      </w:tabs>
      <w:spacing w:line="317" w:lineRule="atLeast"/>
      <w:ind w:firstLine="419"/>
      <w:textAlignment w:val="baseline"/>
    </w:pPr>
    <w:rPr>
      <w:color w:val="000000"/>
      <w:kern w:val="0"/>
      <w:szCs w:val="20"/>
      <w:u w:val="none" w:color="000000"/>
    </w:rPr>
  </w:style>
  <w:style w:type="paragraph" w:customStyle="1" w:styleId="156">
    <w:name w:val="样式3"/>
    <w:basedOn w:val="1"/>
    <w:qFormat/>
    <w:uiPriority w:val="0"/>
    <w:pPr>
      <w:tabs>
        <w:tab w:val="left" w:pos="560"/>
        <w:tab w:val="left" w:pos="1120"/>
      </w:tabs>
      <w:spacing w:line="480" w:lineRule="atLeast"/>
    </w:pPr>
    <w:rPr>
      <w:rFonts w:ascii="宋体" w:hAnsi="宋体" w:eastAsia="创艺简黑体"/>
      <w:szCs w:val="20"/>
    </w:rPr>
  </w:style>
  <w:style w:type="paragraph" w:customStyle="1" w:styleId="157">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bidi="ar-SA"/>
    </w:rPr>
  </w:style>
  <w:style w:type="paragraph" w:customStyle="1" w:styleId="158">
    <w:name w:val="目录4"/>
    <w:basedOn w:val="1"/>
    <w:next w:val="1"/>
    <w:qFormat/>
    <w:uiPriority w:val="0"/>
    <w:pPr>
      <w:widowControl/>
      <w:tabs>
        <w:tab w:val="left" w:leader="dot" w:pos="8503"/>
      </w:tabs>
      <w:spacing w:line="317" w:lineRule="atLeast"/>
      <w:ind w:firstLine="629"/>
      <w:textAlignment w:val="baseline"/>
    </w:pPr>
    <w:rPr>
      <w:color w:val="000000"/>
      <w:kern w:val="0"/>
      <w:szCs w:val="20"/>
      <w:u w:val="none" w:color="000000"/>
    </w:rPr>
  </w:style>
  <w:style w:type="paragraph" w:customStyle="1" w:styleId="159">
    <w:name w:val="_Style 158"/>
    <w:basedOn w:val="2"/>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lang w:bidi="ar-SA"/>
    </w:rPr>
  </w:style>
  <w:style w:type="paragraph" w:customStyle="1" w:styleId="160">
    <w:name w:val="p0"/>
    <w:basedOn w:val="1"/>
    <w:qFormat/>
    <w:uiPriority w:val="0"/>
    <w:pPr>
      <w:widowControl/>
    </w:pPr>
    <w:rPr>
      <w:kern w:val="0"/>
      <w:szCs w:val="21"/>
    </w:rPr>
  </w:style>
  <w:style w:type="paragraph" w:customStyle="1" w:styleId="161">
    <w:name w:val="444"/>
    <w:basedOn w:val="1"/>
    <w:qFormat/>
    <w:uiPriority w:val="0"/>
    <w:pPr>
      <w:adjustRightInd w:val="0"/>
      <w:spacing w:line="312" w:lineRule="atLeast"/>
      <w:jc w:val="center"/>
      <w:textAlignment w:val="baseline"/>
    </w:pPr>
    <w:rPr>
      <w:b/>
      <w:kern w:val="0"/>
      <w:sz w:val="36"/>
      <w:szCs w:val="36"/>
    </w:rPr>
  </w:style>
  <w:style w:type="paragraph" w:customStyle="1" w:styleId="162">
    <w:name w:val="Char1 Char Char Char"/>
    <w:basedOn w:val="1"/>
    <w:qFormat/>
    <w:uiPriority w:val="0"/>
    <w:rPr>
      <w:rFonts w:ascii="Courier New" w:hAnsi="Courier New" w:cs="Courier New"/>
    </w:rPr>
  </w:style>
  <w:style w:type="paragraph" w:customStyle="1" w:styleId="163">
    <w:name w:val="标准正文 Char Char Char Char"/>
    <w:basedOn w:val="1"/>
    <w:next w:val="1"/>
    <w:qFormat/>
    <w:uiPriority w:val="0"/>
    <w:pPr>
      <w:spacing w:after="60"/>
      <w:ind w:firstLine="482"/>
    </w:pPr>
    <w:rPr>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5bf7cce0-bf53-4e7e-a4db-3ca4d6b7b1c9</errorID>
      <errorWord>（</errorWord>
      <group>L1_Format</group>
      <groupName>格式问题</groupName>
      <ability>L2_HalfPunc</ability>
      <abilityName>全半角检查</abilityName>
      <candidateList>
        <item>(</item>
      </candidateList>
      <explain>文本全半角错误。</explain>
      <paraID>44D1D9F1</paraID>
      <start>0</start>
      <end>1</end>
      <status>modified</status>
      <modifiedWord>(</modifiedWord>
      <trackRevisions>false</trackRevisions>
    </reviewItem>
    <reviewItem>
      <errorID>9567b570-f09c-4928-9a5f-ee335ab9271d</errorID>
      <errorWord>）</errorWord>
      <group>L1_Format</group>
      <groupName>格式问题</groupName>
      <ability>L2_HalfPunc</ability>
      <abilityName>全半角检查</abilityName>
      <candidateList>
        <item>)</item>
      </candidateList>
      <explain>文本全半角错误。</explain>
      <paraID>44D1D9F1</paraID>
      <start>17</start>
      <end>18</end>
      <status>modified</status>
      <modifiedWord>)</modifiedWord>
      <trackRevisions>false</trackRevisions>
    </reviewItem>
    <reviewItem>
      <errorID>4d7a85ee-fa9b-465b-b26b-f99d33809ed6</errorID>
      <errorWord>注册人</errorWord>
      <group>L1_Word</group>
      <groupName>字词问题</groupName>
      <ability>L2_Typo</ability>
      <abilityName>字词错误</abilityName>
      <candidateList>
        <item>注册</item>
      </candidateList>
      <explain/>
      <paraID>1A74D34C</paraID>
      <start>150</start>
      <end>153</end>
      <status>ignored</status>
      <modifiedWord/>
      <trackRevisions>false</trackRevisions>
    </reviewItem>
    <reviewItem>
      <errorID>6b2f8ce9-1841-4b10-a217-c55dee8eb93c</errorID>
      <errorWord>交纳</errorWord>
      <group>L1_Word</group>
      <groupName>字词问题</groupName>
      <ability>L2_Typo</ability>
      <abilityName>字词错误</abilityName>
      <candidateList>
        <item>缴纳</item>
      </candidateList>
      <explain>〈动〉交纳：～税款。</explain>
      <paraID>19B5ED70</paraID>
      <start>25</start>
      <end>27</end>
      <status>ignored</status>
      <modifiedWord/>
      <trackRevisions>false</trackRevisions>
    </reviewItem>
    <reviewItem>
      <errorID>0e32b0a4-d1e3-4790-ad4a-8019b9601b59</errorID>
      <errorWord>-</errorWord>
      <group>L1_Format</group>
      <groupName>格式问题</groupName>
      <ability>L2_HalfPunc</ability>
      <abilityName>全半角检查</abilityName>
      <candidateList>
        <item>－</item>
      </candidateList>
      <explain>文本全半角错误。</explain>
      <paraID>24372B70</paraID>
      <start>84</start>
      <end>85</end>
      <status>modified</status>
      <modifiedWord>－</modifiedWord>
      <trackRevisions>false</trackRevisions>
    </reviewItem>
    <reviewItem>
      <errorID>596ed93b-4467-424d-aa76-c33a596a8c02</errorID>
      <errorWord>-</errorWord>
      <group>L1_Format</group>
      <groupName>格式问题</groupName>
      <ability>L2_HalfPunc</ability>
      <abilityName>全半角检查</abilityName>
      <candidateList>
        <item>－</item>
      </candidateList>
      <explain>文本全半角错误。</explain>
      <paraID>24372B70</paraID>
      <start>106</start>
      <end>107</end>
      <status>modified</status>
      <modifiedWord>－</modifiedWord>
      <trackRevisions>false</trackRevisions>
    </reviewItem>
    <reviewItem>
      <errorID>3026d351-c82a-4e4a-b6ef-3c8e914c2879</errorID>
      <errorWord>-</errorWord>
      <group>L1_Format</group>
      <groupName>格式问题</groupName>
      <ability>L2_HalfPunc</ability>
      <abilityName>全半角检查</abilityName>
      <candidateList>
        <item>－</item>
      </candidateList>
      <explain>文本全半角错误。</explain>
      <paraID>24372B70</paraID>
      <start>107</start>
      <end>108</end>
      <status>modified</status>
      <modifiedWord>－</modifiedWord>
      <trackRevisions>false</trackRevisions>
    </reviewItem>
    <reviewItem>
      <errorID>0e0164db-546c-4bce-92e2-937283558ce7</errorID>
      <errorWord>》</errorWord>
      <group>L1_Word</group>
      <groupName>字词问题</groupName>
      <ability>L2_Typo</ability>
      <abilityName>字词错误</abilityName>
      <candidateList>
        <item>》中</item>
      </candidateList>
      <explain/>
      <paraID>70411F0D</paraID>
      <start>75</start>
      <end>77</end>
      <status>modified</status>
      <modifiedWord>》中</modifiedWord>
      <trackRevisions>false</trackRevisions>
    </reviewItem>
    <reviewItem>
      <errorID>b7e26cb9-ca2b-4830-9b85-27ed845c7916</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70411F0D</paraID>
      <start>336</start>
      <end>337</end>
      <status>modified</status>
      <modifiedWord>中</modifiedWord>
      <trackRevisions>false</trackRevisions>
    </reviewItem>
    <reviewItem>
      <errorID>64aa5761-edd7-4008-8567-2bd4359ffe51</errorID>
      <errorWord>,</errorWord>
      <group>L1_Format</group>
      <groupName>格式问题</groupName>
      <ability>L2_HalfPunc</ability>
      <abilityName>全半角检查</abilityName>
      <candidateList>
        <item>，</item>
      </candidateList>
      <explain>文本全半角错误。</explain>
      <paraID> 7A3F2C9</paraID>
      <start>10</start>
      <end>11</end>
      <status>modified</status>
      <modifiedWord>，</modifiedWord>
      <trackRevisions>false</trackRevisions>
    </reviewItem>
    <reviewItem>
      <errorID>db63e6a6-c74e-4c47-aa19-f4d32e2d43d9</errorID>
      <errorWord>区</errorWord>
      <group>L1_Word</group>
      <groupName>字词问题</groupName>
      <ability>L2_Typo</ability>
      <abilityName>字词错误</abilityName>
      <candidateList>
        <item>区域</item>
      </candidateList>
      <explain/>
      <paraID>7C5DFF56</paraID>
      <start>31</start>
      <end>32</end>
      <status>ignored</status>
      <modifiedWord/>
      <trackRevisions>false</trackRevisions>
    </reviewItem>
    <reviewItem>
      <errorID>45d14db0-f5e4-4644-b6bd-3d8b8c1fe085</errorID>
      <errorWord>用干</errorWord>
      <group>L1_Word</group>
      <groupName>字词问题</groupName>
      <ability>L2_Typo</ability>
      <abilityName>字词错误</abilityName>
      <candidateList>
        <item>用于</item>
      </candidateList>
      <explain/>
      <paraID>2E17D47B</paraID>
      <start>33</start>
      <end>35</end>
      <status>ignored</status>
      <modifiedWord/>
      <trackRevisions>false</trackRevisions>
    </reviewItem>
    <reviewItem>
      <errorID>2a9280a0-bd43-4d5e-9a37-257b94baee03</errorID>
      <errorWord>:</errorWord>
      <group>L1_Format</group>
      <groupName>格式问题</groupName>
      <ability>L2_HalfPunc</ability>
      <abilityName>全半角检查</abilityName>
      <candidateList>
        <item>：</item>
      </candidateList>
      <explain>文本全半角错误。</explain>
      <paraID>7F2256F3</paraID>
      <start>9</start>
      <end>10</end>
      <status>modified</status>
      <modifiedWord>：</modifiedWord>
      <trackRevisions>false</trackRevisions>
    </reviewItem>
    <reviewItem>
      <errorID>71626306-e2f7-4ab1-a10a-b6d2130af73c</errorID>
      <errorWord>:</errorWord>
      <group>L1_Format</group>
      <groupName>格式问题</groupName>
      <ability>L2_HalfPunc</ability>
      <abilityName>全半角检查</abilityName>
      <candidateList>
        <item>：</item>
      </candidateList>
      <explain>文本全半角错误。</explain>
      <paraID>6D79EF4A</paraID>
      <start>11</start>
      <end>12</end>
      <status>modified</status>
      <modifiedWord>：</modifiedWord>
      <trackRevisions>false</trackRevisions>
    </reviewItem>
    <reviewItem>
      <errorID>99b09791-e956-47ec-89da-594c4e6a06e5</errorID>
      <errorWord>:</errorWord>
      <group>L1_Format</group>
      <groupName>格式问题</groupName>
      <ability>L2_HalfPunc</ability>
      <abilityName>全半角检查</abilityName>
      <candidateList>
        <item>：</item>
      </candidateList>
      <explain>文本全半角错误。</explain>
      <paraID>63FDFAEE</paraID>
      <start>10</start>
      <end>11</end>
      <status>modified</status>
      <modifiedWord>：</modifiedWord>
      <trackRevisions>false</trackRevisions>
    </reviewItem>
    <reviewItem>
      <errorID>7288819f-62ec-4350-a479-5914c642a6bb</errorID>
      <errorWord>:</errorWord>
      <group>L1_Format</group>
      <groupName>格式问题</groupName>
      <ability>L2_HalfPunc</ability>
      <abilityName>全半角检查</abilityName>
      <candidateList>
        <item>：</item>
      </candidateList>
      <explain>文本全半角错误。</explain>
      <paraID>4FB15428</paraID>
      <start>15</start>
      <end>16</end>
      <status>modified</status>
      <modifiedWord>：</modifiedWord>
      <trackRevisions>false</trackRevisions>
    </reviewItem>
    <reviewItem>
      <errorID>fd80e060-5cde-47b9-bc9a-a8fe1a3789d5</errorID>
      <errorWord>(</errorWord>
      <group>L1_Format</group>
      <groupName>格式问题</groupName>
      <ability>L2_HalfPunc</ability>
      <abilityName>全半角检查</abilityName>
      <candidateList>
        <item>（</item>
      </candidateList>
      <explain>文本全半角错误。</explain>
      <paraID>68FACA18</paraID>
      <start>29</start>
      <end>30</end>
      <status>modified</status>
      <modifiedWord>（</modifiedWord>
      <trackRevisions>false</trackRevisions>
    </reviewItem>
    <reviewItem>
      <errorID>c7656848-7917-4a73-a9fe-5d516528a96c</errorID>
      <errorWord>)</errorWord>
      <group>L1_Format</group>
      <groupName>格式问题</groupName>
      <ability>L2_HalfPunc</ability>
      <abilityName>全半角检查</abilityName>
      <candidateList>
        <item>）</item>
      </candidateList>
      <explain>文本全半角错误。</explain>
      <paraID>68FACA18</paraID>
      <start>32</start>
      <end>33</end>
      <status>modified</status>
      <modifiedWord>）</modifiedWord>
      <trackRevisions>false</trackRevisions>
    </reviewItem>
    <reviewItem>
      <errorID>6f43df32-eda2-47d8-bc31-4743969e1115</errorID>
      <errorWord>:</errorWord>
      <group>L1_Format</group>
      <groupName>格式问题</groupName>
      <ability>L2_HalfPunc</ability>
      <abilityName>全半角检查</abilityName>
      <candidateList>
        <item>：</item>
      </candidateList>
      <explain>文本全半角错误。</explain>
      <paraID>4113B81E</paraID>
      <start>14</start>
      <end>15</end>
      <status>modified</status>
      <modifiedWord>：</modifiedWord>
      <trackRevisions>false</trackRevisions>
    </reviewItem>
    <reviewItem>
      <errorID>4fbd5452-746a-4bdd-a309-6529d8da2233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D22DF81</paraID>
      <start>23</start>
      <end>24</end>
      <status>ignored</status>
      <modifiedWord/>
      <trackRevisions>false</trackRevisions>
    </reviewItem>
    <reviewItem>
      <errorID>e5f045f1-9e8a-4f38-9eca-a6598e975174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D22DF81</paraID>
      <start>32</start>
      <end>33</end>
      <status>ignored</status>
      <modifiedWord/>
      <trackRevisions>false</trackRevisions>
    </reviewItem>
    <reviewItem>
      <errorID>1cd81fd4-f81d-47b9-bf02-72bc72aaf10b</errorID>
      <errorWord>(</errorWord>
      <group>L1_Format</group>
      <groupName>格式问题</groupName>
      <ability>L2_HalfPunc</ability>
      <abilityName>全半角检查</abilityName>
      <candidateList>
        <item>（</item>
      </candidateList>
      <explain>文本全半角错误。</explain>
      <paraID> D22DF81</paraID>
      <start>38</start>
      <end>39</end>
      <status>modified</status>
      <modifiedWord>（</modifiedWord>
      <trackRevisions>false</trackRevisions>
    </reviewItem>
    <reviewItem>
      <errorID>a12ff46b-5c15-4dea-ba04-945f600dec63</errorID>
      <errorWord>)</errorWord>
      <group>L1_Format</group>
      <groupName>格式问题</groupName>
      <ability>L2_HalfPunc</ability>
      <abilityName>全半角检查</abilityName>
      <candidateList>
        <item>）</item>
      </candidateList>
      <explain>文本全半角错误。</explain>
      <paraID> D22DF81</paraID>
      <start>41</start>
      <end>42</end>
      <status>modified</status>
      <modifiedWord>）</modifiedWord>
      <trackRevisions>false</trackRevisions>
    </reviewItem>
    <reviewItem>
      <errorID>299a62cf-8187-46fe-9591-415e12277504</errorID>
      <errorWord>:</errorWord>
      <group>L1_Format</group>
      <groupName>格式问题</groupName>
      <ability>L2_HalfPunc</ability>
      <abilityName>全半角检查</abilityName>
      <candidateList>
        <item>：</item>
      </candidateList>
      <explain>文本全半角错误。</explain>
      <paraID>3FC4F0BE</paraID>
      <start>7</start>
      <end>8</end>
      <status>modified</status>
      <modifiedWord>：</modifiedWord>
      <trackRevisions>false</trackRevisions>
    </reviewItem>
    <reviewItem>
      <errorID>dde2c4aa-034d-4e9e-bba1-f5e7c7b5d7ed</errorID>
      <errorWord>:</errorWord>
      <group>L1_Format</group>
      <groupName>格式问题</groupName>
      <ability>L2_HalfPunc</ability>
      <abilityName>全半角检查</abilityName>
      <candidateList>
        <item>：</item>
      </candidateList>
      <explain>文本全半角错误。</explain>
      <paraID>27F2E82B</paraID>
      <start>9</start>
      <end>10</end>
      <status>modified</status>
      <modifiedWord>：</modifiedWord>
      <trackRevisions>false</trackRevisions>
    </reviewItem>
    <reviewItem>
      <errorID>6f066c77-83f5-4b87-94b7-bc5066ff0616</errorID>
      <errorWord>,</errorWord>
      <group>L1_Format</group>
      <groupName>格式问题</groupName>
      <ability>L2_HalfPunc</ability>
      <abilityName>全半角检查</abilityName>
      <candidateList>
        <item>，</item>
      </candidateList>
      <explain>文本全半角错误。</explain>
      <paraID>27F2E82B</paraID>
      <start>17</start>
      <end>18</end>
      <status>modified</status>
      <modifiedWord>，</modifiedWord>
      <trackRevisions>false</trackRevisions>
    </reviewItem>
    <reviewItem>
      <errorID>2d155601-5c86-477f-9a18-29f956e33318</errorID>
      <errorWord>计</errorWord>
      <group>L1_Word</group>
      <groupName>字词问题</groupName>
      <ability>L2_Typo</ability>
      <abilityName>字词错误</abilityName>
      <candidateList>
        <item>计算</item>
      </candidateList>
      <explain/>
      <paraID>65A3490F</paraID>
      <start>17</start>
      <end>18</end>
      <status>ignored</status>
      <modifiedWord/>
      <trackRevisions>false</trackRevisions>
    </reviewItem>
    <reviewItem>
      <errorID>4aad3394-37cc-4374-b34b-8bd0a368b695</errorID>
      <errorWord>法律、法规</errorWord>
      <group>L1_Word</group>
      <groupName>字词问题</groupName>
      <ability>L2_Typo</ability>
      <abilityName>字词错误</abilityName>
      <candidateList>
        <item>法律法规</item>
      </candidateList>
      <explain/>
      <paraID>661E7BCF</paraID>
      <start>26</start>
      <end>30</end>
      <status>modified</status>
      <modifiedWord>法律法规</modifiedWord>
      <trackRevisions>false</trackRevisions>
    </reviewItem>
    <reviewItem>
      <errorID>a80ab4e0-3c05-434d-be94-8b0991710249</errorID>
      <errorWord>，</errorWord>
      <group>L1_Word</group>
      <groupName>字词问题</groupName>
      <ability>L2_Typo</ability>
      <abilityName>字词错误</abilityName>
      <candidateList>
        <item>，以</item>
      </candidateList>
      <explain/>
      <paraID>71386CB0</paraID>
      <start>15</start>
      <end>16</end>
      <status>ignored</status>
      <modifiedWord/>
      <trackRevisions>false</trackRevisions>
    </reviewItem>
    <reviewItem>
      <errorID>6314e4cb-d175-472c-b766-fac9b48a375d</errorID>
      <errorWord>中华人民共和国的环境保护法</errorWord>
      <group>L1_Knowledge</group>
      <groupName>知识性问题</groupName>
      <ability>L2_Knowledge</ability>
      <abilityName>其他知识</abilityName>
      <candidateList>
        <item>中华人民共和国环境保护法</item>
      </candidateList>
      <explain>当前法律法规未收录或尚未生效，注意核查是否正确。</explain>
      <paraID> 9048EB0</paraID>
      <start>16</start>
      <end>28</end>
      <status>modified</status>
      <modifiedWord>中华人民共和国环境保护法</modifiedWord>
      <trackRevisions>false</trackRevisions>
    </reviewItem>
    <reviewItem>
      <errorID>a86c819a-1d4c-410a-bf5d-a16bf9bb5a9b</errorID>
      <errorWord>法律、法规</errorWord>
      <group>L1_Word</group>
      <groupName>字词问题</groupName>
      <ability>L2_Typo</ability>
      <abilityName>字词错误</abilityName>
      <candidateList>
        <item>法律法规</item>
      </candidateList>
      <explain/>
      <paraID> 9048EB0</paraID>
      <start>36</start>
      <end>40</end>
      <status>modified</status>
      <modifiedWord>法律法规</modifiedWord>
      <trackRevisions>false</trackRevisions>
    </reviewItem>
    <reviewItem>
      <errorID>447c7a24-bdd9-4fe0-b5f7-f196d17730fa</errorID>
      <errorWord>)</errorWord>
      <group>L1_Format</group>
      <groupName>格式问题</groupName>
      <ability>L2_HalfPunc</ability>
      <abilityName>全半角检查</abilityName>
      <candidateList>
        <item>）</item>
      </candidateList>
      <explain>文本全半角错误。</explain>
      <paraID> 9048EB0</paraID>
      <start>107</start>
      <end>108</end>
      <status>modified</status>
      <modifiedWord>）</modifiedWord>
      <trackRevisions>false</trackRevisions>
    </reviewItem>
    <reviewItem>
      <errorID>97f5c9a1-fe87-4777-87da-4b365ddfff45</errorID>
      <errorWord>，</errorWord>
      <group>L1_Word</group>
      <groupName>字词问题</groupName>
      <ability>L2_Typo</ability>
      <abilityName>字词错误</abilityName>
      <candidateList>
        <item>，由</item>
      </candidateList>
      <explain/>
      <paraID>5D426C2A</paraID>
      <start>36</start>
      <end>37</end>
      <status>ignored</status>
      <modifiedWord/>
      <trackRevisions>false</trackRevisions>
    </reviewItem>
    <reviewItem>
      <errorID>02e2dbb8-7459-4ae8-9ae1-d773a0aee9b2</errorID>
      <errorWord>接受</errorWord>
      <group>L1_Word</group>
      <groupName>字词问题</groupName>
      <ability>L2_Typo</ability>
      <abilityName>字词错误</abilityName>
      <candidateList>
        <item>接收</item>
      </candidateList>
      <explain>存在发音相同字词的误用。</explain>
      <paraID>6FB6CDD9</paraID>
      <start>143</start>
      <end>145</end>
      <status>modified</status>
      <modifiedWord>接收</modifiedWord>
      <trackRevisions>false</trackRevisions>
    </reviewItem>
    <reviewItem>
      <errorID>44cb41ae-ba73-4240-a9bb-dbe5fbb8741d</errorID>
      <errorWord>日</errorWord>
      <group>L1_Word</group>
      <groupName>字词问题</groupName>
      <ability>L2_Typo</ability>
      <abilityName>字词错误</abilityName>
      <candidateList>
        <item>日内</item>
      </candidateList>
      <explain/>
      <paraID>38EEB5E0</paraID>
      <start>77</start>
      <end>78</end>
      <status>ignored</status>
      <modifiedWord/>
      <trackRevisions>false</trackRevisions>
    </reviewItem>
    <reviewItem>
      <errorID>3ffa7a4e-b171-4a0a-97ca-57ac69354ca0</errorID>
      <errorWord>法律、法规</errorWord>
      <group>L1_Word</group>
      <groupName>字词问题</groupName>
      <ability>L2_Typo</ability>
      <abilityName>字词错误</abilityName>
      <candidateList>
        <item>法律法规</item>
      </candidateList>
      <explain/>
      <paraID>71DDC777</paraID>
      <start>7</start>
      <end>11</end>
      <status>modified</status>
      <modifiedWord>法律法规</modifiedWord>
      <trackRevisions>false</trackRevisions>
    </reviewItem>
    <reviewItem>
      <errorID>98b8111c-1b1b-4ade-b049-110f9e1cdac9</errorID>
      <errorWord>部份</errorWord>
      <group>L1_Word</group>
      <groupName>字词问题</groupName>
      <ability>L2_Typo</ability>
      <abilityName>字词错误</abilityName>
      <candidateList>
        <item>部分</item>
      </candidateList>
      <explain>〈名〉整体中的局部；整体里的一些个体：检验机器各～的性能｜我校～师生参加了夏令营活动。</explain>
      <paraID>6DDA7CB4</paraID>
      <start>15</start>
      <end>17</end>
      <status>modified</status>
      <modifiedWord>部分</modifiedWord>
      <trackRevisions>false</trackRevisions>
    </reviewItem>
    <reviewItem>
      <errorID>4eb6a46e-94e5-45e2-a389-c256d418bc2a</errorID>
      <errorWord>，</errorWord>
      <group>L1_Word</group>
      <groupName>字词问题</groupName>
      <ability>L2_Typo</ability>
      <abilityName>字词错误</abilityName>
      <candidateList>
        <item>，使</item>
      </candidateList>
      <explain/>
      <paraID> 69779E9</paraID>
      <start>32</start>
      <end>34</end>
      <status>modified</status>
      <modifiedWord>，使</modifiedWord>
      <trackRevisions>false</trackRevisions>
    </reviewItem>
    <reviewItem>
      <errorID>598dc07e-56a8-4f37-9da4-0cdc616b0ab1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55EC7335</paraID>
      <start>15</start>
      <end>17</end>
      <status>modified</status>
      <modifiedWord>”“</modifiedWord>
      <trackRevisions>false</trackRevisions>
    </reviewItem>
    <reviewItem>
      <errorID>52f39994-0cce-4e2f-9415-09a53c6532c2</errorID>
      <errorWord>后二个</errorWord>
      <group>L1_Word</group>
      <groupName>字词问题</groupName>
      <ability>L2_Alias</ability>
      <abilityName>也作/曾用词</abilityName>
      <candidateList>
        <item>后两个</item>
      </candidateList>
      <explain>词汇[后二个]为不规范表述或旧称，其规范书面表述为[后两个]。</explain>
      <paraID>64724F9B</paraID>
      <start>28</start>
      <end>31</end>
      <status>modified</status>
      <modifiedWord>后两个</modifiedWord>
      <trackRevisions>false</trackRevisions>
    </reviewItem>
    <reviewItem>
      <errorID>29db6417-f614-46b0-a72d-88b8d5ac533d</errorID>
      <errorWord>法律、法规</errorWord>
      <group>L1_Word</group>
      <groupName>字词问题</groupName>
      <ability>L2_Typo</ability>
      <abilityName>字词错误</abilityName>
      <candidateList>
        <item>法律法规</item>
      </candidateList>
      <explain/>
      <paraID>30548560</paraID>
      <start>38</start>
      <end>42</end>
      <status>modified</status>
      <modifiedWord>法律法规</modifiedWord>
      <trackRevisions>false</trackRevisions>
    </reviewItem>
    <reviewItem>
      <errorID>14cdc09c-7da1-41ef-849b-9a16a43f80fd</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 E244E65</paraID>
      <start>47</start>
      <end>52</end>
      <status>modified</status>
      <modifiedWord>及其他有关</modifiedWord>
      <trackRevisions>false</trackRevisions>
    </reviewItem>
    <reviewItem>
      <errorID>c4d88af1-b65d-4a7b-a9d0-ad7c9fd7240d</errorID>
      <errorWord>(</errorWord>
      <group>L1_Format</group>
      <groupName>格式问题</groupName>
      <ability>L2_HalfPunc</ability>
      <abilityName>全半角检查</abilityName>
      <candidateList>
        <item>（</item>
      </candidateList>
      <explain>文本全半角错误。</explain>
      <paraID>21DF6D59</paraID>
      <start>13</start>
      <end>14</end>
      <status>modified</status>
      <modifiedWord>（</modifiedWord>
      <trackRevisions>false</trackRevisions>
    </reviewItem>
    <reviewItem>
      <errorID>c2a2035e-fd38-4219-919c-049ccfa16b0e</errorID>
      <errorWord>)</errorWord>
      <group>L1_Format</group>
      <groupName>格式问题</groupName>
      <ability>L2_HalfPunc</ability>
      <abilityName>全半角检查</abilityName>
      <candidateList>
        <item>）</item>
      </candidateList>
      <explain>文本全半角错误。</explain>
      <paraID>21DF6D59</paraID>
      <start>17</start>
      <end>18</end>
      <status>modified</status>
      <modifiedWord>）</modifiedWord>
      <trackRevisions>false</trackRevisions>
    </reviewItem>
    <reviewItem>
      <errorID>02c02332-3404-43ac-95e8-d94bc94c8c81</errorID>
      <errorWord>(</errorWord>
      <group>L1_Format</group>
      <groupName>格式问题</groupName>
      <ability>L2_HalfPunc</ability>
      <abilityName>全半角检查</abilityName>
      <candidateList>
        <item>（</item>
      </candidateList>
      <explain>文本全半角错误。</explain>
      <paraID>21DF6D59</paraID>
      <start>26</start>
      <end>27</end>
      <status>modified</status>
      <modifiedWord>（</modifiedWord>
      <trackRevisions>false</trackRevisions>
    </reviewItem>
    <reviewItem>
      <errorID>6068fe5a-3519-4f1a-91a0-e80d1342b0e0</errorID>
      <errorWord>)</errorWord>
      <group>L1_Format</group>
      <groupName>格式问题</groupName>
      <ability>L2_HalfPunc</ability>
      <abilityName>全半角检查</abilityName>
      <candidateList>
        <item>）</item>
      </candidateList>
      <explain>文本全半角错误。</explain>
      <paraID>21DF6D59</paraID>
      <start>30</start>
      <end>31</end>
      <status>modified</status>
      <modifiedWord>）</modifiedWord>
      <trackRevisions>false</trackRevisions>
    </reviewItem>
    <reviewItem>
      <errorID>b89e02db-27b6-41ff-8c78-dcbb7a58e42e</errorID>
      <errorWord>(</errorWord>
      <group>L1_Format</group>
      <groupName>格式问题</groupName>
      <ability>L2_HalfPunc</ability>
      <abilityName>全半角检查</abilityName>
      <candidateList>
        <item>（</item>
      </candidateList>
      <explain>文本全半角错误。</explain>
      <paraID>21BF1DF3</paraID>
      <start>13</start>
      <end>14</end>
      <status>modified</status>
      <modifiedWord>（</modifiedWord>
      <trackRevisions>false</trackRevisions>
    </reviewItem>
    <reviewItem>
      <errorID>4c1fec1d-583c-4a3d-867d-a82628bec178</errorID>
      <errorWord>)</errorWord>
      <group>L1_Format</group>
      <groupName>格式问题</groupName>
      <ability>L2_HalfPunc</ability>
      <abilityName>全半角检查</abilityName>
      <candidateList>
        <item>）</item>
      </candidateList>
      <explain>文本全半角错误。</explain>
      <paraID>21BF1DF3</paraID>
      <start>36</start>
      <end>37</end>
      <status>modified</status>
      <modifiedWord>）</modifiedWord>
      <trackRevisions>false</trackRevisions>
    </reviewItem>
    <reviewItem>
      <errorID>f712b0a3-2162-466f-971e-1cc730db33f5</errorID>
      <errorWord>(</errorWord>
      <group>L1_Format</group>
      <groupName>格式问题</groupName>
      <ability>L2_HalfPunc</ability>
      <abilityName>全半角检查</abilityName>
      <candidateList>
        <item>（</item>
      </candidateList>
      <explain>文本全半角错误。</explain>
      <paraID>21BF1DF3</paraID>
      <start>46</start>
      <end>47</end>
      <status>modified</status>
      <modifiedWord>（</modifiedWord>
      <trackRevisions>false</trackRevisions>
    </reviewItem>
    <reviewItem>
      <errorID>5597cf95-49ba-43d7-bec4-eb4062233b6a</errorID>
      <errorWord>)</errorWord>
      <group>L1_Format</group>
      <groupName>格式问题</groupName>
      <ability>L2_HalfPunc</ability>
      <abilityName>全半角检查</abilityName>
      <candidateList>
        <item>）</item>
      </candidateList>
      <explain>文本全半角错误。</explain>
      <paraID>21BF1DF3</paraID>
      <start>62</start>
      <end>63</end>
      <status>modified</status>
      <modifiedWord>）</modifiedWord>
      <trackRevisions>false</trackRevisions>
    </reviewItem>
    <reviewItem>
      <errorID>847d4bf4-20b2-4a71-bcd4-8c4d057393fb</errorID>
      <errorWord>(</errorWord>
      <group>L1_Format</group>
      <groupName>格式问题</groupName>
      <ability>L2_HalfPunc</ability>
      <abilityName>全半角检查</abilityName>
      <candidateList>
        <item>（</item>
      </candidateList>
      <explain>文本全半角错误。</explain>
      <paraID>4EA521AF</paraID>
      <start>19</start>
      <end>20</end>
      <status>modified</status>
      <modifiedWord>（</modifiedWord>
      <trackRevisions>false</trackRevisions>
    </reviewItem>
    <reviewItem>
      <errorID>0d170292-14c3-4434-b95a-bd80188b8d17</errorID>
      <errorWord>)</errorWord>
      <group>L1_Format</group>
      <groupName>格式问题</groupName>
      <ability>L2_HalfPunc</ability>
      <abilityName>全半角检查</abilityName>
      <candidateList>
        <item>）</item>
      </candidateList>
      <explain>文本全半角错误。</explain>
      <paraID>4EA521AF</paraID>
      <start>42</start>
      <end>43</end>
      <status>modified</status>
      <modifiedWord>）</modifiedWord>
      <trackRevisions>false</trackRevisions>
    </reviewItem>
    <reviewItem>
      <errorID>9466864d-210d-4393-8922-660801364f62</errorID>
      <errorWord>(</errorWord>
      <group>L1_Format</group>
      <groupName>格式问题</groupName>
      <ability>L2_HalfPunc</ability>
      <abilityName>全半角检查</abilityName>
      <candidateList>
        <item>（</item>
      </candidateList>
      <explain>文本全半角错误。</explain>
      <paraID>4EA521AF</paraID>
      <start>52</start>
      <end>53</end>
      <status>modified</status>
      <modifiedWord>（</modifiedWord>
      <trackRevisions>false</trackRevisions>
    </reviewItem>
    <reviewItem>
      <errorID>1299ca5d-53f2-452e-9f96-a63d985d8c88</errorID>
      <errorWord>)</errorWord>
      <group>L1_Format</group>
      <groupName>格式问题</groupName>
      <ability>L2_HalfPunc</ability>
      <abilityName>全半角检查</abilityName>
      <candidateList>
        <item>）</item>
      </candidateList>
      <explain>文本全半角错误。</explain>
      <paraID>4EA521AF</paraID>
      <start>68</start>
      <end>69</end>
      <status>modified</status>
      <modifiedWord>）</modifiedWord>
      <trackRevisions>false</trackRevisions>
    </reviewItem>
    <reviewItem>
      <errorID>b2833e98-c6e0-42cd-806f-f0e2207e9fd3</errorID>
      <errorWord>)</errorWord>
      <group>L1_Format</group>
      <groupName>格式问题</groupName>
      <ability>L2_HalfPunc</ability>
      <abilityName>全半角检查</abilityName>
      <candidateList>
        <item>）</item>
      </candidateList>
      <explain>文本全半角错误。</explain>
      <paraID>5F65FA1F</paraID>
      <start>2</start>
      <end>3</end>
      <status>modified</status>
      <modifiedWord>）</modifiedWord>
      <trackRevisions>false</trackRevisions>
    </reviewItem>
    <reviewItem>
      <errorID>c7889a79-7cd7-421b-af77-bac521038084</errorID>
      <errorWord>(</errorWord>
      <group>L1_Format</group>
      <groupName>格式问题</groupName>
      <ability>L2_HalfPunc</ability>
      <abilityName>全半角检查</abilityName>
      <candidateList>
        <item>（</item>
      </candidateList>
      <explain>文本全半角错误。</explain>
      <paraID>15088CFB</paraID>
      <start>9</start>
      <end>10</end>
      <status>modified</status>
      <modifiedWord>（</modifiedWord>
      <trackRevisions>false</trackRevisions>
    </reviewItem>
    <reviewItem>
      <errorID>91e790df-fc18-439c-b0ef-c50bed52b222</errorID>
      <errorWord>)</errorWord>
      <group>L1_Format</group>
      <groupName>格式问题</groupName>
      <ability>L2_HalfPunc</ability>
      <abilityName>全半角检查</abilityName>
      <candidateList>
        <item>）</item>
      </candidateList>
      <explain>文本全半角错误。</explain>
      <paraID>15088CFB</paraID>
      <start>16</start>
      <end>17</end>
      <status>modified</status>
      <modifiedWord>）</modifiedWord>
      <trackRevisions>false</trackRevisions>
    </reviewItem>
    <reviewItem>
      <errorID>834ba503-844a-49d7-b780-db71cb72bda4</errorID>
      <errorWord>(</errorWord>
      <group>L1_Format</group>
      <groupName>格式问题</groupName>
      <ability>L2_HalfPunc</ability>
      <abilityName>全半角检查</abilityName>
      <candidateList>
        <item>（</item>
      </candidateList>
      <explain>文本全半角错误。</explain>
      <paraID>7F7B28F0</paraID>
      <start>8</start>
      <end>9</end>
      <status>modified</status>
      <modifiedWord>（</modifiedWord>
      <trackRevisions>false</trackRevisions>
    </reviewItem>
    <reviewItem>
      <errorID>e1913c52-492b-4782-87f5-1a8feb36f786</errorID>
      <errorWord>)</errorWord>
      <group>L1_Format</group>
      <groupName>格式问题</groupName>
      <ability>L2_HalfPunc</ability>
      <abilityName>全半角检查</abilityName>
      <candidateList>
        <item>）</item>
      </candidateList>
      <explain>文本全半角错误。</explain>
      <paraID>7F7B28F0</paraID>
      <start>12</start>
      <end>13</end>
      <status>modified</status>
      <modifiedWord>）</modifiedWord>
      <trackRevisions>false</trackRevisions>
    </reviewItem>
    <reviewItem>
      <errorID>b53680d7-54bb-4006-bcd6-980de1072c70</errorID>
      <errorWord>)</errorWord>
      <group>L1_Format</group>
      <groupName>格式问题</groupName>
      <ability>L2_HalfPunc</ability>
      <abilityName>全半角检查</abilityName>
      <candidateList>
        <item>）</item>
      </candidateList>
      <explain>文本全半角错误。</explain>
      <paraID>7F7B28F0</paraID>
      <start>41</start>
      <end>42</end>
      <status>modified</status>
      <modifiedWord>）</modifiedWord>
      <trackRevisions>false</trackRevisions>
    </reviewItem>
    <reviewItem>
      <errorID>39f6986b-69b4-432c-8fb1-90e4d1320187</errorID>
      <errorWord>(</errorWord>
      <group>L1_Format</group>
      <groupName>格式问题</groupName>
      <ability>L2_HalfPunc</ability>
      <abilityName>全半角检查</abilityName>
      <candidateList>
        <item>（</item>
      </candidateList>
      <explain>文本全半角错误。</explain>
      <paraID>4B665485</paraID>
      <start>8</start>
      <end>9</end>
      <status>modified</status>
      <modifiedWord>（</modifiedWord>
      <trackRevisions>false</trackRevisions>
    </reviewItem>
    <reviewItem>
      <errorID>c7cd52b1-2ea1-4044-9fbb-167f536e71dd</errorID>
      <errorWord>)</errorWord>
      <group>L1_Format</group>
      <groupName>格式问题</groupName>
      <ability>L2_HalfPunc</ability>
      <abilityName>全半角检查</abilityName>
      <candidateList>
        <item>）</item>
      </candidateList>
      <explain>文本全半角错误。</explain>
      <paraID>4B665485</paraID>
      <start>12</start>
      <end>13</end>
      <status>modified</status>
      <modifiedWord>）</modifiedWord>
      <trackRevisions>false</trackRevisions>
    </reviewItem>
    <reviewItem>
      <errorID>0f6d1b30-8e72-4ee7-9ac8-10a1571773ba</errorID>
      <errorWord>)</errorWord>
      <group>L1_Format</group>
      <groupName>格式问题</groupName>
      <ability>L2_HalfPunc</ability>
      <abilityName>全半角检查</abilityName>
      <candidateList>
        <item>）</item>
      </candidateList>
      <explain>文本全半角错误。</explain>
      <paraID>4B665485</paraID>
      <start>25</start>
      <end>26</end>
      <status>modified</status>
      <modifiedWord>）</modifiedWord>
      <trackRevisions>false</trackRevisions>
    </reviewItem>
    <reviewItem>
      <errorID>7f4c916c-b95f-4e7f-8a9b-664e3c65c275</errorID>
      <errorWord>(</errorWord>
      <group>L1_Format</group>
      <groupName>格式问题</groupName>
      <ability>L2_HalfPunc</ability>
      <abilityName>全半角检查</abilityName>
      <candidateList>
        <item>（</item>
      </candidateList>
      <explain>文本全半角错误。</explain>
      <paraID>4999CDFD</paraID>
      <start>17</start>
      <end>18</end>
      <status>modified</status>
      <modifiedWord>（</modifiedWord>
      <trackRevisions>false</trackRevisions>
    </reviewItem>
    <reviewItem>
      <errorID>611600a6-14b8-4b27-a617-b55d83d54725</errorID>
      <errorWord>)</errorWord>
      <group>L1_Format</group>
      <groupName>格式问题</groupName>
      <ability>L2_HalfPunc</ability>
      <abilityName>全半角检查</abilityName>
      <candidateList>
        <item>）</item>
      </candidateList>
      <explain>文本全半角错误。</explain>
      <paraID>4999CDFD</paraID>
      <start>27</start>
      <end>28</end>
      <status>modified</status>
      <modifiedWord>）</modifiedWord>
      <trackRevisions>false</trackRevisions>
    </reviewItem>
    <reviewItem>
      <errorID>dbde06fa-52e8-4720-abce-a71033aedc92</errorID>
      <errorWord>(</errorWord>
      <group>L1_Format</group>
      <groupName>格式问题</groupName>
      <ability>L2_HalfPunc</ability>
      <abilityName>全半角检查</abilityName>
      <candidateList>
        <item>（</item>
      </candidateList>
      <explain>文本全半角错误。</explain>
      <paraID>4714CA3D</paraID>
      <start>8</start>
      <end>9</end>
      <status>modified</status>
      <modifiedWord>（</modifiedWord>
      <trackRevisions>false</trackRevisions>
    </reviewItem>
    <reviewItem>
      <errorID>c322daa7-1885-4b62-8b70-257b010870c6</errorID>
      <errorWord>)</errorWord>
      <group>L1_Format</group>
      <groupName>格式问题</groupName>
      <ability>L2_HalfPunc</ability>
      <abilityName>全半角检查</abilityName>
      <candidateList>
        <item>）</item>
      </candidateList>
      <explain>文本全半角错误。</explain>
      <paraID>4714CA3D</paraID>
      <start>12</start>
      <end>13</end>
      <status>modified</status>
      <modifiedWord>）</modifiedWord>
      <trackRevisions>false</trackRevisions>
    </reviewItem>
    <reviewItem>
      <errorID>97554b37-1148-4c7a-996b-6cc2cf2abbbf</errorID>
      <errorWord>不</errorWord>
      <group>L1_Word</group>
      <groupName>字词问题</groupName>
      <ability>L2_Typo</ability>
      <abilityName>字词错误</abilityName>
      <candidateList>
        <item>不符</item>
      </candidateList>
      <explain/>
      <paraID>7C7673D0</paraID>
      <start>37</start>
      <end>39</end>
      <status>modified</status>
      <modifiedWord>不符</modifiedWord>
      <trackRevisions>false</trackRevisions>
    </reviewItem>
    <reviewItem>
      <errorID>7894df17-d27e-4fc4-b731-bc4f787a1363</errorID>
      <errorWord>法律、法规</errorWord>
      <group>L1_Word</group>
      <groupName>字词问题</groupName>
      <ability>L2_Typo</ability>
      <abilityName>字词错误</abilityName>
      <candidateList>
        <item>法律法规</item>
      </candidateList>
      <explain/>
      <paraID>3FBF570F</paraID>
      <start>3</start>
      <end>7</end>
      <status>modified</status>
      <modifiedWord>法律法规</modifiedWord>
      <trackRevisions>false</trackRevisions>
    </reviewItem>
    <reviewItem>
      <errorID>75dba2fa-3dec-42cd-aabb-c6182aa5922f</errorID>
      <errorWord>二处</errorWord>
      <group>L1_Word</group>
      <groupName>字词问题</groupName>
      <ability>L2_Typo</ability>
      <abilityName>字词错误</abilityName>
      <candidateList>
        <item>两处</item>
      </candidateList>
      <explain/>
      <paraID>2B81E985</paraID>
      <start>37</start>
      <end>39</end>
      <status>modified</status>
      <modifiedWord>两处</modifiedWord>
      <trackRevisions>false</trackRevisions>
    </reviewItem>
    <reviewItem>
      <errorID>c264eb88-8b73-422c-b7d9-1c2dcd130df1</errorID>
      <errorWord>:</errorWord>
      <group>L1_Format</group>
      <groupName>格式问题</groupName>
      <ability>L2_HalfPunc</ability>
      <abilityName>全半角检查</abilityName>
      <candidateList>
        <item>：</item>
      </candidateList>
      <explain>文本全半角错误。</explain>
      <paraID> B41F899</paraID>
      <start>32</start>
      <end>33</end>
      <status>modified</status>
      <modifiedWord>：</modifiedWord>
      <trackRevisions>false</trackRevisions>
    </reviewItem>
    <reviewItem>
      <errorID>1e4e9fa2-803d-4311-8f0e-db3ae03ace18</errorID>
      <errorWord>法律、法规</errorWord>
      <group>L1_Word</group>
      <groupName>字词问题</groupName>
      <ability>L2_Typo</ability>
      <abilityName>字词错误</abilityName>
      <candidateList>
        <item>法律法规</item>
      </candidateList>
      <explain/>
      <paraID>57A4D556</paraID>
      <start>3</start>
      <end>7</end>
      <status>modified</status>
      <modifiedWord>法律法规</modifiedWord>
      <trackRevisions>false</trackRevisions>
    </reviewItem>
    <reviewItem>
      <errorID>7c1ce893-d876-415a-b907-17c26b7792ac</errorID>
      <errorWord>,</errorWord>
      <group>L1_Format</group>
      <groupName>格式问题</groupName>
      <ability>L2_HalfPunc</ability>
      <abilityName>全半角检查</abilityName>
      <candidateList>
        <item>，</item>
      </candidateList>
      <explain>文本全半角错误。</explain>
      <paraID>21CDB3C4</paraID>
      <start>17</start>
      <end>18</end>
      <status>modified</status>
      <modifiedWord>，</modifiedWord>
      <trackRevisions>false</trackRevisions>
    </reviewItem>
    <reviewItem>
      <errorID>88514c64-eeae-4fd0-972e-9e9667898fa4</errorID>
      <errorWord>,</errorWord>
      <group>L1_Format</group>
      <groupName>格式问题</groupName>
      <ability>L2_HalfPunc</ability>
      <abilityName>全半角检查</abilityName>
      <candidateList>
        <item>，</item>
      </candidateList>
      <explain>文本全半角错误。</explain>
      <paraID>21CDB3C4</paraID>
      <start>22</start>
      <end>23</end>
      <status>modified</status>
      <modifiedWord>，</modifiedWord>
      <trackRevisions>false</trackRevisions>
    </reviewItem>
    <reviewItem>
      <errorID>ff7c87bc-2bcc-4adc-ad60-345ba6d56370</errorID>
      <errorWord>,</errorWord>
      <group>L1_Format</group>
      <groupName>格式问题</groupName>
      <ability>L2_HalfPunc</ability>
      <abilityName>全半角检查</abilityName>
      <candidateList>
        <item>，</item>
      </candidateList>
      <explain>文本全半角错误。</explain>
      <paraID>21CDB3C4</paraID>
      <start>77</start>
      <end>78</end>
      <status>modified</status>
      <modifiedWord>，</modifiedWord>
      <trackRevisions>false</trackRevisions>
    </reviewItem>
    <reviewItem>
      <errorID>11315246-f109-499d-9eac-f37d3cc6da77</errorID>
      <errorWord>,</errorWord>
      <group>L1_Format</group>
      <groupName>格式问题</groupName>
      <ability>L2_HalfPunc</ability>
      <abilityName>全半角检查</abilityName>
      <candidateList>
        <item>，</item>
      </candidateList>
      <explain>文本全半角错误。</explain>
      <paraID>109D7A0E</paraID>
      <start>13</start>
      <end>14</end>
      <status>modified</status>
      <modifiedWord>，</modifiedWord>
      <trackRevisions>false</trackRevisions>
    </reviewItem>
    <reviewItem>
      <errorID>9aee4c7a-7216-448e-90f2-9192474d4d5d</errorID>
      <errorWord>,</errorWord>
      <group>L1_Format</group>
      <groupName>格式问题</groupName>
      <ability>L2_HalfPunc</ability>
      <abilityName>全半角检查</abilityName>
      <candidateList>
        <item>，</item>
      </candidateList>
      <explain>文本全半角错误。</explain>
      <paraID>109D7A0E</paraID>
      <start>34</start>
      <end>35</end>
      <status>modified</status>
      <modifiedWord>，</modifiedWord>
      <trackRevisions>false</trackRevisions>
    </reviewItem>
    <reviewItem>
      <errorID>4a871bfe-20e1-4c3e-9375-e07b30f5c66f</errorID>
      <errorWord>做出</errorWord>
      <group>L1_Word</group>
      <groupName>字词问题</groupName>
      <ability>L2_Typo</ability>
      <abilityName>字词错误</abilityName>
      <candidateList>
        <item>作出</item>
      </candidateList>
      <explain/>
      <paraID>109D7A0E</paraID>
      <start>142</start>
      <end>144</end>
      <status>modified</status>
      <modifiedWord>作出</modifiedWord>
      <trackRevisions>false</trackRevisions>
    </reviewItem>
    <reviewItem>
      <errorID>dc030a6e-e988-4301-92e6-62cbb48b81f3</errorID>
      <errorWord>做出</errorWord>
      <group>L1_Word</group>
      <groupName>字词问题</groupName>
      <ability>L2_Typo</ability>
      <abilityName>字词错误</abilityName>
      <candidateList>
        <item>作出</item>
      </candidateList>
      <explain/>
      <paraID> 6DD7593</paraID>
      <start>49</start>
      <end>51</end>
      <status>modified</status>
      <modifiedWord>作出</modifiedWord>
      <trackRevisions>false</trackRevisions>
    </reviewItem>
    <reviewItem>
      <errorID>4e3c7001-0337-4d88-a621-4c3c6ca2a479</errorID>
      <errorWord>,</errorWord>
      <group>L1_Format</group>
      <groupName>格式问题</groupName>
      <ability>L2_HalfPunc</ability>
      <abilityName>全半角检查</abilityName>
      <candidateList>
        <item>，</item>
      </candidateList>
      <explain>文本全半角错误。</explain>
      <paraID>29DB8DAD</paraID>
      <start>70</start>
      <end>71</end>
      <status>modified</status>
      <modifiedWord>，</modifiedWord>
      <trackRevisions>false</trackRevisions>
    </reviewItem>
    <reviewItem>
      <errorID>30bf799f-f7c6-4006-bdc7-07701e481305</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3663B523</paraID>
      <start>0</start>
      <end>9</end>
      <status>modified</status>
      <modifiedWord>100万～500万</modifiedWord>
      <trackRevisions>false</trackRevisions>
    </reviewItem>
    <reviewItem>
      <errorID>2b9513da-e198-4f28-83aa-f5c66228b102</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781F7A99</paraID>
      <start>0</start>
      <end>10</end>
      <status>modified</status>
      <modifiedWord>500万～1000万</modifiedWord>
      <trackRevisions>false</trackRevisions>
    </reviewItem>
    <reviewItem>
      <errorID>5fd17ed6-6a75-4a5e-ad1e-e265544fd38c</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7AEDC8DA</paraID>
      <start>0</start>
      <end>11</end>
      <status>modified</status>
      <modifiedWord>1000万～5000万</modifiedWord>
      <trackRevisions>false</trackRevisions>
    </reviewItem>
    <reviewItem>
      <errorID>9040b5d5-7a03-483e-b29d-72ecd0d4fc1c</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31E99D40</paraID>
      <start>0</start>
      <end>5</end>
      <status>modified</status>
      <modifiedWord>1亿～5亿</modifiedWord>
      <trackRevisions>false</trackRevisions>
    </reviewItem>
    <reviewItem>
      <errorID>c35a2598-4ccb-4761-a1e2-d641f52f3ac2</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39EF532B</paraID>
      <start>0</start>
      <end>6</end>
      <status>modified</status>
      <modifiedWord>5亿～10亿</modifiedWord>
      <trackRevisions>false</trackRevisions>
    </reviewItem>
    <reviewItem>
      <errorID>7c3960c3-998b-4c1b-93af-e60eced8bb35</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20CB08AD</paraID>
      <start>0</start>
      <end>7</end>
      <status>modified</status>
      <modifiedWord>10亿～50亿</modifiedWord>
      <trackRevisions>false</trackRevisions>
    </reviewItem>
    <reviewItem>
      <errorID>9c61b89e-64b7-4c6a-af9c-d00ec316be97</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7D5966A1</paraID>
      <start>0</start>
      <end>8</end>
      <status>modified</status>
      <modifiedWord>50亿～100亿</modifiedWord>
      <trackRevisions>false</trackRevisions>
    </reviewItem>
    <reviewItem>
      <errorID>6fa73993-9353-4e4a-875c-3efeb36d5b13</errorID>
      <errorWord>亿</errorWord>
      <group>L1_Word</group>
      <groupName>字词问题</groupName>
      <ability>L2_Typo</ability>
      <abilityName>字词错误</abilityName>
      <candidateList>
        <item>亿元</item>
      </candidateList>
      <explain/>
      <paraID>15324CA0</paraID>
      <start>3</start>
      <end>5</end>
      <status>modified</status>
      <modifiedWord>亿元</modifiedWord>
      <trackRevisions>false</trackRevisions>
    </reviewItem>
    <reviewItem>
      <errorID>2385e7d3-3079-4387-80b6-e4b7d665d39a</errorID>
      <errorWord>:</errorWord>
      <group>L1_Format</group>
      <groupName>格式问题</groupName>
      <ability>L2_HalfPunc</ability>
      <abilityName>全半角检查</abilityName>
      <candidateList>
        <item>：</item>
      </candidateList>
      <explain>文本全半角错误。</explain>
      <paraID> E541A9D</paraID>
      <start>1</start>
      <end>2</end>
      <status>modified</status>
      <modifiedWord>：</modifiedWord>
      <trackRevisions>false</trackRevisions>
    </reviewItem>
    <reviewItem>
      <errorID>a3d3c70b-e0ca-44f3-a956-3d7b0a8834af</errorID>
      <errorWord>属</errorWord>
      <group>L1_Word</group>
      <groupName>字词问题</groupName>
      <ability>L2_Typo</ability>
      <abilityName>字词错误</abilityName>
      <candidateList>
        <item>属于</item>
      </candidateList>
      <explain/>
      <paraID> AB4A8AA</paraID>
      <start>15</start>
      <end>17</end>
      <status>modified</status>
      <modifiedWord>属于</modifiedWord>
      <trackRevisions>false</trackRevisions>
    </reviewItem>
    <reviewItem>
      <errorID>3bd72e34-d2c1-499e-b9a3-590d40421caf</errorID>
      <errorWord>可附件</errorWord>
      <group>L1_Word</group>
      <groupName>字词问题</groupName>
      <ability>L2_Typo</ability>
      <abilityName>字词错误</abilityName>
      <candidateList>
        <item>见附件</item>
      </candidateList>
      <explain/>
      <paraID>1328F0D7</paraID>
      <start>100</start>
      <end>103</end>
      <status>ignored</status>
      <modifiedWord/>
      <trackRevisions>false</trackRevisions>
    </reviewItem>
    <reviewItem>
      <errorID>8e7a80a3-57d8-43ec-8b15-589dd66cc7ac</errorID>
      <errorWord>)</errorWord>
      <group>L1_Format</group>
      <groupName>格式问题</groupName>
      <ability>L2_HalfPunc</ability>
      <abilityName>全半角检查</abilityName>
      <candidateList>
        <item>）</item>
      </candidateList>
      <explain>文本全半角错误。</explain>
      <paraID>1328F0D7</paraID>
      <start>103</start>
      <end>104</end>
      <status>modified</status>
      <modifiedWord>）</modifiedWord>
      <trackRevisions>false</trackRevisions>
    </reviewItem>
    <reviewItem>
      <errorID>ec28e46e-dc13-4f90-a0fa-34d2347b6f9d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B712C57</paraID>
      <start>25</start>
      <end>26</end>
      <status>ignored</status>
      <modifiedWord/>
      <trackRevisions>false</trackRevisions>
    </reviewItem>
    <reviewItem>
      <errorID>7a88c78d-12e0-4990-8960-6054a9b5ea94</errorID>
      <errorWord>(</errorWord>
      <group>L1_Format</group>
      <groupName>格式问题</groupName>
      <ability>L2_HalfPunc</ability>
      <abilityName>全半角检查</abilityName>
      <candidateList>
        <item>（</item>
      </candidateList>
      <explain>文本全半角错误。</explain>
      <paraID> 7FF0231</paraID>
      <start>11</start>
      <end>12</end>
      <status>modified</status>
      <modifiedWord>（</modifiedWord>
      <trackRevisions>false</trackRevisions>
    </reviewItem>
    <reviewItem>
      <errorID>c195b121-1071-4e88-89e7-3b6c7748b9f7</errorID>
      <errorWord>)</errorWord>
      <group>L1_Format</group>
      <groupName>格式问题</groupName>
      <ability>L2_HalfPunc</ability>
      <abilityName>全半角检查</abilityName>
      <candidateList>
        <item>）</item>
      </candidateList>
      <explain>文本全半角错误。</explain>
      <paraID> 7FF0231</paraID>
      <start>22</start>
      <end>23</end>
      <status>modified</status>
      <modifiedWord>）</modifiedWord>
      <trackRevisions>false</trackRevisions>
    </reviewItem>
    <reviewItem>
      <errorID>e48f1428-e9bc-4eb8-8958-ea95d2cf65b0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6B6FFC9B</paraID>
      <start>8</start>
      <end>9</end>
      <status>ignored</status>
      <modifiedWord/>
      <trackRevisions>false</trackRevisions>
    </reviewItem>
    <reviewItem>
      <errorID>91ce101d-1efb-4e9c-8559-569d688f27b8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4A6F64D7</paraID>
      <start>71</start>
      <end>72</end>
      <status>ignored</status>
      <modifiedWord/>
      <trackRevisions>false</trackRevisions>
    </reviewItem>
    <reviewItem>
      <errorID>0787a7dd-cde7-4db9-bd00-1bf6bbd76c0a</errorID>
      <errorWord>(</errorWord>
      <group>L1_Format</group>
      <groupName>格式问题</groupName>
      <ability>L2_HalfPunc</ability>
      <abilityName>全半角检查</abilityName>
      <candidateList>
        <item>（</item>
      </candidateList>
      <explain>文本全半角错误。</explain>
      <paraID>5F265BDF</paraID>
      <start>8</start>
      <end>9</end>
      <status>modified</status>
      <modifiedWord>（</modifiedWord>
      <trackRevisions>false</trackRevisions>
    </reviewItem>
    <reviewItem>
      <errorID>b278c95a-e04b-45ff-91ee-57bf7fb56083</errorID>
      <errorWord>)</errorWord>
      <group>L1_Format</group>
      <groupName>格式问题</groupName>
      <ability>L2_HalfPunc</ability>
      <abilityName>全半角检查</abilityName>
      <candidateList>
        <item>）</item>
      </candidateList>
      <explain>文本全半角错误。</explain>
      <paraID>5F265BDF</paraID>
      <start>19</start>
      <end>20</end>
      <status>modified</status>
      <modifiedWord>）</modifiedWord>
      <trackRevisions>false</trackRevisions>
    </reviewItem>
    <reviewItem>
      <errorID>d053a6db-0114-4459-9ae7-c3cf04058d71</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71CFE550</paraID>
      <start>32</start>
      <end>33</end>
      <status>modified</status>
      <modifiedWord>只</modifiedWord>
      <trackRevisions>false</trackRevisions>
    </reviewItem>
    <reviewItem>
      <errorID>deac0696-3893-4f8d-ad00-f9419e88ddc0</errorID>
      <errorWord>(</errorWord>
      <group>L1_Format</group>
      <groupName>格式问题</groupName>
      <ability>L2_HalfPunc</ability>
      <abilityName>全半角检查</abilityName>
      <candidateList>
        <item>（</item>
      </candidateList>
      <explain>文本全半角错误。</explain>
      <paraID>75814F9B</paraID>
      <start>2</start>
      <end>3</end>
      <status>modified</status>
      <modifiedWord>（</modifiedWord>
      <trackRevisions>false</trackRevisions>
    </reviewItem>
    <reviewItem>
      <errorID>1254177a-40f3-411b-a056-0f301d0eff6f</errorID>
      <errorWord>)</errorWord>
      <group>L1_Format</group>
      <groupName>格式问题</groupName>
      <ability>L2_HalfPunc</ability>
      <abilityName>全半角检查</abilityName>
      <candidateList>
        <item>）</item>
      </candidateList>
      <explain>文本全半角错误。</explain>
      <paraID>75814F9B</paraID>
      <start>5</start>
      <end>6</end>
      <status>modified</status>
      <modifiedWord>）</modifiedWord>
      <trackRevisions>false</trackRevisions>
    </reviewItem>
    <reviewItem>
      <errorID>4f29176d-4a93-401b-884b-87bd5f4e8f79</errorID>
      <errorWord>(</errorWord>
      <group>L1_Format</group>
      <groupName>格式问题</groupName>
      <ability>L2_HalfPunc</ability>
      <abilityName>全半角检查</abilityName>
      <candidateList>
        <item>（</item>
      </candidateList>
      <explain>文本全半角错误。</explain>
      <paraID> A6583E1</paraID>
      <start>2</start>
      <end>3</end>
      <status>modified</status>
      <modifiedWord>（</modifiedWord>
      <trackRevisions>false</trackRevisions>
    </reviewItem>
    <reviewItem>
      <errorID>0187c222-10d8-4827-afac-c81680411dbf</errorID>
      <errorWord>)</errorWord>
      <group>L1_Format</group>
      <groupName>格式问题</groupName>
      <ability>L2_HalfPunc</ability>
      <abilityName>全半角检查</abilityName>
      <candidateList>
        <item>）</item>
      </candidateList>
      <explain>文本全半角错误。</explain>
      <paraID> A6583E1</paraID>
      <start>6</start>
      <end>7</end>
      <status>modified</status>
      <modifiedWord>）</modifiedWord>
      <trackRevisions>false</trackRevisions>
    </reviewItem>
    <reviewItem>
      <errorID>ec931a2d-2880-4963-84e2-b97b20940bef</errorID>
      <errorWord>)</errorWord>
      <group>L1_Format</group>
      <groupName>格式问题</groupName>
      <ability>L2_HalfPunc</ability>
      <abilityName>全半角检查</abilityName>
      <candidateList>
        <item>）</item>
      </candidateList>
      <explain>文本全半角错误。</explain>
      <paraID>32F0270B</paraID>
      <start>6</start>
      <end>7</end>
      <status>modified</status>
      <modifiedWord>）</modifiedWord>
      <trackRevisions>false</trackRevisions>
    </reviewItem>
    <reviewItem>
      <errorID>84b71ade-0d0f-47fe-9993-9d1990fb3a21</errorID>
      <errorWord>(</errorWord>
      <group>L1_Format</group>
      <groupName>格式问题</groupName>
      <ability>L2_HalfPunc</ability>
      <abilityName>全半角检查</abilityName>
      <candidateList>
        <item>（</item>
      </candidateList>
      <explain>文本全半角错误。</explain>
      <paraID>2FA3B57C</paraID>
      <start>2</start>
      <end>3</end>
      <status>modified</status>
      <modifiedWord>（</modifiedWord>
      <trackRevisions>false</trackRevisions>
    </reviewItem>
    <reviewItem>
      <errorID>6e01829b-a388-4f9f-9457-7f3f8e451d80</errorID>
      <errorWord>)</errorWord>
      <group>L1_Format</group>
      <groupName>格式问题</groupName>
      <ability>L2_HalfPunc</ability>
      <abilityName>全半角检查</abilityName>
      <candidateList>
        <item>）</item>
      </candidateList>
      <explain>文本全半角错误。</explain>
      <paraID>2FA3B57C</paraID>
      <start>6</start>
      <end>7</end>
      <status>modified</status>
      <modifiedWord>）</modifiedWord>
      <trackRevisions>false</trackRevisions>
    </reviewItem>
    <reviewItem>
      <errorID>f097c995-6ee7-4fb3-9024-909b71700804</errorID>
      <errorWord>,</errorWord>
      <group>L1_Format</group>
      <groupName>格式问题</groupName>
      <ability>L2_HalfPunc</ability>
      <abilityName>全半角检查</abilityName>
      <candidateList>
        <item>，</item>
      </candidateList>
      <explain>文本全半角错误。</explain>
      <paraID>2FA3B57C</paraID>
      <start>96</start>
      <end>97</end>
      <status>modified</status>
      <modifiedWord>，</modifiedWord>
      <trackRevisions>false</trackRevisions>
    </reviewItem>
    <reviewItem>
      <errorID>174973e0-a812-40be-89c8-af6d9da24988</errorID>
      <errorWord>详实</errorWord>
      <group>L1_Word</group>
      <groupName>字词问题</groupName>
      <ability>L2_Typo</ability>
      <abilityName>字词错误</abilityName>
      <candidateList>
        <item>翔实</item>
      </candidateList>
      <explain/>
      <paraID>1B22C723</paraID>
      <start>187</start>
      <end>189</end>
      <status>modified</status>
      <modifiedWord>翔实</modifiedWord>
      <trackRevisions>false</trackRevisions>
    </reviewItem>
    <reviewItem>
      <errorID>2715dd49-5e0a-49d8-bc3c-bfcf75d0f048</errorID>
      <errorWord>，</errorWord>
      <group>L1_Word</group>
      <groupName>字词问题</groupName>
      <ability>L2_Typo</ability>
      <abilityName>字词错误</abilityName>
      <candidateList>
        <item>，在</item>
      </candidateList>
      <explain/>
      <paraID>   B542D</paraID>
      <start>24</start>
      <end>26</end>
      <status>modified</status>
      <modifiedWord>，在</modifiedWord>
      <trackRevisions>false</trackRevisions>
    </reviewItem>
    <reviewItem>
      <errorID>e284c66d-325c-4f25-be8f-bdaaceee5d1c</errorID>
      <errorWord>(</errorWord>
      <group>L1_Format</group>
      <groupName>格式问题</groupName>
      <ability>L2_HalfPunc</ability>
      <abilityName>全半角检查</abilityName>
      <candidateList>
        <item>（</item>
      </candidateList>
      <explain>文本全半角错误。</explain>
      <paraID>7FC6848E</paraID>
      <start>2</start>
      <end>3</end>
      <status>modified</status>
      <modifiedWord>（</modifiedWord>
      <trackRevisions>false</trackRevisions>
    </reviewItem>
    <reviewItem>
      <errorID>83bfd512-8dab-4996-9760-8513c3a86a0e</errorID>
      <errorWord>)</errorWord>
      <group>L1_Format</group>
      <groupName>格式问题</groupName>
      <ability>L2_HalfPunc</ability>
      <abilityName>全半角检查</abilityName>
      <candidateList>
        <item>）</item>
      </candidateList>
      <explain>文本全半角错误。</explain>
      <paraID>7FC6848E</paraID>
      <start>4</start>
      <end>5</end>
      <status>modified</status>
      <modifiedWord>）</modifiedWord>
      <trackRevisions>false</trackRevisions>
    </reviewItem>
    <reviewItem>
      <errorID>aa21ed38-32b9-4f62-958f-ae0e2cac6528</errorID>
      <errorWord>(</errorWord>
      <group>L1_Format</group>
      <groupName>格式问题</groupName>
      <ability>L2_HalfPunc</ability>
      <abilityName>全半角检查</abilityName>
      <candidateList>
        <item>（</item>
      </candidateList>
      <explain>文本全半角错误。</explain>
      <paraID>6D891700</paraID>
      <start>2</start>
      <end>3</end>
      <status>modified</status>
      <modifiedWord>（</modifiedWord>
      <trackRevisions>false</trackRevisions>
    </reviewItem>
    <reviewItem>
      <errorID>be5726ab-bfd2-46f0-abe2-8798c73b0977</errorID>
      <errorWord>)</errorWord>
      <group>L1_Format</group>
      <groupName>格式问题</groupName>
      <ability>L2_HalfPunc</ability>
      <abilityName>全半角检查</abilityName>
      <candidateList>
        <item>）</item>
      </candidateList>
      <explain>文本全半角错误。</explain>
      <paraID>6D891700</paraID>
      <start>4</start>
      <end>5</end>
      <status>modified</status>
      <modifiedWord>）</modifiedWord>
      <trackRevisions>false</trackRevisions>
    </reviewItem>
    <reviewItem>
      <errorID>8d025fed-f863-4d94-b15f-898723a58715</errorID>
      <errorWord>......</errorWord>
      <group>L1_Punc</group>
      <groupName>标点问题</groupName>
      <ability>L2_Punc</ability>
      <abilityName>标点符号检查</abilityName>
      <candidateList>
        <item>……</item>
      </candidateList>
      <explain/>
      <paraID>513C5CF3</paraID>
      <start>0</start>
      <end>2</end>
      <status>modified</status>
      <modifiedWord>……</modifiedWord>
      <trackRevisions>false</trackRevisions>
    </reviewItem>
    <reviewItem>
      <errorID>52fe0e17-e5f0-4411-939f-04d775467523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52A15E9</paraID>
      <start>0</start>
      <end>2</end>
      <status>modified</status>
      <modifiedWord>1.</modifiedWord>
      <trackRevisions>false</trackRevisions>
    </reviewItem>
    <reviewItem>
      <errorID>606c8f02-0be2-4d7d-87cd-40def1128568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71A15127</paraID>
      <start>0</start>
      <end>2</end>
      <status>modified</status>
      <modifiedWord>2.</modifiedWord>
      <trackRevisions>false</trackRevisions>
    </reviewItem>
    <reviewItem>
      <errorID>972e0fc4-f6c7-46ea-a69c-24130af91bef</errorID>
      <errorWord>符合按</errorWord>
      <group>L1_Word</group>
      <groupName>字词问题</groupName>
      <ability>L2_Typo</ability>
      <abilityName>字词错误</abilityName>
      <candidateList>
        <item>符合</item>
      </candidateList>
      <explain>〈动〉（数量、形状、情节等）相合：～事实｜这些产品不～质量标准。</explain>
      <paraID>71A15127</paraID>
      <start>12</start>
      <end>14</end>
      <status>modified</status>
      <modifiedWord>符合</modifiedWord>
      <trackRevisions>false</trackRevisions>
    </reviewItem>
    <reviewItem>
      <errorID>fa90cd4a-cec5-4713-987b-f20e6a3af08d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422FCFC7</paraID>
      <start>0</start>
      <end>2</end>
      <status>modified</status>
      <modifiedWord>3.</modifiedWord>
      <trackRevisions>false</trackRevisions>
    </reviewItem>
    <reviewItem>
      <errorID>f1203cbf-1810-47b9-8627-8cc384aa44ec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22CDB3D0</paraID>
      <start>0</start>
      <end>2</end>
      <status>modified</status>
      <modifiedWord>4.</modifiedWord>
      <trackRevisions>false</trackRevisions>
    </reviewItem>
    <reviewItem>
      <errorID>62c07edd-a66a-47b8-a7a4-ccccdaaf7d8b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7BF979C5</paraID>
      <start>0</start>
      <end>2</end>
      <status>modified</status>
      <modifiedWord>5.</modifiedWord>
      <trackRevisions>false</trackRevisions>
    </reviewItem>
    <reviewItem>
      <errorID>23dfd99a-0293-4a98-a31f-b9a594969710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F698243</paraID>
      <start>0</start>
      <end>2</end>
      <status>modified</status>
      <modifiedWord>1.</modifiedWord>
      <trackRevisions>false</trackRevisions>
    </reviewItem>
    <reviewItem>
      <errorID>bdee1a27-d9cd-44bd-b8ff-036bb3435f21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14D9A9EB</paraID>
      <start>0</start>
      <end>2</end>
      <status>modified</status>
      <modifiedWord>2.</modifiedWord>
      <trackRevisions>false</trackRevisions>
    </reviewItem>
    <reviewItem>
      <errorID>31a88404-3500-4e5f-8bce-120cc91e51ba</errorID>
      <errorWord>符</errorWord>
      <group>L1_Word</group>
      <groupName>字词问题</groupName>
      <ability>L2_Typo</ability>
      <abilityName>字词错误</abilityName>
      <candidateList>
        <item>符合</item>
      </candidateList>
      <explain>〈动〉（数量、形状、情节等）相合：～事实｜这些产品不～质量标准。</explain>
      <paraID>14D9A9EB</paraID>
      <start>51</start>
      <end>52</end>
      <status>ignored</status>
      <modifiedWord/>
      <trackRevisions>false</trackRevisions>
    </reviewItem>
    <reviewItem>
      <errorID>1898a21e-3278-4256-ab5e-2e14bb94c6b3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1EFDE62F</paraID>
      <start>0</start>
      <end>2</end>
      <status>modified</status>
      <modifiedWord>3.</modifiedWord>
      <trackRevisions>false</trackRevisions>
    </reviewItem>
    <reviewItem>
      <errorID>2277ce46-27f6-4cd9-903d-2f82363c7554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7C6311F3</paraID>
      <start>0</start>
      <end>2</end>
      <status>modified</status>
      <modifiedWord>4.</modifiedWord>
      <trackRevisions>false</trackRevisions>
    </reviewItem>
    <reviewItem>
      <errorID>617e16cc-5178-4994-a528-a850b302cf3f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5F6AA77E</paraID>
      <start>0</start>
      <end>0</end>
      <status>modified</status>
      <modifiedWord>5.</modifiedWord>
      <trackRevisions>false</trackRevisions>
    </reviewItem>
    <reviewItem>
      <errorID>b03370a9-4aec-4ad1-a30a-c16549675697</errorID>
      <errorWord>予</errorWord>
      <group>L1_Word</group>
      <groupName>字词问题</groupName>
      <ability>L2_Typo</ability>
      <abilityName>字词错误</abilityName>
      <candidateList>
        <item>予以</item>
      </candidateList>
      <explain>〈动〉给以：～支持｜～警告｜～表扬｜～批评。</explain>
      <paraID>5F6AA77E</paraID>
      <start>48</start>
      <end>49</end>
      <status>ignored</status>
      <modifiedWord/>
      <trackRevisions>false</trackRevisions>
    </reviewItem>
    <reviewItem>
      <errorID>302c5154-efa5-4eb7-8873-3f6f00550811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612A2F4E</paraID>
      <start>0</start>
      <end>2</end>
      <status>modified</status>
      <modifiedWord>6.</modifiedWord>
      <trackRevisions>false</trackRevisions>
    </reviewItem>
    <reviewItem>
      <errorID>ea4b13bd-5fca-4300-8768-a052eb6d2430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20F7D5F4</paraID>
      <start>0</start>
      <end>2</end>
      <status>modified</status>
      <modifiedWord>7.</modifiedWord>
      <trackRevisions>false</trackRevisions>
    </reviewItem>
    <reviewItem>
      <errorID>2668e6f2-57da-40e5-94fb-413b93be93ae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6EDDE107</paraID>
      <start>0</start>
      <end>2</end>
      <status>modified</status>
      <modifiedWord>8.</modifiedWord>
      <trackRevisions>false</trackRevisions>
    </reviewItem>
    <reviewItem>
      <errorID>93dc727e-e090-4a80-8b62-6dfd8332dc72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6F714116</paraID>
      <start>0</start>
      <end>2</end>
      <status>modified</status>
      <modifiedWord>1.</modifiedWord>
      <trackRevisions>false</trackRevisions>
    </reviewItem>
    <reviewItem>
      <errorID>f8d7892d-0dbb-4176-8f19-541c2f120b25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76BF5CCC</paraID>
      <start>0</start>
      <end>2</end>
      <status>modified</status>
      <modifiedWord>2.</modifiedWord>
      <trackRevisions>false</trackRevisions>
    </reviewItem>
    <reviewItem>
      <errorID>6ea9c0bf-eebb-4e61-b0dd-aa6212e85494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605AA49C</paraID>
      <start>0</start>
      <end>2</end>
      <status>modified</status>
      <modifiedWord>1.</modifiedWord>
      <trackRevisions>false</trackRevisions>
    </reviewItem>
    <reviewItem>
      <errorID>70dc4e01-dde0-4139-a6e5-11377695a080</errorID>
      <errorWord>之日起后</errorWord>
      <group>L1_Word</group>
      <groupName>字词问题</groupName>
      <ability>L2_Typo</ability>
      <abilityName>字词错误</abilityName>
      <candidateList>
        <item>之日起</item>
      </candidateList>
      <explain/>
      <paraID>605AA49C</paraID>
      <start>118</start>
      <end>122</end>
      <status>ignored</status>
      <modifiedWord/>
      <trackRevisions>false</trackRevisions>
    </reviewItem>
    <reviewItem>
      <errorID>e35f5982-dd7e-4497-b9b2-adaea49b937b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FE53F4A</paraID>
      <start>0</start>
      <end>2</end>
      <status>modified</status>
      <modifiedWord>2.</modifiedWord>
      <trackRevisions>false</trackRevisions>
    </reviewItem>
    <reviewItem>
      <errorID>b0906fab-75c5-460e-8d27-ef09818b0d85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376280EF</paraID>
      <start>0</start>
      <end>2</end>
      <status>modified</status>
      <modifiedWord>3.</modifiedWord>
      <trackRevisions>false</trackRevisions>
    </reviewItem>
    <reviewItem>
      <errorID>885d378f-919b-4b3a-8601-7fd0ca6ce386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15F6FECC</paraID>
      <start>0</start>
      <end>2</end>
      <status>modified</status>
      <modifiedWord>4.</modifiedWord>
      <trackRevisions>false</trackRevisions>
    </reviewItem>
    <reviewItem>
      <errorID>74126672-9579-4b6a-b954-578882c1fca4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59B41D0</paraID>
      <start>0</start>
      <end>2</end>
      <status>modified</status>
      <modifiedWord>5.</modifiedWord>
      <trackRevisions>false</trackRevisions>
    </reviewItem>
    <reviewItem>
      <errorID>51e397f7-47d0-4552-a1d2-ba0543456c98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7D661599</paraID>
      <start>0</start>
      <end>2</end>
      <status>modified</status>
      <modifiedWord>1.</modifiedWord>
      <trackRevisions>false</trackRevisions>
    </reviewItem>
    <reviewItem>
      <errorID>aa43ed43-2103-4656-ad65-fb3774c9a8c1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26797DE3</paraID>
      <start>0</start>
      <end>2</end>
      <status>modified</status>
      <modifiedWord>2.</modifiedWord>
      <trackRevisions>false</trackRevisions>
    </reviewItem>
    <reviewItem>
      <errorID>c795ff39-cbcd-49f1-b1b9-50d8febce649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35493120</paraID>
      <start>0</start>
      <end>2</end>
      <status>modified</status>
      <modifiedWord>3.</modifiedWord>
      <trackRevisions>false</trackRevisions>
    </reviewItem>
    <reviewItem>
      <errorID>8c637ec5-b91e-470b-81fe-d7ca45d3ab04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21066F96</paraID>
      <start>0</start>
      <end>2</end>
      <status>modified</status>
      <modifiedWord>4.</modifiedWord>
      <trackRevisions>false</trackRevisions>
    </reviewItem>
    <reviewItem>
      <errorID>56718bed-788a-4f63-87e7-29bcd504c13a</errorID>
      <errorWord>中华人民共和国的环境保护法</errorWord>
      <group>L1_Knowledge</group>
      <groupName>知识性问题</groupName>
      <ability>L2_Knowledge</ability>
      <abilityName>其他知识</abilityName>
      <candidateList>
        <item>中华人民共和国环境保护法</item>
      </candidateList>
      <explain>当前法律法规未收录或尚未生效，注意核查是否正确。</explain>
      <paraID>21066F96</paraID>
      <start>15</start>
      <end>27</end>
      <status>modified</status>
      <modifiedWord>中华人民共和国环境保护法</modifiedWord>
      <trackRevisions>false</trackRevisions>
    </reviewItem>
    <reviewItem>
      <errorID>beea54f8-1888-4773-a72c-9ae2eb5f4352</errorID>
      <errorWord>法律、法规</errorWord>
      <group>L1_Word</group>
      <groupName>字词问题</groupName>
      <ability>L2_Typo</ability>
      <abilityName>字词错误</abilityName>
      <candidateList>
        <item>法律法规</item>
      </candidateList>
      <explain/>
      <paraID>21066F96</paraID>
      <start>35</start>
      <end>39</end>
      <status>modified</status>
      <modifiedWord>法律法规</modifiedWord>
      <trackRevisions>false</trackRevisions>
    </reviewItem>
    <reviewItem>
      <errorID>abe1c62b-56cb-4f17-932d-07a463b9ce94</errorID>
      <errorWord>)</errorWord>
      <group>L1_Format</group>
      <groupName>格式问题</groupName>
      <ability>L2_HalfPunc</ability>
      <abilityName>全半角检查</abilityName>
      <candidateList>
        <item>）</item>
      </candidateList>
      <explain>文本全半角错误。</explain>
      <paraID>21066F96</paraID>
      <start>105</start>
      <end>106</end>
      <status>modified</status>
      <modifiedWord>）</modifiedWord>
      <trackRevisions>false</trackRevisions>
    </reviewItem>
    <reviewItem>
      <errorID>677230c2-0bdb-4902-a18c-afc71f841dd8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74C4D4EB</paraID>
      <start>0</start>
      <end>2</end>
      <status>modified</status>
      <modifiedWord>1.</modifiedWord>
      <trackRevisions>false</trackRevisions>
    </reviewItem>
    <reviewItem>
      <errorID>d0603836-ad1a-4ca2-93a4-cba681d62ac7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69047150</paraID>
      <start>0</start>
      <end>2</end>
      <status>modified</status>
      <modifiedWord>2.</modifiedWord>
      <trackRevisions>false</trackRevisions>
    </reviewItem>
    <reviewItem>
      <errorID>779d3ae0-54ae-4383-a089-09113eb89229</errorID>
      <errorWord>其它</errorWord>
      <group>L1_Word</group>
      <groupName>字词问题</groupName>
      <ability>L2_Alias</ability>
      <abilityName>也作/曾用词</abilityName>
      <candidateList>
        <item>其他</item>
      </candidateList>
      <explain>词汇[其它]为不规范表述或旧称，其规范书面表述为[其他]。</explain>
      <paraID>6705E79C</paraID>
      <start>25</start>
      <end>27</end>
      <status>modified</status>
      <modifiedWord>其他</modifiedWord>
      <trackRevisions>false</trackRevisions>
    </reviewItem>
    <reviewItem>
      <errorID>b2ff1b54-2ceb-40ab-9a85-c2e017263553</errorID>
      <errorWord>，</errorWord>
      <group>L1_Word</group>
      <groupName>字词问题</groupName>
      <ability>L2_Typo</ability>
      <abilityName>字词错误</abilityName>
      <candidateList>
        <item>，以</item>
      </candidateList>
      <explain/>
      <paraID>7D3FF2E1</paraID>
      <start>17</start>
      <end>18</end>
      <status>ignored</status>
      <modifiedWord/>
      <trackRevisions>false</trackRevisions>
    </reviewItem>
    <reviewItem>
      <errorID>aee99877-780d-484f-9bd8-5c5a185a7fff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5B0DE62E</paraID>
      <start>0</start>
      <end>2</end>
      <status>modified</status>
      <modifiedWord>1.</modifiedWord>
      <trackRevisions>false</trackRevisions>
    </reviewItem>
    <reviewItem>
      <errorID>21b10a5c-e62f-45ef-a06b-6b137e28808b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67B2B6E0</paraID>
      <start>0</start>
      <end>2</end>
      <status>modified</status>
      <modifiedWord>2.</modifiedWord>
      <trackRevisions>false</trackRevisions>
    </reviewItem>
    <reviewItem>
      <errorID>199277a4-46bc-45c8-8dfc-6fc06748f620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45BB4ACD</paraID>
      <start>0</start>
      <end>2</end>
      <status>modified</status>
      <modifiedWord>3.</modifiedWord>
      <trackRevisions>false</trackRevisions>
    </reviewItem>
    <reviewItem>
      <errorID>038b9827-7281-4088-8b31-313d33d80755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2B88CBBA</paraID>
      <start>0</start>
      <end>2</end>
      <status>modified</status>
      <modifiedWord>1.</modifiedWord>
      <trackRevisions>false</trackRevisions>
    </reviewItem>
    <reviewItem>
      <errorID>a86477b0-94ac-434a-b357-fa1f30b03676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603ADF04</paraID>
      <start>0</start>
      <end>2</end>
      <status>modified</status>
      <modifiedWord>2.</modifiedWord>
      <trackRevisions>false</trackRevisions>
    </reviewItem>
    <reviewItem>
      <errorID>3fcb380c-c355-42d3-9231-eafcec7319f8</errorID>
      <errorWord>须</errorWord>
      <group>L1_Word</group>
      <groupName>字词问题</groupName>
      <ability>L2_Typo</ability>
      <abilityName>字词错误</abilityName>
      <candidateList>
        <item>需</item>
      </candidateList>
      <explain>❶〈动〉需要：～求｜按～分配｜完成任务还～五天时间。❷需用的东西：军～。</explain>
      <paraID>603ADF04</paraID>
      <start>41</start>
      <end>42</end>
      <status>ignored</status>
      <modifiedWord/>
      <trackRevisions>false</trackRevisions>
    </reviewItem>
    <reviewItem>
      <errorID>5f9e95c0-809d-4275-aa70-e070098c3706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251B5747</paraID>
      <start>0</start>
      <end>2</end>
      <status>modified</status>
      <modifiedWord>1.</modifiedWord>
      <trackRevisions>false</trackRevisions>
    </reviewItem>
    <reviewItem>
      <errorID>a8146e54-a550-4214-9da9-99cd67d6fa8c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5EEFB8EE</paraID>
      <start>0</start>
      <end>2</end>
      <status>modified</status>
      <modifiedWord>2.</modifiedWord>
      <trackRevisions>false</trackRevisions>
    </reviewItem>
    <reviewItem>
      <errorID>29c63cb2-9fd4-4beb-a3d6-677b70c930b8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551200DD</paraID>
      <start>0</start>
      <end>2</end>
      <status>modified</status>
      <modifiedWord>3.</modifiedWord>
      <trackRevisions>false</trackRevisions>
    </reviewItem>
    <reviewItem>
      <errorID>db65be27-b524-4859-b605-daca6f51d8f9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768158A1</paraID>
      <start>0</start>
      <end>2</end>
      <status>modified</status>
      <modifiedWord>4.</modifiedWord>
      <trackRevisions>false</trackRevisions>
    </reviewItem>
    <reviewItem>
      <errorID>fb5015ca-4225-48ae-8f0d-2a42142fbfb2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6E7E4D9E</paraID>
      <start>0</start>
      <end>2</end>
      <status>modified</status>
      <modifiedWord>5.</modifiedWord>
      <trackRevisions>false</trackRevisions>
    </reviewItem>
    <reviewItem>
      <errorID>97cf7848-4cac-469a-9f95-60a7754c2ffc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2AE7701A</paraID>
      <start>0</start>
      <end>2</end>
      <status>modified</status>
      <modifiedWord>1.</modifiedWord>
      <trackRevisions>false</trackRevisions>
    </reviewItem>
    <reviewItem>
      <errorID>0d4c7185-33b5-4044-8a22-8a62c9122a35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111BD926</paraID>
      <start>0</start>
      <end>2</end>
      <status>modified</status>
      <modifiedWord>2.</modifiedWord>
      <trackRevisions>false</trackRevisions>
    </reviewItem>
    <reviewItem>
      <errorID>3e679f38-a976-48b6-8321-f0a67df835cd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A05650A</paraID>
      <start>0</start>
      <end>2</end>
      <status>modified</status>
      <modifiedWord>3.</modifiedWord>
      <trackRevisions>false</trackRevisions>
    </reviewItem>
    <reviewItem>
      <errorID>ef910727-adb7-4578-aec9-3942000021d5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7524931F</paraID>
      <start>0</start>
      <end>2</end>
      <status>modified</status>
      <modifiedWord>4.</modifiedWord>
      <trackRevisions>false</trackRevisions>
    </reviewItem>
    <reviewItem>
      <errorID>21ce0c0d-4a31-4c38-8987-e01a59022b5e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5342E29E</paraID>
      <start>0</start>
      <end>2</end>
      <status>modified</status>
      <modifiedWord>5.</modifiedWord>
      <trackRevisions>false</trackRevisions>
    </reviewItem>
    <reviewItem>
      <errorID>4c6e68c0-e737-43b3-ad80-1d81f9d759f0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61B49A93</paraID>
      <start>0</start>
      <end>2</end>
      <status>modified</status>
      <modifiedWord>6.</modifiedWord>
      <trackRevisions>false</trackRevisions>
    </reviewItem>
    <reviewItem>
      <errorID>07a13203-ffb6-4d09-ba6b-9f0ee2217153</errorID>
      <errorWord>其它</errorWord>
      <group>L1_Word</group>
      <groupName>字词问题</groupName>
      <ability>L2_Alias</ability>
      <abilityName>也作/曾用词</abilityName>
      <candidateList>
        <item>其他</item>
      </candidateList>
      <explain>词汇[其它]为不规范表述或旧称，其规范书面表述为[其他]。</explain>
      <paraID>61B49A93</paraID>
      <start>28</start>
      <end>30</end>
      <status>modified</status>
      <modifiedWord>其他</modifiedWord>
      <trackRevisions>false</trackRevisions>
    </reviewItem>
    <reviewItem>
      <errorID>362812b6-473f-448a-b91f-01b3a3d106ae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7E2E9BDE</paraID>
      <start>0</start>
      <end>2</end>
      <status>modified</status>
      <modifiedWord>7.</modifiedWord>
      <trackRevisions>false</trackRevisions>
    </reviewItem>
    <reviewItem>
      <errorID>172c6e3e-d7e9-4228-bd34-86f84ce10f99</errorID>
      <errorWord>其它</errorWord>
      <group>L1_Word</group>
      <groupName>字词问题</groupName>
      <ability>L2_Alias</ability>
      <abilityName>也作/曾用词</abilityName>
      <candidateList>
        <item>其他</item>
      </candidateList>
      <explain>词汇[其它]为不规范表述或旧称，其规范书面表述为[其他]。</explain>
      <paraID>7E2E9BDE</paraID>
      <start>2</start>
      <end>4</end>
      <status>modified</status>
      <modifiedWord>其他</modifiedWord>
      <trackRevisions>false</trackRevisions>
    </reviewItem>
    <reviewItem>
      <errorID>24b04a4c-6674-4ad6-90f4-88d24fc8ace8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41F6449C</paraID>
      <start>0</start>
      <end>2</end>
      <status>modified</status>
      <modifiedWord>1.</modifiedWord>
      <trackRevisions>false</trackRevisions>
    </reviewItem>
    <reviewItem>
      <errorID>14e3b4d5-a29d-4e88-8f71-8aa17cf067e6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2B63476F</paraID>
      <start>0</start>
      <end>2</end>
      <status>modified</status>
      <modifiedWord>2.</modifiedWord>
      <trackRevisions>false</trackRevisions>
    </reviewItem>
    <reviewItem>
      <errorID>61681382-97e8-4652-a12d-db143fa25a0a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273FAFE4</paraID>
      <start>0</start>
      <end>2</end>
      <status>modified</status>
      <modifiedWord>3.</modifiedWord>
      <trackRevisions>false</trackRevisions>
    </reviewItem>
    <reviewItem>
      <errorID>d3f6f875-88ac-4fbf-9fbc-25c86c0163d2</errorID>
      <errorWord>在</errorWord>
      <group>L1_Word</group>
      <groupName>字词问题</groupName>
      <ability>L2_Typo</ability>
      <abilityName>字词错误</abilityName>
      <candidateList>
        <item>在任</item>
      </candidateList>
      <explain/>
      <paraID>273FAFE4</paraID>
      <start>26</start>
      <end>27</end>
      <status>ignored</status>
      <modifiedWord/>
      <trackRevisions>false</trackRevisions>
    </reviewItem>
    <reviewItem>
      <errorID>ac90c146-ac14-4583-afb5-aea8b769721f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726533FD</paraID>
      <start>0</start>
      <end>2</end>
      <status>modified</status>
      <modifiedWord>4.</modifiedWord>
      <trackRevisions>false</trackRevisions>
    </reviewItem>
    <reviewItem>
      <errorID>8105c7c3-15f6-4690-8608-0d05193eff60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3A25271A</paraID>
      <start>0</start>
      <end>2</end>
      <status>modified</status>
      <modifiedWord>1.</modifiedWord>
      <trackRevisions>false</trackRevisions>
    </reviewItem>
    <reviewItem>
      <errorID>0d08a494-e749-4177-80d3-9138bc93a940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7E0D0B47</paraID>
      <start>0</start>
      <end>2</end>
      <status>modified</status>
      <modifiedWord>2.</modifiedWord>
      <trackRevisions>false</trackRevisions>
    </reviewItem>
    <reviewItem>
      <errorID>792f0e86-e3b4-41db-af11-066c3a95f6fc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65BF4CAF</paraID>
      <start>0</start>
      <end>2</end>
      <status>modified</status>
      <modifiedWord>3.</modifiedWord>
      <trackRevisions>false</trackRevisions>
    </reviewItem>
    <reviewItem>
      <errorID>0eda0cfc-a00e-4041-88ce-bb03d0e2b740</errorID>
      <errorWord>,</errorWord>
      <group>L1_Format</group>
      <groupName>格式问题</groupName>
      <ability>L2_HalfPunc</ability>
      <abilityName>全半角检查</abilityName>
      <candidateList>
        <item>，</item>
      </candidateList>
      <explain>文本全半角错误。</explain>
      <paraID>65BF4CAF</paraID>
      <start>30</start>
      <end>31</end>
      <status>modified</status>
      <modifiedWord>，</modifiedWord>
      <trackRevisions>false</trackRevisions>
    </reviewItem>
    <reviewItem>
      <errorID>c438c425-dca6-4edf-8684-ac29a915e81e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6D755E18</paraID>
      <start>0</start>
      <end>2</end>
      <status>modified</status>
      <modifiedWord>4.</modifiedWord>
      <trackRevisions>false</trackRevisions>
    </reviewItem>
    <reviewItem>
      <errorID>9bff3b14-72bc-465f-8569-d3a9ccab00de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6F56B7D7</paraID>
      <start>0</start>
      <end>2</end>
      <status>modified</status>
      <modifiedWord>1.</modifiedWord>
      <trackRevisions>false</trackRevisions>
    </reviewItem>
    <reviewItem>
      <errorID>32ece930-bb26-4260-b350-a1954d297bce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47100565</paraID>
      <start>0</start>
      <end>2</end>
      <status>modified</status>
      <modifiedWord>2.</modifiedWord>
      <trackRevisions>false</trackRevisions>
    </reviewItem>
    <reviewItem>
      <errorID>0506b4fc-b92a-409b-a7d3-f1829f25581c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76E6F02D</paraID>
      <start>0</start>
      <end>2</end>
      <status>modified</status>
      <modifiedWord>1.</modifiedWord>
      <trackRevisions>false</trackRevisions>
    </reviewItem>
    <reviewItem>
      <errorID>4596ba9a-77ab-4c26-8632-f2e291095631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1287F2C6</paraID>
      <start>0</start>
      <end>2</end>
      <status>modified</status>
      <modifiedWord>2.</modifiedWord>
      <trackRevisions>false</trackRevisions>
    </reviewItem>
    <reviewItem>
      <errorID>081f8f53-0be6-48a1-842b-0ae393541090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7357A132</paraID>
      <start>0</start>
      <end>2</end>
      <status>modified</status>
      <modifiedWord>3.</modifiedWord>
      <trackRevisions>false</trackRevisions>
    </reviewItem>
    <reviewItem>
      <errorID>b2572a42-41dc-4659-bc41-16c8d1a2c4d5</errorID>
      <errorWord>(</errorWord>
      <group>L1_Format</group>
      <groupName>格式问题</groupName>
      <ability>L2_HalfPunc</ability>
      <abilityName>全半角检查</abilityName>
      <candidateList>
        <item>（</item>
      </candidateList>
      <explain>文本全半角错误。</explain>
      <paraID>21AD825C</paraID>
      <start>13</start>
      <end>14</end>
      <status>modified</status>
      <modifiedWord>（</modifiedWord>
      <trackRevisions>false</trackRevisions>
    </reviewItem>
    <reviewItem>
      <errorID>846abfcd-d62c-4068-a92b-fb6638f08bb6</errorID>
      <errorWord>)</errorWord>
      <group>L1_Format</group>
      <groupName>格式问题</groupName>
      <ability>L2_HalfPunc</ability>
      <abilityName>全半角检查</abilityName>
      <candidateList>
        <item>）</item>
      </candidateList>
      <explain>文本全半角错误。</explain>
      <paraID>21AD825C</paraID>
      <start>36</start>
      <end>37</end>
      <status>modified</status>
      <modifiedWord>）</modifiedWord>
      <trackRevisions>false</trackRevisions>
    </reviewItem>
    <reviewItem>
      <errorID>eff3cfb0-0e75-4fce-ad05-076bc6ff2d9f</errorID>
      <errorWord>(</errorWord>
      <group>L1_Format</group>
      <groupName>格式问题</groupName>
      <ability>L2_HalfPunc</ability>
      <abilityName>全半角检查</abilityName>
      <candidateList>
        <item>（</item>
      </candidateList>
      <explain>文本全半角错误。</explain>
      <paraID>21AD825C</paraID>
      <start>46</start>
      <end>47</end>
      <status>modified</status>
      <modifiedWord>（</modifiedWord>
      <trackRevisions>false</trackRevisions>
    </reviewItem>
    <reviewItem>
      <errorID>815b2e31-881e-4d3f-9fde-b067c767c771</errorID>
      <errorWord>)</errorWord>
      <group>L1_Format</group>
      <groupName>格式问题</groupName>
      <ability>L2_HalfPunc</ability>
      <abilityName>全半角检查</abilityName>
      <candidateList>
        <item>）</item>
      </candidateList>
      <explain>文本全半角错误。</explain>
      <paraID>21AD825C</paraID>
      <start>62</start>
      <end>63</end>
      <status>modified</status>
      <modifiedWord>）</modifiedWord>
      <trackRevisions>false</trackRevisions>
    </reviewItem>
    <reviewItem>
      <errorID>dbb231e9-d02e-4f3b-8e09-2d5a94d52980</errorID>
      <errorWord>(</errorWord>
      <group>L1_Format</group>
      <groupName>格式问题</groupName>
      <ability>L2_HalfPunc</ability>
      <abilityName>全半角检查</abilityName>
      <candidateList>
        <item>（</item>
      </candidateList>
      <explain>文本全半角错误。</explain>
      <paraID>4A488FB3</paraID>
      <start>19</start>
      <end>20</end>
      <status>modified</status>
      <modifiedWord>（</modifiedWord>
      <trackRevisions>false</trackRevisions>
    </reviewItem>
    <reviewItem>
      <errorID>ce243be3-1637-42e6-ad67-0ccc1e299c9a</errorID>
      <errorWord>)</errorWord>
      <group>L1_Format</group>
      <groupName>格式问题</groupName>
      <ability>L2_HalfPunc</ability>
      <abilityName>全半角检查</abilityName>
      <candidateList>
        <item>）</item>
      </candidateList>
      <explain>文本全半角错误。</explain>
      <paraID>4A488FB3</paraID>
      <start>42</start>
      <end>43</end>
      <status>modified</status>
      <modifiedWord>）</modifiedWord>
      <trackRevisions>false</trackRevisions>
    </reviewItem>
    <reviewItem>
      <errorID>3b38e9f9-f6e4-4ebc-a06c-f18e30711225</errorID>
      <errorWord>(</errorWord>
      <group>L1_Format</group>
      <groupName>格式问题</groupName>
      <ability>L2_HalfPunc</ability>
      <abilityName>全半角检查</abilityName>
      <candidateList>
        <item>（</item>
      </candidateList>
      <explain>文本全半角错误。</explain>
      <paraID>4A488FB3</paraID>
      <start>52</start>
      <end>53</end>
      <status>modified</status>
      <modifiedWord>（</modifiedWord>
      <trackRevisions>false</trackRevisions>
    </reviewItem>
    <reviewItem>
      <errorID>f383174b-4bd7-4871-a3e5-10706062e939</errorID>
      <errorWord>)</errorWord>
      <group>L1_Format</group>
      <groupName>格式问题</groupName>
      <ability>L2_HalfPunc</ability>
      <abilityName>全半角检查</abilityName>
      <candidateList>
        <item>）</item>
      </candidateList>
      <explain>文本全半角错误。</explain>
      <paraID>4A488FB3</paraID>
      <start>68</start>
      <end>69</end>
      <status>modified</status>
      <modifiedWord>）</modifiedWord>
      <trackRevisions>false</trackRevisions>
    </reviewItem>
    <reviewItem>
      <errorID>dfba9d5e-1f19-48f7-a562-e039d68b8e57</errorID>
      <errorWord>)</errorWord>
      <group>L1_Format</group>
      <groupName>格式问题</groupName>
      <ability>L2_HalfPunc</ability>
      <abilityName>全半角检查</abilityName>
      <candidateList>
        <item>）</item>
      </candidateList>
      <explain>文本全半角错误。</explain>
      <paraID>289A9CF1</paraID>
      <start>2</start>
      <end>3</end>
      <status>modified</status>
      <modifiedWord>）</modifiedWord>
      <trackRevisions>false</trackRevisions>
    </reviewItem>
    <reviewItem>
      <errorID>3743ac0b-dfd1-46c5-b9c0-9c2c2449ac02</errorID>
      <errorWord>(</errorWord>
      <group>L1_Format</group>
      <groupName>格式问题</groupName>
      <ability>L2_HalfPunc</ability>
      <abilityName>全半角检查</abilityName>
      <candidateList>
        <item>（</item>
      </candidateList>
      <explain>文本全半角错误。</explain>
      <paraID>43183D38</paraID>
      <start>9</start>
      <end>10</end>
      <status>modified</status>
      <modifiedWord>（</modifiedWord>
      <trackRevisions>false</trackRevisions>
    </reviewItem>
    <reviewItem>
      <errorID>4aad07d5-2e45-4639-9f67-22c6c73b5dd4</errorID>
      <errorWord>)</errorWord>
      <group>L1_Format</group>
      <groupName>格式问题</groupName>
      <ability>L2_HalfPunc</ability>
      <abilityName>全半角检查</abilityName>
      <candidateList>
        <item>）</item>
      </candidateList>
      <explain>文本全半角错误。</explain>
      <paraID>43183D38</paraID>
      <start>16</start>
      <end>17</end>
      <status>modified</status>
      <modifiedWord>）</modifiedWord>
      <trackRevisions>false</trackRevisions>
    </reviewItem>
    <reviewItem>
      <errorID>de1e25f8-5d3d-42e6-b77b-b487cfa487b9</errorID>
      <errorWord>(</errorWord>
      <group>L1_Format</group>
      <groupName>格式问题</groupName>
      <ability>L2_HalfPunc</ability>
      <abilityName>全半角检查</abilityName>
      <candidateList>
        <item>（</item>
      </candidateList>
      <explain>文本全半角错误。</explain>
      <paraID>1750C2FD</paraID>
      <start>8</start>
      <end>9</end>
      <status>modified</status>
      <modifiedWord>（</modifiedWord>
      <trackRevisions>false</trackRevisions>
    </reviewItem>
    <reviewItem>
      <errorID>9066c260-6e1f-4ef5-81d7-79c397b04feb</errorID>
      <errorWord>)</errorWord>
      <group>L1_Format</group>
      <groupName>格式问题</groupName>
      <ability>L2_HalfPunc</ability>
      <abilityName>全半角检查</abilityName>
      <candidateList>
        <item>）</item>
      </candidateList>
      <explain>文本全半角错误。</explain>
      <paraID>1750C2FD</paraID>
      <start>12</start>
      <end>13</end>
      <status>modified</status>
      <modifiedWord>）</modifiedWord>
      <trackRevisions>false</trackRevisions>
    </reviewItem>
    <reviewItem>
      <errorID>53ddf95d-2622-4f2c-b141-5054e664d84e</errorID>
      <errorWord>)</errorWord>
      <group>L1_Format</group>
      <groupName>格式问题</groupName>
      <ability>L2_HalfPunc</ability>
      <abilityName>全半角检查</abilityName>
      <candidateList>
        <item>）</item>
      </candidateList>
      <explain>文本全半角错误。</explain>
      <paraID>1750C2FD</paraID>
      <start>41</start>
      <end>42</end>
      <status>modified</status>
      <modifiedWord>）</modifiedWord>
      <trackRevisions>false</trackRevisions>
    </reviewItem>
    <reviewItem>
      <errorID>53d81eea-833c-4c74-a70f-6a670cdda7eb</errorID>
      <errorWord>(</errorWord>
      <group>L1_Format</group>
      <groupName>格式问题</groupName>
      <ability>L2_HalfPunc</ability>
      <abilityName>全半角检查</abilityName>
      <candidateList>
        <item>（</item>
      </candidateList>
      <explain>文本全半角错误。</explain>
      <paraID>2263A79D</paraID>
      <start>8</start>
      <end>9</end>
      <status>modified</status>
      <modifiedWord>（</modifiedWord>
      <trackRevisions>false</trackRevisions>
    </reviewItem>
    <reviewItem>
      <errorID>ebe17ece-62f8-4cce-a9f4-790534c8f160</errorID>
      <errorWord>)</errorWord>
      <group>L1_Format</group>
      <groupName>格式问题</groupName>
      <ability>L2_HalfPunc</ability>
      <abilityName>全半角检查</abilityName>
      <candidateList>
        <item>）</item>
      </candidateList>
      <explain>文本全半角错误。</explain>
      <paraID>2263A79D</paraID>
      <start>12</start>
      <end>13</end>
      <status>modified</status>
      <modifiedWord>）</modifiedWord>
      <trackRevisions>false</trackRevisions>
    </reviewItem>
    <reviewItem>
      <errorID>c9aa3b9e-85dd-4868-8030-5a6a1b281964</errorID>
      <errorWord>)</errorWord>
      <group>L1_Format</group>
      <groupName>格式问题</groupName>
      <ability>L2_HalfPunc</ability>
      <abilityName>全半角检查</abilityName>
      <candidateList>
        <item>）</item>
      </candidateList>
      <explain>文本全半角错误。</explain>
      <paraID>2263A79D</paraID>
      <start>25</start>
      <end>26</end>
      <status>modified</status>
      <modifiedWord>）</modifiedWord>
      <trackRevisions>false</trackRevisions>
    </reviewItem>
    <reviewItem>
      <errorID>d7d00c5d-2482-46d1-9d8a-7f21580e899d</errorID>
      <errorWord>(</errorWord>
      <group>L1_Format</group>
      <groupName>格式问题</groupName>
      <ability>L2_HalfPunc</ability>
      <abilityName>全半角检查</abilityName>
      <candidateList>
        <item>（</item>
      </candidateList>
      <explain>文本全半角错误。</explain>
      <paraID>48178302</paraID>
      <start>17</start>
      <end>18</end>
      <status>modified</status>
      <modifiedWord>（</modifiedWord>
      <trackRevisions>false</trackRevisions>
    </reviewItem>
    <reviewItem>
      <errorID>280d0d3a-6e13-4dc4-8f12-2e6b98b56c38</errorID>
      <errorWord>)</errorWord>
      <group>L1_Format</group>
      <groupName>格式问题</groupName>
      <ability>L2_HalfPunc</ability>
      <abilityName>全半角检查</abilityName>
      <candidateList>
        <item>）</item>
      </candidateList>
      <explain>文本全半角错误。</explain>
      <paraID>48178302</paraID>
      <start>27</start>
      <end>28</end>
      <status>modified</status>
      <modifiedWord>）</modifiedWord>
      <trackRevisions>false</trackRevisions>
    </reviewItem>
    <reviewItem>
      <errorID>62e78396-d9f2-4f81-b198-99f0b3c330fa</errorID>
      <errorWord>(</errorWord>
      <group>L1_Format</group>
      <groupName>格式问题</groupName>
      <ability>L2_HalfPunc</ability>
      <abilityName>全半角检查</abilityName>
      <candidateList>
        <item>（</item>
      </candidateList>
      <explain>文本全半角错误。</explain>
      <paraID> 1D3237C</paraID>
      <start>8</start>
      <end>9</end>
      <status>modified</status>
      <modifiedWord>（</modifiedWord>
      <trackRevisions>false</trackRevisions>
    </reviewItem>
    <reviewItem>
      <errorID>e961907a-0a09-4ded-a04e-2490f90494cf</errorID>
      <errorWord>)</errorWord>
      <group>L1_Format</group>
      <groupName>格式问题</groupName>
      <ability>L2_HalfPunc</ability>
      <abilityName>全半角检查</abilityName>
      <candidateList>
        <item>）</item>
      </candidateList>
      <explain>文本全半角错误。</explain>
      <paraID> 1D3237C</paraID>
      <start>12</start>
      <end>13</end>
      <status>modified</status>
      <modifiedWord>）</modifiedWord>
      <trackRevisions>false</trackRevisions>
    </reviewItem>
    <reviewItem>
      <errorID>8d116d2c-e9e8-451b-a636-7def337d6da3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34753BAF</paraID>
      <start>0</start>
      <end>3</end>
      <status>modified</status>
      <modifiedWord>（一）</modifiedWord>
      <trackRevisions>false</trackRevisions>
    </reviewItem>
    <reviewItem>
      <errorID>2b5e418d-58dc-4f55-8e03-9890c9d56043</errorID>
      <errorWord>(</errorWord>
      <group>L1_Format</group>
      <groupName>格式问题</groupName>
      <ability>L2_HalfPunc</ability>
      <abilityName>全半角检查</abilityName>
      <candidateList>
        <item>（</item>
      </candidateList>
      <explain>文本全半角错误。</explain>
      <paraID>7B0D466D</paraID>
      <start>13</start>
      <end>14</end>
      <status>modified</status>
      <modifiedWord>（</modifiedWord>
      <trackRevisions>false</trackRevisions>
    </reviewItem>
    <reviewItem>
      <errorID>906e3a23-30f3-4d90-9a4b-1e2dfb3e47e0</errorID>
      <errorWord>)</errorWord>
      <group>L1_Format</group>
      <groupName>格式问题</groupName>
      <ability>L2_HalfPunc</ability>
      <abilityName>全半角检查</abilityName>
      <candidateList>
        <item>）</item>
      </candidateList>
      <explain>文本全半角错误。</explain>
      <paraID>7B0D466D</paraID>
      <start>36</start>
      <end>37</end>
      <status>modified</status>
      <modifiedWord>）</modifiedWord>
      <trackRevisions>false</trackRevisions>
    </reviewItem>
    <reviewItem>
      <errorID>3dc452d2-e7a2-4d5b-8cb8-240c5eef2904</errorID>
      <errorWord>(</errorWord>
      <group>L1_Format</group>
      <groupName>格式问题</groupName>
      <ability>L2_HalfPunc</ability>
      <abilityName>全半角检查</abilityName>
      <candidateList>
        <item>（</item>
      </candidateList>
      <explain>文本全半角错误。</explain>
      <paraID>7B0D466D</paraID>
      <start>46</start>
      <end>47</end>
      <status>modified</status>
      <modifiedWord>（</modifiedWord>
      <trackRevisions>false</trackRevisions>
    </reviewItem>
    <reviewItem>
      <errorID>1c9f2bf4-bb28-49d2-bee4-39e6a7b37820</errorID>
      <errorWord>)</errorWord>
      <group>L1_Format</group>
      <groupName>格式问题</groupName>
      <ability>L2_HalfPunc</ability>
      <abilityName>全半角检查</abilityName>
      <candidateList>
        <item>）</item>
      </candidateList>
      <explain>文本全半角错误。</explain>
      <paraID>7B0D466D</paraID>
      <start>62</start>
      <end>63</end>
      <status>modified</status>
      <modifiedWord>）</modifiedWord>
      <trackRevisions>false</trackRevisions>
    </reviewItem>
    <reviewItem>
      <errorID>3175237e-445b-4ca4-bcd0-71e1c18d7740</errorID>
      <errorWord>(</errorWord>
      <group>L1_Format</group>
      <groupName>格式问题</groupName>
      <ability>L2_HalfPunc</ability>
      <abilityName>全半角检查</abilityName>
      <candidateList>
        <item>（</item>
      </candidateList>
      <explain>文本全半角错误。</explain>
      <paraID> A7B209C</paraID>
      <start>19</start>
      <end>20</end>
      <status>modified</status>
      <modifiedWord>（</modifiedWord>
      <trackRevisions>false</trackRevisions>
    </reviewItem>
    <reviewItem>
      <errorID>5337a416-a2cc-4b44-ac7a-575a1f88ec09</errorID>
      <errorWord>)</errorWord>
      <group>L1_Format</group>
      <groupName>格式问题</groupName>
      <ability>L2_HalfPunc</ability>
      <abilityName>全半角检查</abilityName>
      <candidateList>
        <item>）</item>
      </candidateList>
      <explain>文本全半角错误。</explain>
      <paraID> A7B209C</paraID>
      <start>42</start>
      <end>43</end>
      <status>modified</status>
      <modifiedWord>）</modifiedWord>
      <trackRevisions>false</trackRevisions>
    </reviewItem>
    <reviewItem>
      <errorID>19491846-355d-4c3e-9bf6-39068036d65a</errorID>
      <errorWord>(</errorWord>
      <group>L1_Format</group>
      <groupName>格式问题</groupName>
      <ability>L2_HalfPunc</ability>
      <abilityName>全半角检查</abilityName>
      <candidateList>
        <item>（</item>
      </candidateList>
      <explain>文本全半角错误。</explain>
      <paraID> A7B209C</paraID>
      <start>52</start>
      <end>53</end>
      <status>modified</status>
      <modifiedWord>（</modifiedWord>
      <trackRevisions>false</trackRevisions>
    </reviewItem>
    <reviewItem>
      <errorID>c40698e1-ce03-4d65-9245-c6065244db25</errorID>
      <errorWord>)</errorWord>
      <group>L1_Format</group>
      <groupName>格式问题</groupName>
      <ability>L2_HalfPunc</ability>
      <abilityName>全半角检查</abilityName>
      <candidateList>
        <item>）</item>
      </candidateList>
      <explain>文本全半角错误。</explain>
      <paraID> A7B209C</paraID>
      <start>68</start>
      <end>69</end>
      <status>modified</status>
      <modifiedWord>）</modifiedWord>
      <trackRevisions>false</trackRevisions>
    </reviewItem>
    <reviewItem>
      <errorID>f1ce6ad8-5cbe-4ad5-a887-a6b3afe5c726</errorID>
      <errorWord>股东大会</errorWord>
      <group>L1_Word</group>
      <groupName>字词问题</groupName>
      <ability>L2_Typo</ability>
      <abilityName>字词错误</abilityName>
      <candidateList>
        <item>股东会</item>
      </candidateList>
      <explain/>
      <paraID>   EA45E</paraID>
      <start>113</start>
      <end>117</end>
      <status>ignored</status>
      <modifiedWord/>
      <trackRevisions>false</trackRevisions>
    </reviewItem>
    <reviewItem>
      <errorID>29135f92-9918-4d18-ac54-7f7ac6303e4f</errorID>
      <errorWord>(</errorWord>
      <group>L1_Format</group>
      <groupName>格式问题</groupName>
      <ability>L2_HalfPunc</ability>
      <abilityName>全半角检查</abilityName>
      <candidateList>
        <item>（</item>
      </candidateList>
      <explain>文本全半角错误。</explain>
      <paraID>3CAAADA6</paraID>
      <start>5</start>
      <end>6</end>
      <status>modified</status>
      <modifiedWord>（</modifiedWord>
      <trackRevisions>false</trackRevisions>
    </reviewItem>
    <reviewItem>
      <errorID>fcd5ef78-5100-4176-92a2-401847a7e372</errorID>
      <errorWord>)</errorWord>
      <group>L1_Format</group>
      <groupName>格式问题</groupName>
      <ability>L2_HalfPunc</ability>
      <abilityName>全半角检查</abilityName>
      <candidateList>
        <item>）</item>
      </candidateList>
      <explain>文本全半角错误。</explain>
      <paraID>3CAAADA6</paraID>
      <start>10</start>
      <end>11</end>
      <status>modified</status>
      <modifiedWord>）</modifiedWord>
      <trackRevisions>false</trackRevisions>
    </reviewItem>
    <reviewItem>
      <errorID>c1dae3cf-2cc7-4aa3-90e9-01de6dafc834</errorID>
      <errorWord>(</errorWord>
      <group>L1_Format</group>
      <groupName>格式问题</groupName>
      <ability>L2_HalfPunc</ability>
      <abilityName>全半角检查</abilityName>
      <candidateList>
        <item>（</item>
      </candidateList>
      <explain>文本全半角错误。</explain>
      <paraID>5679B5BF</paraID>
      <start>5</start>
      <end>6</end>
      <status>modified</status>
      <modifiedWord>（</modifiedWord>
      <trackRevisions>false</trackRevisions>
    </reviewItem>
    <reviewItem>
      <errorID>7d0126de-b40c-4da4-a521-8d2f262c7a02</errorID>
      <errorWord>)</errorWord>
      <group>L1_Format</group>
      <groupName>格式问题</groupName>
      <ability>L2_HalfPunc</ability>
      <abilityName>全半角检查</abilityName>
      <candidateList>
        <item>）</item>
      </candidateList>
      <explain>文本全半角错误。</explain>
      <paraID>5679B5BF</paraID>
      <start>10</start>
      <end>11</end>
      <status>modified</status>
      <modifiedWord>）</modifiedWord>
      <trackRevisions>false</trackRevisions>
    </reviewItem>
    <reviewItem>
      <errorID>800eeef0-ac7a-47c5-ad53-5fd896f741f3</errorID>
      <errorWord>)</errorWord>
      <group>L1_Format</group>
      <groupName>格式问题</groupName>
      <ability>L2_HalfPunc</ability>
      <abilityName>全半角检查</abilityName>
      <candidateList>
        <item>）</item>
      </candidateList>
      <explain>文本全半角错误。</explain>
      <paraID>40FAF839</paraID>
      <start>3</start>
      <end>4</end>
      <status>modified</status>
      <modifiedWord>）</modifiedWord>
      <trackRevisions>false</trackRevisions>
    </reviewItem>
    <reviewItem>
      <errorID>1d7eb3f1-1e22-46d9-9a4d-80cae83eebc2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16E0FB7D</paraID>
      <start>1</start>
      <end>4</end>
      <status>modified</status>
      <modifiedWord>（二）</modifiedWord>
      <trackRevisions>false</trackRevisions>
    </reviewItem>
    <reviewItem>
      <errorID>7bec6931-d69e-4424-a1aa-8230df07253a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1BC39AA6</paraID>
      <start>5</start>
      <end>8</end>
      <status>modified</status>
      <modifiedWord>（3）</modifiedWord>
      <trackRevisions>false</trackRevisions>
    </reviewItem>
    <reviewItem>
      <errorID>731a708a-612e-4fe2-a6fe-99cd5c7e6a74</errorID>
      <errorWord>(</errorWord>
      <group>L1_Format</group>
      <groupName>格式问题</groupName>
      <ability>L2_HalfPunc</ability>
      <abilityName>全半角检查</abilityName>
      <candidateList>
        <item>（</item>
      </candidateList>
      <explain>文本全半角错误。</explain>
      <paraID>1BC39AA6</paraID>
      <start>14</start>
      <end>15</end>
      <status>modified</status>
      <modifiedWord>（</modifiedWord>
      <trackRevisions>false</trackRevisions>
    </reviewItem>
    <reviewItem>
      <errorID>fc55acf3-5480-41e6-ae54-5638a7a79074</errorID>
      <errorWord>)</errorWord>
      <group>L1_Format</group>
      <groupName>格式问题</groupName>
      <ability>L2_HalfPunc</ability>
      <abilityName>全半角检查</abilityName>
      <candidateList>
        <item>）</item>
      </candidateList>
      <explain>文本全半角错误。</explain>
      <paraID>1BC39AA6</paraID>
      <start>18</start>
      <end>19</end>
      <status>modified</status>
      <modifiedWord>）</modifiedWord>
      <trackRevisions>false</trackRevisions>
    </reviewItem>
    <reviewItem>
      <errorID>8bade50c-09a0-40c3-b16d-e7f315592b74</errorID>
      <errorWord>(</errorWord>
      <group>L1_Format</group>
      <groupName>格式问题</groupName>
      <ability>L2_HalfPunc</ability>
      <abilityName>全半角检查</abilityName>
      <candidateList>
        <item>（</item>
      </candidateList>
      <explain>文本全半角错误。</explain>
      <paraID>755E0EBD</paraID>
      <start>5</start>
      <end>6</end>
      <status>modified</status>
      <modifiedWord>（</modifiedWord>
      <trackRevisions>false</trackRevisions>
    </reviewItem>
    <reviewItem>
      <errorID>d9fa2a5d-2a24-4371-b21c-0c4937671c19</errorID>
      <errorWord>)</errorWord>
      <group>L1_Format</group>
      <groupName>格式问题</groupName>
      <ability>L2_HalfPunc</ability>
      <abilityName>全半角检查</abilityName>
      <candidateList>
        <item>）</item>
      </candidateList>
      <explain>文本全半角错误。</explain>
      <paraID>755E0EBD</paraID>
      <start>9</start>
      <end>10</end>
      <status>modified</status>
      <modifiedWord>）</modifiedWord>
      <trackRevisions>false</trackRevisions>
    </reviewItem>
    <reviewItem>
      <errorID>ec0fbf76-e16e-4c2b-a41d-77906c45b6c3</errorID>
      <errorWord>(</errorWord>
      <group>L1_Format</group>
      <groupName>格式问题</groupName>
      <ability>L2_HalfPunc</ability>
      <abilityName>全半角检查</abilityName>
      <candidateList>
        <item>（</item>
      </candidateList>
      <explain>文本全半角错误。</explain>
      <paraID>27FD7A2E</paraID>
      <start>7</start>
      <end>8</end>
      <status>modified</status>
      <modifiedWord>（</modifiedWord>
      <trackRevisions>false</trackRevisions>
    </reviewItem>
    <reviewItem>
      <errorID>e8afd4c8-60a2-4231-b84c-ab97d021df30</errorID>
      <errorWord>)</errorWord>
      <group>L1_Format</group>
      <groupName>格式问题</groupName>
      <ability>L2_HalfPunc</ability>
      <abilityName>全半角检查</abilityName>
      <candidateList>
        <item>）</item>
      </candidateList>
      <explain>文本全半角错误。</explain>
      <paraID>27FD7A2E</paraID>
      <start>11</start>
      <end>12</end>
      <status>modified</status>
      <modifiedWord>）</modifiedWord>
      <trackRevisions>false</trackRevisions>
    </reviewItem>
    <reviewItem>
      <errorID>d7a9ba5b-66c3-4381-adc2-b362bae7aea5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3004B9C2</paraID>
      <start>79</start>
      <end>81</end>
      <status>modified</status>
      <modifiedWord>”“</modifiedWord>
      <trackRevisions>false</trackRevisions>
    </reviewItem>
    <reviewItem>
      <errorID>01ee7f2b-f510-4ca4-9c7f-40305361913f</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16ECA5CC</paraID>
      <start>1</start>
      <end>4</end>
      <status>modified</status>
      <modifiedWord>（三）</modifiedWord>
      <trackRevisions>false</trackRevisions>
    </reviewItem>
    <reviewItem>
      <errorID>16dc9224-371b-42e9-a6cf-d38c21dd95a4</errorID>
      <errorWord>法律、法规</errorWord>
      <group>L1_Word</group>
      <groupName>字词问题</groupName>
      <ability>L2_Typo</ability>
      <abilityName>字词错误</abilityName>
      <candidateList>
        <item>法律法规</item>
      </candidateList>
      <explain/>
      <paraID>28980D89</paraID>
      <start>49</start>
      <end>53</end>
      <status>modified</status>
      <modifiedWord>法律法规</modifiedWord>
      <trackRevisions>false</trackRevisions>
    </reviewItem>
    <reviewItem>
      <errorID>2d460eb1-b460-43c4-aabd-f9dc3fcf6892</errorID>
      <errorWord>:</errorWord>
      <group>L1_Format</group>
      <groupName>格式问题</groupName>
      <ability>L2_HalfPunc</ability>
      <abilityName>全半角检查</abilityName>
      <candidateList>
        <item>：</item>
      </candidateList>
      <explain>文本全半角错误。</explain>
      <paraID>5EDCCF1A</paraID>
      <start>21</start>
      <end>22</end>
      <status>modified</status>
      <modifiedWord>：</modifiedWord>
      <trackRevisions>false</trackRevisions>
    </reviewItem>
    <reviewItem>
      <errorID>63172a2a-7294-4036-a98e-25cb6adc95aa</errorID>
      <errorWord>:</errorWord>
      <group>L1_Format</group>
      <groupName>格式问题</groupName>
      <ability>L2_HalfPunc</ability>
      <abilityName>全半角检查</abilityName>
      <candidateList>
        <item>：</item>
      </candidateList>
      <explain>文本全半角错误。</explain>
      <paraID>29FF24FD</paraID>
      <start>9</start>
      <end>10</end>
      <status>modified</status>
      <modifiedWord>：</modifiedWord>
      <trackRevisions>false</trackRevisions>
    </reviewItem>
    <reviewItem>
      <errorID>a922ea1a-41e4-4212-9619-3a044aa23b13</errorID>
      <errorWord>:</errorWord>
      <group>L1_Format</group>
      <groupName>格式问题</groupName>
      <ability>L2_HalfPunc</ability>
      <abilityName>全半角检查</abilityName>
      <candidateList>
        <item>：</item>
      </candidateList>
      <explain>文本全半角错误。</explain>
      <paraID>4A926016</paraID>
      <start>2</start>
      <end>3</end>
      <status>modified</status>
      <modifiedWord>：</modifiedWord>
      <trackRevisions>false</trackRevisions>
    </reviewItem>
    <reviewItem>
      <errorID>a1518510-5965-4fa2-95a1-993837de59ba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3ED96C40</paraID>
      <start>0</start>
      <end>2</end>
      <status>modified</status>
      <modifiedWord>2.</modifiedWord>
      <trackRevisions>false</trackRevisions>
    </reviewItem>
    <reviewItem>
      <errorID>f9e2c5ae-25f8-4fb1-a89f-b94e1e24db58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41DE2E0C</paraID>
      <start>0</start>
      <end>2</end>
      <status>modified</status>
      <modifiedWord>3.</modifiedWord>
      <trackRevisions>false</trackRevisions>
    </reviewItem>
    <reviewItem>
      <errorID>7e70b318-e083-48f1-9a7d-e820cf7462e3</errorID>
      <errorWord>[2011]300号</errorWord>
      <group>L1_Knowledge</group>
      <groupName>知识性问题</groupName>
      <ability>L2_Knowledge</ability>
      <abilityName>其他知识</abilityName>
      <candidateList>
        <item>〔2011〕300号</item>
      </candidateList>
      <explain>发文字号格式错误。</explain>
      <paraID>561C452C</paraID>
      <start>35</start>
      <end>45</end>
      <status>modified</status>
      <modifiedWord>〔2011〕300号</modifiedWord>
      <trackRevisions>false</trackRevisions>
    </reviewItem>
    <reviewItem>
      <errorID>226fd8fd-8680-4448-b9c2-ddf3183be912</errorID>
      <errorWord>须</errorWord>
      <group>L1_Word</group>
      <groupName>字词问题</groupName>
      <ability>L2_Typo</ability>
      <abilityName>字词错误</abilityName>
      <candidateList>
        <item>需</item>
      </candidateList>
      <explain>存在发音相同字词的误用。</explain>
      <paraID>561C452C</paraID>
      <start>82</start>
      <end>83</end>
      <status>modified</status>
      <modifiedWord>需</modifiedWord>
      <trackRevisions>false</trackRevisions>
    </reviewItem>
    <reviewItem>
      <errorID>c685de66-79df-435d-930b-cc2ca8f18ddc</errorID>
      <errorWord>(</errorWord>
      <group>L1_Format</group>
      <groupName>格式问题</groupName>
      <ability>L2_HalfPunc</ability>
      <abilityName>全半角检查</abilityName>
      <candidateList>
        <item>（</item>
      </candidateList>
      <explain>文本全半角错误。</explain>
      <paraID>7F6EFB85</paraID>
      <start>3</start>
      <end>4</end>
      <status>modified</status>
      <modifiedWord>（</modifiedWord>
      <trackRevisions>false</trackRevisions>
    </reviewItem>
    <reviewItem>
      <errorID>6ce82d15-2f1c-46e2-8a0c-37a965b3ca81</errorID>
      <errorWord>)</errorWord>
      <group>L1_Format</group>
      <groupName>格式问题</groupName>
      <ability>L2_HalfPunc</ability>
      <abilityName>全半角检查</abilityName>
      <candidateList>
        <item>）</item>
      </candidateList>
      <explain>文本全半角错误。</explain>
      <paraID>7F6EFB85</paraID>
      <start>6</start>
      <end>7</end>
      <status>modified</status>
      <modifiedWord>）</modifiedWord>
      <trackRevisions>false</trackRevisions>
    </reviewItem>
    <reviewItem>
      <errorID>05f06955-0e7b-4d11-801c-774aae1406c0</errorID>
      <errorWord>(</errorWord>
      <group>L1_Format</group>
      <groupName>格式问题</groupName>
      <ability>L2_HalfPunc</ability>
      <abilityName>全半角检查</abilityName>
      <candidateList>
        <item>（</item>
      </candidateList>
      <explain>文本全半角错误。</explain>
      <paraID>7F6EFB85</paraID>
      <start>46</start>
      <end>47</end>
      <status>modified</status>
      <modifiedWord>（</modifiedWord>
      <trackRevisions>false</trackRevisions>
    </reviewItem>
    <reviewItem>
      <errorID>ed8e8c37-991e-4edc-a06d-30066417d74c</errorID>
      <errorWord>(2025)34号</errorWord>
      <group>L1_Knowledge</group>
      <groupName>知识性问题</groupName>
      <ability>L2_Knowledge</ability>
      <abilityName>其他知识</abilityName>
      <candidateList>
        <item>〔2025〕34号</item>
      </candidateList>
      <explain>发文字号格式错误。</explain>
      <paraID>7F6EFB85</paraID>
      <start>50</start>
      <end>59</end>
      <status>modified</status>
      <modifiedWord>〔2025〕34号</modifiedWord>
      <trackRevisions>false</trackRevisions>
    </reviewItem>
    <reviewItem>
      <errorID>c4c5ae66-173c-4383-8c04-a8cab575cb52</errorID>
      <errorWord>)</errorWord>
      <group>L1_Format</group>
      <groupName>格式问题</groupName>
      <ability>L2_HalfPunc</ability>
      <abilityName>全半角检查</abilityName>
      <candidateList>
        <item>）</item>
      </candidateList>
      <explain>文本全半角错误。</explain>
      <paraID>7F6EFB85</paraID>
      <start>59</start>
      <end>60</end>
      <status>modified</status>
      <modifiedWord>）</modifiedWord>
      <trackRevisions>false</trackRevisions>
    </reviewItem>
    <reviewItem>
      <errorID>dfd0dfb6-d23a-411a-90a2-948e0140c80f</errorID>
      <errorWord>(</errorWord>
      <group>L1_Format</group>
      <groupName>格式问题</groupName>
      <ability>L2_HalfPunc</ability>
      <abilityName>全半角检查</abilityName>
      <candidateList>
        <item>（</item>
      </candidateList>
      <explain>文本全半角错误。</explain>
      <paraID>7F6EFB85</paraID>
      <start>67</start>
      <end>68</end>
      <status>modified</status>
      <modifiedWord>（</modifiedWord>
      <trackRevisions>false</trackRevisions>
    </reviewItem>
    <reviewItem>
      <errorID>1e0c8c96-b058-4760-b05c-a35cfe160b66</errorID>
      <errorWord>)</errorWord>
      <group>L1_Format</group>
      <groupName>格式问题</groupName>
      <ability>L2_HalfPunc</ability>
      <abilityName>全半角检查</abilityName>
      <candidateList>
        <item>）</item>
      </candidateList>
      <explain>文本全半角错误。</explain>
      <paraID>7F6EFB85</paraID>
      <start>70</start>
      <end>71</end>
      <status>modified</status>
      <modifiedWord>）</modifiedWord>
      <trackRevisions>false</trackRevisions>
    </reviewItem>
    <reviewItem>
      <errorID>1771a4f4-bde7-4c4e-abc8-513bbff670a2</errorID>
      <errorWord>(</errorWord>
      <group>L1_Format</group>
      <groupName>格式问题</groupName>
      <ability>L2_HalfPunc</ability>
      <abilityName>全半角检查</abilityName>
      <candidateList>
        <item>（</item>
      </candidateList>
      <explain>文本全半角错误。</explain>
      <paraID>73657270</paraID>
      <start>3</start>
      <end>4</end>
      <status>modified</status>
      <modifiedWord>（</modifiedWord>
      <trackRevisions>false</trackRevisions>
    </reviewItem>
    <reviewItem>
      <errorID>e6bab2ef-ddd3-44c0-9b39-56a899d1ff82</errorID>
      <errorWord>)</errorWord>
      <group>L1_Format</group>
      <groupName>格式问题</groupName>
      <ability>L2_HalfPunc</ability>
      <abilityName>全半角检查</abilityName>
      <candidateList>
        <item>）</item>
      </candidateList>
      <explain>文本全半角错误。</explain>
      <paraID>73657270</paraID>
      <start>6</start>
      <end>7</end>
      <status>modified</status>
      <modifiedWord>）</modifiedWord>
      <trackRevisions>false</trackRevisions>
    </reviewItem>
    <reviewItem>
      <errorID>d70a5e72-69de-4fdf-9d3d-3ce1727bb065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542F5453</paraID>
      <start>18</start>
      <end>20</end>
      <status>modified</status>
      <modifiedWord>”“</modifiedWord>
      <trackRevisions>false</trackRevisions>
    </reviewItem>
    <reviewItem>
      <errorID>2e85316d-e351-4baf-9d44-82f6b755dc4c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542F5453</paraID>
      <start>22</start>
      <end>24</end>
      <status>modified</status>
      <modifiedWord>”“</modifiedWord>
      <trackRevisions>false</trackRevisions>
    </reviewItem>
    <reviewItem>
      <errorID>2c591c44-7e7e-458b-a4be-65b0668779f4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542F5453</paraID>
      <start>26</start>
      <end>28</end>
      <status>modified</status>
      <modifiedWord>”“</modifiedWord>
      <trackRevisions>false</trackRevisions>
    </reviewItem>
    <reviewItem>
      <errorID>f03946b8-ab0f-4dfc-a5f6-2eae992b86aa</errorID>
      <errorWord>(</errorWord>
      <group>L1_Format</group>
      <groupName>格式问题</groupName>
      <ability>L2_HalfPunc</ability>
      <abilityName>全半角检查</abilityName>
      <candidateList>
        <item>（</item>
      </candidateList>
      <explain>文本全半角错误。</explain>
      <paraID> 4A745A5</paraID>
      <start>5</start>
      <end>6</end>
      <status>modified</status>
      <modifiedWord>（</modifiedWord>
      <trackRevisions>false</trackRevisions>
    </reviewItem>
    <reviewItem>
      <errorID>4dd9a59c-0d54-4b27-bc01-82323b6f03a7</errorID>
      <errorWord>)</errorWord>
      <group>L1_Format</group>
      <groupName>格式问题</groupName>
      <ability>L2_HalfPunc</ability>
      <abilityName>全半角检查</abilityName>
      <candidateList>
        <item>）</item>
      </candidateList>
      <explain>文本全半角错误。</explain>
      <paraID> 4A745A5</paraID>
      <start>9</start>
      <end>10</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c3fbb4-9dbd-492a-8937-b8fc2c65172f}">
  <ds:schemaRefs/>
</ds:datastoreItem>
</file>

<file path=docProps/app.xml><?xml version="1.0" encoding="utf-8"?>
<Properties xmlns="http://schemas.openxmlformats.org/officeDocument/2006/extended-properties" xmlns:vt="http://schemas.openxmlformats.org/officeDocument/2006/docPropsVTypes">
  <Template>Normal</Template>
  <Pages>135</Pages>
  <Words>94732</Words>
  <Characters>99713</Characters>
  <Lines>315</Lines>
  <Paragraphs>88</Paragraphs>
  <TotalTime>63</TotalTime>
  <ScaleCrop>false</ScaleCrop>
  <LinksUpToDate>false</LinksUpToDate>
  <CharactersWithSpaces>103611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2017-08-10T01:29:00Z</dcterms:created>
  <dc:creator>聂泉源</dc:creator>
  <cp:lastModifiedBy>招标代理机构</cp:lastModifiedBy>
  <cp:lastPrinted>2015-04-27T02:45:00Z</cp:lastPrinted>
  <dcterms:modified xsi:type="dcterms:W3CDTF">2026-08-17T04:03:47Z</dcterms:modified>
  <dc:title>3</dc:title>
  <cp:revision>1245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eyJoZGlkIjoiY2ExZGU5YTk5NTc0NmEwNTg5MWNhZWEzNDNmZWRjZDIiLCJ1c2VySWQiOiIzNjQ5MTc2OTQifQ==</vt:lpwstr>
  </property>
  <property fmtid="{D5CDD505-2E9C-101B-9397-08002B2CF9AE}" pid="4" name="ICV">
    <vt:lpwstr>C1CB5F6DBE324045903F17223BDDFD66_13</vt:lpwstr>
  </property>
</Properties>
</file>