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94BCC">
      <w:pPr>
        <w:shd w:val="clear"/>
        <w:spacing w:line="360" w:lineRule="auto"/>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广西国力招标有限公司</w:t>
      </w:r>
    </w:p>
    <w:p w14:paraId="63913149">
      <w:pPr>
        <w:shd w:val="clear"/>
        <w:spacing w:before="156" w:beforeLines="50"/>
        <w:jc w:val="center"/>
        <w:rPr>
          <w:rFonts w:hint="eastAsia" w:ascii="宋体" w:hAnsi="宋体" w:eastAsia="宋体" w:cs="宋体"/>
          <w:color w:val="auto"/>
          <w:sz w:val="48"/>
          <w:szCs w:val="48"/>
          <w:highlight w:val="none"/>
        </w:rPr>
      </w:pPr>
    </w:p>
    <w:p w14:paraId="24DFDC02">
      <w:pPr>
        <w:shd w:val="clear"/>
        <w:spacing w:before="156" w:beforeLines="50"/>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公开招标采购文件</w:t>
      </w:r>
    </w:p>
    <w:p w14:paraId="21309D52">
      <w:pPr>
        <w:pStyle w:val="27"/>
        <w:shd w:val="clear"/>
        <w:snapToGrid w:val="0"/>
        <w:spacing w:before="120" w:after="120" w:line="360" w:lineRule="auto"/>
        <w:rPr>
          <w:rFonts w:hint="eastAsia" w:ascii="宋体" w:hAnsi="宋体" w:eastAsia="宋体" w:cs="宋体"/>
          <w:b/>
          <w:bCs/>
          <w:color w:val="auto"/>
          <w:sz w:val="30"/>
          <w:szCs w:val="30"/>
          <w:highlight w:val="none"/>
        </w:rPr>
      </w:pPr>
    </w:p>
    <w:p w14:paraId="02BAE805">
      <w:pPr>
        <w:pStyle w:val="27"/>
        <w:shd w:val="clear"/>
        <w:snapToGrid w:val="0"/>
        <w:spacing w:before="120"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drawing>
          <wp:inline distT="0" distB="0" distL="114300" distR="114300">
            <wp:extent cx="2284730" cy="1624965"/>
            <wp:effectExtent l="0" t="0" r="1270" b="5715"/>
            <wp:docPr id="1" name="图片 1" descr="947058041150345087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70580411503450878247"/>
                    <pic:cNvPicPr>
                      <a:picLocks noChangeAspect="1"/>
                    </pic:cNvPicPr>
                  </pic:nvPicPr>
                  <pic:blipFill>
                    <a:blip r:embed="rId10"/>
                    <a:stretch>
                      <a:fillRect/>
                    </a:stretch>
                  </pic:blipFill>
                  <pic:spPr>
                    <a:xfrm>
                      <a:off x="0" y="0"/>
                      <a:ext cx="2284730" cy="1624965"/>
                    </a:xfrm>
                    <a:prstGeom prst="rect">
                      <a:avLst/>
                    </a:prstGeom>
                    <a:noFill/>
                    <a:ln>
                      <a:noFill/>
                    </a:ln>
                  </pic:spPr>
                </pic:pic>
              </a:graphicData>
            </a:graphic>
          </wp:inline>
        </w:drawing>
      </w:r>
    </w:p>
    <w:p w14:paraId="5A6110FC">
      <w:pPr>
        <w:pStyle w:val="27"/>
        <w:shd w:val="clear"/>
        <w:snapToGrid w:val="0"/>
        <w:spacing w:before="120" w:after="120" w:line="800" w:lineRule="exact"/>
        <w:ind w:firstLine="1793" w:firstLineChars="496"/>
        <w:rPr>
          <w:rFonts w:hint="eastAsia" w:ascii="宋体" w:hAnsi="宋体" w:eastAsia="宋体" w:cs="宋体"/>
          <w:b/>
          <w:bCs/>
          <w:color w:val="auto"/>
          <w:sz w:val="36"/>
          <w:szCs w:val="36"/>
          <w:highlight w:val="none"/>
        </w:rPr>
      </w:pPr>
    </w:p>
    <w:p w14:paraId="54A9D1BF">
      <w:pPr>
        <w:pStyle w:val="27"/>
        <w:shd w:val="clear"/>
        <w:snapToGrid w:val="0"/>
        <w:spacing w:before="120" w:after="120" w:line="800" w:lineRule="exact"/>
        <w:ind w:left="0" w:lef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采购项目编号：</w:t>
      </w:r>
      <w:r>
        <w:rPr>
          <w:rFonts w:hint="eastAsia" w:hAnsi="宋体" w:cs="宋体"/>
          <w:b/>
          <w:bCs/>
          <w:color w:val="auto"/>
          <w:sz w:val="32"/>
          <w:szCs w:val="32"/>
          <w:highlight w:val="none"/>
          <w:lang w:eastAsia="zh-CN"/>
        </w:rPr>
        <w:t>GXZC2026-G3-002638-GLZB</w:t>
      </w:r>
    </w:p>
    <w:p w14:paraId="07781A5D">
      <w:pPr>
        <w:keepNext w:val="0"/>
        <w:keepLines w:val="0"/>
        <w:pageBreakBefore w:val="0"/>
        <w:widowControl w:val="0"/>
        <w:pBdr>
          <w:bottom w:val="thickThinSmallGap" w:color="auto" w:sz="24" w:space="1"/>
        </w:pBdr>
        <w:shd w:val="clear"/>
        <w:kinsoku/>
        <w:wordWrap/>
        <w:overflowPunct/>
        <w:topLinePunct w:val="0"/>
        <w:autoSpaceDE/>
        <w:autoSpaceDN/>
        <w:bidi w:val="0"/>
        <w:adjustRightInd/>
        <w:snapToGrid w:val="0"/>
        <w:spacing w:before="156" w:beforeLines="50" w:line="800" w:lineRule="exact"/>
        <w:ind w:left="2249" w:leftChars="0" w:hanging="2249" w:hangingChars="700"/>
        <w:jc w:val="center"/>
        <w:textAlignment w:val="auto"/>
        <w:rPr>
          <w:rFonts w:hint="eastAsia" w:ascii="宋体" w:hAnsi="宋体" w:eastAsia="宋体" w:cs="宋体"/>
          <w:b/>
          <w:color w:val="auto"/>
          <w:sz w:val="36"/>
          <w:szCs w:val="36"/>
          <w:highlight w:val="none"/>
        </w:rPr>
      </w:pPr>
      <w:r>
        <w:rPr>
          <w:rFonts w:hint="eastAsia" w:ascii="宋体" w:hAnsi="宋体" w:eastAsia="宋体" w:cs="宋体"/>
          <w:b/>
          <w:color w:val="auto"/>
          <w:sz w:val="32"/>
          <w:szCs w:val="32"/>
          <w:highlight w:val="none"/>
        </w:rPr>
        <w:t>采购项目名称：</w:t>
      </w:r>
      <w:r>
        <w:rPr>
          <w:rFonts w:hint="eastAsia" w:ascii="宋体" w:hAnsi="宋体" w:cs="宋体"/>
          <w:b/>
          <w:color w:val="auto"/>
          <w:sz w:val="32"/>
          <w:szCs w:val="32"/>
          <w:highlight w:val="none"/>
          <w:lang w:eastAsia="zh-CN"/>
        </w:rPr>
        <w:t>广西壮族自治区妇幼保健院医疗辅助服务项目（重）</w:t>
      </w:r>
    </w:p>
    <w:p w14:paraId="427C7892">
      <w:pPr>
        <w:pBdr>
          <w:bottom w:val="thickThinSmallGap" w:color="auto" w:sz="24" w:space="1"/>
        </w:pBdr>
        <w:shd w:val="clear"/>
        <w:snapToGrid w:val="0"/>
        <w:spacing w:before="156" w:beforeLines="50" w:line="600" w:lineRule="exact"/>
        <w:jc w:val="center"/>
        <w:rPr>
          <w:rFonts w:hint="eastAsia" w:ascii="宋体" w:hAnsi="宋体" w:eastAsia="宋体" w:cs="宋体"/>
          <w:b/>
          <w:bCs/>
          <w:color w:val="auto"/>
          <w:sz w:val="28"/>
          <w:szCs w:val="28"/>
          <w:highlight w:val="none"/>
        </w:rPr>
      </w:pPr>
    </w:p>
    <w:p w14:paraId="1817DEEE">
      <w:pPr>
        <w:pBdr>
          <w:bottom w:val="thickThinSmallGap" w:color="auto" w:sz="24" w:space="1"/>
        </w:pBdr>
        <w:shd w:val="clear"/>
        <w:snapToGrid w:val="0"/>
        <w:spacing w:before="156" w:beforeLines="50" w:line="600" w:lineRule="exact"/>
        <w:jc w:val="center"/>
        <w:rPr>
          <w:rFonts w:hint="eastAsia" w:ascii="宋体" w:hAnsi="宋体" w:eastAsia="宋体" w:cs="宋体"/>
          <w:b/>
          <w:color w:val="auto"/>
          <w:sz w:val="28"/>
          <w:szCs w:val="28"/>
          <w:highlight w:val="none"/>
        </w:rPr>
      </w:pPr>
      <w:r>
        <w:rPr>
          <w:rFonts w:hint="eastAsia" w:ascii="宋体" w:hAnsi="宋体" w:eastAsia="宋体" w:cs="宋体"/>
          <w:b/>
          <w:bCs/>
          <w:color w:val="auto"/>
          <w:sz w:val="28"/>
          <w:szCs w:val="28"/>
          <w:highlight w:val="none"/>
        </w:rPr>
        <w:t>（GXGL2026S-G305-Z）</w:t>
      </w:r>
    </w:p>
    <w:p w14:paraId="64F07E03">
      <w:pPr>
        <w:shd w:val="clear"/>
        <w:snapToGrid w:val="0"/>
        <w:spacing w:before="156" w:beforeLines="50" w:line="600" w:lineRule="exact"/>
        <w:ind w:firstLine="2108" w:firstLineChars="700"/>
        <w:rPr>
          <w:rFonts w:hint="eastAsia" w:ascii="宋体" w:hAnsi="宋体" w:eastAsia="宋体" w:cs="宋体"/>
          <w:b/>
          <w:color w:val="auto"/>
          <w:sz w:val="30"/>
          <w:szCs w:val="72"/>
          <w:highlight w:val="none"/>
        </w:rPr>
      </w:pPr>
      <w:r>
        <w:rPr>
          <w:rFonts w:hint="eastAsia" w:ascii="宋体" w:hAnsi="宋体" w:eastAsia="宋体" w:cs="宋体"/>
          <w:b/>
          <w:color w:val="auto"/>
          <w:sz w:val="30"/>
          <w:szCs w:val="72"/>
          <w:highlight w:val="none"/>
        </w:rPr>
        <w:t>采   购   人：</w:t>
      </w:r>
      <w:r>
        <w:rPr>
          <w:rFonts w:hint="eastAsia" w:ascii="宋体" w:hAnsi="宋体" w:eastAsia="宋体" w:cs="宋体"/>
          <w:b/>
          <w:color w:val="auto"/>
          <w:sz w:val="30"/>
          <w:szCs w:val="72"/>
          <w:highlight w:val="none"/>
          <w:lang w:eastAsia="zh-CN"/>
        </w:rPr>
        <w:t>广西壮族自治区妇幼保健院</w:t>
      </w:r>
      <w:r>
        <w:rPr>
          <w:rFonts w:hint="eastAsia" w:ascii="宋体" w:hAnsi="宋体" w:eastAsia="宋体" w:cs="宋体"/>
          <w:b/>
          <w:color w:val="auto"/>
          <w:sz w:val="30"/>
          <w:szCs w:val="72"/>
          <w:highlight w:val="none"/>
        </w:rPr>
        <w:t xml:space="preserve"> </w:t>
      </w:r>
    </w:p>
    <w:p w14:paraId="05708909">
      <w:pPr>
        <w:shd w:val="clear"/>
        <w:snapToGrid w:val="0"/>
        <w:spacing w:before="156" w:beforeLines="50" w:line="600" w:lineRule="exact"/>
        <w:ind w:firstLine="2108" w:firstLineChars="700"/>
        <w:jc w:val="left"/>
        <w:rPr>
          <w:rFonts w:hint="eastAsia" w:ascii="宋体" w:hAnsi="宋体" w:eastAsia="宋体" w:cs="宋体"/>
          <w:b/>
          <w:color w:val="auto"/>
          <w:sz w:val="30"/>
          <w:szCs w:val="72"/>
          <w:highlight w:val="none"/>
        </w:rPr>
      </w:pPr>
      <w:r>
        <w:rPr>
          <w:rFonts w:hint="eastAsia" w:ascii="宋体" w:hAnsi="宋体" w:eastAsia="宋体" w:cs="宋体"/>
          <w:b/>
          <w:color w:val="auto"/>
          <w:sz w:val="30"/>
          <w:szCs w:val="72"/>
          <w:highlight w:val="none"/>
        </w:rPr>
        <w:t>采购代理机构：广西国力招标有限公司</w:t>
      </w:r>
    </w:p>
    <w:p w14:paraId="0A330515">
      <w:pPr>
        <w:shd w:val="clear"/>
        <w:snapToGrid w:val="0"/>
        <w:spacing w:before="156" w:beforeLines="50" w:line="600" w:lineRule="exact"/>
        <w:jc w:val="center"/>
        <w:rPr>
          <w:rFonts w:hint="eastAsia" w:ascii="宋体" w:hAnsi="宋体" w:eastAsia="宋体" w:cs="宋体"/>
          <w:b/>
          <w:color w:val="auto"/>
          <w:sz w:val="30"/>
          <w:szCs w:val="72"/>
          <w:highlight w:val="none"/>
        </w:rPr>
        <w:sectPr>
          <w:footerReference r:id="rId5" w:type="first"/>
          <w:headerReference r:id="rId3" w:type="default"/>
          <w:footerReference r:id="rId4" w:type="even"/>
          <w:pgSz w:w="11906" w:h="16838"/>
          <w:pgMar w:top="1440" w:right="1083" w:bottom="1440" w:left="1083" w:header="850" w:footer="992" w:gutter="0"/>
          <w:pgBorders>
            <w:top w:val="none" w:sz="0" w:space="0"/>
            <w:left w:val="none" w:sz="0" w:space="0"/>
            <w:bottom w:val="none" w:sz="0" w:space="0"/>
            <w:right w:val="none" w:sz="0" w:space="0"/>
          </w:pgBorders>
          <w:cols w:space="0" w:num="1"/>
          <w:titlePg/>
          <w:rtlGutter w:val="0"/>
          <w:docGrid w:type="lines" w:linePitch="312" w:charSpace="0"/>
        </w:sectPr>
      </w:pPr>
      <w:r>
        <w:rPr>
          <w:rFonts w:hint="eastAsia" w:ascii="宋体" w:hAnsi="宋体" w:eastAsia="宋体" w:cs="宋体"/>
          <w:b/>
          <w:color w:val="auto"/>
          <w:sz w:val="30"/>
          <w:szCs w:val="72"/>
          <w:highlight w:val="none"/>
          <w:lang w:eastAsia="zh-CN"/>
        </w:rPr>
        <w:t>2026</w:t>
      </w:r>
      <w:r>
        <w:rPr>
          <w:rFonts w:hint="eastAsia" w:ascii="宋体" w:hAnsi="宋体" w:eastAsia="宋体" w:cs="宋体"/>
          <w:b/>
          <w:color w:val="auto"/>
          <w:sz w:val="30"/>
          <w:szCs w:val="72"/>
          <w:highlight w:val="none"/>
        </w:rPr>
        <w:t>年</w:t>
      </w:r>
      <w:r>
        <w:rPr>
          <w:rFonts w:hint="eastAsia" w:ascii="宋体" w:hAnsi="宋体" w:cs="宋体"/>
          <w:b/>
          <w:color w:val="auto"/>
          <w:sz w:val="30"/>
          <w:szCs w:val="72"/>
          <w:highlight w:val="none"/>
          <w:lang w:val="en-US" w:eastAsia="zh-CN"/>
        </w:rPr>
        <w:t>8</w:t>
      </w:r>
      <w:r>
        <w:rPr>
          <w:rFonts w:hint="eastAsia" w:ascii="宋体" w:hAnsi="宋体" w:eastAsia="宋体" w:cs="宋体"/>
          <w:b/>
          <w:color w:val="auto"/>
          <w:sz w:val="30"/>
          <w:szCs w:val="72"/>
          <w:highlight w:val="none"/>
        </w:rPr>
        <w:t>月</w:t>
      </w:r>
    </w:p>
    <w:p w14:paraId="1E2D571C">
      <w:pPr>
        <w:shd w:val="clear"/>
        <w:jc w:val="center"/>
        <w:rPr>
          <w:rFonts w:hint="eastAsia" w:ascii="宋体" w:hAnsi="宋体" w:eastAsia="宋体" w:cs="宋体"/>
          <w:color w:val="auto"/>
          <w:sz w:val="44"/>
          <w:szCs w:val="44"/>
          <w:highlight w:val="none"/>
        </w:rPr>
      </w:pPr>
    </w:p>
    <w:p w14:paraId="18FB134F">
      <w:pPr>
        <w:shd w:val="clea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158BD12A">
      <w:pPr>
        <w:shd w:val="clear"/>
        <w:rPr>
          <w:rFonts w:hint="eastAsia" w:ascii="宋体" w:hAnsi="宋体" w:eastAsia="宋体" w:cs="宋体"/>
          <w:color w:val="auto"/>
          <w:highlight w:val="none"/>
        </w:rPr>
      </w:pPr>
    </w:p>
    <w:p w14:paraId="7942CCE3">
      <w:pPr>
        <w:pStyle w:val="35"/>
        <w:shd w:val="clear"/>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TOC \o "1-3" \h \z \u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fldChar w:fldCharType="begin"/>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"_Toc476436431"</w:instrText>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第一章  公开招标公告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_Toc476436431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DDADB75">
      <w:pPr>
        <w:pStyle w:val="35"/>
        <w:shd w:val="clear"/>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highlight w:val="none"/>
        </w:rPr>
      </w:pPr>
      <w:r>
        <w:rPr>
          <w:rFonts w:hint="eastAsia" w:ascii="宋体" w:hAnsi="宋体" w:eastAsia="宋体" w:cs="宋体"/>
          <w:color w:val="auto"/>
          <w:sz w:val="28"/>
          <w:szCs w:val="28"/>
          <w:highlight w:val="none"/>
        </w:rPr>
        <w:fldChar w:fldCharType="begin"/>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"_Toc476436432"</w:instrText>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  招标项目采购需求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_Toc476436432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38369EA">
      <w:pPr>
        <w:pStyle w:val="35"/>
        <w:shd w:val="clear"/>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highlight w:val="none"/>
        </w:rPr>
      </w:pPr>
      <w:r>
        <w:rPr>
          <w:rFonts w:hint="eastAsia" w:ascii="宋体" w:hAnsi="宋体" w:eastAsia="宋体" w:cs="宋体"/>
          <w:color w:val="auto"/>
          <w:sz w:val="28"/>
          <w:szCs w:val="28"/>
          <w:highlight w:val="none"/>
        </w:rPr>
        <w:fldChar w:fldCharType="begin"/>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"_Toc476436433"</w:instrText>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第三章  投标</w:t>
      </w:r>
      <w:bookmarkStart w:id="0" w:name="_Hlt489368816"/>
      <w:bookmarkStart w:id="1" w:name="_Hlt489368815"/>
      <w:bookmarkStart w:id="2" w:name="_Hlt482277892"/>
      <w:r>
        <w:rPr>
          <w:rFonts w:hint="eastAsia" w:ascii="宋体" w:hAnsi="宋体" w:eastAsia="宋体" w:cs="宋体"/>
          <w:color w:val="auto"/>
          <w:sz w:val="28"/>
          <w:szCs w:val="28"/>
          <w:highlight w:val="none"/>
        </w:rPr>
        <w:t>人</w:t>
      </w:r>
      <w:bookmarkEnd w:id="0"/>
      <w:bookmarkEnd w:id="1"/>
      <w:bookmarkEnd w:id="2"/>
      <w:r>
        <w:rPr>
          <w:rFonts w:hint="eastAsia" w:ascii="宋体" w:hAnsi="宋体" w:eastAsia="宋体" w:cs="宋体"/>
          <w:color w:val="auto"/>
          <w:sz w:val="28"/>
          <w:szCs w:val="28"/>
          <w:highlight w:val="none"/>
        </w:rPr>
        <w:t>须知</w:t>
      </w:r>
      <w:bookmarkStart w:id="3" w:name="_Hlt16003907"/>
      <w:bookmarkStart w:id="4" w:name="_Hlt16003906"/>
      <w:r>
        <w:rPr>
          <w:rFonts w:hint="eastAsia" w:ascii="宋体" w:hAnsi="宋体" w:eastAsia="宋体" w:cs="宋体"/>
          <w:color w:val="auto"/>
          <w:sz w:val="28"/>
          <w:szCs w:val="28"/>
          <w:highlight w:val="none"/>
        </w:rPr>
        <w:tab/>
      </w:r>
      <w:bookmarkEnd w:id="3"/>
      <w:bookmarkEnd w:id="4"/>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_Toc476436433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9C5E5E2">
      <w:pPr>
        <w:pStyle w:val="35"/>
        <w:shd w:val="clear"/>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highlight w:val="none"/>
        </w:rPr>
      </w:pPr>
      <w:r>
        <w:rPr>
          <w:rFonts w:hint="eastAsia" w:ascii="宋体" w:hAnsi="宋体" w:eastAsia="宋体" w:cs="宋体"/>
          <w:color w:val="auto"/>
          <w:sz w:val="28"/>
          <w:szCs w:val="28"/>
          <w:highlight w:val="none"/>
        </w:rPr>
        <w:fldChar w:fldCharType="begin"/>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"_Toc476436434"</w:instrText>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  评标方法及</w:t>
      </w:r>
      <w:bookmarkStart w:id="5" w:name="_Hlt476529841"/>
      <w:bookmarkStart w:id="6" w:name="_Hlt476529840"/>
      <w:r>
        <w:rPr>
          <w:rFonts w:hint="eastAsia" w:ascii="宋体" w:hAnsi="宋体" w:eastAsia="宋体" w:cs="宋体"/>
          <w:color w:val="auto"/>
          <w:sz w:val="28"/>
          <w:szCs w:val="28"/>
          <w:highlight w:val="none"/>
        </w:rPr>
        <w:t>评</w:t>
      </w:r>
      <w:bookmarkEnd w:id="5"/>
      <w:bookmarkEnd w:id="6"/>
      <w:r>
        <w:rPr>
          <w:rFonts w:hint="eastAsia" w:ascii="宋体" w:hAnsi="宋体" w:eastAsia="宋体" w:cs="宋体"/>
          <w:color w:val="auto"/>
          <w:sz w:val="28"/>
          <w:szCs w:val="28"/>
          <w:highlight w:val="none"/>
        </w:rPr>
        <w:t>分标准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_Toc476436434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6A79C87">
      <w:pPr>
        <w:pStyle w:val="35"/>
        <w:shd w:val="clear"/>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highlight w:val="none"/>
        </w:rPr>
      </w:pPr>
      <w:r>
        <w:rPr>
          <w:rFonts w:hint="eastAsia" w:ascii="宋体" w:hAnsi="宋体" w:eastAsia="宋体" w:cs="宋体"/>
          <w:color w:val="auto"/>
          <w:sz w:val="28"/>
          <w:szCs w:val="28"/>
          <w:highlight w:val="none"/>
        </w:rPr>
        <w:fldChar w:fldCharType="begin"/>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"_Toc476436435"</w:instrText>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第五章  政府采购合同主要条款</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_Toc476436435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56E88B47">
      <w:pPr>
        <w:pStyle w:val="35"/>
        <w:shd w:val="clear"/>
        <w:tabs>
          <w:tab w:val="right" w:leader="dot" w:pos="9639"/>
          <w:tab w:val="clear" w:pos="8296"/>
          <w:tab w:val="clear" w:pos="8398"/>
        </w:tabs>
        <w:spacing w:line="600" w:lineRule="exact"/>
        <w:ind w:firstLine="0" w:firstLineChars="0"/>
        <w:rPr>
          <w:rFonts w:hint="eastAsia" w:ascii="宋体" w:hAnsi="宋体" w:eastAsia="宋体" w:cs="宋体"/>
          <w:bCs w:val="0"/>
          <w:color w:val="auto"/>
          <w:sz w:val="28"/>
          <w:szCs w:val="28"/>
          <w:highlight w:val="none"/>
        </w:rPr>
      </w:pPr>
      <w:r>
        <w:rPr>
          <w:rFonts w:hint="eastAsia" w:ascii="宋体" w:hAnsi="宋体" w:eastAsia="宋体" w:cs="宋体"/>
          <w:color w:val="auto"/>
          <w:sz w:val="28"/>
          <w:szCs w:val="28"/>
          <w:highlight w:val="none"/>
        </w:rPr>
        <w:fldChar w:fldCharType="begin"/>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instrText xml:space="preserve">HYPERLINK \l "_Toc476436436"</w:instrText>
      </w:r>
      <w:r>
        <w:rPr>
          <w:rStyle w:val="56"/>
          <w:rFonts w:hint="eastAsia" w:ascii="宋体" w:hAnsi="宋体" w:eastAsia="宋体" w:cs="宋体"/>
          <w:color w:val="auto"/>
          <w:sz w:val="28"/>
          <w:szCs w:val="28"/>
          <w:highlight w:val="none"/>
        </w:rPr>
        <w:instrText xml:space="preserve">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第六章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_Toc476436436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78D423D">
      <w:pPr>
        <w:shd w:val="clear"/>
        <w:spacing w:line="600" w:lineRule="exact"/>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14:paraId="03602751">
      <w:pPr>
        <w:shd w:val="clear"/>
        <w:rPr>
          <w:rFonts w:hint="eastAsia" w:ascii="宋体" w:hAnsi="宋体" w:eastAsia="宋体" w:cs="宋体"/>
          <w:color w:val="auto"/>
          <w:highlight w:val="none"/>
        </w:rPr>
      </w:pPr>
    </w:p>
    <w:p w14:paraId="44A1A2EA">
      <w:pPr>
        <w:shd w:val="clear"/>
        <w:rPr>
          <w:rFonts w:hint="eastAsia" w:ascii="宋体" w:hAnsi="宋体" w:eastAsia="宋体" w:cs="宋体"/>
          <w:color w:val="auto"/>
          <w:highlight w:val="none"/>
        </w:rPr>
      </w:pPr>
    </w:p>
    <w:p w14:paraId="461CF7AC">
      <w:pPr>
        <w:shd w:val="clear"/>
        <w:spacing w:line="40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010FCB">
      <w:pPr>
        <w:shd w:val="clear"/>
        <w:spacing w:line="400" w:lineRule="exact"/>
        <w:jc w:val="center"/>
        <w:rPr>
          <w:rFonts w:hint="eastAsia" w:ascii="宋体" w:hAnsi="宋体" w:eastAsia="宋体" w:cs="宋体"/>
          <w:color w:val="auto"/>
          <w:sz w:val="32"/>
          <w:szCs w:val="32"/>
          <w:highlight w:val="none"/>
        </w:rPr>
      </w:pPr>
    </w:p>
    <w:p w14:paraId="4ABA7F4D">
      <w:pPr>
        <w:shd w:val="clear"/>
        <w:spacing w:line="400" w:lineRule="exact"/>
        <w:jc w:val="center"/>
        <w:rPr>
          <w:rFonts w:hint="eastAsia" w:ascii="宋体" w:hAnsi="宋体" w:eastAsia="宋体" w:cs="宋体"/>
          <w:color w:val="auto"/>
          <w:sz w:val="32"/>
          <w:szCs w:val="32"/>
          <w:highlight w:val="none"/>
        </w:rPr>
      </w:pPr>
    </w:p>
    <w:p w14:paraId="4194AEE6">
      <w:pPr>
        <w:shd w:val="clear"/>
        <w:spacing w:line="400" w:lineRule="exact"/>
        <w:jc w:val="center"/>
        <w:rPr>
          <w:rFonts w:hint="eastAsia" w:ascii="宋体" w:hAnsi="宋体" w:eastAsia="宋体" w:cs="宋体"/>
          <w:color w:val="auto"/>
          <w:sz w:val="32"/>
          <w:szCs w:val="32"/>
          <w:highlight w:val="none"/>
        </w:rPr>
      </w:pPr>
    </w:p>
    <w:p w14:paraId="41C734B9">
      <w:pPr>
        <w:shd w:val="clear"/>
        <w:spacing w:line="400" w:lineRule="exact"/>
        <w:jc w:val="center"/>
        <w:rPr>
          <w:rFonts w:hint="eastAsia" w:ascii="宋体" w:hAnsi="宋体" w:eastAsia="宋体" w:cs="宋体"/>
          <w:color w:val="auto"/>
          <w:sz w:val="32"/>
          <w:szCs w:val="32"/>
          <w:highlight w:val="none"/>
        </w:rPr>
      </w:pPr>
    </w:p>
    <w:p w14:paraId="2FC9CE09">
      <w:pPr>
        <w:shd w:val="clear"/>
        <w:spacing w:line="400" w:lineRule="exact"/>
        <w:jc w:val="center"/>
        <w:rPr>
          <w:rFonts w:hint="eastAsia" w:ascii="宋体" w:hAnsi="宋体" w:eastAsia="宋体" w:cs="宋体"/>
          <w:color w:val="auto"/>
          <w:sz w:val="32"/>
          <w:szCs w:val="32"/>
          <w:highlight w:val="none"/>
        </w:rPr>
      </w:pPr>
    </w:p>
    <w:p w14:paraId="327B94E8">
      <w:pPr>
        <w:shd w:val="clear"/>
        <w:spacing w:line="400" w:lineRule="exact"/>
        <w:jc w:val="center"/>
        <w:rPr>
          <w:rFonts w:hint="eastAsia" w:ascii="宋体" w:hAnsi="宋体" w:eastAsia="宋体" w:cs="宋体"/>
          <w:color w:val="auto"/>
          <w:sz w:val="32"/>
          <w:szCs w:val="32"/>
          <w:highlight w:val="none"/>
        </w:rPr>
      </w:pPr>
    </w:p>
    <w:p w14:paraId="6813BC5C">
      <w:pPr>
        <w:shd w:val="clear"/>
        <w:spacing w:line="400" w:lineRule="exact"/>
        <w:jc w:val="center"/>
        <w:rPr>
          <w:rFonts w:hint="eastAsia" w:ascii="宋体" w:hAnsi="宋体" w:eastAsia="宋体" w:cs="宋体"/>
          <w:color w:val="auto"/>
          <w:sz w:val="32"/>
          <w:szCs w:val="32"/>
          <w:highlight w:val="none"/>
        </w:rPr>
      </w:pPr>
    </w:p>
    <w:p w14:paraId="77FED3C2">
      <w:pPr>
        <w:shd w:val="clear"/>
        <w:spacing w:line="400" w:lineRule="exact"/>
        <w:jc w:val="center"/>
        <w:rPr>
          <w:rFonts w:hint="eastAsia" w:ascii="宋体" w:hAnsi="宋体" w:eastAsia="宋体" w:cs="宋体"/>
          <w:color w:val="auto"/>
          <w:sz w:val="32"/>
          <w:szCs w:val="32"/>
          <w:highlight w:val="none"/>
        </w:rPr>
      </w:pPr>
    </w:p>
    <w:p w14:paraId="62A19FEF">
      <w:pPr>
        <w:shd w:val="clear"/>
        <w:spacing w:line="400" w:lineRule="exact"/>
        <w:jc w:val="center"/>
        <w:rPr>
          <w:rFonts w:hint="eastAsia" w:ascii="宋体" w:hAnsi="宋体" w:eastAsia="宋体" w:cs="宋体"/>
          <w:color w:val="auto"/>
          <w:sz w:val="32"/>
          <w:szCs w:val="32"/>
          <w:highlight w:val="none"/>
        </w:rPr>
      </w:pPr>
    </w:p>
    <w:p w14:paraId="12B81B67">
      <w:pPr>
        <w:shd w:val="clear"/>
        <w:spacing w:line="400" w:lineRule="exact"/>
        <w:jc w:val="center"/>
        <w:rPr>
          <w:rFonts w:hint="eastAsia" w:ascii="宋体" w:hAnsi="宋体" w:eastAsia="宋体" w:cs="宋体"/>
          <w:color w:val="auto"/>
          <w:sz w:val="32"/>
          <w:szCs w:val="32"/>
          <w:highlight w:val="none"/>
        </w:rPr>
      </w:pPr>
    </w:p>
    <w:p w14:paraId="2B089902">
      <w:pPr>
        <w:shd w:val="clear"/>
        <w:spacing w:line="400" w:lineRule="exact"/>
        <w:jc w:val="center"/>
        <w:rPr>
          <w:rFonts w:hint="eastAsia" w:ascii="宋体" w:hAnsi="宋体" w:eastAsia="宋体" w:cs="宋体"/>
          <w:color w:val="auto"/>
          <w:sz w:val="32"/>
          <w:szCs w:val="32"/>
          <w:highlight w:val="none"/>
        </w:rPr>
      </w:pPr>
    </w:p>
    <w:p w14:paraId="1AC84BC0">
      <w:pPr>
        <w:shd w:val="clear"/>
        <w:spacing w:line="400" w:lineRule="exact"/>
        <w:jc w:val="center"/>
        <w:rPr>
          <w:rFonts w:hint="eastAsia" w:ascii="宋体" w:hAnsi="宋体" w:eastAsia="宋体" w:cs="宋体"/>
          <w:color w:val="auto"/>
          <w:sz w:val="32"/>
          <w:szCs w:val="32"/>
          <w:highlight w:val="none"/>
        </w:rPr>
      </w:pPr>
    </w:p>
    <w:p w14:paraId="518591D9">
      <w:pPr>
        <w:shd w:val="clear"/>
        <w:spacing w:line="400" w:lineRule="exact"/>
        <w:jc w:val="center"/>
        <w:rPr>
          <w:rFonts w:hint="eastAsia" w:ascii="宋体" w:hAnsi="宋体" w:eastAsia="宋体" w:cs="宋体"/>
          <w:color w:val="auto"/>
          <w:sz w:val="32"/>
          <w:szCs w:val="32"/>
          <w:highlight w:val="none"/>
        </w:rPr>
      </w:pPr>
    </w:p>
    <w:p w14:paraId="499AC569">
      <w:pPr>
        <w:shd w:val="clear"/>
        <w:spacing w:line="400" w:lineRule="exact"/>
        <w:jc w:val="center"/>
        <w:rPr>
          <w:rFonts w:hint="eastAsia" w:ascii="宋体" w:hAnsi="宋体" w:eastAsia="宋体" w:cs="宋体"/>
          <w:color w:val="auto"/>
          <w:sz w:val="32"/>
          <w:szCs w:val="32"/>
          <w:highlight w:val="none"/>
        </w:rPr>
      </w:pPr>
    </w:p>
    <w:p w14:paraId="0D2A8B1F">
      <w:pPr>
        <w:pStyle w:val="47"/>
        <w:shd w:val="clear"/>
        <w:rPr>
          <w:rFonts w:hint="eastAsia" w:ascii="宋体" w:hAnsi="宋体" w:eastAsia="宋体" w:cs="宋体"/>
          <w:color w:val="auto"/>
          <w:sz w:val="44"/>
          <w:szCs w:val="44"/>
          <w:highlight w:val="none"/>
        </w:rPr>
      </w:pPr>
      <w:bookmarkStart w:id="7" w:name="_Toc476436431"/>
      <w:bookmarkStart w:id="8" w:name="_Toc476436172"/>
      <w:r>
        <w:rPr>
          <w:rFonts w:hint="eastAsia" w:ascii="宋体" w:hAnsi="宋体" w:eastAsia="宋体" w:cs="宋体"/>
          <w:color w:val="auto"/>
          <w:sz w:val="44"/>
          <w:szCs w:val="44"/>
          <w:highlight w:val="none"/>
        </w:rPr>
        <w:t>第一章  公开招标公告</w:t>
      </w:r>
      <w:bookmarkEnd w:id="7"/>
      <w:bookmarkEnd w:id="8"/>
    </w:p>
    <w:p w14:paraId="004C8998">
      <w:pPr>
        <w:shd w:val="clear"/>
        <w:rPr>
          <w:rFonts w:hint="eastAsia" w:ascii="宋体" w:hAnsi="宋体" w:eastAsia="宋体" w:cs="宋体"/>
          <w:color w:val="auto"/>
          <w:highlight w:val="none"/>
        </w:rPr>
      </w:pPr>
    </w:p>
    <w:p w14:paraId="0F212B59">
      <w:pPr>
        <w:shd w:val="clear"/>
        <w:rPr>
          <w:rFonts w:hint="eastAsia" w:ascii="宋体" w:hAnsi="宋体" w:eastAsia="宋体" w:cs="宋体"/>
          <w:color w:val="auto"/>
          <w:highlight w:val="none"/>
        </w:rPr>
      </w:pPr>
    </w:p>
    <w:p w14:paraId="179A1B0F">
      <w:pPr>
        <w:shd w:val="clear"/>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DD36114">
      <w:pPr>
        <w:shd w:val="clea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广西国力招标有限公司</w:t>
      </w:r>
    </w:p>
    <w:p w14:paraId="1488F70C">
      <w:pPr>
        <w:shd w:val="clea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公开招标公告</w:t>
      </w:r>
    </w:p>
    <w:p w14:paraId="68DA9834">
      <w:pPr>
        <w:shd w:val="clear"/>
        <w:rPr>
          <w:rFonts w:hint="eastAsia" w:ascii="宋体" w:hAnsi="宋体" w:eastAsia="宋体" w:cs="宋体"/>
          <w:color w:val="auto"/>
          <w:highlight w:val="none"/>
        </w:rPr>
      </w:pPr>
    </w:p>
    <w:p w14:paraId="71D4B130">
      <w:pPr>
        <w:pBdr>
          <w:top w:val="single" w:color="auto" w:sz="4" w:space="1"/>
          <w:left w:val="single" w:color="auto" w:sz="4" w:space="4"/>
          <w:bottom w:val="single" w:color="auto" w:sz="4" w:space="1"/>
          <w:right w:val="single" w:color="auto" w:sz="4" w:space="4"/>
        </w:pBdr>
        <w:shd w:val="clear"/>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750D37E3">
      <w:pPr>
        <w:keepNext w:val="0"/>
        <w:keepLines w:val="0"/>
        <w:pageBreakBefore w:val="0"/>
        <w:widowControl w:val="0"/>
        <w:pBdr>
          <w:top w:val="single" w:color="auto" w:sz="4" w:space="1"/>
          <w:left w:val="single" w:color="auto" w:sz="4" w:space="4"/>
          <w:bottom w:val="single" w:color="auto" w:sz="4" w:space="1"/>
          <w:right w:val="single" w:color="auto" w:sz="4" w:space="4"/>
        </w:pBdr>
        <w:shd w:val="clear"/>
        <w:kinsoku/>
        <w:wordWrap w:val="0"/>
        <w:overflowPunct/>
        <w:topLinePunct w:val="0"/>
        <w:autoSpaceDE/>
        <w:autoSpaceDN/>
        <w:bidi w:val="0"/>
        <w:adjustRightInd/>
        <w:snapToGri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u w:val="single"/>
          <w:lang w:eastAsia="zh-CN"/>
        </w:rPr>
        <w:t>广西壮族自治区妇幼保健院医疗辅助服务项目（重）</w:t>
      </w:r>
      <w:r>
        <w:rPr>
          <w:rFonts w:hint="eastAsia" w:ascii="宋体" w:hAnsi="宋体" w:eastAsia="宋体" w:cs="宋体"/>
          <w:color w:val="auto"/>
          <w:szCs w:val="21"/>
          <w:highlight w:val="none"/>
        </w:rPr>
        <w:t>招标项目的潜在投标人应在</w:t>
      </w:r>
      <w:r>
        <w:rPr>
          <w:rFonts w:hint="eastAsia" w:ascii="宋体" w:hAnsi="宋体" w:eastAsia="宋体" w:cs="宋体"/>
          <w:color w:val="auto"/>
          <w:szCs w:val="21"/>
          <w:highlight w:val="none"/>
          <w:u w:val="single"/>
        </w:rPr>
        <w:t>广西政府采购云平台（https://www.gcy.zfcg.gxzf.gov.cn/）</w:t>
      </w:r>
      <w:r>
        <w:rPr>
          <w:rFonts w:hint="eastAsia" w:ascii="宋体" w:hAnsi="宋体" w:eastAsia="宋体" w:cs="宋体"/>
          <w:color w:val="auto"/>
          <w:szCs w:val="21"/>
          <w:highlight w:val="none"/>
        </w:rPr>
        <w:t>获取招标文件，并于</w:t>
      </w:r>
      <w:r>
        <w:rPr>
          <w:rFonts w:hint="eastAsia" w:ascii="宋体" w:hAnsi="宋体" w:eastAsia="宋体" w:cs="宋体"/>
          <w:color w:val="auto"/>
          <w:szCs w:val="21"/>
          <w:highlight w:val="none"/>
          <w:u w:val="single"/>
          <w:lang w:eastAsia="zh-CN"/>
        </w:rPr>
        <w:t>2026</w:t>
      </w:r>
      <w:r>
        <w:rPr>
          <w:rFonts w:hint="eastAsia" w:ascii="宋体" w:hAnsi="宋体" w:eastAsia="宋体" w:cs="宋体"/>
          <w:color w:val="auto"/>
          <w:szCs w:val="21"/>
          <w:highlight w:val="none"/>
          <w:u w:val="single"/>
        </w:rPr>
        <w:t>年</w:t>
      </w:r>
      <w:r>
        <w:rPr>
          <w:rFonts w:hint="eastAsia" w:ascii="宋体" w:hAnsi="宋体" w:cs="宋体"/>
          <w:bCs/>
          <w:color w:val="auto"/>
          <w:szCs w:val="21"/>
          <w:highlight w:val="none"/>
          <w:u w:val="single"/>
          <w:lang w:val="en-US" w:eastAsia="zh-CN"/>
        </w:rPr>
        <w:t>9月3日9</w:t>
      </w:r>
      <w:r>
        <w:rPr>
          <w:rFonts w:hint="eastAsia" w:ascii="宋体" w:hAnsi="宋体" w:eastAsia="宋体" w:cs="宋体"/>
          <w:bCs/>
          <w:color w:val="auto"/>
          <w:szCs w:val="21"/>
          <w:highlight w:val="none"/>
          <w:u w:val="single"/>
        </w:rPr>
        <w:t>点</w:t>
      </w:r>
      <w:r>
        <w:rPr>
          <w:rFonts w:hint="eastAsia" w:ascii="宋体" w:hAnsi="宋体" w:cs="宋体"/>
          <w:bCs/>
          <w:color w:val="auto"/>
          <w:szCs w:val="21"/>
          <w:highlight w:val="none"/>
          <w:u w:val="single"/>
          <w:lang w:val="en-US" w:eastAsia="zh-CN"/>
        </w:rPr>
        <w:t>30</w:t>
      </w:r>
      <w:r>
        <w:rPr>
          <w:rFonts w:hint="eastAsia" w:ascii="宋体" w:hAnsi="宋体" w:eastAsia="宋体" w:cs="宋体"/>
          <w:bCs/>
          <w:color w:val="auto"/>
          <w:szCs w:val="21"/>
          <w:highlight w:val="none"/>
          <w:u w:val="single"/>
        </w:rPr>
        <w:t>分（</w:t>
      </w:r>
      <w:r>
        <w:rPr>
          <w:rFonts w:hint="eastAsia" w:ascii="宋体" w:hAnsi="宋体" w:eastAsia="宋体" w:cs="宋体"/>
          <w:bCs/>
          <w:color w:val="auto"/>
          <w:szCs w:val="21"/>
          <w:highlight w:val="none"/>
        </w:rPr>
        <w:t>北京时间）前递交投标文件</w:t>
      </w:r>
      <w:r>
        <w:rPr>
          <w:rFonts w:hint="eastAsia" w:ascii="宋体" w:hAnsi="宋体" w:eastAsia="宋体" w:cs="宋体"/>
          <w:color w:val="auto"/>
          <w:szCs w:val="21"/>
          <w:highlight w:val="none"/>
        </w:rPr>
        <w:t>。</w:t>
      </w:r>
    </w:p>
    <w:p w14:paraId="37999C97">
      <w:pPr>
        <w:shd w:val="clear"/>
        <w:spacing w:line="380" w:lineRule="exact"/>
        <w:rPr>
          <w:rFonts w:hint="eastAsia" w:ascii="宋体" w:hAnsi="宋体" w:eastAsia="宋体" w:cs="宋体"/>
          <w:color w:val="auto"/>
          <w:szCs w:val="21"/>
          <w:highlight w:val="none"/>
        </w:rPr>
      </w:pPr>
    </w:p>
    <w:p w14:paraId="6FBF12FE">
      <w:pPr>
        <w:shd w:val="clear"/>
        <w:spacing w:line="380" w:lineRule="exact"/>
        <w:rPr>
          <w:rFonts w:hint="eastAsia" w:ascii="宋体" w:hAnsi="宋体" w:eastAsia="宋体" w:cs="宋体"/>
          <w:b/>
          <w:color w:val="auto"/>
          <w:highlight w:val="none"/>
        </w:rPr>
      </w:pPr>
      <w:bookmarkStart w:id="9" w:name="_Toc28359002"/>
      <w:bookmarkStart w:id="10" w:name="_Toc28359079"/>
      <w:bookmarkStart w:id="11" w:name="_Toc35393621"/>
      <w:bookmarkStart w:id="12" w:name="_Toc35393790"/>
      <w:bookmarkStart w:id="13" w:name="_Hlk24379207"/>
      <w:r>
        <w:rPr>
          <w:rFonts w:hint="eastAsia" w:ascii="宋体" w:hAnsi="宋体" w:eastAsia="宋体" w:cs="宋体"/>
          <w:b/>
          <w:color w:val="auto"/>
          <w:highlight w:val="none"/>
        </w:rPr>
        <w:t>一、项目基本情况</w:t>
      </w:r>
      <w:bookmarkEnd w:id="9"/>
      <w:bookmarkEnd w:id="10"/>
      <w:bookmarkEnd w:id="11"/>
      <w:bookmarkEnd w:id="12"/>
    </w:p>
    <w:bookmarkEnd w:id="13"/>
    <w:p w14:paraId="2F308B48">
      <w:pPr>
        <w:widowControl/>
        <w:shd w:val="clear"/>
        <w:adjustRightInd w:val="0"/>
        <w:snapToGrid w:val="0"/>
        <w:spacing w:line="400" w:lineRule="exact"/>
        <w:jc w:val="left"/>
        <w:rPr>
          <w:rFonts w:hint="eastAsia" w:ascii="宋体" w:hAnsi="宋体" w:eastAsia="宋体" w:cs="宋体"/>
          <w:color w:val="auto"/>
          <w:kern w:val="0"/>
          <w:szCs w:val="21"/>
          <w:highlight w:val="none"/>
          <w:lang w:eastAsia="zh-CN"/>
        </w:rPr>
      </w:pPr>
      <w:bookmarkStart w:id="14" w:name="_Toc28359081"/>
      <w:bookmarkStart w:id="15" w:name="_Toc28359004"/>
      <w:r>
        <w:rPr>
          <w:rFonts w:hint="eastAsia" w:ascii="宋体" w:hAnsi="宋体" w:eastAsia="宋体" w:cs="宋体"/>
          <w:color w:val="auto"/>
          <w:kern w:val="0"/>
          <w:szCs w:val="21"/>
          <w:highlight w:val="none"/>
        </w:rPr>
        <w:t>    项目编号：</w:t>
      </w:r>
      <w:r>
        <w:rPr>
          <w:rFonts w:hint="eastAsia" w:ascii="宋体" w:hAnsi="宋体" w:cs="宋体"/>
          <w:color w:val="auto"/>
          <w:kern w:val="0"/>
          <w:szCs w:val="21"/>
          <w:highlight w:val="none"/>
          <w:lang w:eastAsia="zh-CN"/>
        </w:rPr>
        <w:t>GXZC2026-G3-002638-GLZB</w:t>
      </w:r>
    </w:p>
    <w:p w14:paraId="54504CCC">
      <w:pPr>
        <w:widowControl/>
        <w:shd w:val="clear"/>
        <w:adjustRightInd w:val="0"/>
        <w:snapToGrid w:val="0"/>
        <w:spacing w:line="400" w:lineRule="exact"/>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项目名称：</w:t>
      </w:r>
      <w:r>
        <w:rPr>
          <w:rFonts w:hint="eastAsia" w:ascii="宋体" w:hAnsi="宋体" w:cs="宋体"/>
          <w:color w:val="auto"/>
          <w:kern w:val="0"/>
          <w:szCs w:val="21"/>
          <w:highlight w:val="none"/>
          <w:lang w:eastAsia="zh-CN"/>
        </w:rPr>
        <w:t>广西壮族自治区妇幼保健院医疗辅助服务项目（重）</w:t>
      </w:r>
    </w:p>
    <w:p w14:paraId="7ABBA782">
      <w:pPr>
        <w:widowControl/>
        <w:shd w:val="clear"/>
        <w:adjustRightInd w:val="0"/>
        <w:snapToGrid w:val="0"/>
        <w:spacing w:line="400" w:lineRule="exact"/>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预算总金额（元）：</w:t>
      </w:r>
      <w:r>
        <w:rPr>
          <w:rFonts w:hint="eastAsia" w:ascii="宋体" w:hAnsi="宋体" w:eastAsia="宋体" w:cs="宋体"/>
          <w:color w:val="auto"/>
          <w:kern w:val="0"/>
          <w:szCs w:val="21"/>
          <w:highlight w:val="none"/>
          <w:lang w:eastAsia="zh-CN"/>
        </w:rPr>
        <w:t>3120000</w:t>
      </w:r>
    </w:p>
    <w:p w14:paraId="641E907B">
      <w:pPr>
        <w:widowControl/>
        <w:shd w:val="clear"/>
        <w:adjustRightInd w:val="0"/>
        <w:snapToGrid w:val="0"/>
        <w:spacing w:line="400" w:lineRule="exact"/>
        <w:ind w:firstLine="615"/>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采购需求：</w:t>
      </w:r>
    </w:p>
    <w:p w14:paraId="03C9B539">
      <w:pPr>
        <w:shd w:val="clea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数量：</w:t>
      </w:r>
      <w:r>
        <w:rPr>
          <w:rFonts w:hint="eastAsia" w:ascii="宋体" w:hAnsi="宋体" w:eastAsia="宋体" w:cs="宋体"/>
          <w:color w:val="auto"/>
          <w:highlight w:val="none"/>
          <w:lang w:val="en-US" w:eastAsia="zh-CN"/>
        </w:rPr>
        <w:t>1项</w:t>
      </w:r>
    </w:p>
    <w:p w14:paraId="38552013">
      <w:pPr>
        <w:shd w:val="clear"/>
        <w:spacing w:line="380" w:lineRule="exact"/>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预算金额（元）：</w:t>
      </w:r>
      <w:r>
        <w:rPr>
          <w:rFonts w:hint="eastAsia" w:ascii="宋体" w:hAnsi="宋体" w:eastAsia="宋体" w:cs="宋体"/>
          <w:color w:val="auto"/>
          <w:highlight w:val="none"/>
          <w:lang w:eastAsia="zh-CN"/>
        </w:rPr>
        <w:t>3120000</w:t>
      </w:r>
    </w:p>
    <w:p w14:paraId="407E7EB1">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简要规格描述或项目基本概况介绍、用途：</w:t>
      </w:r>
      <w:r>
        <w:rPr>
          <w:rFonts w:hint="eastAsia" w:ascii="宋体" w:hAnsi="宋体" w:cs="宋体"/>
          <w:bCs/>
          <w:color w:val="auto"/>
          <w:kern w:val="0"/>
          <w:szCs w:val="21"/>
          <w:highlight w:val="none"/>
          <w:lang w:eastAsia="zh-CN"/>
        </w:rPr>
        <w:t>广西壮族自治区妇幼保健院医疗辅助服务项目</w:t>
      </w:r>
      <w:r>
        <w:rPr>
          <w:rFonts w:hint="eastAsia" w:ascii="宋体" w:hAnsi="宋体" w:eastAsia="宋体" w:cs="宋体"/>
          <w:bCs/>
          <w:color w:val="auto"/>
          <w:kern w:val="0"/>
          <w:szCs w:val="21"/>
          <w:highlight w:val="none"/>
          <w:lang w:val="en-US" w:eastAsia="zh-CN"/>
        </w:rPr>
        <w:t>1项</w:t>
      </w:r>
      <w:r>
        <w:rPr>
          <w:rFonts w:hint="eastAsia" w:ascii="宋体" w:hAnsi="宋体" w:eastAsia="宋体" w:cs="宋体"/>
          <w:bCs/>
          <w:color w:val="auto"/>
          <w:kern w:val="0"/>
          <w:szCs w:val="21"/>
          <w:highlight w:val="none"/>
        </w:rPr>
        <w:t>。</w:t>
      </w:r>
      <w:r>
        <w:rPr>
          <w:rFonts w:hint="eastAsia" w:ascii="宋体" w:hAnsi="宋体" w:eastAsia="宋体" w:cs="宋体"/>
          <w:color w:val="auto"/>
          <w:szCs w:val="21"/>
          <w:highlight w:val="none"/>
        </w:rPr>
        <w:t>如需进一步了解详细内容，详见招标文件。</w:t>
      </w:r>
    </w:p>
    <w:p w14:paraId="69FDC1DE">
      <w:pPr>
        <w:shd w:val="clea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最高限价（如有）：</w:t>
      </w:r>
      <w:r>
        <w:rPr>
          <w:rFonts w:hint="eastAsia" w:ascii="宋体" w:hAnsi="宋体" w:eastAsia="宋体" w:cs="宋体"/>
          <w:color w:val="auto"/>
          <w:highlight w:val="none"/>
          <w:lang w:eastAsia="zh-CN"/>
        </w:rPr>
        <w:t>3120000</w:t>
      </w:r>
      <w:r>
        <w:rPr>
          <w:rFonts w:hint="eastAsia" w:ascii="宋体" w:hAnsi="宋体" w:eastAsia="宋体" w:cs="宋体"/>
          <w:color w:val="auto"/>
          <w:highlight w:val="none"/>
          <w:lang w:val="en-US" w:eastAsia="zh-CN"/>
        </w:rPr>
        <w:t>元</w:t>
      </w:r>
    </w:p>
    <w:p w14:paraId="111B3CAF">
      <w:pPr>
        <w:shd w:val="clea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合同履约期限：</w:t>
      </w:r>
      <w:r>
        <w:rPr>
          <w:rFonts w:hint="eastAsia" w:ascii="宋体" w:hAnsi="宋体" w:eastAsia="宋体" w:cs="宋体"/>
          <w:color w:val="auto"/>
          <w:highlight w:val="none"/>
          <w:lang w:val="en-US" w:eastAsia="zh-CN"/>
        </w:rPr>
        <w:t>详见招标项目采购需求。</w:t>
      </w:r>
    </w:p>
    <w:p w14:paraId="198042B4">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本标项</w:t>
      </w:r>
      <w:r>
        <w:rPr>
          <w:rFonts w:hint="eastAsia" w:ascii="宋体" w:hAnsi="宋体" w:cs="宋体"/>
          <w:color w:val="auto"/>
          <w:highlight w:val="none"/>
          <w:lang w:eastAsia="zh-CN"/>
        </w:rPr>
        <w:t>不</w:t>
      </w:r>
      <w:r>
        <w:rPr>
          <w:rFonts w:hint="eastAsia" w:ascii="宋体" w:hAnsi="宋体" w:eastAsia="宋体" w:cs="宋体"/>
          <w:color w:val="auto"/>
          <w:highlight w:val="none"/>
        </w:rPr>
        <w:t>接受联合体投标</w:t>
      </w:r>
    </w:p>
    <w:p w14:paraId="13952ABD">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备注：本项目为线上电子招标项目，有意向参与本项目的供应商应当做好参与全流程电子招投标交易的充分准备。</w:t>
      </w:r>
    </w:p>
    <w:p w14:paraId="38BF4725">
      <w:pPr>
        <w:shd w:val="clear"/>
        <w:spacing w:line="380" w:lineRule="exact"/>
        <w:rPr>
          <w:rFonts w:hint="eastAsia" w:ascii="宋体" w:hAnsi="宋体" w:eastAsia="宋体" w:cs="宋体"/>
          <w:b/>
          <w:color w:val="auto"/>
          <w:highlight w:val="none"/>
        </w:rPr>
      </w:pPr>
      <w:bookmarkStart w:id="16" w:name="_Toc28359080"/>
      <w:bookmarkStart w:id="17" w:name="_Toc35393791"/>
      <w:bookmarkStart w:id="18" w:name="_Toc28359003"/>
      <w:bookmarkStart w:id="19" w:name="_Toc35393622"/>
      <w:r>
        <w:rPr>
          <w:rFonts w:hint="eastAsia" w:ascii="宋体" w:hAnsi="宋体" w:eastAsia="宋体" w:cs="宋体"/>
          <w:b/>
          <w:color w:val="auto"/>
          <w:highlight w:val="none"/>
        </w:rPr>
        <w:t>二、申请人的资格要求：</w:t>
      </w:r>
      <w:bookmarkEnd w:id="16"/>
      <w:bookmarkEnd w:id="17"/>
      <w:bookmarkEnd w:id="18"/>
      <w:bookmarkEnd w:id="19"/>
    </w:p>
    <w:p w14:paraId="7656DCCD">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1.满足《中华人民共和国政府采购法》第二十二条规定；</w:t>
      </w:r>
    </w:p>
    <w:p w14:paraId="485BD690">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2.落实政府采购政策需满足的资格要求：无；</w:t>
      </w:r>
    </w:p>
    <w:p w14:paraId="52E17A95">
      <w:pPr>
        <w:shd w:val="clear"/>
        <w:spacing w:line="380" w:lineRule="exact"/>
        <w:ind w:firstLine="420" w:firstLineChars="200"/>
        <w:rPr>
          <w:rFonts w:hint="eastAsia" w:ascii="宋体" w:hAnsi="宋体" w:eastAsia="宋体" w:cs="宋体"/>
          <w:i/>
          <w:iCs/>
          <w:color w:val="auto"/>
          <w:highlight w:val="none"/>
          <w:u w:val="single"/>
        </w:rPr>
      </w:pPr>
      <w:r>
        <w:rPr>
          <w:rFonts w:hint="eastAsia" w:ascii="宋体" w:hAnsi="宋体" w:eastAsia="宋体" w:cs="宋体"/>
          <w:color w:val="auto"/>
          <w:highlight w:val="none"/>
        </w:rPr>
        <w:t>3.本项目的特定资格要求：</w:t>
      </w:r>
      <w:r>
        <w:rPr>
          <w:rFonts w:hint="eastAsia" w:ascii="宋体" w:hAnsi="宋体" w:cs="宋体"/>
          <w:color w:val="auto"/>
          <w:highlight w:val="none"/>
          <w:lang w:val="en-US" w:eastAsia="zh-CN"/>
        </w:rPr>
        <w:t>供应商须具有有效的</w:t>
      </w:r>
      <w:r>
        <w:rPr>
          <w:rFonts w:hint="eastAsia" w:ascii="宋体" w:hAnsi="宋体" w:eastAsia="宋体" w:cs="宋体"/>
          <w:color w:val="auto"/>
          <w:sz w:val="21"/>
          <w:szCs w:val="21"/>
          <w:highlight w:val="none"/>
        </w:rPr>
        <w:t>人力资源服务许可证</w:t>
      </w:r>
      <w:r>
        <w:rPr>
          <w:rFonts w:hint="eastAsia" w:ascii="宋体" w:hAnsi="宋体" w:eastAsia="宋体" w:cs="宋体"/>
          <w:color w:val="auto"/>
          <w:highlight w:val="none"/>
        </w:rPr>
        <w:t>。</w:t>
      </w:r>
    </w:p>
    <w:p w14:paraId="79BD642F">
      <w:pPr>
        <w:shd w:val="clear"/>
        <w:spacing w:line="380" w:lineRule="exact"/>
        <w:rPr>
          <w:rFonts w:hint="eastAsia" w:ascii="宋体" w:hAnsi="宋体" w:eastAsia="宋体" w:cs="宋体"/>
          <w:b/>
          <w:color w:val="auto"/>
          <w:highlight w:val="none"/>
        </w:rPr>
      </w:pPr>
      <w:bookmarkStart w:id="20" w:name="_Toc35393623"/>
      <w:bookmarkStart w:id="21" w:name="_Toc35393792"/>
      <w:r>
        <w:rPr>
          <w:rFonts w:hint="eastAsia" w:ascii="宋体" w:hAnsi="宋体" w:eastAsia="宋体" w:cs="宋体"/>
          <w:b/>
          <w:color w:val="auto"/>
          <w:highlight w:val="none"/>
        </w:rPr>
        <w:t>三、获取招标文件</w:t>
      </w:r>
      <w:bookmarkEnd w:id="14"/>
      <w:bookmarkEnd w:id="15"/>
      <w:bookmarkEnd w:id="20"/>
      <w:bookmarkEnd w:id="21"/>
    </w:p>
    <w:p w14:paraId="510F1D7B">
      <w:pPr>
        <w:shd w:val="clear"/>
        <w:spacing w:line="380" w:lineRule="exact"/>
        <w:ind w:firstLine="420" w:firstLineChars="200"/>
        <w:rPr>
          <w:rFonts w:hint="eastAsia" w:ascii="宋体" w:hAnsi="宋体" w:eastAsia="宋体" w:cs="宋体"/>
          <w:color w:val="auto"/>
          <w:highlight w:val="none"/>
          <w:u w:val="none"/>
        </w:rPr>
      </w:pPr>
      <w:r>
        <w:rPr>
          <w:rFonts w:hint="eastAsia" w:ascii="宋体" w:hAnsi="宋体" w:eastAsia="宋体" w:cs="宋体"/>
          <w:color w:val="auto"/>
          <w:highlight w:val="none"/>
          <w:u w:val="none"/>
        </w:rPr>
        <w:t>时间：</w:t>
      </w:r>
      <w:r>
        <w:rPr>
          <w:rFonts w:hint="eastAsia" w:ascii="宋体" w:hAnsi="宋体" w:eastAsia="宋体" w:cs="宋体"/>
          <w:color w:val="auto"/>
          <w:highlight w:val="none"/>
          <w:u w:val="none"/>
          <w:lang w:eastAsia="zh-CN"/>
        </w:rPr>
        <w:t>2026</w:t>
      </w:r>
      <w:r>
        <w:rPr>
          <w:rFonts w:hint="eastAsia" w:ascii="宋体" w:hAnsi="宋体" w:eastAsia="宋体" w:cs="宋体"/>
          <w:color w:val="auto"/>
          <w:highlight w:val="none"/>
          <w:u w:val="none"/>
        </w:rPr>
        <w:t>年</w:t>
      </w:r>
      <w:r>
        <w:rPr>
          <w:rFonts w:hint="eastAsia" w:ascii="宋体" w:hAnsi="宋体" w:cs="宋体"/>
          <w:color w:val="auto"/>
          <w:highlight w:val="none"/>
          <w:u w:val="none"/>
          <w:lang w:val="en-US" w:eastAsia="zh-CN"/>
        </w:rPr>
        <w:t>8</w:t>
      </w:r>
      <w:r>
        <w:rPr>
          <w:rFonts w:hint="eastAsia" w:ascii="宋体" w:hAnsi="宋体" w:eastAsia="宋体" w:cs="宋体"/>
          <w:color w:val="auto"/>
          <w:highlight w:val="none"/>
          <w:u w:val="none"/>
        </w:rPr>
        <w:t>月</w:t>
      </w:r>
      <w:r>
        <w:rPr>
          <w:rFonts w:hint="eastAsia" w:ascii="宋体" w:hAnsi="宋体" w:cs="宋体"/>
          <w:color w:val="auto"/>
          <w:highlight w:val="none"/>
          <w:u w:val="none"/>
          <w:lang w:val="en-US" w:eastAsia="zh-CN"/>
        </w:rPr>
        <w:t>13</w:t>
      </w:r>
      <w:r>
        <w:rPr>
          <w:rFonts w:hint="eastAsia" w:ascii="宋体" w:hAnsi="宋体" w:eastAsia="宋体" w:cs="宋体"/>
          <w:color w:val="auto"/>
          <w:highlight w:val="none"/>
          <w:u w:val="none"/>
        </w:rPr>
        <w:t>日至</w:t>
      </w:r>
      <w:r>
        <w:rPr>
          <w:rFonts w:hint="eastAsia" w:ascii="宋体" w:hAnsi="宋体" w:eastAsia="宋体" w:cs="宋体"/>
          <w:color w:val="auto"/>
          <w:highlight w:val="none"/>
          <w:u w:val="none"/>
          <w:lang w:eastAsia="zh-CN"/>
        </w:rPr>
        <w:t>2026</w:t>
      </w:r>
      <w:r>
        <w:rPr>
          <w:rFonts w:hint="eastAsia" w:ascii="宋体" w:hAnsi="宋体" w:eastAsia="宋体" w:cs="宋体"/>
          <w:color w:val="auto"/>
          <w:highlight w:val="none"/>
          <w:u w:val="none"/>
        </w:rPr>
        <w:t>年</w:t>
      </w:r>
      <w:r>
        <w:rPr>
          <w:rFonts w:hint="eastAsia" w:ascii="宋体" w:hAnsi="宋体" w:cs="宋体"/>
          <w:color w:val="auto"/>
          <w:highlight w:val="none"/>
          <w:u w:val="none"/>
          <w:lang w:val="en-US" w:eastAsia="zh-CN"/>
        </w:rPr>
        <w:t>8</w:t>
      </w:r>
      <w:r>
        <w:rPr>
          <w:rFonts w:hint="eastAsia" w:ascii="宋体" w:hAnsi="宋体" w:eastAsia="宋体" w:cs="宋体"/>
          <w:color w:val="auto"/>
          <w:highlight w:val="none"/>
          <w:u w:val="none"/>
        </w:rPr>
        <w:t>月</w:t>
      </w:r>
      <w:r>
        <w:rPr>
          <w:rFonts w:hint="eastAsia" w:ascii="宋体" w:hAnsi="宋体" w:cs="宋体"/>
          <w:color w:val="auto"/>
          <w:highlight w:val="none"/>
          <w:u w:val="none"/>
          <w:lang w:val="en-US" w:eastAsia="zh-CN"/>
        </w:rPr>
        <w:t>20</w:t>
      </w:r>
      <w:r>
        <w:rPr>
          <w:rFonts w:hint="eastAsia" w:ascii="宋体" w:hAnsi="宋体" w:eastAsia="宋体" w:cs="宋体"/>
          <w:color w:val="auto"/>
          <w:highlight w:val="none"/>
          <w:u w:val="none"/>
        </w:rPr>
        <w:t>日，每天上午8时30分至</w:t>
      </w:r>
      <w:r>
        <w:rPr>
          <w:rFonts w:hint="eastAsia" w:ascii="宋体" w:hAnsi="宋体" w:eastAsia="宋体" w:cs="宋体"/>
          <w:color w:val="auto"/>
          <w:highlight w:val="none"/>
          <w:u w:val="none"/>
          <w:lang w:val="en-US" w:eastAsia="zh-CN"/>
        </w:rPr>
        <w:t>12</w:t>
      </w:r>
      <w:r>
        <w:rPr>
          <w:rFonts w:hint="eastAsia" w:ascii="宋体" w:hAnsi="宋体" w:eastAsia="宋体" w:cs="宋体"/>
          <w:color w:val="auto"/>
          <w:highlight w:val="none"/>
          <w:u w:val="none"/>
        </w:rPr>
        <w:t>时</w:t>
      </w:r>
      <w:r>
        <w:rPr>
          <w:rFonts w:hint="eastAsia" w:ascii="宋体" w:hAnsi="宋体" w:eastAsia="宋体" w:cs="宋体"/>
          <w:color w:val="auto"/>
          <w:highlight w:val="none"/>
          <w:u w:val="none"/>
          <w:lang w:val="en-US" w:eastAsia="zh-CN"/>
        </w:rPr>
        <w:t>00</w:t>
      </w:r>
      <w:r>
        <w:rPr>
          <w:rFonts w:hint="eastAsia" w:ascii="宋体" w:hAnsi="宋体" w:eastAsia="宋体" w:cs="宋体"/>
          <w:color w:val="auto"/>
          <w:highlight w:val="none"/>
          <w:u w:val="none"/>
        </w:rPr>
        <w:t>分，下午12时00分至18时00分（北京时间，法定节假日除外）</w:t>
      </w:r>
    </w:p>
    <w:p w14:paraId="214B14F4">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地点（网址）：广西政府采购云平台（https://www.gcy.zfcg.gxzf.gov.cn/）</w:t>
      </w:r>
    </w:p>
    <w:p w14:paraId="626B1199">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方式：请登录广西政府采购云平台（https://www.gcy.zfcg.gxzf.gov.cn/）进行报名并获取采购文件；未注册的供应商可在广西政府采购云平台完成注册后再行报名。如在操作过程中遇到问题或需技术支持，请致电广西政府采购云平台客服热线：95763。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6F3D382E">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kern w:val="0"/>
          <w:szCs w:val="21"/>
          <w:highlight w:val="none"/>
        </w:rPr>
        <w:t>售价（元）：0</w:t>
      </w:r>
    </w:p>
    <w:p w14:paraId="0D8FE9C4">
      <w:pPr>
        <w:shd w:val="clear"/>
        <w:spacing w:line="380" w:lineRule="exact"/>
        <w:rPr>
          <w:rFonts w:hint="eastAsia" w:ascii="宋体" w:hAnsi="宋体" w:eastAsia="宋体" w:cs="宋体"/>
          <w:b/>
          <w:color w:val="auto"/>
          <w:highlight w:val="none"/>
        </w:rPr>
      </w:pPr>
      <w:bookmarkStart w:id="22" w:name="_Toc28359005"/>
      <w:bookmarkStart w:id="23" w:name="_Toc28359082"/>
      <w:bookmarkStart w:id="24" w:name="_Toc35393624"/>
      <w:bookmarkStart w:id="25" w:name="_Toc35393793"/>
      <w:r>
        <w:rPr>
          <w:rFonts w:hint="eastAsia" w:ascii="宋体" w:hAnsi="宋体" w:eastAsia="宋体" w:cs="宋体"/>
          <w:b/>
          <w:color w:val="auto"/>
          <w:highlight w:val="none"/>
        </w:rPr>
        <w:t>四、提交投标文件</w:t>
      </w:r>
      <w:bookmarkEnd w:id="22"/>
      <w:bookmarkEnd w:id="23"/>
      <w:r>
        <w:rPr>
          <w:rFonts w:hint="eastAsia" w:ascii="宋体" w:hAnsi="宋体" w:eastAsia="宋体" w:cs="宋体"/>
          <w:b/>
          <w:color w:val="auto"/>
          <w:highlight w:val="none"/>
        </w:rPr>
        <w:t>截止时间、开标时间和地点</w:t>
      </w:r>
      <w:bookmarkEnd w:id="24"/>
      <w:bookmarkEnd w:id="25"/>
    </w:p>
    <w:p w14:paraId="5187CAF3">
      <w:pPr>
        <w:shd w:val="clear"/>
        <w:spacing w:line="38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提交投标文件截止时间：</w:t>
      </w:r>
      <w:r>
        <w:rPr>
          <w:rFonts w:hint="eastAsia" w:ascii="宋体" w:hAnsi="宋体" w:eastAsia="宋体" w:cs="宋体"/>
          <w:bCs/>
          <w:color w:val="auto"/>
          <w:highlight w:val="none"/>
          <w:lang w:eastAsia="zh-CN"/>
        </w:rPr>
        <w:t>2026</w:t>
      </w:r>
      <w:r>
        <w:rPr>
          <w:rFonts w:hint="eastAsia" w:ascii="宋体" w:hAnsi="宋体" w:eastAsia="宋体" w:cs="宋体"/>
          <w:bCs/>
          <w:color w:val="auto"/>
          <w:highlight w:val="none"/>
        </w:rPr>
        <w:t>年</w:t>
      </w:r>
      <w:r>
        <w:rPr>
          <w:rFonts w:hint="eastAsia" w:ascii="宋体" w:hAnsi="宋体" w:cs="宋体"/>
          <w:bCs/>
          <w:color w:val="auto"/>
          <w:highlight w:val="none"/>
          <w:lang w:val="en-US" w:eastAsia="zh-CN"/>
        </w:rPr>
        <w:t>9月3日</w:t>
      </w:r>
      <w:r>
        <w:rPr>
          <w:rFonts w:hint="eastAsia" w:ascii="宋体" w:hAnsi="宋体" w:eastAsia="宋体" w:cs="宋体"/>
          <w:bCs/>
          <w:color w:val="auto"/>
          <w:highlight w:val="none"/>
        </w:rPr>
        <w:t xml:space="preserve"> 09:30（北京时间）</w:t>
      </w:r>
    </w:p>
    <w:p w14:paraId="38660805">
      <w:pPr>
        <w:shd w:val="clear"/>
        <w:spacing w:line="38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投标地点（网址）：广西政府采购云平台（https://www.gcy.zfcg.gxzf.gov.cn/）（</w:t>
      </w:r>
      <w:r>
        <w:rPr>
          <w:rFonts w:hint="eastAsia" w:ascii="宋体" w:hAnsi="宋体" w:eastAsia="宋体" w:cs="宋体"/>
          <w:color w:val="auto"/>
          <w:szCs w:val="21"/>
          <w:highlight w:val="none"/>
        </w:rPr>
        <w:t>本项目为全流程电子化项目，供应商应派法定代表人或委托代理人准时在线出席电子评审会议，随时关注评审进度，如在评审过程中有电子询标，应在规定的时间内对电子询标函进行澄清回复。</w:t>
      </w:r>
      <w:r>
        <w:rPr>
          <w:rFonts w:hint="eastAsia" w:ascii="宋体" w:hAnsi="宋体" w:eastAsia="宋体" w:cs="宋体"/>
          <w:bCs/>
          <w:color w:val="auto"/>
          <w:highlight w:val="none"/>
        </w:rPr>
        <w:t>）</w:t>
      </w:r>
    </w:p>
    <w:p w14:paraId="70B96847">
      <w:pPr>
        <w:shd w:val="clear"/>
        <w:spacing w:line="38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开标时间：</w:t>
      </w:r>
      <w:r>
        <w:rPr>
          <w:rFonts w:hint="eastAsia" w:ascii="宋体" w:hAnsi="宋体" w:eastAsia="宋体" w:cs="宋体"/>
          <w:bCs/>
          <w:color w:val="auto"/>
          <w:highlight w:val="none"/>
          <w:lang w:eastAsia="zh-CN"/>
        </w:rPr>
        <w:t>2026</w:t>
      </w:r>
      <w:r>
        <w:rPr>
          <w:rFonts w:hint="eastAsia" w:ascii="宋体" w:hAnsi="宋体" w:eastAsia="宋体" w:cs="宋体"/>
          <w:bCs/>
          <w:color w:val="auto"/>
          <w:highlight w:val="none"/>
        </w:rPr>
        <w:t>年</w:t>
      </w:r>
      <w:r>
        <w:rPr>
          <w:rFonts w:hint="eastAsia" w:ascii="宋体" w:hAnsi="宋体" w:cs="宋体"/>
          <w:bCs/>
          <w:color w:val="auto"/>
          <w:highlight w:val="none"/>
          <w:lang w:val="en-US" w:eastAsia="zh-CN"/>
        </w:rPr>
        <w:t>9月3日</w:t>
      </w:r>
      <w:r>
        <w:rPr>
          <w:rFonts w:hint="eastAsia" w:ascii="宋体" w:hAnsi="宋体" w:eastAsia="宋体" w:cs="宋体"/>
          <w:bCs/>
          <w:color w:val="auto"/>
          <w:highlight w:val="none"/>
        </w:rPr>
        <w:t xml:space="preserve"> 09:30（北京时间）</w:t>
      </w:r>
    </w:p>
    <w:p w14:paraId="1323D8F1">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开标地点：广西政府采购云平台电子开标大厅</w:t>
      </w:r>
    </w:p>
    <w:p w14:paraId="7155F109">
      <w:pPr>
        <w:shd w:val="clear"/>
        <w:spacing w:line="380" w:lineRule="exact"/>
        <w:rPr>
          <w:rFonts w:hint="eastAsia" w:ascii="宋体" w:hAnsi="宋体" w:eastAsia="宋体" w:cs="宋体"/>
          <w:b/>
          <w:color w:val="auto"/>
          <w:highlight w:val="none"/>
        </w:rPr>
      </w:pPr>
      <w:bookmarkStart w:id="26" w:name="_Toc28359007"/>
      <w:bookmarkStart w:id="27" w:name="_Toc35393794"/>
      <w:bookmarkStart w:id="28" w:name="_Toc35393625"/>
      <w:bookmarkStart w:id="29" w:name="_Toc28359084"/>
      <w:r>
        <w:rPr>
          <w:rFonts w:hint="eastAsia" w:ascii="宋体" w:hAnsi="宋体" w:eastAsia="宋体" w:cs="宋体"/>
          <w:b/>
          <w:color w:val="auto"/>
          <w:highlight w:val="none"/>
        </w:rPr>
        <w:t>五、公告期限</w:t>
      </w:r>
      <w:bookmarkEnd w:id="26"/>
      <w:bookmarkEnd w:id="27"/>
      <w:bookmarkEnd w:id="28"/>
      <w:bookmarkEnd w:id="29"/>
    </w:p>
    <w:p w14:paraId="47A1D247">
      <w:pPr>
        <w:shd w:val="clear"/>
        <w:spacing w:line="380" w:lineRule="exact"/>
        <w:ind w:firstLine="42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自本公告发布之日起5个工作日。</w:t>
      </w:r>
    </w:p>
    <w:p w14:paraId="05CAE569">
      <w:pPr>
        <w:shd w:val="clear"/>
        <w:spacing w:line="380" w:lineRule="exact"/>
        <w:rPr>
          <w:rFonts w:hint="eastAsia" w:ascii="宋体" w:hAnsi="宋体" w:eastAsia="宋体" w:cs="宋体"/>
          <w:b/>
          <w:color w:val="auto"/>
          <w:highlight w:val="none"/>
        </w:rPr>
      </w:pPr>
      <w:bookmarkStart w:id="30" w:name="_Toc35393795"/>
      <w:bookmarkStart w:id="31" w:name="_Toc35393626"/>
      <w:r>
        <w:rPr>
          <w:rFonts w:hint="eastAsia" w:ascii="宋体" w:hAnsi="宋体" w:eastAsia="宋体" w:cs="宋体"/>
          <w:b/>
          <w:color w:val="auto"/>
          <w:highlight w:val="none"/>
        </w:rPr>
        <w:t>六、其他补充事宜</w:t>
      </w:r>
      <w:bookmarkEnd w:id="30"/>
      <w:bookmarkEnd w:id="31"/>
    </w:p>
    <w:p w14:paraId="7AE9D0A7">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bCs/>
          <w:color w:val="auto"/>
          <w:highlight w:val="none"/>
        </w:rPr>
        <w:t>投标保证金</w:t>
      </w:r>
      <w:r>
        <w:rPr>
          <w:rFonts w:hint="eastAsia" w:ascii="宋体" w:hAnsi="宋体" w:eastAsia="宋体" w:cs="宋体"/>
          <w:color w:val="auto"/>
          <w:highlight w:val="none"/>
        </w:rPr>
        <w:t>（人民币）：</w:t>
      </w:r>
      <w:r>
        <w:rPr>
          <w:rFonts w:hint="eastAsia" w:ascii="宋体" w:hAnsi="宋体" w:eastAsia="宋体" w:cs="宋体"/>
          <w:color w:val="auto"/>
          <w:highlight w:val="none"/>
          <w:lang w:val="en-US" w:eastAsia="zh-CN"/>
        </w:rPr>
        <w:t>31000</w:t>
      </w:r>
      <w:r>
        <w:rPr>
          <w:rFonts w:hint="eastAsia" w:ascii="宋体" w:hAnsi="宋体" w:eastAsia="宋体" w:cs="宋体"/>
          <w:bCs/>
          <w:color w:val="auto"/>
          <w:highlight w:val="none"/>
          <w:u w:val="none"/>
        </w:rPr>
        <w:t>元</w:t>
      </w:r>
      <w:r>
        <w:rPr>
          <w:rFonts w:hint="eastAsia" w:ascii="宋体" w:hAnsi="宋体" w:eastAsia="宋体" w:cs="宋体"/>
          <w:color w:val="auto"/>
          <w:highlight w:val="none"/>
        </w:rPr>
        <w:t>。（必须足额交纳）</w:t>
      </w:r>
    </w:p>
    <w:p w14:paraId="53A8BC9B">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（1）投标保证金的交纳方式：支票、汇票、本票、网上银行或者银行、保险机构出具的保函等非现金形式。</w:t>
      </w:r>
    </w:p>
    <w:p w14:paraId="71214546">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（2）采用银行转账方式的，投标人应于提交投标文件截止时间前将投标保证金交至以下账户：</w:t>
      </w:r>
    </w:p>
    <w:p w14:paraId="673A0A58">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开户名称：广西国力招标有限公司</w:t>
      </w:r>
    </w:p>
    <w:p w14:paraId="4954E992">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开户银行：广西北部湾银行金凯支行（网银支付可选广西北部湾银行江南支行）</w:t>
      </w:r>
    </w:p>
    <w:p w14:paraId="29D7AEF5">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银行账号：800109057455558</w:t>
      </w:r>
    </w:p>
    <w:p w14:paraId="5E89182B">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银行行号：313611002043</w:t>
      </w:r>
    </w:p>
    <w:p w14:paraId="7166CA64">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采用支票、汇票、本票或者保函等形式的，投标人应于提交投标文件截止时间前递交单独密封的支票、汇票、本票或者保函原件（电子保函除外）至我公司财务部。（财务部联系方式：地址：广西南宁市白沙大道53号松宇时代13楼；电话：0771-4915100、4915200）</w:t>
      </w:r>
    </w:p>
    <w:p w14:paraId="25C67C3C">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2.本项目需要落实的政府采购政策</w:t>
      </w:r>
    </w:p>
    <w:p w14:paraId="6492ECFF">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政府采购促进中小企业发展；政府采购支持采用本国产品的政策；政府采购促进残疾人就业政策；政府采购支持监狱企业发展等。</w:t>
      </w:r>
    </w:p>
    <w:p w14:paraId="66E031B1">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3.网上公告媒体查询</w:t>
      </w:r>
    </w:p>
    <w:p w14:paraId="3A33ED70">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中国政府采购网（www.ccgp.gov.cn）、广西壮族自治区政府采购网（zfcg.gxzf.gov.cn）、广西壮族自治区公共资源交易中心网（gxggzy.gxzf.gov.cn）。</w:t>
      </w:r>
    </w:p>
    <w:p w14:paraId="1B605132">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4.其他注意事项</w:t>
      </w:r>
    </w:p>
    <w:p w14:paraId="21EAC7F3">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 </w:t>
      </w:r>
    </w:p>
    <w:p w14:paraId="5E8747CE">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（2）供应商应及时熟悉掌握电子标系统操作指南（见广西政府采购云平台电子卖场首页右上角—服务中心—帮助中心—项目采购）。 </w:t>
      </w:r>
    </w:p>
    <w:p w14:paraId="6875A486">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（3）供应商应及时完成CA申领和绑定（见广西壮族自治区政府采购网—办事服务—下载专区-政采云CA证书办理操作指南） </w:t>
      </w:r>
    </w:p>
    <w:p w14:paraId="4003EBC9">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 </w:t>
      </w:r>
    </w:p>
    <w:p w14:paraId="75B2080C">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（5）因未注册入库、未办理CA数字证书、CA证书故障、操作不当等原因造成无法投标或投标失败等后果由供应商自行承担。 </w:t>
      </w:r>
    </w:p>
    <w:p w14:paraId="57E16930">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公司开启投标文件；供应商超过解密时限的，系统默认自动放弃。</w:t>
      </w:r>
    </w:p>
    <w:p w14:paraId="0FABC206">
      <w:pPr>
        <w:shd w:val="clear"/>
        <w:spacing w:line="380" w:lineRule="exact"/>
        <w:rPr>
          <w:rFonts w:hint="eastAsia" w:ascii="宋体" w:hAnsi="宋体" w:eastAsia="宋体" w:cs="宋体"/>
          <w:b/>
          <w:color w:val="auto"/>
          <w:highlight w:val="none"/>
        </w:rPr>
      </w:pPr>
      <w:bookmarkStart w:id="32" w:name="_Toc35393796"/>
      <w:bookmarkStart w:id="33" w:name="_Toc28359008"/>
      <w:bookmarkStart w:id="34" w:name="_Toc35393627"/>
      <w:bookmarkStart w:id="35" w:name="_Toc28359085"/>
      <w:r>
        <w:rPr>
          <w:rFonts w:hint="eastAsia" w:ascii="宋体" w:hAnsi="宋体" w:eastAsia="宋体" w:cs="宋体"/>
          <w:b/>
          <w:color w:val="auto"/>
          <w:highlight w:val="none"/>
        </w:rPr>
        <w:t>七、对本次招标提出询问，请按以下方式联系</w:t>
      </w:r>
      <w:bookmarkEnd w:id="32"/>
      <w:bookmarkEnd w:id="33"/>
      <w:bookmarkEnd w:id="34"/>
      <w:bookmarkEnd w:id="35"/>
    </w:p>
    <w:p w14:paraId="04650A1F">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1.采购人信息</w:t>
      </w:r>
    </w:p>
    <w:p w14:paraId="2D015DBE">
      <w:pPr>
        <w:shd w:val="clear"/>
        <w:spacing w:line="380" w:lineRule="exact"/>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t>名    称：</w:t>
      </w:r>
      <w:r>
        <w:rPr>
          <w:rFonts w:hint="eastAsia" w:ascii="宋体" w:hAnsi="宋体" w:eastAsia="宋体" w:cs="宋体"/>
          <w:color w:val="auto"/>
          <w:highlight w:val="none"/>
          <w:lang w:eastAsia="zh-CN"/>
        </w:rPr>
        <w:t>广西壮族自治区妇幼保健院</w:t>
      </w:r>
    </w:p>
    <w:p w14:paraId="3660B8BF">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cs="宋体"/>
          <w:color w:val="auto"/>
          <w:highlight w:val="none"/>
          <w:lang w:eastAsia="zh-CN"/>
        </w:rPr>
        <w:t>南宁市兴宁区厢竹大道59号</w:t>
      </w:r>
    </w:p>
    <w:p w14:paraId="3154EA70">
      <w:pPr>
        <w:shd w:val="clear"/>
        <w:spacing w:line="38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项目联系人：</w:t>
      </w:r>
      <w:r>
        <w:rPr>
          <w:rFonts w:hint="eastAsia" w:ascii="宋体" w:hAnsi="宋体" w:cs="宋体"/>
          <w:color w:val="auto"/>
          <w:kern w:val="0"/>
          <w:szCs w:val="21"/>
          <w:highlight w:val="none"/>
          <w:lang w:eastAsia="zh-CN"/>
        </w:rPr>
        <w:t>李海华、邓雨霞</w:t>
      </w:r>
    </w:p>
    <w:p w14:paraId="21B45455">
      <w:pPr>
        <w:shd w:val="clear"/>
        <w:spacing w:line="380" w:lineRule="exact"/>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项目联系方式：</w:t>
      </w:r>
      <w:r>
        <w:rPr>
          <w:rFonts w:hint="eastAsia" w:ascii="宋体" w:hAnsi="宋体" w:eastAsia="宋体" w:cs="宋体"/>
          <w:color w:val="auto"/>
          <w:kern w:val="0"/>
          <w:szCs w:val="21"/>
          <w:highlight w:val="none"/>
          <w:lang w:val="en-US" w:eastAsia="zh-CN"/>
        </w:rPr>
        <w:t>0771-</w:t>
      </w:r>
      <w:r>
        <w:rPr>
          <w:rFonts w:hint="eastAsia" w:ascii="宋体" w:hAnsi="宋体" w:cs="宋体"/>
          <w:color w:val="auto"/>
          <w:kern w:val="0"/>
          <w:szCs w:val="21"/>
          <w:highlight w:val="none"/>
          <w:lang w:val="en-US" w:eastAsia="zh-CN"/>
        </w:rPr>
        <w:t>2860979</w:t>
      </w:r>
    </w:p>
    <w:p w14:paraId="77B7EEF6">
      <w:pPr>
        <w:shd w:val="clear"/>
        <w:spacing w:line="380" w:lineRule="exact"/>
        <w:ind w:firstLine="420" w:firstLineChars="200"/>
        <w:rPr>
          <w:rFonts w:hint="eastAsia" w:ascii="宋体" w:hAnsi="宋体" w:eastAsia="宋体" w:cs="宋体"/>
          <w:color w:val="auto"/>
          <w:highlight w:val="none"/>
        </w:rPr>
      </w:pPr>
    </w:p>
    <w:p w14:paraId="6A18DA89">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2.采购代理机构信息</w:t>
      </w:r>
    </w:p>
    <w:p w14:paraId="6582381C">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名    称：广西国力招标有限公司</w:t>
      </w:r>
    </w:p>
    <w:p w14:paraId="71F647B0">
      <w:pPr>
        <w:shd w:val="clea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地    址：南宁市白沙大道53号松宇时代13楼</w:t>
      </w:r>
    </w:p>
    <w:p w14:paraId="47D51460">
      <w:pPr>
        <w:shd w:val="clear"/>
        <w:spacing w:line="38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r>
        <w:rPr>
          <w:rFonts w:hint="eastAsia" w:ascii="宋体" w:hAnsi="宋体" w:eastAsia="宋体" w:cs="宋体"/>
          <w:color w:val="auto"/>
          <w:highlight w:val="none"/>
          <w:lang w:val="en-US" w:eastAsia="zh-CN"/>
        </w:rPr>
        <w:t>何云飞、徐康</w:t>
      </w:r>
    </w:p>
    <w:p w14:paraId="4D170958">
      <w:pPr>
        <w:shd w:val="clear"/>
        <w:spacing w:line="380" w:lineRule="exact"/>
        <w:ind w:firstLine="420" w:firstLineChars="200"/>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项目联系方式：0771-</w:t>
      </w:r>
      <w:r>
        <w:rPr>
          <w:rFonts w:hint="eastAsia" w:ascii="宋体" w:hAnsi="宋体" w:eastAsia="宋体" w:cs="宋体"/>
          <w:color w:val="auto"/>
          <w:highlight w:val="none"/>
          <w:lang w:val="en-US" w:eastAsia="zh-CN"/>
        </w:rPr>
        <w:t>4915558</w:t>
      </w:r>
    </w:p>
    <w:p w14:paraId="4856DE71">
      <w:pPr>
        <w:shd w:val="clear"/>
        <w:spacing w:line="380" w:lineRule="exact"/>
        <w:ind w:firstLine="420" w:firstLineChars="200"/>
        <w:rPr>
          <w:rFonts w:hint="eastAsia" w:ascii="宋体" w:hAnsi="宋体" w:eastAsia="宋体" w:cs="宋体"/>
          <w:color w:val="auto"/>
          <w:highlight w:val="none"/>
          <w:u w:val="single"/>
        </w:rPr>
      </w:pPr>
    </w:p>
    <w:p w14:paraId="0E3606C7">
      <w:pPr>
        <w:shd w:val="clear"/>
        <w:spacing w:line="380" w:lineRule="exact"/>
        <w:ind w:firstLine="420" w:firstLineChars="200"/>
        <w:rPr>
          <w:rFonts w:hint="eastAsia" w:ascii="宋体" w:hAnsi="宋体" w:eastAsia="宋体" w:cs="宋体"/>
          <w:color w:val="auto"/>
          <w:highlight w:val="none"/>
          <w:u w:val="single"/>
        </w:rPr>
      </w:pPr>
    </w:p>
    <w:p w14:paraId="601A4BC1">
      <w:pPr>
        <w:shd w:val="clear"/>
        <w:snapToGrid w:val="0"/>
        <w:spacing w:line="350" w:lineRule="exact"/>
        <w:ind w:left="238"/>
        <w:jc w:val="right"/>
        <w:rPr>
          <w:rFonts w:hint="eastAsia" w:ascii="宋体" w:hAnsi="宋体" w:eastAsia="宋体" w:cs="宋体"/>
          <w:color w:val="auto"/>
          <w:highlight w:val="none"/>
        </w:rPr>
      </w:pPr>
      <w:r>
        <w:rPr>
          <w:rFonts w:hint="eastAsia" w:ascii="宋体" w:hAnsi="宋体" w:eastAsia="宋体" w:cs="宋体"/>
          <w:color w:val="auto"/>
          <w:highlight w:val="none"/>
        </w:rPr>
        <w:t>广西国力招标有限公司</w:t>
      </w:r>
    </w:p>
    <w:p w14:paraId="136E433A">
      <w:pPr>
        <w:shd w:val="clear"/>
        <w:spacing w:line="380" w:lineRule="exact"/>
        <w:ind w:right="210" w:firstLine="420" w:firstLineChars="200"/>
        <w:jc w:val="right"/>
        <w:rPr>
          <w:rFonts w:hint="eastAsia" w:ascii="宋体" w:hAnsi="宋体" w:eastAsia="宋体" w:cs="宋体"/>
          <w:color w:val="auto"/>
          <w:highlight w:val="none"/>
          <w:u w:val="single"/>
        </w:rPr>
      </w:pPr>
      <w:r>
        <w:rPr>
          <w:rFonts w:hint="eastAsia" w:ascii="宋体" w:hAnsi="宋体" w:eastAsia="宋体" w:cs="宋体"/>
          <w:color w:val="auto"/>
          <w:highlight w:val="none"/>
          <w:lang w:eastAsia="zh-CN"/>
        </w:rPr>
        <w:t>2026</w:t>
      </w:r>
      <w:r>
        <w:rPr>
          <w:rFonts w:hint="eastAsia" w:ascii="宋体" w:hAnsi="宋体" w:eastAsia="宋体" w:cs="宋体"/>
          <w:color w:val="auto"/>
          <w:highlight w:val="none"/>
        </w:rPr>
        <w:t>年</w:t>
      </w:r>
      <w:r>
        <w:rPr>
          <w:rFonts w:hint="eastAsia" w:ascii="宋体" w:hAnsi="宋体" w:cs="宋体"/>
          <w:color w:val="auto"/>
          <w:highlight w:val="none"/>
          <w:lang w:val="en-US" w:eastAsia="zh-CN"/>
        </w:rPr>
        <w:t>8</w:t>
      </w:r>
      <w:r>
        <w:rPr>
          <w:rFonts w:hint="eastAsia" w:ascii="宋体" w:hAnsi="宋体" w:eastAsia="宋体" w:cs="宋体"/>
          <w:color w:val="auto"/>
          <w:highlight w:val="none"/>
        </w:rPr>
        <w:t>月</w:t>
      </w:r>
      <w:r>
        <w:rPr>
          <w:rFonts w:hint="eastAsia" w:ascii="宋体" w:hAnsi="宋体" w:cs="宋体"/>
          <w:color w:val="auto"/>
          <w:highlight w:val="none"/>
          <w:lang w:val="en-US" w:eastAsia="zh-CN"/>
        </w:rPr>
        <w:t>13</w:t>
      </w:r>
      <w:r>
        <w:rPr>
          <w:rFonts w:hint="eastAsia" w:ascii="宋体" w:hAnsi="宋体" w:eastAsia="宋体" w:cs="宋体"/>
          <w:color w:val="auto"/>
          <w:highlight w:val="none"/>
        </w:rPr>
        <w:t>日</w:t>
      </w:r>
    </w:p>
    <w:p w14:paraId="6AB9CAE0">
      <w:pPr>
        <w:shd w:val="clear"/>
        <w:spacing w:line="40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55CE04E3">
      <w:pPr>
        <w:shd w:val="clear"/>
        <w:spacing w:line="400" w:lineRule="exact"/>
        <w:jc w:val="center"/>
        <w:rPr>
          <w:rFonts w:hint="eastAsia" w:ascii="宋体" w:hAnsi="宋体" w:eastAsia="宋体" w:cs="宋体"/>
          <w:color w:val="auto"/>
          <w:sz w:val="32"/>
          <w:szCs w:val="32"/>
          <w:highlight w:val="none"/>
        </w:rPr>
      </w:pPr>
    </w:p>
    <w:p w14:paraId="020C4761">
      <w:pPr>
        <w:shd w:val="clear"/>
        <w:spacing w:line="400" w:lineRule="exact"/>
        <w:jc w:val="center"/>
        <w:rPr>
          <w:rFonts w:hint="eastAsia" w:ascii="宋体" w:hAnsi="宋体" w:eastAsia="宋体" w:cs="宋体"/>
          <w:color w:val="auto"/>
          <w:sz w:val="32"/>
          <w:szCs w:val="32"/>
          <w:highlight w:val="none"/>
        </w:rPr>
      </w:pPr>
    </w:p>
    <w:p w14:paraId="0B0AE1F3">
      <w:pPr>
        <w:shd w:val="clear"/>
        <w:spacing w:line="400" w:lineRule="exact"/>
        <w:jc w:val="center"/>
        <w:rPr>
          <w:rFonts w:hint="eastAsia" w:ascii="宋体" w:hAnsi="宋体" w:eastAsia="宋体" w:cs="宋体"/>
          <w:color w:val="auto"/>
          <w:sz w:val="32"/>
          <w:szCs w:val="32"/>
          <w:highlight w:val="none"/>
        </w:rPr>
      </w:pPr>
    </w:p>
    <w:p w14:paraId="7AC47CF8">
      <w:pPr>
        <w:shd w:val="clear"/>
        <w:spacing w:line="400" w:lineRule="exact"/>
        <w:jc w:val="center"/>
        <w:rPr>
          <w:rFonts w:hint="eastAsia" w:ascii="宋体" w:hAnsi="宋体" w:eastAsia="宋体" w:cs="宋体"/>
          <w:color w:val="auto"/>
          <w:sz w:val="32"/>
          <w:szCs w:val="32"/>
          <w:highlight w:val="none"/>
        </w:rPr>
      </w:pPr>
    </w:p>
    <w:p w14:paraId="46BA15DE">
      <w:pPr>
        <w:shd w:val="clear"/>
        <w:spacing w:line="400" w:lineRule="exact"/>
        <w:jc w:val="center"/>
        <w:rPr>
          <w:rFonts w:hint="eastAsia" w:ascii="宋体" w:hAnsi="宋体" w:eastAsia="宋体" w:cs="宋体"/>
          <w:color w:val="auto"/>
          <w:sz w:val="32"/>
          <w:szCs w:val="32"/>
          <w:highlight w:val="none"/>
        </w:rPr>
      </w:pPr>
    </w:p>
    <w:p w14:paraId="17E4F50F">
      <w:pPr>
        <w:shd w:val="clear"/>
        <w:spacing w:line="400" w:lineRule="exact"/>
        <w:jc w:val="center"/>
        <w:rPr>
          <w:rFonts w:hint="eastAsia" w:ascii="宋体" w:hAnsi="宋体" w:eastAsia="宋体" w:cs="宋体"/>
          <w:color w:val="auto"/>
          <w:sz w:val="32"/>
          <w:szCs w:val="32"/>
          <w:highlight w:val="none"/>
        </w:rPr>
      </w:pPr>
    </w:p>
    <w:p w14:paraId="4E7E71FD">
      <w:pPr>
        <w:shd w:val="clear"/>
        <w:spacing w:line="400" w:lineRule="exact"/>
        <w:jc w:val="center"/>
        <w:rPr>
          <w:rFonts w:hint="eastAsia" w:ascii="宋体" w:hAnsi="宋体" w:eastAsia="宋体" w:cs="宋体"/>
          <w:color w:val="auto"/>
          <w:sz w:val="32"/>
          <w:szCs w:val="32"/>
          <w:highlight w:val="none"/>
        </w:rPr>
      </w:pPr>
    </w:p>
    <w:p w14:paraId="4EDC66D6">
      <w:pPr>
        <w:shd w:val="clear"/>
        <w:spacing w:line="400" w:lineRule="exact"/>
        <w:jc w:val="center"/>
        <w:rPr>
          <w:rFonts w:hint="eastAsia" w:ascii="宋体" w:hAnsi="宋体" w:eastAsia="宋体" w:cs="宋体"/>
          <w:color w:val="auto"/>
          <w:sz w:val="32"/>
          <w:szCs w:val="32"/>
          <w:highlight w:val="none"/>
        </w:rPr>
      </w:pPr>
    </w:p>
    <w:p w14:paraId="718D4C14">
      <w:pPr>
        <w:shd w:val="clear"/>
        <w:spacing w:line="400" w:lineRule="exact"/>
        <w:jc w:val="center"/>
        <w:rPr>
          <w:rFonts w:hint="eastAsia" w:ascii="宋体" w:hAnsi="宋体" w:eastAsia="宋体" w:cs="宋体"/>
          <w:color w:val="auto"/>
          <w:sz w:val="32"/>
          <w:szCs w:val="32"/>
          <w:highlight w:val="none"/>
        </w:rPr>
      </w:pPr>
    </w:p>
    <w:p w14:paraId="77DB5B64">
      <w:pPr>
        <w:shd w:val="clear"/>
        <w:spacing w:line="400" w:lineRule="exact"/>
        <w:jc w:val="center"/>
        <w:rPr>
          <w:rFonts w:hint="eastAsia" w:ascii="宋体" w:hAnsi="宋体" w:eastAsia="宋体" w:cs="宋体"/>
          <w:color w:val="auto"/>
          <w:sz w:val="32"/>
          <w:szCs w:val="32"/>
          <w:highlight w:val="none"/>
        </w:rPr>
      </w:pPr>
    </w:p>
    <w:p w14:paraId="784FC95B">
      <w:pPr>
        <w:shd w:val="clear"/>
        <w:spacing w:line="400" w:lineRule="exact"/>
        <w:jc w:val="center"/>
        <w:rPr>
          <w:rFonts w:hint="eastAsia" w:ascii="宋体" w:hAnsi="宋体" w:eastAsia="宋体" w:cs="宋体"/>
          <w:color w:val="auto"/>
          <w:sz w:val="32"/>
          <w:szCs w:val="32"/>
          <w:highlight w:val="none"/>
        </w:rPr>
      </w:pPr>
    </w:p>
    <w:p w14:paraId="61406391">
      <w:pPr>
        <w:shd w:val="clear"/>
        <w:spacing w:line="400" w:lineRule="exact"/>
        <w:jc w:val="center"/>
        <w:rPr>
          <w:rFonts w:hint="eastAsia" w:ascii="宋体" w:hAnsi="宋体" w:eastAsia="宋体" w:cs="宋体"/>
          <w:color w:val="auto"/>
          <w:sz w:val="32"/>
          <w:szCs w:val="32"/>
          <w:highlight w:val="none"/>
        </w:rPr>
      </w:pPr>
    </w:p>
    <w:p w14:paraId="411A30A4">
      <w:pPr>
        <w:shd w:val="clear"/>
        <w:spacing w:line="400" w:lineRule="exact"/>
        <w:jc w:val="center"/>
        <w:rPr>
          <w:rFonts w:hint="eastAsia" w:ascii="宋体" w:hAnsi="宋体" w:eastAsia="宋体" w:cs="宋体"/>
          <w:color w:val="auto"/>
          <w:sz w:val="32"/>
          <w:szCs w:val="32"/>
          <w:highlight w:val="none"/>
        </w:rPr>
      </w:pPr>
    </w:p>
    <w:p w14:paraId="334CCA31">
      <w:pPr>
        <w:shd w:val="clear"/>
        <w:spacing w:line="400" w:lineRule="exact"/>
        <w:jc w:val="center"/>
        <w:rPr>
          <w:rFonts w:hint="eastAsia" w:ascii="宋体" w:hAnsi="宋体" w:eastAsia="宋体" w:cs="宋体"/>
          <w:color w:val="auto"/>
          <w:sz w:val="32"/>
          <w:szCs w:val="32"/>
          <w:highlight w:val="none"/>
        </w:rPr>
      </w:pPr>
    </w:p>
    <w:p w14:paraId="5D40BD9D">
      <w:pPr>
        <w:pStyle w:val="47"/>
        <w:shd w:val="clear"/>
        <w:rPr>
          <w:rFonts w:hint="eastAsia" w:ascii="宋体" w:hAnsi="宋体" w:eastAsia="宋体" w:cs="宋体"/>
          <w:color w:val="auto"/>
          <w:sz w:val="44"/>
          <w:szCs w:val="44"/>
          <w:highlight w:val="none"/>
        </w:rPr>
      </w:pPr>
      <w:bookmarkStart w:id="36" w:name="_Toc476436173"/>
      <w:bookmarkStart w:id="37" w:name="_Toc476436432"/>
      <w:r>
        <w:rPr>
          <w:rFonts w:hint="eastAsia" w:ascii="宋体" w:hAnsi="宋体" w:eastAsia="宋体" w:cs="宋体"/>
          <w:color w:val="auto"/>
          <w:sz w:val="44"/>
          <w:szCs w:val="44"/>
          <w:highlight w:val="none"/>
        </w:rPr>
        <w:t>第二章  招标项</w:t>
      </w:r>
      <w:bookmarkStart w:id="105" w:name="_GoBack"/>
      <w:bookmarkEnd w:id="105"/>
      <w:r>
        <w:rPr>
          <w:rFonts w:hint="eastAsia" w:ascii="宋体" w:hAnsi="宋体" w:eastAsia="宋体" w:cs="宋体"/>
          <w:color w:val="auto"/>
          <w:sz w:val="44"/>
          <w:szCs w:val="44"/>
          <w:highlight w:val="none"/>
        </w:rPr>
        <w:t>目采购需求</w:t>
      </w:r>
      <w:bookmarkEnd w:id="36"/>
      <w:bookmarkEnd w:id="37"/>
    </w:p>
    <w:p w14:paraId="4AFEA3DE">
      <w:pPr>
        <w:shd w:val="clear"/>
        <w:snapToGrid w:val="0"/>
        <w:spacing w:before="156" w:beforeLines="50" w:after="156" w:afterLines="50"/>
        <w:ind w:left="238"/>
        <w:jc w:val="center"/>
        <w:rPr>
          <w:rFonts w:hint="eastAsia" w:ascii="宋体" w:hAnsi="宋体" w:eastAsia="宋体" w:cs="宋体"/>
          <w:color w:val="auto"/>
          <w:sz w:val="32"/>
          <w:szCs w:val="32"/>
          <w:highlight w:val="none"/>
        </w:rPr>
      </w:pPr>
    </w:p>
    <w:p w14:paraId="7F02ADE9">
      <w:pPr>
        <w:shd w:val="clear"/>
        <w:snapToGrid w:val="0"/>
        <w:spacing w:before="156" w:beforeLines="50" w:after="156" w:afterLines="50"/>
        <w:ind w:left="238"/>
        <w:jc w:val="center"/>
        <w:rPr>
          <w:rFonts w:hint="eastAsia" w:ascii="宋体" w:hAnsi="宋体" w:eastAsia="宋体" w:cs="宋体"/>
          <w:color w:val="auto"/>
          <w:sz w:val="32"/>
          <w:szCs w:val="32"/>
          <w:highlight w:val="none"/>
        </w:rPr>
      </w:pPr>
    </w:p>
    <w:p w14:paraId="6B6A38CF">
      <w:pPr>
        <w:shd w:val="clear"/>
        <w:snapToGrid w:val="0"/>
        <w:spacing w:before="156" w:beforeLines="50" w:after="156" w:afterLines="50"/>
        <w:ind w:left="238"/>
        <w:jc w:val="center"/>
        <w:rPr>
          <w:rFonts w:hint="eastAsia" w:ascii="宋体" w:hAnsi="宋体" w:eastAsia="宋体" w:cs="宋体"/>
          <w:color w:val="auto"/>
          <w:sz w:val="32"/>
          <w:szCs w:val="32"/>
          <w:highlight w:val="none"/>
        </w:rPr>
      </w:pPr>
    </w:p>
    <w:p w14:paraId="1DB7533E">
      <w:pPr>
        <w:shd w:val="clear"/>
        <w:snapToGrid w:val="0"/>
        <w:spacing w:before="156" w:beforeLines="50" w:after="156" w:afterLines="50"/>
        <w:ind w:left="238"/>
        <w:jc w:val="center"/>
        <w:rPr>
          <w:rFonts w:hint="eastAsia" w:ascii="宋体" w:hAnsi="宋体" w:eastAsia="宋体" w:cs="宋体"/>
          <w:color w:val="auto"/>
          <w:sz w:val="32"/>
          <w:szCs w:val="32"/>
          <w:highlight w:val="none"/>
        </w:rPr>
      </w:pPr>
    </w:p>
    <w:p w14:paraId="77F7D80A">
      <w:pPr>
        <w:shd w:val="clear"/>
        <w:snapToGrid w:val="0"/>
        <w:spacing w:before="156" w:beforeLines="50" w:after="156" w:afterLines="50"/>
        <w:ind w:left="238"/>
        <w:jc w:val="center"/>
        <w:rPr>
          <w:rFonts w:hint="eastAsia" w:ascii="宋体" w:hAnsi="宋体" w:eastAsia="宋体" w:cs="宋体"/>
          <w:color w:val="auto"/>
          <w:sz w:val="32"/>
          <w:szCs w:val="32"/>
          <w:highlight w:val="none"/>
        </w:rPr>
      </w:pPr>
    </w:p>
    <w:p w14:paraId="666E631D">
      <w:pPr>
        <w:shd w:val="clear"/>
        <w:snapToGrid w:val="0"/>
        <w:spacing w:before="156" w:beforeLines="50" w:after="156" w:afterLines="50"/>
        <w:ind w:left="238"/>
        <w:jc w:val="center"/>
        <w:rPr>
          <w:rFonts w:hint="eastAsia" w:ascii="宋体" w:hAnsi="宋体" w:eastAsia="宋体" w:cs="宋体"/>
          <w:color w:val="auto"/>
          <w:sz w:val="32"/>
          <w:szCs w:val="32"/>
          <w:highlight w:val="none"/>
        </w:rPr>
      </w:pPr>
    </w:p>
    <w:p w14:paraId="2F064501">
      <w:pPr>
        <w:shd w:val="clear"/>
        <w:spacing w:line="720" w:lineRule="auto"/>
        <w:jc w:val="center"/>
        <w:rPr>
          <w:rFonts w:hint="eastAsia" w:ascii="宋体" w:hAnsi="宋体" w:eastAsia="宋体" w:cs="宋体"/>
          <w:b/>
          <w:color w:val="auto"/>
          <w:sz w:val="32"/>
          <w:szCs w:val="32"/>
          <w:highlight w:val="none"/>
        </w:rPr>
      </w:pPr>
      <w:r>
        <w:rPr>
          <w:rFonts w:hint="eastAsia" w:ascii="宋体" w:hAnsi="宋体" w:eastAsia="宋体" w:cs="宋体"/>
          <w:bCs/>
          <w:color w:val="auto"/>
          <w:highlight w:val="none"/>
        </w:rPr>
        <w:br w:type="page"/>
      </w:r>
      <w:r>
        <w:rPr>
          <w:rFonts w:hint="eastAsia" w:ascii="宋体" w:hAnsi="宋体" w:eastAsia="宋体" w:cs="宋体"/>
          <w:b/>
          <w:color w:val="auto"/>
          <w:sz w:val="32"/>
          <w:szCs w:val="32"/>
          <w:highlight w:val="none"/>
        </w:rPr>
        <w:t>招标项目采购需求</w:t>
      </w:r>
    </w:p>
    <w:p w14:paraId="3A2970ED">
      <w:pPr>
        <w:widowControl/>
        <w:shd w:val="clear"/>
        <w:spacing w:line="320" w:lineRule="exact"/>
        <w:jc w:val="center"/>
        <w:rPr>
          <w:rFonts w:hint="eastAsia" w:ascii="宋体" w:hAnsi="宋体" w:eastAsia="宋体" w:cs="宋体"/>
          <w:b/>
          <w:bCs/>
          <w:color w:val="auto"/>
          <w:kern w:val="0"/>
          <w:sz w:val="32"/>
          <w:szCs w:val="32"/>
          <w:highlight w:val="none"/>
        </w:rPr>
      </w:pPr>
    </w:p>
    <w:p w14:paraId="10396A63">
      <w:pPr>
        <w:shd w:val="clear"/>
        <w:spacing w:line="40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说明：</w:t>
      </w:r>
    </w:p>
    <w:p w14:paraId="706061B4">
      <w:pPr>
        <w:shd w:val="clear"/>
        <w:spacing w:line="400" w:lineRule="exact"/>
        <w:ind w:firstLine="437"/>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一、本需求表</w:t>
      </w:r>
      <w:r>
        <w:rPr>
          <w:rFonts w:hint="eastAsia" w:ascii="宋体" w:hAnsi="宋体" w:eastAsia="宋体" w:cs="宋体"/>
          <w:b/>
          <w:color w:val="auto"/>
          <w:szCs w:val="21"/>
          <w:highlight w:val="none"/>
        </w:rPr>
        <w:t>中标注“▲”的条款均为实质性要求或条件，投标人必须作出满足或者优于该要求和条件的承诺（另有要求的除外），否则投标无效。</w:t>
      </w:r>
    </w:p>
    <w:p w14:paraId="09C3F677">
      <w:pPr>
        <w:shd w:val="clear"/>
        <w:spacing w:line="400" w:lineRule="exact"/>
        <w:ind w:firstLine="437"/>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二、</w:t>
      </w:r>
      <w:r>
        <w:rPr>
          <w:rFonts w:hint="eastAsia" w:ascii="宋体" w:hAnsi="宋体" w:eastAsia="宋体" w:cs="宋体"/>
          <w:b/>
          <w:bCs/>
          <w:color w:val="auto"/>
          <w:szCs w:val="21"/>
          <w:highlight w:val="none"/>
        </w:rPr>
        <w:t>投标人所投标货物或服务如有国家相关标准、行业标准、地方标准或者其他标准、规范要求的按相关规定执行，若执行标准有修改或更新按最新版本执行</w:t>
      </w:r>
      <w:r>
        <w:rPr>
          <w:rFonts w:hint="eastAsia" w:ascii="宋体" w:hAnsi="宋体" w:eastAsia="宋体" w:cs="宋体"/>
          <w:b/>
          <w:color w:val="auto"/>
          <w:szCs w:val="21"/>
          <w:highlight w:val="none"/>
        </w:rPr>
        <w:t>。</w:t>
      </w:r>
    </w:p>
    <w:p w14:paraId="725BD615">
      <w:pPr>
        <w:shd w:val="clear"/>
        <w:spacing w:line="400" w:lineRule="exact"/>
        <w:ind w:firstLine="437"/>
        <w:rPr>
          <w:rFonts w:hint="eastAsia" w:ascii="宋体" w:hAnsi="宋体" w:eastAsia="宋体" w:cs="宋体"/>
          <w:b/>
          <w:color w:val="auto"/>
          <w:szCs w:val="21"/>
          <w:highlight w:val="none"/>
          <w:lang w:eastAsia="zh-CN"/>
        </w:rPr>
      </w:pPr>
      <w:r>
        <w:rPr>
          <w:rFonts w:hint="eastAsia" w:ascii="宋体" w:hAnsi="宋体" w:eastAsia="宋体" w:cs="宋体"/>
          <w:b/>
          <w:bCs/>
          <w:color w:val="auto"/>
          <w:szCs w:val="21"/>
          <w:highlight w:val="none"/>
        </w:rPr>
        <w:t>三、</w:t>
      </w:r>
      <w:r>
        <w:rPr>
          <w:rFonts w:hint="eastAsia" w:ascii="宋体" w:hAnsi="宋体" w:eastAsia="宋体" w:cs="宋体"/>
          <w:b/>
          <w:color w:val="auto"/>
          <w:szCs w:val="21"/>
          <w:highlight w:val="none"/>
        </w:rPr>
        <w:t>采购标的对应的中小企业划分标准所属行业：根据《关于印发中小企业划型标准规定的通知》（工信部联企业〔2011〕300号），本次采购标的属于：租赁和商务服务业</w:t>
      </w:r>
      <w:r>
        <w:rPr>
          <w:rFonts w:hint="eastAsia" w:ascii="宋体" w:hAnsi="宋体" w:eastAsia="宋体" w:cs="宋体"/>
          <w:b/>
          <w:color w:val="auto"/>
          <w:szCs w:val="21"/>
          <w:highlight w:val="none"/>
          <w:lang w:eastAsia="zh-CN"/>
        </w:rPr>
        <w:t>。</w:t>
      </w:r>
    </w:p>
    <w:p w14:paraId="02A1C736">
      <w:pPr>
        <w:shd w:val="clear"/>
        <w:spacing w:line="360" w:lineRule="exact"/>
        <w:ind w:firstLine="424" w:firstLineChars="202"/>
        <w:jc w:val="left"/>
        <w:rPr>
          <w:rFonts w:hint="eastAsia" w:ascii="宋体" w:hAnsi="宋体" w:eastAsia="宋体" w:cs="宋体"/>
          <w:color w:val="auto"/>
          <w:highlight w:val="none"/>
        </w:rPr>
      </w:pPr>
    </w:p>
    <w:p w14:paraId="5EB38317">
      <w:pPr>
        <w:shd w:val="clear"/>
        <w:spacing w:line="400" w:lineRule="exact"/>
        <w:ind w:firstLine="435"/>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本项目采购预算：</w:t>
      </w:r>
      <w:r>
        <w:rPr>
          <w:rFonts w:hint="eastAsia" w:ascii="宋体" w:hAnsi="宋体" w:eastAsia="宋体" w:cs="宋体"/>
          <w:b/>
          <w:bCs/>
          <w:color w:val="auto"/>
          <w:sz w:val="28"/>
          <w:szCs w:val="28"/>
          <w:highlight w:val="none"/>
          <w:lang w:eastAsia="zh-CN"/>
        </w:rPr>
        <w:t>3120000</w:t>
      </w:r>
      <w:r>
        <w:rPr>
          <w:rFonts w:hint="eastAsia" w:ascii="宋体" w:hAnsi="宋体" w:eastAsia="宋体" w:cs="宋体"/>
          <w:b/>
          <w:bCs/>
          <w:color w:val="auto"/>
          <w:sz w:val="28"/>
          <w:szCs w:val="28"/>
          <w:highlight w:val="none"/>
        </w:rPr>
        <w:t>元</w:t>
      </w:r>
      <w:r>
        <w:rPr>
          <w:rFonts w:hint="eastAsia" w:ascii="宋体" w:hAnsi="宋体" w:eastAsia="宋体" w:cs="宋体"/>
          <w:color w:val="auto"/>
          <w:szCs w:val="21"/>
          <w:highlight w:val="none"/>
        </w:rPr>
        <w:t>（最高限价金额：</w:t>
      </w:r>
      <w:r>
        <w:rPr>
          <w:rFonts w:hint="eastAsia" w:ascii="宋体" w:hAnsi="宋体" w:eastAsia="宋体" w:cs="宋体"/>
          <w:color w:val="auto"/>
          <w:szCs w:val="21"/>
          <w:highlight w:val="none"/>
          <w:lang w:eastAsia="zh-CN"/>
        </w:rPr>
        <w:t>3120000</w:t>
      </w:r>
      <w:r>
        <w:rPr>
          <w:rFonts w:hint="eastAsia" w:ascii="宋体" w:hAnsi="宋体" w:eastAsia="宋体" w:cs="宋体"/>
          <w:color w:val="auto"/>
          <w:szCs w:val="21"/>
          <w:highlight w:val="none"/>
        </w:rPr>
        <w:t>元</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超过</w:t>
      </w:r>
      <w:r>
        <w:rPr>
          <w:rFonts w:hint="eastAsia" w:ascii="宋体" w:hAnsi="宋体" w:eastAsia="宋体" w:cs="宋体"/>
          <w:color w:val="auto"/>
          <w:szCs w:val="21"/>
          <w:highlight w:val="none"/>
        </w:rPr>
        <w:t>最高限价金额</w:t>
      </w:r>
      <w:r>
        <w:rPr>
          <w:rFonts w:hint="eastAsia" w:ascii="宋体" w:hAnsi="宋体" w:cs="宋体"/>
          <w:color w:val="auto"/>
          <w:szCs w:val="21"/>
          <w:highlight w:val="none"/>
          <w:lang w:val="en-US" w:eastAsia="zh-CN"/>
        </w:rPr>
        <w:t>投标无效</w:t>
      </w:r>
      <w:r>
        <w:rPr>
          <w:rFonts w:hint="eastAsia" w:ascii="宋体" w:hAnsi="宋体" w:eastAsia="宋体" w:cs="宋体"/>
          <w:color w:val="auto"/>
          <w:szCs w:val="21"/>
          <w:highlight w:val="none"/>
        </w:rPr>
        <w:t>）</w:t>
      </w:r>
    </w:p>
    <w:tbl>
      <w:tblPr>
        <w:tblStyle w:val="50"/>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1056"/>
        <w:gridCol w:w="805"/>
        <w:gridCol w:w="7431"/>
      </w:tblGrid>
      <w:tr w14:paraId="01AD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0" w:type="dxa"/>
            <w:tcBorders>
              <w:top w:val="single" w:color="auto" w:sz="4" w:space="0"/>
              <w:left w:val="single" w:color="auto" w:sz="4" w:space="0"/>
              <w:bottom w:val="single" w:color="auto" w:sz="4" w:space="0"/>
              <w:right w:val="single" w:color="auto" w:sz="4" w:space="0"/>
            </w:tcBorders>
            <w:noWrap w:val="0"/>
            <w:vAlign w:val="center"/>
          </w:tcPr>
          <w:p w14:paraId="7C47597E">
            <w:pPr>
              <w:shd w:val="clear"/>
              <w:jc w:val="center"/>
              <w:rPr>
                <w:rFonts w:hint="eastAsia" w:ascii="宋体" w:hAnsi="宋体" w:eastAsia="宋体" w:cs="宋体"/>
                <w:b/>
                <w:color w:val="auto"/>
                <w:highlight w:val="none"/>
              </w:rPr>
            </w:pPr>
            <w:r>
              <w:rPr>
                <w:rFonts w:hint="eastAsia" w:ascii="宋体" w:hAnsi="宋体" w:eastAsia="宋体" w:cs="宋体"/>
                <w:b/>
                <w:color w:val="auto"/>
                <w:highlight w:val="none"/>
              </w:rPr>
              <w:t>项号</w:t>
            </w:r>
          </w:p>
        </w:tc>
        <w:tc>
          <w:tcPr>
            <w:tcW w:w="1861" w:type="dxa"/>
            <w:gridSpan w:val="2"/>
            <w:tcBorders>
              <w:top w:val="single" w:color="auto" w:sz="4" w:space="0"/>
              <w:left w:val="single" w:color="auto" w:sz="4" w:space="0"/>
              <w:bottom w:val="single" w:color="auto" w:sz="4" w:space="0"/>
              <w:right w:val="single" w:color="auto" w:sz="4" w:space="0"/>
            </w:tcBorders>
            <w:noWrap w:val="0"/>
            <w:vAlign w:val="center"/>
          </w:tcPr>
          <w:p w14:paraId="1D52A466">
            <w:pPr>
              <w:shd w:val="clear"/>
              <w:jc w:val="center"/>
              <w:rPr>
                <w:rFonts w:hint="eastAsia" w:ascii="宋体" w:hAnsi="宋体" w:eastAsia="宋体" w:cs="宋体"/>
                <w:b/>
                <w:color w:val="auto"/>
                <w:highlight w:val="none"/>
              </w:rPr>
            </w:pPr>
            <w:r>
              <w:rPr>
                <w:rFonts w:hint="eastAsia" w:ascii="宋体" w:hAnsi="宋体" w:eastAsia="宋体" w:cs="宋体"/>
                <w:b/>
                <w:color w:val="auto"/>
                <w:highlight w:val="none"/>
              </w:rPr>
              <w:t>服务</w:t>
            </w:r>
          </w:p>
          <w:p w14:paraId="0CEDDD85">
            <w:pPr>
              <w:shd w:val="clear"/>
              <w:jc w:val="center"/>
              <w:rPr>
                <w:rFonts w:hint="eastAsia" w:ascii="宋体" w:hAnsi="宋体" w:eastAsia="宋体" w:cs="宋体"/>
                <w:b/>
                <w:color w:val="auto"/>
                <w:highlight w:val="none"/>
              </w:rPr>
            </w:pPr>
            <w:r>
              <w:rPr>
                <w:rFonts w:hint="eastAsia" w:ascii="宋体" w:hAnsi="宋体" w:eastAsia="宋体" w:cs="宋体"/>
                <w:b/>
                <w:color w:val="auto"/>
                <w:highlight w:val="none"/>
              </w:rPr>
              <w:t>名称</w:t>
            </w:r>
          </w:p>
        </w:tc>
        <w:tc>
          <w:tcPr>
            <w:tcW w:w="7431" w:type="dxa"/>
            <w:tcBorders>
              <w:top w:val="single" w:color="auto" w:sz="4" w:space="0"/>
              <w:left w:val="single" w:color="auto" w:sz="4" w:space="0"/>
              <w:bottom w:val="single" w:color="auto" w:sz="4" w:space="0"/>
              <w:right w:val="single" w:color="auto" w:sz="4" w:space="0"/>
            </w:tcBorders>
            <w:noWrap w:val="0"/>
            <w:vAlign w:val="center"/>
          </w:tcPr>
          <w:p w14:paraId="42DD672B">
            <w:pPr>
              <w:shd w:val="clear"/>
              <w:jc w:val="center"/>
              <w:rPr>
                <w:rFonts w:hint="eastAsia" w:ascii="宋体" w:hAnsi="宋体" w:eastAsia="宋体" w:cs="宋体"/>
                <w:b/>
                <w:color w:val="auto"/>
                <w:highlight w:val="none"/>
              </w:rPr>
            </w:pPr>
            <w:r>
              <w:rPr>
                <w:rFonts w:hint="eastAsia" w:ascii="宋体" w:hAnsi="宋体" w:eastAsia="宋体" w:cs="宋体"/>
                <w:b/>
                <w:color w:val="auto"/>
                <w:szCs w:val="21"/>
                <w:highlight w:val="none"/>
              </w:rPr>
              <w:t>服务内容和要求</w:t>
            </w:r>
          </w:p>
        </w:tc>
      </w:tr>
      <w:tr w14:paraId="1A1F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70" w:type="dxa"/>
            <w:tcBorders>
              <w:top w:val="single" w:color="auto" w:sz="4" w:space="0"/>
              <w:left w:val="single" w:color="auto" w:sz="4" w:space="0"/>
              <w:bottom w:val="single" w:color="auto" w:sz="4" w:space="0"/>
              <w:right w:val="single" w:color="auto" w:sz="4" w:space="0"/>
            </w:tcBorders>
            <w:noWrap w:val="0"/>
            <w:vAlign w:val="center"/>
          </w:tcPr>
          <w:p w14:paraId="4DA66C07">
            <w:pPr>
              <w:shd w:val="clear"/>
              <w:ind w:firstLine="105" w:firstLineChars="50"/>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861" w:type="dxa"/>
            <w:gridSpan w:val="2"/>
            <w:tcBorders>
              <w:top w:val="single" w:color="auto" w:sz="4" w:space="0"/>
              <w:left w:val="single" w:color="auto" w:sz="4" w:space="0"/>
              <w:bottom w:val="single" w:color="auto" w:sz="4" w:space="0"/>
              <w:right w:val="single" w:color="auto" w:sz="4" w:space="0"/>
            </w:tcBorders>
            <w:noWrap w:val="0"/>
            <w:vAlign w:val="center"/>
          </w:tcPr>
          <w:p w14:paraId="05B1CAE3">
            <w:pPr>
              <w:shd w:val="clear"/>
              <w:spacing w:line="400" w:lineRule="exact"/>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广西壮族自治区妇幼保健院医疗辅助服务项目</w:t>
            </w:r>
          </w:p>
        </w:tc>
        <w:tc>
          <w:tcPr>
            <w:tcW w:w="7431" w:type="dxa"/>
            <w:tcBorders>
              <w:top w:val="single" w:color="auto" w:sz="4" w:space="0"/>
              <w:left w:val="single" w:color="auto" w:sz="4" w:space="0"/>
              <w:bottom w:val="single" w:color="auto" w:sz="4" w:space="0"/>
              <w:right w:val="single" w:color="auto" w:sz="4" w:space="0"/>
            </w:tcBorders>
            <w:noWrap w:val="0"/>
            <w:vAlign w:val="top"/>
          </w:tcPr>
          <w:p w14:paraId="2EF966BB">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一、</w:t>
            </w:r>
            <w:r>
              <w:rPr>
                <w:rFonts w:hint="eastAsia" w:ascii="宋体" w:hAnsi="宋体" w:eastAsia="宋体" w:cs="宋体"/>
                <w:b/>
                <w:color w:val="auto"/>
                <w:sz w:val="21"/>
                <w:szCs w:val="21"/>
                <w:highlight w:val="none"/>
              </w:rPr>
              <w:t>项目需求人数</w:t>
            </w:r>
          </w:p>
          <w:p w14:paraId="57C53DC5">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bookmarkStart w:id="38" w:name="auto_fouce_1"/>
            <w:r>
              <w:rPr>
                <w:rFonts w:hint="eastAsia" w:ascii="宋体" w:hAnsi="宋体" w:cs="宋体"/>
                <w:color w:val="auto"/>
                <w:sz w:val="21"/>
                <w:szCs w:val="21"/>
                <w:highlight w:val="none"/>
                <w:lang w:val="en-US" w:eastAsia="zh-CN"/>
              </w:rPr>
              <w:t>本次招标拟招</w:t>
            </w:r>
            <w:r>
              <w:rPr>
                <w:rFonts w:hint="eastAsia" w:ascii="宋体" w:hAnsi="宋体" w:eastAsia="宋体" w:cs="宋体"/>
                <w:color w:val="auto"/>
                <w:sz w:val="21"/>
                <w:szCs w:val="21"/>
                <w:highlight w:val="none"/>
              </w:rPr>
              <w:t>医疗辅助人员（以下简称“医辅人员”）26名。合同履行期间内医辅人员的岗位数量由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根据工作需要确定，上限不超过26名。</w:t>
            </w:r>
          </w:p>
          <w:p w14:paraId="01521F0D">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医辅人员基本条件</w:t>
            </w:r>
            <w:bookmarkEnd w:id="38"/>
          </w:p>
          <w:p w14:paraId="51AE45CA">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39" w:name="auto_fouce_2"/>
            <w:r>
              <w:rPr>
                <w:rFonts w:hint="eastAsia" w:ascii="宋体" w:hAnsi="宋体" w:eastAsia="宋体" w:cs="宋体"/>
                <w:color w:val="auto"/>
                <w:sz w:val="21"/>
                <w:szCs w:val="21"/>
                <w:highlight w:val="none"/>
              </w:rPr>
              <w:t>遵守法律法规，具有良好的职业道德，无违规违纪情况。</w:t>
            </w:r>
          </w:p>
          <w:p w14:paraId="057A9E66">
            <w:pPr>
              <w:keepNext w:val="0"/>
              <w:keepLines w:val="0"/>
              <w:pageBreakBefore w:val="0"/>
              <w:numPr>
                <w:ilvl w:val="0"/>
                <w:numId w:val="0"/>
              </w:numPr>
              <w:shd w:val="clear"/>
              <w:kinsoku/>
              <w:wordWrap/>
              <w:overflowPunct/>
              <w:topLinePunct w:val="0"/>
              <w:autoSpaceDE/>
              <w:autoSpaceDN/>
              <w:bidi w:val="0"/>
              <w:adjustRightInd/>
              <w:snapToGrid/>
              <w:spacing w:line="40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2.热爱医疗卫生事业，有意向从事医疗辅助服务工作。</w:t>
            </w:r>
          </w:p>
          <w:p w14:paraId="753721D0">
            <w:pPr>
              <w:keepNext w:val="0"/>
              <w:keepLines w:val="0"/>
              <w:pageBreakBefore w:val="0"/>
              <w:numPr>
                <w:ilvl w:val="0"/>
                <w:numId w:val="0"/>
              </w:numPr>
              <w:shd w:val="clear"/>
              <w:kinsoku/>
              <w:wordWrap/>
              <w:overflowPunct/>
              <w:topLinePunct w:val="0"/>
              <w:autoSpaceDE/>
              <w:autoSpaceDN/>
              <w:bidi w:val="0"/>
              <w:adjustRightInd/>
              <w:snapToGrid/>
              <w:spacing w:line="40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3.中专及以上学历，医学类、护理类等专业，身体健康。</w:t>
            </w:r>
          </w:p>
          <w:p w14:paraId="2A6D9A43">
            <w:pPr>
              <w:keepNext w:val="0"/>
              <w:keepLines w:val="0"/>
              <w:pageBreakBefore w:val="0"/>
              <w:numPr>
                <w:ilvl w:val="0"/>
                <w:numId w:val="0"/>
              </w:numPr>
              <w:shd w:val="clear"/>
              <w:kinsoku/>
              <w:wordWrap/>
              <w:overflowPunct/>
              <w:topLinePunct w:val="0"/>
              <w:autoSpaceDE/>
              <w:autoSpaceDN/>
              <w:bidi w:val="0"/>
              <w:adjustRightInd/>
              <w:snapToGrid/>
              <w:spacing w:line="40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入职时</w:t>
            </w:r>
            <w:r>
              <w:rPr>
                <w:rFonts w:hint="eastAsia" w:ascii="宋体" w:hAnsi="宋体" w:eastAsia="宋体" w:cs="宋体"/>
                <w:color w:val="auto"/>
                <w:sz w:val="21"/>
                <w:szCs w:val="21"/>
                <w:highlight w:val="none"/>
              </w:rPr>
              <w:t>年龄不超过45周岁。</w:t>
            </w:r>
            <w:bookmarkEnd w:id="39"/>
          </w:p>
          <w:p w14:paraId="04F08AD9">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乙方服务内容</w:t>
            </w:r>
          </w:p>
          <w:p w14:paraId="46E9EFE7">
            <w:pPr>
              <w:pStyle w:val="7"/>
              <w:keepNext w:val="0"/>
              <w:keepLines w:val="0"/>
              <w:pageBreakBefore w:val="0"/>
              <w:numPr>
                <w:ilvl w:val="0"/>
                <w:numId w:val="1"/>
              </w:numPr>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color w:val="auto"/>
                <w:sz w:val="21"/>
                <w:szCs w:val="21"/>
                <w:highlight w:val="none"/>
              </w:rPr>
            </w:pPr>
            <w:bookmarkStart w:id="40" w:name="auto_fouce_3"/>
            <w:r>
              <w:rPr>
                <w:rFonts w:hint="eastAsia" w:ascii="宋体" w:hAnsi="宋体" w:eastAsia="宋体" w:cs="宋体"/>
                <w:color w:val="auto"/>
                <w:sz w:val="21"/>
                <w:szCs w:val="21"/>
                <w:highlight w:val="none"/>
              </w:rPr>
              <w:t>当</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有新增需求需要</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增加人员时,</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收到</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人员招聘需求起10个工作日内完成人员招聘工作，包括发布招聘启事、报名资格审核、面试、考核、体检（要求在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完成）、试岗等。经</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用工科室认可、组织人事部备案后方可上岗。</w:t>
            </w:r>
          </w:p>
          <w:p w14:paraId="3AA4A196">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2.与医辅人员签订劳动合同并进行劳动合同期管理，包括医辅人员个人信息录入、招用工手续办理、离职手续办理、医辅离职面谈等。</w:t>
            </w:r>
            <w:bookmarkEnd w:id="40"/>
          </w:p>
          <w:p w14:paraId="3FA92FFC">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3.医辅人员工作档案管理，包括纸质档案材料的收集、鉴别、整理、归档和保管，办理查阅和传递，依托纸质劳动合同/档案建立医辅人员电子信息档案等。</w:t>
            </w:r>
          </w:p>
          <w:p w14:paraId="0E0DEB9D">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4.完成医辅人员的岗前培训、医辅专业培训等必要的上岗培训，包含职业道德、保密、信息安全、劳动安全、专业技能教育等。</w:t>
            </w:r>
          </w:p>
          <w:p w14:paraId="7C45F45B">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5.制作工资发放表与发放工资，扣缴个人所得税、个人社会保险费，并经</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审核。</w:t>
            </w:r>
          </w:p>
          <w:p w14:paraId="7C605971">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6.社会保险（包括养老、医疗、生育、工伤和失业保险）的增减员、费用缴纳、鉴定、理赔、申领、转移等相关业务办理。</w:t>
            </w:r>
          </w:p>
          <w:p w14:paraId="3B2D29DE">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7.办理工伤、工亡人员善后事务处理，理赔谈判与费用申领等手续。</w:t>
            </w:r>
          </w:p>
          <w:p w14:paraId="7E1D93A0">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8.为医辅人员出具以档案为依据的证明材料，办理结婚、生育、升学等相关证明手续。</w:t>
            </w:r>
          </w:p>
          <w:p w14:paraId="2507489E">
            <w:pPr>
              <w:pStyle w:val="7"/>
              <w:keepNext w:val="0"/>
              <w:keepLines w:val="0"/>
              <w:pageBreakBefore w:val="0"/>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9.劳动争议调解、仲裁、诉讼事务处理。</w:t>
            </w:r>
          </w:p>
          <w:p w14:paraId="012BF7BB">
            <w:pPr>
              <w:pStyle w:val="7"/>
              <w:keepNext w:val="0"/>
              <w:keepLines w:val="0"/>
              <w:pageBreakBefore w:val="0"/>
              <w:shd w:val="clear"/>
              <w:kinsoku/>
              <w:wordWrap/>
              <w:overflowPunct/>
              <w:topLinePunct w:val="0"/>
              <w:autoSpaceDE/>
              <w:autoSpaceDN/>
              <w:bidi w:val="0"/>
              <w:adjustRightInd/>
              <w:snapToGrid/>
              <w:spacing w:line="400" w:lineRule="exact"/>
              <w:ind w:left="0" w:leftChars="0"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医辅人员工作内容</w:t>
            </w:r>
          </w:p>
          <w:p w14:paraId="2B18E36B">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w:t>
            </w:r>
            <w:r>
              <w:rPr>
                <w:rFonts w:hint="eastAsia" w:ascii="宋体" w:hAnsi="宋体" w:eastAsia="宋体" w:cs="宋体"/>
                <w:color w:val="auto"/>
                <w:sz w:val="21"/>
                <w:szCs w:val="21"/>
                <w:highlight w:val="none"/>
              </w:rPr>
              <w:t>协助维护诊室/办公区秩序，保持环境安静整洁，及时补充诊疗用品。</w:t>
            </w:r>
          </w:p>
          <w:p w14:paraId="32C8A0F5">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2.</w:t>
            </w:r>
            <w:r>
              <w:rPr>
                <w:rFonts w:hint="eastAsia" w:ascii="宋体" w:hAnsi="宋体" w:eastAsia="宋体" w:cs="宋体"/>
                <w:color w:val="auto"/>
                <w:sz w:val="21"/>
                <w:szCs w:val="21"/>
                <w:highlight w:val="none"/>
              </w:rPr>
              <w:t>准确录入诊疗结果至指定信息系统，协助整理、归档医疗文书及申请单等。</w:t>
            </w:r>
          </w:p>
          <w:p w14:paraId="726CD4F7">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3.</w:t>
            </w:r>
            <w:r>
              <w:rPr>
                <w:rFonts w:hint="eastAsia" w:ascii="宋体" w:hAnsi="宋体" w:eastAsia="宋体" w:cs="宋体"/>
                <w:color w:val="auto"/>
                <w:sz w:val="21"/>
                <w:szCs w:val="21"/>
                <w:highlight w:val="none"/>
              </w:rPr>
              <w:t>协助患者完成检验、检查、缴费等流程；解答常规问题，不得擅自解释病情或结果。</w:t>
            </w:r>
          </w:p>
          <w:p w14:paraId="2CCB9E78">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4.</w:t>
            </w:r>
            <w:r>
              <w:rPr>
                <w:rFonts w:hint="eastAsia" w:ascii="宋体" w:hAnsi="宋体" w:eastAsia="宋体" w:cs="宋体"/>
                <w:color w:val="auto"/>
                <w:sz w:val="21"/>
                <w:szCs w:val="21"/>
                <w:highlight w:val="none"/>
              </w:rPr>
              <w:t>协助申请多科会诊，收集、复印、提交会诊资料。</w:t>
            </w:r>
          </w:p>
          <w:p w14:paraId="33810127">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5.</w:t>
            </w:r>
            <w:r>
              <w:rPr>
                <w:rFonts w:hint="eastAsia" w:ascii="宋体" w:hAnsi="宋体" w:eastAsia="宋体" w:cs="宋体"/>
                <w:color w:val="auto"/>
                <w:sz w:val="21"/>
                <w:szCs w:val="21"/>
                <w:highlight w:val="none"/>
              </w:rPr>
              <w:t>协助高危患者/妊娠孕妇的体检、专家管理、数据整理及电话随访。</w:t>
            </w:r>
          </w:p>
          <w:p w14:paraId="4651DFE4">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6.</w:t>
            </w:r>
            <w:r>
              <w:rPr>
                <w:rFonts w:hint="eastAsia" w:ascii="宋体" w:hAnsi="宋体" w:eastAsia="宋体" w:cs="宋体"/>
                <w:color w:val="auto"/>
                <w:sz w:val="21"/>
                <w:szCs w:val="21"/>
                <w:highlight w:val="none"/>
              </w:rPr>
              <w:t>完成特定科室的医疗辅助工作，如接收、登记、核对病理标本及收费；负责玻片、蜡块、申请单等档案的归档、借还及保管。</w:t>
            </w:r>
          </w:p>
          <w:p w14:paraId="55D3A8BC">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7.</w:t>
            </w:r>
            <w:r>
              <w:rPr>
                <w:rFonts w:hint="eastAsia" w:ascii="宋体" w:hAnsi="宋体" w:eastAsia="宋体" w:cs="宋体"/>
                <w:color w:val="auto"/>
                <w:sz w:val="21"/>
                <w:szCs w:val="21"/>
                <w:highlight w:val="none"/>
              </w:rPr>
              <w:t>协助完成科室安排的其他医疗辅助相关工作。</w:t>
            </w:r>
          </w:p>
          <w:p w14:paraId="51929366">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医辅人员工作要求</w:t>
            </w:r>
          </w:p>
          <w:p w14:paraId="32C6B05C">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w:t>
            </w:r>
            <w:r>
              <w:rPr>
                <w:rFonts w:hint="eastAsia" w:ascii="宋体" w:hAnsi="宋体" w:eastAsia="宋体" w:cs="宋体"/>
                <w:color w:val="auto"/>
                <w:sz w:val="21"/>
                <w:szCs w:val="21"/>
                <w:highlight w:val="none"/>
              </w:rPr>
              <w:t>严格遵守医院及科室各项规章制度，服从科主任、护士长及医生的指导与管理，配合完成各项工作任务。</w:t>
            </w:r>
          </w:p>
          <w:p w14:paraId="173EA7CF">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2.</w:t>
            </w:r>
            <w:r>
              <w:rPr>
                <w:rFonts w:hint="eastAsia" w:ascii="宋体" w:hAnsi="宋体" w:eastAsia="宋体" w:cs="宋体"/>
                <w:color w:val="auto"/>
                <w:sz w:val="21"/>
                <w:szCs w:val="21"/>
                <w:highlight w:val="none"/>
              </w:rPr>
              <w:t>不得代医生签署任何医疗文书；言行不得有违背医生诊疗意见的表述；尊重患者隐私，不得私自复制、外传任何医疗信息，不得将患者物品或医疗信息以任何形式外泄或他用。</w:t>
            </w:r>
          </w:p>
          <w:p w14:paraId="5D0335C5">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3.</w:t>
            </w:r>
            <w:r>
              <w:rPr>
                <w:rFonts w:hint="eastAsia" w:ascii="宋体" w:hAnsi="宋体" w:eastAsia="宋体" w:cs="宋体"/>
                <w:color w:val="auto"/>
                <w:sz w:val="21"/>
                <w:szCs w:val="21"/>
                <w:highlight w:val="none"/>
              </w:rPr>
              <w:t>不得私自收费，不得擅自介绍患者到外院就诊，不得将化验标本送检外院；未经医生签字确认的医疗文书（如门诊病历、住院证等）不得擅自交给患者或家属。</w:t>
            </w:r>
          </w:p>
          <w:p w14:paraId="6C72EE21">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4.</w:t>
            </w:r>
            <w:r>
              <w:rPr>
                <w:rFonts w:hint="eastAsia" w:ascii="宋体" w:hAnsi="宋体" w:eastAsia="宋体" w:cs="宋体"/>
                <w:color w:val="auto"/>
                <w:sz w:val="21"/>
                <w:szCs w:val="21"/>
                <w:highlight w:val="none"/>
              </w:rPr>
              <w:t>工作期间不得擅自离岗，协助医生完成诊疗结果录入、问诊预约、就医引导、会诊资料整理等任务；不得独自解释检查结果、病情或预后判断。</w:t>
            </w:r>
          </w:p>
          <w:p w14:paraId="7D17FABC">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5.</w:t>
            </w:r>
            <w:r>
              <w:rPr>
                <w:rFonts w:hint="eastAsia" w:ascii="宋体" w:hAnsi="宋体" w:eastAsia="宋体" w:cs="宋体"/>
                <w:color w:val="auto"/>
                <w:sz w:val="21"/>
                <w:szCs w:val="21"/>
                <w:highlight w:val="none"/>
              </w:rPr>
              <w:t>爱岗敬业，举止文明，尊重他人，团结协作，正确处理与医生、护士及其他医辅人员的关系。</w:t>
            </w:r>
          </w:p>
          <w:p w14:paraId="3103B200">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6.</w:t>
            </w:r>
            <w:r>
              <w:rPr>
                <w:rFonts w:hint="eastAsia" w:ascii="宋体" w:hAnsi="宋体" w:eastAsia="宋体" w:cs="宋体"/>
                <w:color w:val="auto"/>
                <w:sz w:val="21"/>
                <w:szCs w:val="21"/>
                <w:highlight w:val="none"/>
              </w:rPr>
              <w:t>保持诊室或办公区安静有序、及时补充诊疗用品、规范整理归档各类医疗文书及标本，确保工作环境整洁有序等。</w:t>
            </w:r>
          </w:p>
          <w:p w14:paraId="2409C233">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bookmarkStart w:id="41" w:name="tip_risk_bookmark_4"/>
            <w:r>
              <w:rPr>
                <w:rFonts w:hint="eastAsia" w:ascii="宋体" w:hAnsi="宋体" w:eastAsia="宋体" w:cs="宋体"/>
                <w:b/>
                <w:color w:val="auto"/>
                <w:kern w:val="2"/>
                <w:sz w:val="21"/>
                <w:szCs w:val="21"/>
                <w:highlight w:val="none"/>
                <w:u w:val="none" w:color="auto"/>
                <w:lang w:val="en-US" w:eastAsia="zh-CN" w:bidi="ar-SA"/>
              </w:rPr>
              <w:t>六、</w:t>
            </w:r>
            <w:r>
              <w:rPr>
                <w:rFonts w:hint="eastAsia" w:ascii="宋体" w:hAnsi="宋体" w:eastAsia="宋体" w:cs="宋体"/>
                <w:b/>
                <w:color w:val="auto"/>
                <w:sz w:val="21"/>
                <w:szCs w:val="21"/>
                <w:highlight w:val="none"/>
              </w:rPr>
              <w:t>医辅人员服务费标准</w:t>
            </w:r>
            <w:bookmarkEnd w:id="41"/>
            <w:r>
              <w:rPr>
                <w:rFonts w:hint="eastAsia" w:ascii="宋体" w:hAnsi="宋体" w:eastAsia="宋体" w:cs="宋体"/>
                <w:b/>
                <w:color w:val="auto"/>
                <w:sz w:val="21"/>
                <w:szCs w:val="21"/>
                <w:highlight w:val="none"/>
              </w:rPr>
              <w:t xml:space="preserve"> </w:t>
            </w:r>
          </w:p>
          <w:tbl>
            <w:tblPr>
              <w:tblStyle w:val="5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6"/>
              <w:gridCol w:w="1107"/>
              <w:gridCol w:w="1107"/>
              <w:gridCol w:w="2070"/>
              <w:gridCol w:w="2240"/>
            </w:tblGrid>
            <w:tr w14:paraId="53D9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76360B">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岗位</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5C8B0E">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人数（人）①</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9CECB2">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月份（月）②</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781A2B">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服务费单价控制价（元/人/月）③-上控价</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14:paraId="6C663508">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服务费总额预算（元）④=①*②*③</w:t>
                  </w:r>
                </w:p>
              </w:tc>
            </w:tr>
            <w:tr w14:paraId="7948B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 w:hRule="atLeast"/>
              </w:trPr>
              <w:tc>
                <w:tcPr>
                  <w:tcW w:w="0" w:type="auto"/>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9679A1">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医辅人员</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0F76D165">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26</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7F0DB84F">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24</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511C214D">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5000</w:t>
                  </w:r>
                </w:p>
              </w:tc>
              <w:tc>
                <w:tcPr>
                  <w:tcW w:w="0" w:type="auto"/>
                  <w:tcBorders>
                    <w:top w:val="single" w:color="000000" w:sz="4" w:space="0"/>
                    <w:left w:val="single" w:color="000000" w:sz="4" w:space="0"/>
                    <w:bottom w:val="single" w:color="000000" w:sz="4" w:space="0"/>
                    <w:right w:val="single" w:color="000000" w:sz="4" w:space="0"/>
                    <w:tl2br w:val="nil"/>
                    <w:tr2bl w:val="nil"/>
                  </w:tcBorders>
                  <w:noWrap/>
                  <w:vAlign w:val="center"/>
                </w:tcPr>
                <w:p w14:paraId="48B2AD1D">
                  <w:pPr>
                    <w:keepNext w:val="0"/>
                    <w:keepLines w:val="0"/>
                    <w:pageBreakBefore w:val="0"/>
                    <w:widowControl/>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3120000</w:t>
                  </w:r>
                </w:p>
              </w:tc>
            </w:tr>
          </w:tbl>
          <w:p w14:paraId="095A2785">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服务费包含但不限于以下项目：</w:t>
            </w:r>
          </w:p>
          <w:p w14:paraId="5B30126C">
            <w:pPr>
              <w:keepNext w:val="0"/>
              <w:keepLines w:val="0"/>
              <w:pageBreakBefore w:val="0"/>
              <w:numPr>
                <w:ilvl w:val="0"/>
                <w:numId w:val="0"/>
              </w:numPr>
              <w:shd w:val="clear"/>
              <w:kinsoku/>
              <w:wordWrap/>
              <w:overflowPunct/>
              <w:topLinePunct w:val="0"/>
              <w:autoSpaceDE/>
              <w:autoSpaceDN/>
              <w:bidi w:val="0"/>
              <w:adjustRightInd/>
              <w:snapToGrid/>
              <w:spacing w:line="40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w:t>
            </w:r>
            <w:r>
              <w:rPr>
                <w:rFonts w:hint="eastAsia" w:ascii="宋体" w:hAnsi="宋体" w:eastAsia="宋体" w:cs="宋体"/>
                <w:color w:val="auto"/>
                <w:sz w:val="21"/>
                <w:szCs w:val="21"/>
                <w:highlight w:val="none"/>
              </w:rPr>
              <w:t>基本费用：包括医辅人员工资（不低于服务所在地最低工资标准）、社会保险费（包括养老、医疗、生育、工伤和失业保险）、个税、政策性上调服务所在地最低工资标准和社保差额部分等。</w:t>
            </w:r>
          </w:p>
          <w:p w14:paraId="369231E8">
            <w:pPr>
              <w:keepNext w:val="0"/>
              <w:keepLines w:val="0"/>
              <w:pageBreakBefore w:val="0"/>
              <w:numPr>
                <w:ilvl w:val="0"/>
                <w:numId w:val="0"/>
              </w:numPr>
              <w:shd w:val="clear"/>
              <w:kinsoku/>
              <w:wordWrap/>
              <w:overflowPunct/>
              <w:topLinePunct w:val="0"/>
              <w:autoSpaceDE/>
              <w:autoSpaceDN/>
              <w:bidi w:val="0"/>
              <w:adjustRightInd/>
              <w:snapToGrid/>
              <w:spacing w:line="400" w:lineRule="exact"/>
              <w:ind w:firstLine="420" w:firstLineChars="200"/>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2.</w:t>
            </w:r>
            <w:r>
              <w:rPr>
                <w:rFonts w:hint="eastAsia" w:ascii="宋体" w:hAnsi="宋体" w:eastAsia="宋体" w:cs="宋体"/>
                <w:color w:val="auto"/>
                <w:sz w:val="21"/>
                <w:szCs w:val="21"/>
                <w:highlight w:val="none"/>
              </w:rPr>
              <w:t>管理费（含</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依法缴纳的各项税费）。</w:t>
            </w:r>
          </w:p>
          <w:p w14:paraId="512FCD44">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考核</w:t>
            </w:r>
          </w:p>
          <w:p w14:paraId="7F911A62">
            <w:pPr>
              <w:keepNext w:val="0"/>
              <w:keepLines w:val="0"/>
              <w:pageBreakBefore w:val="0"/>
              <w:shd w:val="clear"/>
              <w:kinsoku/>
              <w:wordWrap/>
              <w:overflowPunct/>
              <w:topLinePunct w:val="0"/>
              <w:autoSpaceDE/>
              <w:autoSpaceDN/>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1.对</w:t>
            </w:r>
            <w:r>
              <w:rPr>
                <w:rFonts w:hint="eastAsia" w:ascii="宋体" w:hAnsi="宋体" w:eastAsia="宋体" w:cs="宋体"/>
                <w:b/>
                <w:color w:val="auto"/>
                <w:sz w:val="21"/>
                <w:szCs w:val="21"/>
                <w:highlight w:val="none"/>
                <w:lang w:eastAsia="zh-CN"/>
              </w:rPr>
              <w:t>中标人</w:t>
            </w:r>
            <w:r>
              <w:rPr>
                <w:rFonts w:hint="eastAsia" w:ascii="宋体" w:hAnsi="宋体" w:eastAsia="宋体" w:cs="宋体"/>
                <w:b/>
                <w:color w:val="auto"/>
                <w:sz w:val="21"/>
                <w:szCs w:val="21"/>
                <w:highlight w:val="none"/>
              </w:rPr>
              <w:t>的考核</w:t>
            </w:r>
          </w:p>
          <w:p w14:paraId="51FC566B">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strike/>
                <w:color w:val="auto"/>
                <w:sz w:val="21"/>
                <w:szCs w:val="21"/>
                <w:highlight w:val="none"/>
              </w:rPr>
            </w:pP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制定考核标准，考核结果作为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支付</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服务费的依据。合同期内，</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可根据实际工作需要调整考核标准，</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提出异议不影响调整后的考核标准先行执行，双方协商不成的，仍以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确定的考核标准为准。</w:t>
            </w:r>
          </w:p>
          <w:p w14:paraId="62F754C0">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w:t>
            </w:r>
            <w:r>
              <w:rPr>
                <w:rFonts w:hint="eastAsia" w:ascii="宋体" w:hAnsi="宋体" w:eastAsia="宋体" w:cs="宋体"/>
                <w:color w:val="auto"/>
                <w:sz w:val="21"/>
                <w:szCs w:val="21"/>
                <w:highlight w:val="none"/>
              </w:rPr>
              <w:t>考核部门分工及权重。组织人事部考核占20%（详见</w:t>
            </w:r>
            <w:r>
              <w:rPr>
                <w:rFonts w:hint="eastAsia" w:ascii="宋体" w:hAnsi="宋体" w:eastAsia="宋体" w:cs="宋体"/>
                <w:color w:val="auto"/>
                <w:sz w:val="21"/>
                <w:szCs w:val="21"/>
                <w:highlight w:val="none"/>
                <w:lang w:val="en-US" w:eastAsia="zh-CN"/>
              </w:rPr>
              <w:t>本章</w:t>
            </w:r>
            <w:r>
              <w:rPr>
                <w:rFonts w:hint="eastAsia" w:ascii="宋体" w:hAnsi="宋体" w:eastAsia="宋体" w:cs="宋体"/>
                <w:color w:val="auto"/>
                <w:sz w:val="21"/>
                <w:szCs w:val="21"/>
                <w:highlight w:val="none"/>
              </w:rPr>
              <w:t>附件1），用工科室考核占80%(考核内容由用工科室制定)。</w:t>
            </w:r>
          </w:p>
          <w:p w14:paraId="35BCE0F1">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（2）</w:t>
            </w:r>
            <w:r>
              <w:rPr>
                <w:rFonts w:hint="eastAsia" w:ascii="宋体" w:hAnsi="宋体" w:eastAsia="宋体" w:cs="宋体"/>
                <w:color w:val="auto"/>
                <w:sz w:val="21"/>
                <w:szCs w:val="21"/>
                <w:highlight w:val="none"/>
              </w:rPr>
              <w:t>考核周期：每月进行考核。</w:t>
            </w:r>
          </w:p>
          <w:p w14:paraId="19A1EBD5">
            <w:pPr>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（3）</w:t>
            </w:r>
            <w:r>
              <w:rPr>
                <w:rFonts w:hint="eastAsia" w:ascii="宋体" w:hAnsi="宋体" w:eastAsia="宋体" w:cs="宋体"/>
                <w:color w:val="auto"/>
                <w:sz w:val="21"/>
                <w:szCs w:val="21"/>
                <w:highlight w:val="none"/>
              </w:rPr>
              <w:t>考核结果与</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管理费挂钩：满分100分，得分90分及以上为合格；低于90分的（不含90分），每降低1分则扣除当月</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总服务费的千分之二。连续两个月考核得分低于90分的，或单次考核得分低于80分的，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有权单方解除</w:t>
            </w:r>
            <w:r>
              <w:rPr>
                <w:rFonts w:hint="eastAsia" w:ascii="宋体" w:hAnsi="宋体" w:eastAsia="宋体" w:cs="宋体"/>
                <w:color w:val="auto"/>
                <w:sz w:val="21"/>
                <w:szCs w:val="21"/>
                <w:highlight w:val="none"/>
                <w:lang w:val="en-US" w:eastAsia="zh-CN"/>
              </w:rPr>
              <w:t>已签订的政府采购合同</w:t>
            </w:r>
            <w:r>
              <w:rPr>
                <w:rFonts w:hint="eastAsia" w:ascii="宋体" w:hAnsi="宋体" w:eastAsia="宋体" w:cs="宋体"/>
                <w:color w:val="auto"/>
                <w:sz w:val="21"/>
                <w:szCs w:val="21"/>
                <w:highlight w:val="none"/>
              </w:rPr>
              <w:t>，并要求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按照合同总金额的5%支付违约金。</w:t>
            </w:r>
          </w:p>
          <w:p w14:paraId="2E4F8EF4">
            <w:pPr>
              <w:keepNext w:val="0"/>
              <w:keepLines w:val="0"/>
              <w:pageBreakBefore w:val="0"/>
              <w:shd w:val="clear"/>
              <w:kinsoku/>
              <w:wordWrap/>
              <w:overflowPunct/>
              <w:topLinePunct w:val="0"/>
              <w:autoSpaceDE/>
              <w:autoSpaceDN/>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2.对医辅人员的考核</w:t>
            </w:r>
          </w:p>
          <w:p w14:paraId="2BEAD6A7">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用工科室根据医辅人员的工作内容按月对医辅人员进行考核(考核内容由用工科室制定)，并做好考勤登记（详见本章附件</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），考勤、考核结果作为</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每月发放医辅人员薪酬的依据。合同期内，</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可根据实际工作需要调整考核标准，</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提出异议不影响调整后的考核标准先行执行，双方协商不成的，仍以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确定的考核标准为准。</w:t>
            </w:r>
          </w:p>
          <w:p w14:paraId="1C13B468">
            <w:pPr>
              <w:keepNext w:val="0"/>
              <w:keepLines w:val="0"/>
              <w:pageBreakBefore w:val="0"/>
              <w:shd w:val="clear"/>
              <w:kinsoku/>
              <w:wordWrap/>
              <w:overflowPunct/>
              <w:topLinePunct w:val="0"/>
              <w:autoSpaceDE/>
              <w:autoSpaceDN/>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医辅人员月度考核不合格的，</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应当按照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要求在5日内更换合格人员，逾期未更换的，每逾期1日，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有权扣除该空缺岗位对应日服务费，并按</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当月服务费总额的万分之五加收违约金。违约金直接从当月服务费中扣除。</w:t>
            </w:r>
          </w:p>
          <w:p w14:paraId="2D4D2578">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服务费计算方式</w:t>
            </w:r>
          </w:p>
          <w:p w14:paraId="07AB7394">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每月服务费按实际出勤人数和天数据实结算。</w:t>
            </w:r>
          </w:p>
          <w:p w14:paraId="7B71407F">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当月发生合同约定的考核扣款、违约金及其他应扣款项时，</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在按实际出勤人数和天数据实结算基础上，扣减上述款项后支付服务费。</w:t>
            </w:r>
          </w:p>
          <w:p w14:paraId="7C743B1F">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3.当新入职的医辅人员工作3天内（含第3天）辞职时，</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不支付任何服务费；当新入职医辅人员工作满3天后按实际出勤天数计算费用，如当月新入职医辅人员与即将辞职医辅人员在同一岗位（或做同类工作）发生重叠工作时间，</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只按一人岗位全勤计费。</w:t>
            </w:r>
          </w:p>
          <w:p w14:paraId="6779782F">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rPr>
              <w:t>4.在全勤的情况下，</w:t>
            </w:r>
            <w:r>
              <w:rPr>
                <w:rFonts w:hint="eastAsia" w:ascii="宋体" w:hAnsi="宋体" w:eastAsia="宋体" w:cs="宋体"/>
                <w:color w:val="auto"/>
                <w:sz w:val="21"/>
                <w:szCs w:val="21"/>
                <w:highlight w:val="none"/>
              </w:rPr>
              <w:t>当月工作人数超出合同约定的医辅人员数时以合同约定人数计费，超出人数</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不支付任何服务费。</w:t>
            </w:r>
          </w:p>
          <w:p w14:paraId="653F61E0">
            <w:pPr>
              <w:pStyle w:val="7"/>
              <w:keepNext w:val="0"/>
              <w:keepLines w:val="0"/>
              <w:pageBreakBefore w:val="0"/>
              <w:shd w:val="clear"/>
              <w:kinsoku/>
              <w:wordWrap/>
              <w:overflowPunct/>
              <w:topLinePunct w:val="0"/>
              <w:autoSpaceDE/>
              <w:autoSpaceDN/>
              <w:bidi w:val="0"/>
              <w:adjustRightInd/>
              <w:snapToGrid/>
              <w:spacing w:line="400" w:lineRule="exact"/>
              <w:ind w:left="0" w:leftChars="0"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w:t>
            </w:r>
            <w:r>
              <w:rPr>
                <w:rFonts w:hint="eastAsia" w:ascii="宋体" w:hAnsi="宋体" w:eastAsia="宋体" w:cs="宋体"/>
                <w:b/>
                <w:color w:val="auto"/>
                <w:sz w:val="21"/>
                <w:szCs w:val="21"/>
                <w:highlight w:val="none"/>
                <w:lang w:eastAsia="zh-CN"/>
              </w:rPr>
              <w:t>、采购人</w:t>
            </w:r>
            <w:r>
              <w:rPr>
                <w:rFonts w:hint="eastAsia" w:ascii="宋体" w:hAnsi="宋体" w:eastAsia="宋体" w:cs="宋体"/>
                <w:b/>
                <w:color w:val="auto"/>
                <w:sz w:val="21"/>
                <w:szCs w:val="21"/>
                <w:highlight w:val="none"/>
              </w:rPr>
              <w:t>职责</w:t>
            </w:r>
          </w:p>
          <w:p w14:paraId="257503C3">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的工作内容和要求执行服务项目，对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提供服务内容和质量进行考评和监督检查。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违反合同有关条款的行为提出书面意见，并要求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7日内予以改正。</w:t>
            </w:r>
          </w:p>
          <w:p w14:paraId="710576CA">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2.</w:t>
            </w:r>
            <w:r>
              <w:rPr>
                <w:rFonts w:hint="eastAsia" w:ascii="宋体" w:hAnsi="宋体" w:eastAsia="宋体" w:cs="宋体"/>
                <w:color w:val="auto"/>
                <w:sz w:val="21"/>
                <w:szCs w:val="21"/>
                <w:highlight w:val="none"/>
              </w:rPr>
              <w:t>为确保</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医疗辅助服务质量及临床科室服务保障水平，合同履行期间需求岗位数量由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确定，服务</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遵照执行。</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可根据实际运营需要自行增配人员，增配部分</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不另行支付服务费，由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自愿免费提供。</w:t>
            </w:r>
          </w:p>
          <w:p w14:paraId="23362902">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3.</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因院区搬迁、科室调整或其他工作原因需要进行医辅人员增减调整时，</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须无条件配合</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执行。</w:t>
            </w:r>
          </w:p>
          <w:p w14:paraId="05F076F8">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4.</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现行的管理模式对医辅人员进行管理，</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对医辅人员的工作安排可以提出意见和要求。</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有权根据工作需要，要求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在5日内撤换不符合岗位要求的医辅人员，</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应当在5日内完成撤换并补充符合要求的人员到岗，</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逾期未补充到岗的，每缺岗1日，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有权扣除该空缺岗位对应日服务费，并按</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当月服务费总额的万分之五加收违约金。违约金直接从当月服务费中扣除。</w:t>
            </w:r>
          </w:p>
          <w:p w14:paraId="2852049B">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5.</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用工科室负责对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招聘的医辅人员进行复试和考核，复试及考核结果合格的，</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方可聘用。</w:t>
            </w:r>
          </w:p>
          <w:p w14:paraId="3F05143F">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6.</w:t>
            </w:r>
            <w:r>
              <w:rPr>
                <w:rFonts w:hint="eastAsia" w:ascii="宋体" w:hAnsi="宋体" w:eastAsia="宋体" w:cs="宋体"/>
                <w:color w:val="auto"/>
                <w:sz w:val="21"/>
                <w:szCs w:val="21"/>
                <w:highlight w:val="none"/>
              </w:rPr>
              <w:t>未经</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同意，正常上班工作时间内，各科室医辅人员应各司其职，不得跨岗兼职。每发现一人次，按100元/天/人处罚。</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应合理安排医辅人员休息和工作时间，确保各岗位服务保障到位。</w:t>
            </w:r>
          </w:p>
          <w:p w14:paraId="170AB640">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7.</w:t>
            </w:r>
            <w:r>
              <w:rPr>
                <w:rFonts w:hint="eastAsia" w:ascii="宋体" w:hAnsi="宋体" w:eastAsia="宋体" w:cs="宋体"/>
                <w:color w:val="auto"/>
                <w:sz w:val="21"/>
                <w:szCs w:val="21"/>
                <w:highlight w:val="none"/>
              </w:rPr>
              <w:t>医辅人员休假须经</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用工科室同意，用工科室每月前5个工作日完成考核，并将考勤情况交给</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签字确认。医辅人员因婚丧假、病事假和工伤假、年休假、陪产假等原因造成岗位空缺的，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在岗位空缺3日（含自然日）内安排符合条件的医辅人员顶岗。</w:t>
            </w:r>
          </w:p>
          <w:p w14:paraId="007098EA">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8.</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有权审定</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制定的涉及服务</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的各项管理制度，并视工作要求对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制度的执行进行监督检查。</w:t>
            </w:r>
          </w:p>
          <w:p w14:paraId="75E1A188">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9.</w:t>
            </w:r>
            <w:r>
              <w:rPr>
                <w:rFonts w:hint="eastAsia" w:ascii="宋体" w:hAnsi="宋体" w:eastAsia="宋体" w:cs="宋体"/>
                <w:color w:val="auto"/>
                <w:sz w:val="21"/>
                <w:szCs w:val="21"/>
                <w:highlight w:val="none"/>
              </w:rPr>
              <w:t>因</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违反甲乙双方签订的合同，或</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不能满足</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项目正常服务需求，给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造成工作不便或不良影响的，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有权单方解除合同，</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应承担相应违约责任。</w:t>
            </w:r>
          </w:p>
          <w:p w14:paraId="7232247E">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10.</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不得要求医辅人员从事违规、违章操作和危害公益的工作。如因违规、违章操作和危害公益行为给</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或医辅人员造成损害，</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应向</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赔偿由此而产生的直接经济损失。</w:t>
            </w:r>
          </w:p>
          <w:p w14:paraId="37F4D013">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11.</w:t>
            </w:r>
            <w:r>
              <w:rPr>
                <w:rFonts w:hint="eastAsia" w:ascii="宋体" w:hAnsi="宋体" w:eastAsia="宋体" w:cs="宋体"/>
                <w:color w:val="auto"/>
                <w:sz w:val="21"/>
                <w:szCs w:val="21"/>
                <w:highlight w:val="none"/>
              </w:rPr>
              <w:t>医辅人员发生工伤事故时，</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应协助</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管理人员及时送伤者就医治疗，医疗费用由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先行垫付相关费用，则</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需在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垫付之日起3个工作日内一次性足额返还给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。未按要求时间返还的，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有权单方面从应付</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的任何款项中直接扣除相应垫付费用及因此产生的合理费用。</w:t>
            </w:r>
          </w:p>
          <w:p w14:paraId="417BE0D1">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12.</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规定提供</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医辅人员工作服的洗涤服务。但不向</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提供办公用地和交通工具停放点。</w:t>
            </w:r>
          </w:p>
          <w:p w14:paraId="66F149B3">
            <w:pPr>
              <w:keepNext w:val="0"/>
              <w:keepLines w:val="0"/>
              <w:pageBreakBefore w:val="0"/>
              <w:numPr>
                <w:ilvl w:val="0"/>
                <w:numId w:val="0"/>
              </w:numPr>
              <w:shd w:val="clear"/>
              <w:kinsoku/>
              <w:wordWrap/>
              <w:overflowPunct/>
              <w:topLinePunct w:val="0"/>
              <w:autoSpaceDE/>
              <w:autoSpaceDN/>
              <w:bidi w:val="0"/>
              <w:adjustRightInd/>
              <w:snapToGrid/>
              <w:spacing w:line="400" w:lineRule="exact"/>
              <w:outlineLvl w:val="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w:t>
            </w:r>
            <w:r>
              <w:rPr>
                <w:rFonts w:hint="eastAsia" w:ascii="宋体" w:hAnsi="宋体" w:eastAsia="宋体" w:cs="宋体"/>
                <w:b/>
                <w:color w:val="auto"/>
                <w:sz w:val="21"/>
                <w:szCs w:val="21"/>
                <w:highlight w:val="none"/>
                <w:lang w:eastAsia="zh-CN"/>
              </w:rPr>
              <w:t>、中标人</w:t>
            </w:r>
            <w:r>
              <w:rPr>
                <w:rFonts w:hint="eastAsia" w:ascii="宋体" w:hAnsi="宋体" w:eastAsia="宋体" w:cs="宋体"/>
                <w:b/>
                <w:color w:val="auto"/>
                <w:sz w:val="21"/>
                <w:szCs w:val="21"/>
                <w:highlight w:val="none"/>
              </w:rPr>
              <w:t>职责</w:t>
            </w:r>
          </w:p>
          <w:p w14:paraId="65FD4B71">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应安排专职管理人员具体负责项目的各种日常事务和协调解决各类情况问题，确保项目顺利实施。</w:t>
            </w:r>
          </w:p>
          <w:p w14:paraId="253CF7F5">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应按照</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用工岗位的工作内容（职责）及有关规定建立健全科学合理的岗前培训（</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可以协助完成部分培训工作）和人员管理制度等。</w:t>
            </w:r>
          </w:p>
          <w:p w14:paraId="538BC5E0">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有新增需求需要</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增加人员时,</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收到</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人员招聘需求起10个工作日内完成人员招聘工作，包括发布招聘启事、报名资格审核、面试、考核、体检（要求在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体检）、试岗等。经</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用工科室认可、组织人事部备案后方可上岗。</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逾期未完成招聘并安排符合要求的人员上岗的，每逾期一日扣除</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当月服务费总额的万分之五，逾期超过7日的，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有权另行委托第三方完成招聘，产生的全部费用由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有权从应付</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的服务费中直接扣除该费用。</w:t>
            </w:r>
          </w:p>
          <w:p w14:paraId="330D4B6B">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按国家《劳动法》《劳动合同法》《社会保险法》等法律法规履行相关用工手续，与医辅人员签订劳动合同、缴纳社会保险和签订保密协议，并做好一系列人员管理工作。医辅人员属</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工作人员，与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不存在任何形式上的劳动关系。因</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原因导致的任何劳动争议、工伤、社保等法律责任，均由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独立承担，与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无关。医辅人员发生的劳动争议、治安和刑事案件以及法律法规规定的其他情形，由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承担责任义务或法律和经济责任。</w:t>
            </w:r>
          </w:p>
          <w:p w14:paraId="05CF2E55">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按月支付医辅人员工资待遇。</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应在收到</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 xml:space="preserve">支付服务费起3个工作日内向医辅人员支付相应劳动报酬，不得无故克扣、拖欠医辅人员工资或社会保险。                                                           </w:t>
            </w:r>
          </w:p>
          <w:p w14:paraId="30724FF2">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6.医辅人员提出辞职的，</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在同意解除其劳动合同前需提前30日通知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并征得</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同意。</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未提前30日通知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并征得</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同意即同意医辅人员辞职，造成</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岗位空缺的，每空缺一日扣除</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当月服务费总额的万分之五，同时</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应当在3日内补充符合要求的人员到岗，每逾期一日扣除</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当月服务费总额的千分之一。</w:t>
            </w:r>
          </w:p>
          <w:p w14:paraId="1EF61319">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应保守</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的商业秘密和保护患者隐私，不得以任何方式泄露。若因</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或其医辅人员工作失职或故意透露</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商业秘密或患者隐私的，由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及其医辅人员对</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或患者的损失承担全部赔偿责任。造成经济损失的，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可直接从应付</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的任何款项中直接扣除。</w:t>
            </w:r>
          </w:p>
          <w:p w14:paraId="1AED3673">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必须加强对医辅人员安全生产（工作）教育，防止工伤事故的发生，如发生工伤事故，由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按《工伤保险条例》处理并承担医辅人员工伤或工亡的法律和经济补偿责任。</w:t>
            </w:r>
          </w:p>
          <w:p w14:paraId="7A190466">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9.依法解除或终止医辅人员劳动合同时由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承担经济补偿金；项目合同期内因</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规模性裁员所产生的经济补偿金，也全部由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p>
          <w:p w14:paraId="03080D79">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负责核实、管理派驻到</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医辅人员的职业注册资料，包括职业注册、延续注册、变更注册、重新注册、注销注册等。</w:t>
            </w:r>
          </w:p>
          <w:p w14:paraId="1282CF12">
            <w:pPr>
              <w:pStyle w:val="7"/>
              <w:keepNext w:val="0"/>
              <w:keepLines w:val="0"/>
              <w:pageBreakBefore w:val="0"/>
              <w:numPr>
                <w:ilvl w:val="0"/>
                <w:numId w:val="0"/>
              </w:numPr>
              <w:shd w:val="clear"/>
              <w:kinsoku/>
              <w:wordWrap/>
              <w:overflowPunct/>
              <w:topLinePunct w:val="0"/>
              <w:autoSpaceDE/>
              <w:autoSpaceDN/>
              <w:bidi w:val="0"/>
              <w:adjustRightInd/>
              <w:snapToGrid/>
              <w:spacing w:line="400" w:lineRule="exact"/>
              <w:ind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需要支付的各类税费(含残疾人就业保障金等)由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自行承担。</w:t>
            </w:r>
          </w:p>
        </w:tc>
      </w:tr>
      <w:tr w14:paraId="11B9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62" w:type="dxa"/>
            <w:gridSpan w:val="4"/>
            <w:tcBorders>
              <w:top w:val="single" w:color="auto" w:sz="4" w:space="0"/>
              <w:left w:val="single" w:color="auto" w:sz="4" w:space="0"/>
              <w:bottom w:val="single" w:color="auto" w:sz="4" w:space="0"/>
              <w:right w:val="single" w:color="auto" w:sz="4" w:space="0"/>
            </w:tcBorders>
            <w:noWrap w:val="0"/>
            <w:vAlign w:val="center"/>
          </w:tcPr>
          <w:p w14:paraId="6F4D6905">
            <w:pPr>
              <w:shd w:val="clea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商务要求表</w:t>
            </w:r>
          </w:p>
        </w:tc>
      </w:tr>
      <w:tr w14:paraId="14BD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2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A1C13E0">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▲合同签订</w:t>
            </w:r>
          </w:p>
        </w:tc>
        <w:tc>
          <w:tcPr>
            <w:tcW w:w="823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124F1C2">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自</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rPr>
              <w:t>通知书发出之日起25日内。</w:t>
            </w:r>
          </w:p>
        </w:tc>
      </w:tr>
      <w:tr w14:paraId="2369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2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29929B7">
            <w:pPr>
              <w:keepNext w:val="0"/>
              <w:keepLines w:val="0"/>
              <w:pageBreakBefore w:val="0"/>
              <w:widowControl w:val="0"/>
              <w:shd w:val="clear"/>
              <w:tabs>
                <w:tab w:val="left" w:pos="180"/>
                <w:tab w:val="left" w:pos="1620"/>
              </w:tabs>
              <w:kinsoku/>
              <w:wordWrap/>
              <w:overflowPunct/>
              <w:topLinePunct w:val="0"/>
              <w:autoSpaceDE w:val="0"/>
              <w:autoSpaceDN w:val="0"/>
              <w:bidi w:val="0"/>
              <w:adjustRightInd/>
              <w:snapToGrid/>
              <w:spacing w:beforeLines="0" w:afterLines="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▲服务期限</w:t>
            </w:r>
          </w:p>
        </w:tc>
        <w:tc>
          <w:tcPr>
            <w:tcW w:w="823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6BDC026">
            <w:pPr>
              <w:pStyle w:val="163"/>
              <w:keepNext w:val="0"/>
              <w:keepLines w:val="0"/>
              <w:pageBreakBefore w:val="0"/>
              <w:widowControl w:val="0"/>
              <w:shd w:val="clear"/>
              <w:kinsoku/>
              <w:wordWrap/>
              <w:overflowPunct/>
              <w:topLinePunct w:val="0"/>
              <w:bidi w:val="0"/>
              <w:adjustRightInd/>
              <w:snapToGrid/>
              <w:spacing w:beforeLines="0" w:afterLines="0" w:line="400" w:lineRule="exact"/>
              <w:ind w:left="0" w:left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自签订合同之日起2年。</w:t>
            </w:r>
          </w:p>
        </w:tc>
      </w:tr>
      <w:tr w14:paraId="136B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2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9E6E56C">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▲服务地点</w:t>
            </w:r>
          </w:p>
        </w:tc>
        <w:tc>
          <w:tcPr>
            <w:tcW w:w="823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F20B547">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广西壮族自治区妇幼保健院（具体工作地点由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统筹安排）。</w:t>
            </w:r>
          </w:p>
        </w:tc>
      </w:tr>
      <w:tr w14:paraId="7C6D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62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D66A74E">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p w14:paraId="125579AD">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（服务费支付方式）</w:t>
            </w:r>
          </w:p>
        </w:tc>
        <w:tc>
          <w:tcPr>
            <w:tcW w:w="823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D79A719">
            <w:pPr>
              <w:keepNext w:val="0"/>
              <w:keepLines w:val="0"/>
              <w:pageBreakBefore w:val="0"/>
              <w:widowControl w:val="0"/>
              <w:numPr>
                <w:ilvl w:val="0"/>
                <w:numId w:val="0"/>
              </w:numPr>
              <w:shd w:val="clear"/>
              <w:kinsoku/>
              <w:wordWrap/>
              <w:overflowPunct/>
              <w:topLinePunct w:val="0"/>
              <w:autoSpaceDE w:val="0"/>
              <w:autoSpaceDN w:val="0"/>
              <w:bidi w:val="0"/>
              <w:adjustRightInd/>
              <w:snapToGrid/>
              <w:spacing w:beforeLines="0" w:afterLines="0"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u w:val="none" w:color="auto"/>
                <w:lang w:val="en-US" w:eastAsia="zh-CN" w:bidi="ar-SA"/>
              </w:rPr>
              <w:t>1.</w:t>
            </w:r>
            <w:r>
              <w:rPr>
                <w:rFonts w:hint="eastAsia" w:ascii="宋体" w:hAnsi="宋体" w:eastAsia="宋体" w:cs="宋体"/>
                <w:color w:val="auto"/>
                <w:sz w:val="21"/>
                <w:szCs w:val="21"/>
                <w:highlight w:val="none"/>
                <w:lang w:val="zh-CN"/>
              </w:rPr>
              <w:t>每月支付服务费前，中标人须向采购人提供上一个月采购人用工科室考核结果、医辅人员考勤表、考核表、花名册和社会保险缴纳情况等材料。</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同时提供合法合规、真实有效的增值税发票。</w:t>
            </w:r>
          </w:p>
          <w:p w14:paraId="16063879">
            <w:pPr>
              <w:keepNext w:val="0"/>
              <w:keepLines w:val="0"/>
              <w:pageBreakBefore w:val="0"/>
              <w:widowControl w:val="0"/>
              <w:numPr>
                <w:ilvl w:val="0"/>
                <w:numId w:val="0"/>
              </w:numPr>
              <w:shd w:val="clear"/>
              <w:kinsoku/>
              <w:wordWrap/>
              <w:overflowPunct/>
              <w:topLinePunct w:val="0"/>
              <w:autoSpaceDE w:val="0"/>
              <w:autoSpaceDN w:val="0"/>
              <w:bidi w:val="0"/>
              <w:adjustRightInd/>
              <w:snapToGrid/>
              <w:spacing w:beforeLines="0" w:afterLines="0"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每月在收到</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提交的全部合规材料并审核无误后以转账方式向</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支付上一个月服务费；若</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提交材料存在虚假、遗漏或不符合要求的，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有权顺延付款直至材料补正合格。</w:t>
            </w:r>
          </w:p>
        </w:tc>
      </w:tr>
      <w:tr w14:paraId="1FCF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62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0B81FA2">
            <w:pPr>
              <w:keepNext w:val="0"/>
              <w:keepLines w:val="0"/>
              <w:pageBreakBefore w:val="0"/>
              <w:widowControl w:val="0"/>
              <w:shd w:val="clear"/>
              <w:kinsoku/>
              <w:wordWrap/>
              <w:overflowPunct/>
              <w:topLinePunct w:val="0"/>
              <w:autoSpaceDE w:val="0"/>
              <w:autoSpaceDN w:val="0"/>
              <w:bidi w:val="0"/>
              <w:adjustRightInd/>
              <w:snapToGrid/>
              <w:spacing w:beforeLines="0" w:afterLines="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▲违约责任及争议处理</w:t>
            </w:r>
          </w:p>
        </w:tc>
        <w:tc>
          <w:tcPr>
            <w:tcW w:w="823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E950168">
            <w:pPr>
              <w:pStyle w:val="7"/>
              <w:keepNext w:val="0"/>
              <w:keepLines w:val="0"/>
              <w:pageBreakBefore w:val="0"/>
              <w:widowControl w:val="0"/>
              <w:shd w:val="clear"/>
              <w:kinsoku/>
              <w:wordWrap/>
              <w:overflowPunct/>
              <w:topLinePunct w:val="0"/>
              <w:bidi w:val="0"/>
              <w:adjustRightInd/>
              <w:snapToGrid/>
              <w:spacing w:beforeLines="0" w:afterLines="0"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供应商应对其资质真实性、合法性负责。如因</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资质不符合要求或资质失效，给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造成损失的，</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应依法承担全部赔偿责任，且</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有权解除合同并不予支付任何费用。</w:t>
            </w:r>
          </w:p>
          <w:p w14:paraId="4C99B4AD">
            <w:pPr>
              <w:keepNext w:val="0"/>
              <w:keepLines w:val="0"/>
              <w:pageBreakBefore w:val="0"/>
              <w:widowControl w:val="0"/>
              <w:shd w:val="clear"/>
              <w:kinsoku/>
              <w:wordWrap/>
              <w:overflowPunct/>
              <w:topLinePunct w:val="0"/>
              <w:bidi w:val="0"/>
              <w:adjustRightInd/>
              <w:snapToGrid/>
              <w:spacing w:beforeLines="0" w:afterLines="0"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除不可抗力外，如果</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没有按照本合同约定的期限、地点和方式交付标的物，</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支付违约金，违约金按每迟延交付标的物一日的应交付而未交付标的物价格的万分之五计算，最高限额为本合同总价的20%；迟延超过7个工作日的，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有权在要求</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支付迟延履行合同违约金的同时，书面通知</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解除本合同，</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无条件接受并按合同总金额的5%向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支付解除合同而产生的违约金，并赔偿</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因此遭受的全部损失。</w:t>
            </w:r>
          </w:p>
          <w:p w14:paraId="419C4B82">
            <w:pPr>
              <w:keepNext w:val="0"/>
              <w:keepLines w:val="0"/>
              <w:pageBreakBefore w:val="0"/>
              <w:widowControl w:val="0"/>
              <w:shd w:val="clear"/>
              <w:kinsoku/>
              <w:wordWrap/>
              <w:overflowPunct/>
              <w:topLinePunct w:val="0"/>
              <w:bidi w:val="0"/>
              <w:adjustRightInd/>
              <w:snapToGrid/>
              <w:spacing w:beforeLines="0" w:afterLines="0"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守约方有权单方书面通知违约方解除本合同。</w:t>
            </w:r>
          </w:p>
          <w:p w14:paraId="60C44A55">
            <w:pPr>
              <w:keepNext w:val="0"/>
              <w:keepLines w:val="0"/>
              <w:pageBreakBefore w:val="0"/>
              <w:widowControl w:val="0"/>
              <w:shd w:val="clear"/>
              <w:kinsoku/>
              <w:wordWrap/>
              <w:overflowPunct/>
              <w:topLinePunct w:val="0"/>
              <w:bidi w:val="0"/>
              <w:adjustRightInd/>
              <w:snapToGrid/>
              <w:spacing w:beforeLines="0" w:afterLines="0"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提供的服务如侵犯了第三方合法权益而引发的任何纠纷或者诉讼，均由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负责交涉并承担全部责任，并赔偿因此给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造成的全部直接损失。</w:t>
            </w:r>
          </w:p>
          <w:p w14:paraId="4AFD23B1">
            <w:pPr>
              <w:keepNext w:val="0"/>
              <w:keepLines w:val="0"/>
              <w:pageBreakBefore w:val="0"/>
              <w:widowControl w:val="0"/>
              <w:shd w:val="clear"/>
              <w:kinsoku/>
              <w:wordWrap/>
              <w:overflowPunct/>
              <w:topLinePunct w:val="0"/>
              <w:bidi w:val="0"/>
              <w:adjustRightInd/>
              <w:snapToGrid/>
              <w:spacing w:beforeLines="0" w:afterLines="0"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违反本合同约定或法律规定的，应当赔偿给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造成的全部损失，包括但不限于直接损失、预期利益损失、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向第三人支付的违约金、赔偿金及</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为维护自身权益而支出的诉讼费、律师费、公证费、保全费、诉讼保全保险费、鉴定费、评估费等全部费用。</w:t>
            </w:r>
          </w:p>
          <w:p w14:paraId="7FD42F4C">
            <w:pPr>
              <w:keepNext w:val="0"/>
              <w:keepLines w:val="0"/>
              <w:pageBreakBefore w:val="0"/>
              <w:widowControl w:val="0"/>
              <w:shd w:val="clear"/>
              <w:kinsoku/>
              <w:wordWrap/>
              <w:overflowPunct/>
              <w:topLinePunct w:val="0"/>
              <w:bidi w:val="0"/>
              <w:adjustRightInd/>
              <w:snapToGrid/>
              <w:spacing w:beforeLines="0" w:afterLines="0"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如果出现政府采购监督管理部门在处理投诉事项期间，书面通知</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暂停采购活动的情形，或者询问或质疑事项可能影响中标结果的，导致</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中止履行合同的情形，均不视为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违约。</w:t>
            </w:r>
          </w:p>
          <w:p w14:paraId="27CBDE8B">
            <w:pPr>
              <w:keepNext w:val="0"/>
              <w:keepLines w:val="0"/>
              <w:pageBreakBefore w:val="0"/>
              <w:widowControl w:val="0"/>
              <w:shd w:val="clear"/>
              <w:kinsoku/>
              <w:wordWrap/>
              <w:overflowPunct/>
              <w:topLinePunct w:val="0"/>
              <w:bidi w:val="0"/>
              <w:adjustRightInd/>
              <w:snapToGrid/>
              <w:spacing w:beforeLines="0" w:afterLines="0"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本合同履行过程中发生的任何争议，双方当事人均应通过友好协商的方式和解或者调解解决；不愿和解、调解或者和解、调解不成的，可以向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所在地有管辖权的人民法院起诉。诉讼期间，本合同继续履行。</w:t>
            </w:r>
          </w:p>
        </w:tc>
      </w:tr>
      <w:tr w14:paraId="69A2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2FA72E0">
            <w:pPr>
              <w:shd w:val="clear"/>
              <w:spacing w:beforeLines="0" w:afterLines="0" w:line="400" w:lineRule="exact"/>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szCs w:val="24"/>
                <w:highlight w:val="none"/>
              </w:rPr>
              <w:t>其他要求</w:t>
            </w:r>
          </w:p>
        </w:tc>
        <w:tc>
          <w:tcPr>
            <w:tcW w:w="8236" w:type="dxa"/>
            <w:gridSpan w:val="2"/>
            <w:tcBorders>
              <w:top w:val="single" w:color="auto" w:sz="4" w:space="0"/>
              <w:left w:val="single" w:color="auto" w:sz="4" w:space="0"/>
              <w:bottom w:val="single" w:color="auto" w:sz="4" w:space="0"/>
              <w:right w:val="single" w:color="auto" w:sz="4" w:space="0"/>
            </w:tcBorders>
            <w:noWrap w:val="0"/>
            <w:vAlign w:val="center"/>
          </w:tcPr>
          <w:p w14:paraId="13B5C344">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一、总体要求</w:t>
            </w:r>
          </w:p>
          <w:p w14:paraId="56B0A2A7">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w:t>
            </w:r>
            <w:r>
              <w:rPr>
                <w:rFonts w:hint="eastAsia" w:ascii="宋体" w:hAnsi="宋体" w:eastAsia="宋体" w:cs="宋体"/>
                <w:color w:val="auto"/>
                <w:sz w:val="21"/>
                <w:szCs w:val="24"/>
                <w:highlight w:val="none"/>
                <w:lang w:val="en-US" w:eastAsia="zh-CN"/>
              </w:rPr>
              <w:t>.</w:t>
            </w:r>
            <w:r>
              <w:rPr>
                <w:rFonts w:hint="eastAsia" w:ascii="宋体" w:hAnsi="宋体" w:eastAsia="宋体" w:cs="宋体"/>
                <w:color w:val="auto"/>
                <w:sz w:val="21"/>
                <w:szCs w:val="24"/>
                <w:highlight w:val="none"/>
              </w:rPr>
              <w:t>供应商可按照采购需求在</w:t>
            </w:r>
            <w:r>
              <w:rPr>
                <w:rFonts w:hint="eastAsia" w:ascii="宋体" w:hAnsi="宋体" w:eastAsia="宋体" w:cs="宋体"/>
                <w:color w:val="auto"/>
                <w:sz w:val="21"/>
                <w:szCs w:val="24"/>
                <w:highlight w:val="none"/>
                <w:lang w:val="en-US" w:eastAsia="zh-CN"/>
              </w:rPr>
              <w:t>投标</w:t>
            </w:r>
            <w:r>
              <w:rPr>
                <w:rFonts w:hint="eastAsia" w:ascii="宋体" w:hAnsi="宋体" w:eastAsia="宋体" w:cs="宋体"/>
                <w:color w:val="auto"/>
                <w:sz w:val="21"/>
                <w:szCs w:val="24"/>
                <w:highlight w:val="none"/>
              </w:rPr>
              <w:t>文件中提供详细、科学、可行的技术方案。</w:t>
            </w:r>
          </w:p>
          <w:p w14:paraId="7F8D74B7">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w:t>
            </w:r>
            <w:r>
              <w:rPr>
                <w:rFonts w:hint="eastAsia" w:ascii="宋体" w:hAnsi="宋体" w:eastAsia="宋体" w:cs="宋体"/>
                <w:color w:val="auto"/>
                <w:sz w:val="21"/>
                <w:szCs w:val="24"/>
                <w:highlight w:val="none"/>
                <w:lang w:val="en-US" w:eastAsia="zh-CN"/>
              </w:rPr>
              <w:t>.</w:t>
            </w:r>
            <w:r>
              <w:rPr>
                <w:rFonts w:hint="eastAsia" w:ascii="宋体" w:hAnsi="宋体" w:eastAsia="宋体" w:cs="宋体"/>
                <w:color w:val="auto"/>
                <w:sz w:val="21"/>
                <w:szCs w:val="24"/>
                <w:highlight w:val="none"/>
              </w:rPr>
              <w:t>供应商如有可在</w:t>
            </w:r>
            <w:r>
              <w:rPr>
                <w:rFonts w:hint="eastAsia" w:ascii="宋体" w:hAnsi="宋体" w:eastAsia="宋体" w:cs="宋体"/>
                <w:color w:val="auto"/>
                <w:sz w:val="21"/>
                <w:szCs w:val="24"/>
                <w:highlight w:val="none"/>
                <w:lang w:val="en-US" w:eastAsia="zh-CN"/>
              </w:rPr>
              <w:t>投标</w:t>
            </w:r>
            <w:r>
              <w:rPr>
                <w:rFonts w:hint="eastAsia" w:ascii="宋体" w:hAnsi="宋体" w:eastAsia="宋体" w:cs="宋体"/>
                <w:color w:val="auto"/>
                <w:sz w:val="21"/>
                <w:szCs w:val="24"/>
                <w:highlight w:val="none"/>
              </w:rPr>
              <w:t>文件中提供服务承诺以及与本项目相关的信誉、业绩、奖项等证明材料。</w:t>
            </w:r>
          </w:p>
          <w:p w14:paraId="461C8505">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二、其它</w:t>
            </w:r>
          </w:p>
          <w:p w14:paraId="2F70E260">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w:t>
            </w:r>
            <w:r>
              <w:rPr>
                <w:rFonts w:hint="eastAsia" w:ascii="宋体" w:hAnsi="宋体" w:eastAsia="宋体" w:cs="宋体"/>
                <w:color w:val="auto"/>
                <w:sz w:val="21"/>
                <w:szCs w:val="24"/>
                <w:highlight w:val="none"/>
                <w:lang w:val="en-US" w:eastAsia="zh-CN"/>
              </w:rPr>
              <w:t>.</w:t>
            </w:r>
            <w:r>
              <w:rPr>
                <w:rFonts w:hint="eastAsia" w:ascii="宋体" w:hAnsi="宋体" w:eastAsia="宋体" w:cs="宋体"/>
                <w:color w:val="auto"/>
                <w:sz w:val="21"/>
                <w:szCs w:val="24"/>
                <w:highlight w:val="none"/>
              </w:rPr>
              <w:t>供应商须为本项目服务实施投入充足的服务人员，并确保</w:t>
            </w:r>
            <w:r>
              <w:rPr>
                <w:rFonts w:hint="eastAsia" w:ascii="宋体" w:hAnsi="宋体" w:eastAsia="宋体" w:cs="宋体"/>
                <w:color w:val="auto"/>
                <w:sz w:val="21"/>
                <w:szCs w:val="24"/>
                <w:highlight w:val="none"/>
                <w:lang w:eastAsia="zh-CN"/>
              </w:rPr>
              <w:t>投标文件</w:t>
            </w:r>
            <w:r>
              <w:rPr>
                <w:rFonts w:hint="eastAsia" w:ascii="宋体" w:hAnsi="宋体" w:eastAsia="宋体" w:cs="宋体"/>
                <w:color w:val="auto"/>
                <w:sz w:val="21"/>
                <w:szCs w:val="24"/>
                <w:highlight w:val="none"/>
              </w:rPr>
              <w:t>中的人员信息真实、有效。</w:t>
            </w:r>
          </w:p>
          <w:p w14:paraId="2597B857">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szCs w:val="24"/>
                <w:highlight w:val="none"/>
              </w:rPr>
              <w:t>2</w:t>
            </w:r>
            <w:r>
              <w:rPr>
                <w:rFonts w:hint="eastAsia" w:ascii="宋体" w:hAnsi="宋体" w:eastAsia="宋体" w:cs="宋体"/>
                <w:color w:val="auto"/>
                <w:sz w:val="21"/>
                <w:szCs w:val="24"/>
                <w:highlight w:val="none"/>
                <w:lang w:val="en-US" w:eastAsia="zh-CN"/>
              </w:rPr>
              <w:t>.</w:t>
            </w:r>
            <w:r>
              <w:rPr>
                <w:rFonts w:hint="eastAsia" w:ascii="宋体" w:hAnsi="宋体" w:eastAsia="宋体" w:cs="宋体"/>
                <w:color w:val="auto"/>
                <w:sz w:val="21"/>
                <w:szCs w:val="24"/>
                <w:highlight w:val="none"/>
              </w:rPr>
              <w:t>未经采购人允许，不得使用或以其它方式给任何第三方提供本项目的相关信息或数据。</w:t>
            </w:r>
          </w:p>
        </w:tc>
      </w:tr>
      <w:tr w14:paraId="55D9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60358A7">
            <w:pPr>
              <w:shd w:val="clear"/>
              <w:spacing w:beforeLines="0" w:afterLines="0" w:line="400" w:lineRule="exact"/>
              <w:jc w:val="center"/>
              <w:rPr>
                <w:rFonts w:hint="default" w:ascii="宋体" w:hAnsi="宋体" w:eastAsia="宋体" w:cs="宋体"/>
                <w:color w:val="auto"/>
                <w:sz w:val="21"/>
                <w:szCs w:val="24"/>
                <w:highlight w:val="none"/>
                <w:lang w:val="en-US" w:eastAsia="zh-CN"/>
              </w:rPr>
            </w:pPr>
            <w:r>
              <w:rPr>
                <w:rFonts w:hint="eastAsia" w:ascii="宋体" w:hAnsi="宋体" w:cs="宋体"/>
                <w:color w:val="auto"/>
                <w:sz w:val="21"/>
                <w:szCs w:val="24"/>
                <w:highlight w:val="none"/>
                <w:lang w:val="en-US" w:eastAsia="zh-CN"/>
              </w:rPr>
              <w:t>履约保证金</w:t>
            </w:r>
          </w:p>
        </w:tc>
        <w:tc>
          <w:tcPr>
            <w:tcW w:w="8236" w:type="dxa"/>
            <w:gridSpan w:val="2"/>
            <w:tcBorders>
              <w:top w:val="single" w:color="auto" w:sz="4" w:space="0"/>
              <w:left w:val="single" w:color="auto" w:sz="4" w:space="0"/>
              <w:bottom w:val="single" w:color="auto" w:sz="4" w:space="0"/>
              <w:right w:val="single" w:color="auto" w:sz="4" w:space="0"/>
            </w:tcBorders>
            <w:noWrap w:val="0"/>
            <w:vAlign w:val="center"/>
          </w:tcPr>
          <w:p w14:paraId="4C69966A">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履约保证金金额：本项目中标金额的5%（中小企业缴纳数额为中标金额的2%）。</w:t>
            </w:r>
          </w:p>
          <w:p w14:paraId="2DADB173">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履约保证金提交方式：支票、汇票、本票、银行转账或者金融机构、担保机构出具的保函等非现金形式。</w:t>
            </w:r>
          </w:p>
          <w:p w14:paraId="040D146E">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履约保证金指定账户：</w:t>
            </w:r>
          </w:p>
          <w:p w14:paraId="2486AB86">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开户名：广西壮族自治区妇幼保健院</w:t>
            </w:r>
          </w:p>
          <w:p w14:paraId="31EC0E1C">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开户行：交通银行南宁市高新支行</w:t>
            </w:r>
          </w:p>
          <w:p w14:paraId="360A784E">
            <w:pPr>
              <w:keepNext w:val="0"/>
              <w:keepLines w:val="0"/>
              <w:pageBreakBefore w:val="0"/>
              <w:shd w:val="clear"/>
              <w:tabs>
                <w:tab w:val="left" w:pos="180"/>
                <w:tab w:val="left" w:pos="1620"/>
              </w:tabs>
              <w:kinsoku/>
              <w:wordWrap/>
              <w:overflowPunct/>
              <w:topLinePunct w:val="0"/>
              <w:autoSpaceDE/>
              <w:autoSpaceDN/>
              <w:bidi w:val="0"/>
              <w:adjustRightInd/>
              <w:snapToGrid/>
              <w:spacing w:beforeLines="0" w:afterLines="0" w:line="400" w:lineRule="exact"/>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账  号：451060601010160018997</w:t>
            </w:r>
          </w:p>
          <w:p w14:paraId="024781CA">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color w:val="auto"/>
                <w:sz w:val="21"/>
                <w:szCs w:val="24"/>
                <w:highlight w:val="none"/>
              </w:rPr>
            </w:pPr>
            <w:r>
              <w:rPr>
                <w:rFonts w:ascii="宋体" w:hAnsi="宋体"/>
                <w:color w:val="auto"/>
                <w:szCs w:val="21"/>
                <w:highlight w:val="none"/>
              </w:rPr>
              <w:t>备注：在签订合同之前，</w:t>
            </w:r>
            <w:r>
              <w:rPr>
                <w:rFonts w:hint="eastAsia" w:ascii="宋体" w:hAnsi="宋体" w:eastAsia="宋体" w:cs="宋体"/>
                <w:color w:val="auto"/>
                <w:szCs w:val="21"/>
                <w:highlight w:val="none"/>
              </w:rPr>
              <w:t>中标供应商需把履约保证金足额交到采购人指定账户。未提交履约保证金的，不予签订本合同。</w:t>
            </w:r>
            <w:r>
              <w:rPr>
                <w:rFonts w:hint="eastAsia" w:ascii="宋体" w:hAnsi="宋体" w:eastAsia="宋体" w:cs="宋体"/>
                <w:color w:val="auto"/>
                <w:szCs w:val="21"/>
                <w:highlight w:val="none"/>
                <w:lang w:val="en-US" w:eastAsia="zh-CN"/>
              </w:rPr>
              <w:t>服务期满后</w:t>
            </w:r>
            <w:r>
              <w:rPr>
                <w:rFonts w:hint="eastAsia" w:ascii="宋体" w:hAnsi="宋体" w:eastAsia="宋体" w:cs="宋体"/>
                <w:color w:val="auto"/>
                <w:szCs w:val="21"/>
                <w:highlight w:val="none"/>
              </w:rPr>
              <w:t>，采</w:t>
            </w:r>
            <w:r>
              <w:rPr>
                <w:rFonts w:ascii="宋体" w:hAnsi="宋体"/>
                <w:color w:val="auto"/>
                <w:szCs w:val="21"/>
                <w:highlight w:val="none"/>
              </w:rPr>
              <w:t>购人无息退还。</w:t>
            </w:r>
          </w:p>
        </w:tc>
      </w:tr>
    </w:tbl>
    <w:p w14:paraId="291C6441">
      <w:pPr>
        <w:shd w:val="clear"/>
        <w:rPr>
          <w:rFonts w:hint="eastAsia" w:ascii="宋体" w:hAnsi="宋体" w:eastAsia="宋体" w:cs="宋体"/>
          <w:color w:val="auto"/>
          <w:szCs w:val="21"/>
          <w:highlight w:val="none"/>
        </w:rPr>
      </w:pPr>
    </w:p>
    <w:p w14:paraId="07363BA3">
      <w:pPr>
        <w:shd w:val="clear"/>
        <w:spacing w:line="500" w:lineRule="exact"/>
        <w:ind w:left="220" w:hanging="210" w:hangingChars="100"/>
        <w:jc w:val="left"/>
        <w:rPr>
          <w:rFonts w:hint="eastAsia" w:ascii="宋体" w:hAnsi="宋体" w:eastAsia="宋体" w:cs="宋体"/>
          <w:b w:val="0"/>
          <w:bCs w:val="0"/>
          <w:color w:val="auto"/>
          <w:sz w:val="21"/>
          <w:szCs w:val="21"/>
          <w:highlight w:val="none"/>
          <w:lang w:eastAsia="zh-CN"/>
        </w:rPr>
      </w:pPr>
    </w:p>
    <w:p w14:paraId="32879669">
      <w:pPr>
        <w:shd w:val="clear"/>
        <w:spacing w:line="500" w:lineRule="exact"/>
        <w:ind w:left="220" w:hanging="210" w:hangingChars="100"/>
        <w:jc w:val="left"/>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附件</w:t>
      </w:r>
      <w:r>
        <w:rPr>
          <w:rFonts w:hint="eastAsia" w:ascii="宋体" w:hAnsi="宋体" w:eastAsia="宋体" w:cs="宋体"/>
          <w:b w:val="0"/>
          <w:bCs w:val="0"/>
          <w:color w:val="auto"/>
          <w:sz w:val="21"/>
          <w:szCs w:val="21"/>
          <w:highlight w:val="none"/>
          <w:lang w:val="en-US" w:eastAsia="zh-CN"/>
        </w:rPr>
        <w:t>1</w:t>
      </w:r>
    </w:p>
    <w:p w14:paraId="7F2E6506">
      <w:pPr>
        <w:shd w:val="clear"/>
        <w:spacing w:line="360" w:lineRule="exact"/>
        <w:ind w:left="843" w:hanging="632" w:hangingChars="30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广西壮族自治区妇幼保健院医疗辅助</w:t>
      </w:r>
      <w:r>
        <w:rPr>
          <w:rFonts w:hint="eastAsia" w:ascii="宋体" w:hAnsi="宋体" w:eastAsia="宋体" w:cs="宋体"/>
          <w:b/>
          <w:bCs/>
          <w:color w:val="auto"/>
          <w:sz w:val="21"/>
          <w:szCs w:val="21"/>
          <w:highlight w:val="none"/>
          <w:lang w:eastAsia="zh-CN"/>
        </w:rPr>
        <w:t>服务</w:t>
      </w:r>
      <w:r>
        <w:rPr>
          <w:rFonts w:hint="eastAsia" w:ascii="宋体" w:hAnsi="宋体" w:eastAsia="宋体" w:cs="宋体"/>
          <w:b/>
          <w:bCs/>
          <w:color w:val="auto"/>
          <w:sz w:val="21"/>
          <w:szCs w:val="21"/>
          <w:highlight w:val="none"/>
        </w:rPr>
        <w:t>考核表</w:t>
      </w:r>
    </w:p>
    <w:p w14:paraId="7119BEFC">
      <w:pPr>
        <w:shd w:val="clear"/>
        <w:spacing w:line="360" w:lineRule="exact"/>
        <w:ind w:left="843" w:hanging="632" w:hangingChars="30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XXXX年XX月</w:t>
      </w:r>
      <w:r>
        <w:rPr>
          <w:rFonts w:hint="eastAsia" w:ascii="宋体" w:hAnsi="宋体" w:eastAsia="宋体" w:cs="宋体"/>
          <w:b/>
          <w:bCs/>
          <w:color w:val="auto"/>
          <w:sz w:val="21"/>
          <w:szCs w:val="21"/>
          <w:highlight w:val="none"/>
          <w:lang w:eastAsia="zh-CN"/>
        </w:rPr>
        <w:t>）</w:t>
      </w:r>
    </w:p>
    <w:tbl>
      <w:tblPr>
        <w:tblStyle w:val="50"/>
        <w:tblW w:w="9794" w:type="dxa"/>
        <w:jc w:val="center"/>
        <w:tblLayout w:type="fixed"/>
        <w:tblCellMar>
          <w:top w:w="0" w:type="dxa"/>
          <w:left w:w="108" w:type="dxa"/>
          <w:bottom w:w="0" w:type="dxa"/>
          <w:right w:w="108" w:type="dxa"/>
        </w:tblCellMar>
      </w:tblPr>
      <w:tblGrid>
        <w:gridCol w:w="660"/>
        <w:gridCol w:w="720"/>
        <w:gridCol w:w="3831"/>
        <w:gridCol w:w="660"/>
        <w:gridCol w:w="2693"/>
        <w:gridCol w:w="585"/>
        <w:gridCol w:w="645"/>
      </w:tblGrid>
      <w:tr w14:paraId="1BDDA80A">
        <w:tblPrEx>
          <w:tblCellMar>
            <w:top w:w="0" w:type="dxa"/>
            <w:left w:w="108" w:type="dxa"/>
            <w:bottom w:w="0" w:type="dxa"/>
            <w:right w:w="108" w:type="dxa"/>
          </w:tblCellMar>
        </w:tblPrEx>
        <w:trPr>
          <w:trHeight w:val="420" w:hRule="atLeast"/>
          <w:jc w:val="center"/>
        </w:trPr>
        <w:tc>
          <w:tcPr>
            <w:tcW w:w="660" w:type="dxa"/>
            <w:tcBorders>
              <w:top w:val="single" w:color="000000" w:sz="4" w:space="0"/>
              <w:left w:val="single" w:color="000000" w:sz="4" w:space="0"/>
              <w:bottom w:val="nil"/>
              <w:right w:val="single" w:color="000000" w:sz="4" w:space="0"/>
            </w:tcBorders>
            <w:shd w:val="clear" w:color="auto" w:fill="auto"/>
            <w:noWrap/>
            <w:vAlign w:val="center"/>
          </w:tcPr>
          <w:p w14:paraId="58D4928A">
            <w:pPr>
              <w:widowControl/>
              <w:shd w:val="clear"/>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序号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E525">
            <w:pPr>
              <w:widowControl/>
              <w:shd w:val="clear"/>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项目</w:t>
            </w: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A082">
            <w:pPr>
              <w:widowControl/>
              <w:shd w:val="clear"/>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考核要点</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CC7FC">
            <w:pPr>
              <w:widowControl/>
              <w:shd w:val="clear"/>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分值</w:t>
            </w:r>
          </w:p>
        </w:tc>
        <w:tc>
          <w:tcPr>
            <w:tcW w:w="2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C7EA">
            <w:pPr>
              <w:widowControl/>
              <w:shd w:val="clear"/>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计分标准</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4FC3">
            <w:pPr>
              <w:widowControl/>
              <w:shd w:val="clear"/>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得分</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AFDC">
            <w:pPr>
              <w:widowControl/>
              <w:shd w:val="clear"/>
              <w:jc w:val="center"/>
              <w:textAlignment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备注</w:t>
            </w:r>
          </w:p>
        </w:tc>
      </w:tr>
      <w:tr w14:paraId="125A002C">
        <w:tblPrEx>
          <w:tblCellMar>
            <w:top w:w="0" w:type="dxa"/>
            <w:left w:w="108" w:type="dxa"/>
            <w:bottom w:w="0" w:type="dxa"/>
            <w:right w:w="108" w:type="dxa"/>
          </w:tblCellMar>
        </w:tblPrEx>
        <w:trPr>
          <w:trHeight w:val="84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0CD3">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7B4DF18A">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招聘需求</w:t>
            </w:r>
          </w:p>
        </w:tc>
        <w:tc>
          <w:tcPr>
            <w:tcW w:w="3831" w:type="dxa"/>
            <w:tcBorders>
              <w:top w:val="single" w:color="000000" w:sz="4" w:space="0"/>
              <w:left w:val="single" w:color="000000" w:sz="4" w:space="0"/>
              <w:bottom w:val="nil"/>
              <w:right w:val="single" w:color="000000" w:sz="4" w:space="0"/>
            </w:tcBorders>
            <w:shd w:val="clear" w:color="auto" w:fill="auto"/>
            <w:vAlign w:val="center"/>
          </w:tcPr>
          <w:p w14:paraId="0A98B808">
            <w:pPr>
              <w:shd w:val="clea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人员需求满足率100%；如是新签订合同，则从新合同签订生效之日起，一个月内完成工作交接并按</w:t>
            </w:r>
            <w:r>
              <w:rPr>
                <w:rFonts w:hint="eastAsia" w:ascii="宋体" w:hAnsi="宋体" w:eastAsia="宋体" w:cs="宋体"/>
                <w:color w:val="auto"/>
                <w:sz w:val="18"/>
                <w:szCs w:val="18"/>
                <w:highlight w:val="none"/>
                <w:lang w:eastAsia="zh-CN"/>
              </w:rPr>
              <w:t>甲方要求</w:t>
            </w:r>
            <w:r>
              <w:rPr>
                <w:rFonts w:hint="eastAsia" w:ascii="宋体" w:hAnsi="宋体" w:eastAsia="宋体" w:cs="宋体"/>
                <w:color w:val="auto"/>
                <w:sz w:val="18"/>
                <w:szCs w:val="18"/>
                <w:highlight w:val="none"/>
              </w:rPr>
              <w:t>招聘人员上岗。</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069A">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15分</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5A44">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每空缺1人，每人每次扣</w:t>
            </w:r>
            <w:r>
              <w:rPr>
                <w:rFonts w:hint="eastAsia" w:ascii="宋体" w:hAnsi="宋体" w:eastAsia="宋体" w:cs="宋体"/>
                <w:color w:val="auto"/>
                <w:kern w:val="0"/>
                <w:sz w:val="18"/>
                <w:szCs w:val="18"/>
                <w:highlight w:val="none"/>
                <w:lang w:val="en-US" w:eastAsia="zh-CN"/>
              </w:rPr>
              <w:t>2</w:t>
            </w:r>
            <w:r>
              <w:rPr>
                <w:rFonts w:hint="eastAsia" w:ascii="宋体" w:hAnsi="宋体" w:eastAsia="宋体" w:cs="宋体"/>
                <w:color w:val="auto"/>
                <w:kern w:val="0"/>
                <w:sz w:val="18"/>
                <w:szCs w:val="18"/>
                <w:highlight w:val="none"/>
              </w:rPr>
              <w:t>分，扣完为止。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6C408">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249A">
            <w:pPr>
              <w:shd w:val="clear"/>
              <w:rPr>
                <w:rFonts w:hint="eastAsia" w:ascii="宋体" w:hAnsi="宋体" w:eastAsia="宋体" w:cs="宋体"/>
                <w:color w:val="auto"/>
                <w:sz w:val="18"/>
                <w:szCs w:val="18"/>
                <w:highlight w:val="none"/>
              </w:rPr>
            </w:pPr>
          </w:p>
        </w:tc>
      </w:tr>
      <w:tr w14:paraId="3253B59E">
        <w:tblPrEx>
          <w:tblCellMar>
            <w:top w:w="0" w:type="dxa"/>
            <w:left w:w="108" w:type="dxa"/>
            <w:bottom w:w="0" w:type="dxa"/>
            <w:right w:w="108" w:type="dxa"/>
          </w:tblCellMar>
        </w:tblPrEx>
        <w:trPr>
          <w:trHeight w:val="18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A6ED">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2</w:t>
            </w:r>
          </w:p>
        </w:tc>
        <w:tc>
          <w:tcPr>
            <w:tcW w:w="720" w:type="dxa"/>
            <w:tcBorders>
              <w:top w:val="single" w:color="000000" w:sz="4" w:space="0"/>
              <w:left w:val="nil"/>
              <w:bottom w:val="single" w:color="000000" w:sz="4" w:space="0"/>
              <w:right w:val="nil"/>
            </w:tcBorders>
            <w:shd w:val="clear" w:color="auto" w:fill="auto"/>
            <w:vAlign w:val="center"/>
          </w:tcPr>
          <w:p w14:paraId="38C8EAD0">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劳动合同签订</w:t>
            </w:r>
          </w:p>
        </w:tc>
        <w:tc>
          <w:tcPr>
            <w:tcW w:w="3831" w:type="dxa"/>
            <w:tcBorders>
              <w:top w:val="single" w:color="000000" w:sz="4" w:space="0"/>
              <w:left w:val="single" w:color="000000" w:sz="4" w:space="0"/>
              <w:bottom w:val="nil"/>
              <w:right w:val="single" w:color="000000" w:sz="4" w:space="0"/>
            </w:tcBorders>
            <w:shd w:val="clear" w:color="auto" w:fill="auto"/>
            <w:vAlign w:val="center"/>
          </w:tcPr>
          <w:p w14:paraId="63353C4E">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①劳动合同签订率100%（员工试用期满录用后 5 天内签订）；②劳动合同返回时间：合同签订盖章后 15天内返回员工1份，并做好签收记录；③盖章后劳动合同扫描分别发给甲方组织人事部、用工科室备案；④劳动合同台账及时完善，电子版每月分别发给甲方组织人事部、用工科室备案； ⑤特殊岗位签订保密协议；</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0C79">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10分</w:t>
            </w:r>
          </w:p>
        </w:tc>
        <w:tc>
          <w:tcPr>
            <w:tcW w:w="2693" w:type="dxa"/>
            <w:tcBorders>
              <w:top w:val="single" w:color="000000" w:sz="4" w:space="0"/>
              <w:left w:val="nil"/>
              <w:bottom w:val="single" w:color="000000" w:sz="4" w:space="0"/>
              <w:right w:val="single" w:color="000000" w:sz="4" w:space="0"/>
            </w:tcBorders>
            <w:shd w:val="clear" w:color="auto" w:fill="auto"/>
            <w:vAlign w:val="center"/>
          </w:tcPr>
          <w:p w14:paraId="2EC8D841">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超时、错误签订或未及时返回给员工，每人每次扣 1 分；未及时完善劳动合同台账，每人每次扣 1 分；未</w:t>
            </w:r>
            <w:r>
              <w:rPr>
                <w:rFonts w:hint="eastAsia" w:ascii="宋体" w:hAnsi="宋体" w:eastAsia="宋体" w:cs="宋体"/>
                <w:color w:val="auto"/>
                <w:sz w:val="18"/>
                <w:szCs w:val="18"/>
                <w:highlight w:val="none"/>
              </w:rPr>
              <w:t>签订保密协议的，每个岗位扣1分。</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B556">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37C2">
            <w:pPr>
              <w:shd w:val="clear"/>
              <w:rPr>
                <w:rFonts w:hint="eastAsia" w:ascii="宋体" w:hAnsi="宋体" w:eastAsia="宋体" w:cs="宋体"/>
                <w:color w:val="auto"/>
                <w:sz w:val="18"/>
                <w:szCs w:val="18"/>
                <w:highlight w:val="none"/>
              </w:rPr>
            </w:pPr>
          </w:p>
        </w:tc>
      </w:tr>
      <w:tr w14:paraId="7E3782A1">
        <w:tblPrEx>
          <w:tblCellMar>
            <w:top w:w="0" w:type="dxa"/>
            <w:left w:w="108" w:type="dxa"/>
            <w:bottom w:w="0" w:type="dxa"/>
            <w:right w:w="108" w:type="dxa"/>
          </w:tblCellMar>
        </w:tblPrEx>
        <w:trPr>
          <w:trHeight w:val="9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DB07">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3</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5CD7CA5A">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考核考勤和各种报表核算</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2965">
            <w:pPr>
              <w:shd w:val="clear"/>
              <w:jc w:val="left"/>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①每月前5个工作日用工科室完成对乙方工作考核和乙方医辅人员考核，考核结果交给乙方</w:t>
            </w:r>
            <w:r>
              <w:rPr>
                <w:rFonts w:hint="eastAsia" w:ascii="宋体" w:hAnsi="宋体" w:eastAsia="宋体" w:cs="宋体"/>
                <w:color w:val="auto"/>
                <w:sz w:val="18"/>
                <w:szCs w:val="18"/>
                <w:highlight w:val="none"/>
              </w:rPr>
              <w:t>及医辅人员</w:t>
            </w:r>
            <w:r>
              <w:rPr>
                <w:rFonts w:hint="eastAsia" w:ascii="宋体" w:hAnsi="宋体" w:eastAsia="宋体" w:cs="宋体"/>
                <w:color w:val="auto"/>
                <w:kern w:val="0"/>
                <w:sz w:val="18"/>
                <w:szCs w:val="18"/>
                <w:highlight w:val="none"/>
              </w:rPr>
              <w:t>签字确认；②乙方收到考核表、考勤表后3个工作日内完成汇总，制作服务费、管理费、医辅人员工资表等（准确率100%），签章后交给甲方审核、备案。 ③每月乙方收到甲方支付的服务费后3个工作日内， 按时、足额发放员工上个月的工资。杜绝错发、漏发情形。</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9707">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 xml:space="preserve">10分 </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79C4">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①考核、考勤汇总错误每人每次扣 0.5 分；②服务费、管理费核算错误，每人每次扣 1 分；③员工工资：违返《劳动法》和约定条款核算或错发、漏发，每人每次扣1分；④延迟支付员工工资，每延迟1天扣 0.5分，扣完为止。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6080">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014C">
            <w:pPr>
              <w:shd w:val="clear"/>
              <w:rPr>
                <w:rFonts w:hint="eastAsia" w:ascii="宋体" w:hAnsi="宋体" w:eastAsia="宋体" w:cs="宋体"/>
                <w:color w:val="auto"/>
                <w:sz w:val="18"/>
                <w:szCs w:val="18"/>
                <w:highlight w:val="none"/>
              </w:rPr>
            </w:pPr>
          </w:p>
        </w:tc>
      </w:tr>
      <w:tr w14:paraId="783F5F66">
        <w:tblPrEx>
          <w:tblCellMar>
            <w:top w:w="0" w:type="dxa"/>
            <w:left w:w="108" w:type="dxa"/>
            <w:bottom w:w="0" w:type="dxa"/>
            <w:right w:w="108" w:type="dxa"/>
          </w:tblCellMar>
        </w:tblPrEx>
        <w:trPr>
          <w:trHeight w:val="186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DD00">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4</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6AF3C684">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试用期考核和年度考核</w:t>
            </w:r>
          </w:p>
        </w:tc>
        <w:tc>
          <w:tcPr>
            <w:tcW w:w="3831" w:type="dxa"/>
            <w:tcBorders>
              <w:top w:val="single" w:color="000000" w:sz="4" w:space="0"/>
              <w:left w:val="single" w:color="000000" w:sz="4" w:space="0"/>
              <w:bottom w:val="single" w:color="auto" w:sz="4" w:space="0"/>
              <w:right w:val="single" w:color="000000" w:sz="4" w:space="0"/>
            </w:tcBorders>
            <w:shd w:val="clear" w:color="auto" w:fill="auto"/>
            <w:vAlign w:val="center"/>
          </w:tcPr>
          <w:p w14:paraId="02398C6E">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①试用期考核率100%（按双方约定，试用期满后5个工作日内完成考核，经用工科室负责人签字确定→录用；对考核不合格的不予录用，不签订劳动合同；②经双方约定，每年1-2月份由甲方用工科室对乙方进行上一年年度考核，考核合格，继续履行合同。考核不合格者，终止合同。</w:t>
            </w:r>
          </w:p>
        </w:tc>
        <w:tc>
          <w:tcPr>
            <w:tcW w:w="660" w:type="dxa"/>
            <w:tcBorders>
              <w:top w:val="single" w:color="000000" w:sz="4" w:space="0"/>
              <w:left w:val="single" w:color="000000" w:sz="4" w:space="0"/>
              <w:bottom w:val="single" w:color="auto" w:sz="4" w:space="0"/>
              <w:right w:val="single" w:color="000000" w:sz="4" w:space="0"/>
            </w:tcBorders>
            <w:shd w:val="clear" w:color="auto" w:fill="auto"/>
            <w:vAlign w:val="center"/>
          </w:tcPr>
          <w:p w14:paraId="7D412908">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10分</w:t>
            </w:r>
          </w:p>
        </w:tc>
        <w:tc>
          <w:tcPr>
            <w:tcW w:w="2693" w:type="dxa"/>
            <w:tcBorders>
              <w:top w:val="single" w:color="000000" w:sz="4" w:space="0"/>
              <w:left w:val="single" w:color="000000" w:sz="4" w:space="0"/>
              <w:bottom w:val="single" w:color="auto" w:sz="4" w:space="0"/>
              <w:right w:val="single" w:color="000000" w:sz="4" w:space="0"/>
            </w:tcBorders>
            <w:shd w:val="clear" w:color="auto" w:fill="auto"/>
            <w:vAlign w:val="center"/>
          </w:tcPr>
          <w:p w14:paraId="14667138">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 xml:space="preserve">①试用期考核率未达100%，经发现每人每次扣 1 分； ②用工科室负责人未签字确认试工考核，出现直接录用的，每人每次扣 1分。③录用或聘用考核不合格的人员，此项不得分。                        </w:t>
            </w:r>
          </w:p>
        </w:tc>
        <w:tc>
          <w:tcPr>
            <w:tcW w:w="5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C3577E">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3B2FB1F">
            <w:pPr>
              <w:shd w:val="clear"/>
              <w:rPr>
                <w:rFonts w:hint="eastAsia" w:ascii="宋体" w:hAnsi="宋体" w:eastAsia="宋体" w:cs="宋体"/>
                <w:color w:val="auto"/>
                <w:sz w:val="18"/>
                <w:szCs w:val="18"/>
                <w:highlight w:val="none"/>
              </w:rPr>
            </w:pPr>
          </w:p>
        </w:tc>
      </w:tr>
      <w:tr w14:paraId="79DF15F8">
        <w:tblPrEx>
          <w:tblCellMar>
            <w:top w:w="0" w:type="dxa"/>
            <w:left w:w="108" w:type="dxa"/>
            <w:bottom w:w="0" w:type="dxa"/>
            <w:right w:w="108" w:type="dxa"/>
          </w:tblCellMar>
        </w:tblPrEx>
        <w:trPr>
          <w:trHeight w:val="217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AC7E">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5</w:t>
            </w:r>
          </w:p>
        </w:tc>
        <w:tc>
          <w:tcPr>
            <w:tcW w:w="720" w:type="dxa"/>
            <w:tcBorders>
              <w:top w:val="single" w:color="000000" w:sz="4" w:space="0"/>
              <w:left w:val="nil"/>
              <w:bottom w:val="single" w:color="000000" w:sz="4" w:space="0"/>
              <w:right w:val="single" w:color="auto" w:sz="4" w:space="0"/>
            </w:tcBorders>
            <w:shd w:val="clear" w:color="auto" w:fill="auto"/>
            <w:vAlign w:val="center"/>
          </w:tcPr>
          <w:p w14:paraId="3D003DC4">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服务考核</w:t>
            </w:r>
          </w:p>
        </w:tc>
        <w:tc>
          <w:tcPr>
            <w:tcW w:w="3831" w:type="dxa"/>
            <w:tcBorders>
              <w:top w:val="single" w:color="auto" w:sz="4" w:space="0"/>
              <w:left w:val="single" w:color="auto" w:sz="4" w:space="0"/>
              <w:bottom w:val="single" w:color="auto" w:sz="4" w:space="0"/>
              <w:right w:val="single" w:color="auto" w:sz="4" w:space="0"/>
            </w:tcBorders>
            <w:shd w:val="clear" w:color="auto" w:fill="auto"/>
            <w:vAlign w:val="center"/>
          </w:tcPr>
          <w:p w14:paraId="7ECDC7BD">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服务态度好，服务质量高（即甲方用工科室对乙方服务工作的考核评价）</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52DBC37">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20分</w:t>
            </w:r>
          </w:p>
        </w:tc>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2AE14200">
            <w:pPr>
              <w:widowControl/>
              <w:shd w:val="clear"/>
              <w:jc w:val="left"/>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eastAsia="zh-CN"/>
              </w:rPr>
              <w:t>所有用工科室考核均</w:t>
            </w:r>
            <w:r>
              <w:rPr>
                <w:rFonts w:hint="eastAsia" w:ascii="宋体" w:hAnsi="宋体" w:eastAsia="宋体" w:cs="宋体"/>
                <w:color w:val="auto"/>
                <w:kern w:val="0"/>
                <w:sz w:val="18"/>
                <w:szCs w:val="18"/>
                <w:highlight w:val="none"/>
              </w:rPr>
              <w:t>在96分及以上，不扣分；</w:t>
            </w:r>
          </w:p>
          <w:p w14:paraId="03045A5C">
            <w:pPr>
              <w:widowControl/>
              <w:shd w:val="clear"/>
              <w:jc w:val="left"/>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eastAsia="zh-CN"/>
              </w:rPr>
              <w:t>每有一个用工科室</w:t>
            </w:r>
            <w:r>
              <w:rPr>
                <w:rFonts w:hint="eastAsia" w:ascii="宋体" w:hAnsi="宋体" w:eastAsia="宋体" w:cs="宋体"/>
                <w:color w:val="auto"/>
                <w:kern w:val="0"/>
                <w:sz w:val="18"/>
                <w:szCs w:val="18"/>
                <w:highlight w:val="none"/>
              </w:rPr>
              <w:t>考核在91-95分，扣</w:t>
            </w:r>
            <w:r>
              <w:rPr>
                <w:rFonts w:hint="eastAsia" w:ascii="宋体" w:hAnsi="宋体" w:eastAsia="宋体" w:cs="宋体"/>
                <w:color w:val="auto"/>
                <w:kern w:val="0"/>
                <w:sz w:val="18"/>
                <w:szCs w:val="18"/>
                <w:highlight w:val="none"/>
                <w:lang w:val="en-US" w:eastAsia="zh-CN"/>
              </w:rPr>
              <w:t>1</w:t>
            </w:r>
            <w:r>
              <w:rPr>
                <w:rFonts w:hint="eastAsia" w:ascii="宋体" w:hAnsi="宋体" w:eastAsia="宋体" w:cs="宋体"/>
                <w:color w:val="auto"/>
                <w:kern w:val="0"/>
                <w:sz w:val="18"/>
                <w:szCs w:val="18"/>
                <w:highlight w:val="none"/>
              </w:rPr>
              <w:t>分</w:t>
            </w:r>
            <w:r>
              <w:rPr>
                <w:rFonts w:hint="eastAsia" w:ascii="宋体" w:hAnsi="宋体" w:eastAsia="宋体" w:cs="宋体"/>
                <w:color w:val="auto"/>
                <w:kern w:val="0"/>
                <w:sz w:val="18"/>
                <w:szCs w:val="18"/>
                <w:highlight w:val="none"/>
                <w:lang w:val="en-US" w:eastAsia="zh-CN"/>
              </w:rPr>
              <w:t>/个</w:t>
            </w:r>
            <w:r>
              <w:rPr>
                <w:rFonts w:hint="eastAsia" w:ascii="宋体" w:hAnsi="宋体" w:eastAsia="宋体" w:cs="宋体"/>
                <w:color w:val="auto"/>
                <w:kern w:val="0"/>
                <w:sz w:val="18"/>
                <w:szCs w:val="18"/>
                <w:highlight w:val="none"/>
              </w:rPr>
              <w:t xml:space="preserve">；            </w:t>
            </w:r>
          </w:p>
          <w:p w14:paraId="59D9CB19">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考核在81-90分，扣</w:t>
            </w:r>
            <w:r>
              <w:rPr>
                <w:rFonts w:hint="eastAsia" w:ascii="宋体" w:hAnsi="宋体" w:eastAsia="宋体" w:cs="宋体"/>
                <w:color w:val="auto"/>
                <w:kern w:val="0"/>
                <w:sz w:val="18"/>
                <w:szCs w:val="18"/>
                <w:highlight w:val="none"/>
                <w:lang w:val="en-US" w:eastAsia="zh-CN"/>
              </w:rPr>
              <w:t>2</w:t>
            </w:r>
            <w:r>
              <w:rPr>
                <w:rFonts w:hint="eastAsia" w:ascii="宋体" w:hAnsi="宋体" w:eastAsia="宋体" w:cs="宋体"/>
                <w:color w:val="auto"/>
                <w:kern w:val="0"/>
                <w:sz w:val="18"/>
                <w:szCs w:val="18"/>
                <w:highlight w:val="none"/>
              </w:rPr>
              <w:t>分</w:t>
            </w:r>
            <w:r>
              <w:rPr>
                <w:rFonts w:hint="eastAsia" w:ascii="宋体" w:hAnsi="宋体" w:eastAsia="宋体" w:cs="宋体"/>
                <w:color w:val="auto"/>
                <w:kern w:val="0"/>
                <w:sz w:val="18"/>
                <w:szCs w:val="18"/>
                <w:highlight w:val="none"/>
                <w:lang w:val="en-US" w:eastAsia="zh-CN"/>
              </w:rPr>
              <w:t>/个</w:t>
            </w:r>
            <w:r>
              <w:rPr>
                <w:rFonts w:hint="eastAsia" w:ascii="宋体" w:hAnsi="宋体" w:eastAsia="宋体" w:cs="宋体"/>
                <w:color w:val="auto"/>
                <w:kern w:val="0"/>
                <w:sz w:val="18"/>
                <w:szCs w:val="18"/>
                <w:highlight w:val="none"/>
              </w:rPr>
              <w:t>；          考核在71-80</w:t>
            </w:r>
            <w:r>
              <w:rPr>
                <w:rFonts w:hint="eastAsia" w:ascii="宋体" w:hAnsi="宋体" w:eastAsia="宋体" w:cs="宋体"/>
                <w:color w:val="auto"/>
                <w:kern w:val="0"/>
                <w:sz w:val="18"/>
                <w:szCs w:val="18"/>
                <w:highlight w:val="none"/>
                <w:lang w:eastAsia="zh-CN"/>
              </w:rPr>
              <w:t>分</w:t>
            </w:r>
            <w:r>
              <w:rPr>
                <w:rFonts w:hint="eastAsia" w:ascii="宋体" w:hAnsi="宋体" w:eastAsia="宋体" w:cs="宋体"/>
                <w:color w:val="auto"/>
                <w:kern w:val="0"/>
                <w:sz w:val="18"/>
                <w:szCs w:val="18"/>
                <w:highlight w:val="none"/>
              </w:rPr>
              <w:t>，扣</w:t>
            </w:r>
            <w:r>
              <w:rPr>
                <w:rFonts w:hint="eastAsia" w:ascii="宋体" w:hAnsi="宋体" w:eastAsia="宋体" w:cs="宋体"/>
                <w:color w:val="auto"/>
                <w:kern w:val="0"/>
                <w:sz w:val="18"/>
                <w:szCs w:val="18"/>
                <w:highlight w:val="none"/>
                <w:lang w:val="en-US" w:eastAsia="zh-CN"/>
              </w:rPr>
              <w:t>3</w:t>
            </w:r>
            <w:r>
              <w:rPr>
                <w:rFonts w:hint="eastAsia" w:ascii="宋体" w:hAnsi="宋体" w:eastAsia="宋体" w:cs="宋体"/>
                <w:color w:val="auto"/>
                <w:kern w:val="0"/>
                <w:sz w:val="18"/>
                <w:szCs w:val="18"/>
                <w:highlight w:val="none"/>
              </w:rPr>
              <w:t>分</w:t>
            </w:r>
            <w:r>
              <w:rPr>
                <w:rFonts w:hint="eastAsia" w:ascii="宋体" w:hAnsi="宋体" w:eastAsia="宋体" w:cs="宋体"/>
                <w:color w:val="auto"/>
                <w:kern w:val="0"/>
                <w:sz w:val="18"/>
                <w:szCs w:val="18"/>
                <w:highlight w:val="none"/>
                <w:lang w:val="en-US" w:eastAsia="zh-CN"/>
              </w:rPr>
              <w:t>/个</w:t>
            </w:r>
            <w:r>
              <w:rPr>
                <w:rFonts w:hint="eastAsia" w:ascii="宋体" w:hAnsi="宋体" w:eastAsia="宋体" w:cs="宋体"/>
                <w:color w:val="auto"/>
                <w:kern w:val="0"/>
                <w:sz w:val="18"/>
                <w:szCs w:val="18"/>
                <w:highlight w:val="none"/>
              </w:rPr>
              <w:t>；                 考核在70分及以下，扣</w:t>
            </w:r>
            <w:r>
              <w:rPr>
                <w:rFonts w:hint="eastAsia" w:ascii="宋体" w:hAnsi="宋体" w:eastAsia="宋体" w:cs="宋体"/>
                <w:color w:val="auto"/>
                <w:kern w:val="0"/>
                <w:sz w:val="18"/>
                <w:szCs w:val="18"/>
                <w:highlight w:val="none"/>
                <w:lang w:val="en-US" w:eastAsia="zh-CN"/>
              </w:rPr>
              <w:t>10</w:t>
            </w:r>
            <w:r>
              <w:rPr>
                <w:rFonts w:hint="eastAsia" w:ascii="宋体" w:hAnsi="宋体" w:eastAsia="宋体" w:cs="宋体"/>
                <w:color w:val="auto"/>
                <w:kern w:val="0"/>
                <w:sz w:val="18"/>
                <w:szCs w:val="18"/>
                <w:highlight w:val="none"/>
              </w:rPr>
              <w:t>分</w:t>
            </w:r>
            <w:r>
              <w:rPr>
                <w:rFonts w:hint="eastAsia" w:ascii="宋体" w:hAnsi="宋体" w:eastAsia="宋体" w:cs="宋体"/>
                <w:color w:val="auto"/>
                <w:kern w:val="0"/>
                <w:sz w:val="18"/>
                <w:szCs w:val="18"/>
                <w:highlight w:val="none"/>
                <w:lang w:val="en-US" w:eastAsia="zh-CN"/>
              </w:rPr>
              <w:t>/个</w:t>
            </w:r>
            <w:r>
              <w:rPr>
                <w:rFonts w:hint="eastAsia" w:ascii="宋体" w:hAnsi="宋体" w:eastAsia="宋体" w:cs="宋体"/>
                <w:color w:val="auto"/>
                <w:kern w:val="0"/>
                <w:sz w:val="18"/>
                <w:szCs w:val="18"/>
                <w:highlight w:val="none"/>
              </w:rPr>
              <w:t>。扣完为止。</w:t>
            </w:r>
          </w:p>
        </w:tc>
        <w:tc>
          <w:tcPr>
            <w:tcW w:w="5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52CAD">
            <w:pPr>
              <w:shd w:val="clear"/>
              <w:jc w:val="center"/>
              <w:rPr>
                <w:rFonts w:hint="eastAsia" w:ascii="宋体" w:hAnsi="宋体" w:eastAsia="宋体" w:cs="宋体"/>
                <w:color w:val="auto"/>
                <w:sz w:val="18"/>
                <w:szCs w:val="18"/>
                <w:highlight w:val="none"/>
              </w:rPr>
            </w:pPr>
          </w:p>
        </w:tc>
        <w:tc>
          <w:tcPr>
            <w:tcW w:w="6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D9818">
            <w:pPr>
              <w:shd w:val="clear"/>
              <w:jc w:val="center"/>
              <w:rPr>
                <w:rFonts w:hint="eastAsia" w:ascii="宋体" w:hAnsi="宋体" w:eastAsia="宋体" w:cs="宋体"/>
                <w:color w:val="auto"/>
                <w:sz w:val="18"/>
                <w:szCs w:val="18"/>
                <w:highlight w:val="none"/>
              </w:rPr>
            </w:pPr>
          </w:p>
        </w:tc>
      </w:tr>
      <w:tr w14:paraId="2BE0D1D8">
        <w:tblPrEx>
          <w:tblCellMar>
            <w:top w:w="0" w:type="dxa"/>
            <w:left w:w="108" w:type="dxa"/>
            <w:bottom w:w="0" w:type="dxa"/>
            <w:right w:w="108" w:type="dxa"/>
          </w:tblCellMar>
        </w:tblPrEx>
        <w:trPr>
          <w:trHeight w:val="1433"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473F">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6</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164A6041">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沟通和信息反馈</w:t>
            </w:r>
          </w:p>
        </w:tc>
        <w:tc>
          <w:tcPr>
            <w:tcW w:w="3831" w:type="dxa"/>
            <w:tcBorders>
              <w:top w:val="single" w:color="auto" w:sz="4" w:space="0"/>
              <w:left w:val="single" w:color="000000" w:sz="4" w:space="0"/>
              <w:bottom w:val="single" w:color="000000" w:sz="4" w:space="0"/>
              <w:right w:val="single" w:color="000000" w:sz="4" w:space="0"/>
            </w:tcBorders>
            <w:shd w:val="clear" w:color="auto" w:fill="auto"/>
            <w:vAlign w:val="center"/>
          </w:tcPr>
          <w:p w14:paraId="113D8E8E">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乙方每月收到甲方考核表、考勤表后3个工作日内完成提交上月</w:t>
            </w:r>
            <w:r>
              <w:rPr>
                <w:rFonts w:hint="eastAsia" w:ascii="宋体" w:hAnsi="宋体" w:eastAsia="宋体" w:cs="宋体"/>
                <w:color w:val="auto"/>
                <w:kern w:val="0"/>
                <w:sz w:val="18"/>
                <w:szCs w:val="18"/>
                <w:highlight w:val="none"/>
                <w:lang w:eastAsia="zh-CN"/>
              </w:rPr>
              <w:t>服务</w:t>
            </w:r>
            <w:r>
              <w:rPr>
                <w:rFonts w:hint="eastAsia" w:ascii="宋体" w:hAnsi="宋体" w:eastAsia="宋体" w:cs="宋体"/>
                <w:color w:val="auto"/>
                <w:kern w:val="0"/>
                <w:sz w:val="18"/>
                <w:szCs w:val="18"/>
                <w:highlight w:val="none"/>
              </w:rPr>
              <w:t>各种报表，如招录信息、培训、用工科室提出建议的整改措施等交给甲方审核备案。做到有事随时沟通、及时响应。</w:t>
            </w:r>
          </w:p>
        </w:tc>
        <w:tc>
          <w:tcPr>
            <w:tcW w:w="660" w:type="dxa"/>
            <w:tcBorders>
              <w:top w:val="single" w:color="auto" w:sz="4" w:space="0"/>
              <w:left w:val="single" w:color="000000" w:sz="4" w:space="0"/>
              <w:bottom w:val="single" w:color="000000" w:sz="4" w:space="0"/>
              <w:right w:val="single" w:color="000000" w:sz="4" w:space="0"/>
            </w:tcBorders>
            <w:shd w:val="clear" w:color="auto" w:fill="auto"/>
            <w:vAlign w:val="center"/>
          </w:tcPr>
          <w:p w14:paraId="6CC2E453">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10分</w:t>
            </w:r>
          </w:p>
        </w:tc>
        <w:tc>
          <w:tcPr>
            <w:tcW w:w="26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DB0A01A">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各种报表每延迟提交1天扣减0.5 分，扣完为止。并暂停止转当月服务费，直到交报表后再转账。</w:t>
            </w:r>
          </w:p>
        </w:tc>
        <w:tc>
          <w:tcPr>
            <w:tcW w:w="58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3F5C03C">
            <w:pPr>
              <w:shd w:val="clear"/>
              <w:rPr>
                <w:rFonts w:hint="eastAsia" w:ascii="宋体" w:hAnsi="宋体" w:eastAsia="宋体" w:cs="宋体"/>
                <w:color w:val="auto"/>
                <w:sz w:val="18"/>
                <w:szCs w:val="18"/>
                <w:highlight w:val="none"/>
              </w:rPr>
            </w:pPr>
          </w:p>
        </w:tc>
        <w:tc>
          <w:tcPr>
            <w:tcW w:w="64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A155C94">
            <w:pPr>
              <w:shd w:val="clear"/>
              <w:rPr>
                <w:rFonts w:hint="eastAsia" w:ascii="宋体" w:hAnsi="宋体" w:eastAsia="宋体" w:cs="宋体"/>
                <w:color w:val="auto"/>
                <w:sz w:val="18"/>
                <w:szCs w:val="18"/>
                <w:highlight w:val="none"/>
              </w:rPr>
            </w:pPr>
          </w:p>
        </w:tc>
      </w:tr>
      <w:tr w14:paraId="67DF29D5">
        <w:tblPrEx>
          <w:tblCellMar>
            <w:top w:w="0" w:type="dxa"/>
            <w:left w:w="108" w:type="dxa"/>
            <w:bottom w:w="0" w:type="dxa"/>
            <w:right w:w="108" w:type="dxa"/>
          </w:tblCellMar>
        </w:tblPrEx>
        <w:trPr>
          <w:trHeight w:val="16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C4FD">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7</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73768F18">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劳动争议处理</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3BC1">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如遇</w:t>
            </w:r>
            <w:r>
              <w:rPr>
                <w:rFonts w:hint="eastAsia" w:ascii="宋体" w:hAnsi="宋体" w:eastAsia="宋体" w:cs="宋体"/>
                <w:color w:val="auto"/>
                <w:kern w:val="0"/>
                <w:sz w:val="18"/>
                <w:szCs w:val="18"/>
                <w:highlight w:val="none"/>
                <w:lang w:eastAsia="zh-CN"/>
              </w:rPr>
              <w:t>医辅人员</w:t>
            </w:r>
            <w:r>
              <w:rPr>
                <w:rFonts w:hint="eastAsia" w:ascii="宋体" w:hAnsi="宋体" w:eastAsia="宋体" w:cs="宋体"/>
                <w:color w:val="auto"/>
                <w:kern w:val="0"/>
                <w:sz w:val="18"/>
                <w:szCs w:val="18"/>
                <w:highlight w:val="none"/>
              </w:rPr>
              <w:t>发生劳动纠纷，乙方第一时间（获悉后的2日内）给予调解和处理，并协助进行案件的处理和证据的收集工作。</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7E44">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5分</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3332">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劳动纠纷未能及时跟进和协助处理的，每次扣2分；扣完为止。未妥善处理员工劳动纠纷，对甲方工作造成影响的，暂转当月服务费，直到妥善处理再转帐。</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AB9F">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6DA5">
            <w:pPr>
              <w:shd w:val="clear"/>
              <w:rPr>
                <w:rFonts w:hint="eastAsia" w:ascii="宋体" w:hAnsi="宋体" w:eastAsia="宋体" w:cs="宋体"/>
                <w:color w:val="auto"/>
                <w:sz w:val="18"/>
                <w:szCs w:val="18"/>
                <w:highlight w:val="none"/>
              </w:rPr>
            </w:pPr>
          </w:p>
        </w:tc>
      </w:tr>
      <w:tr w14:paraId="054BEFC1">
        <w:tblPrEx>
          <w:tblCellMar>
            <w:top w:w="0" w:type="dxa"/>
            <w:left w:w="108" w:type="dxa"/>
            <w:bottom w:w="0" w:type="dxa"/>
            <w:right w:w="108" w:type="dxa"/>
          </w:tblCellMar>
        </w:tblPrEx>
        <w:trPr>
          <w:trHeight w:val="168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BDC6">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8</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4C063B39">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工伤处理</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FA7F">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①工伤事故处理：如遇工伤事故，乙方须在接到甲方通知后 1 小时内必须到达现场，收集材料并着手准备后续事宜；②工伤理赔的处理：乙方按法定程序进行工伤申请、工伤认定、协助医辅人员进行劳动能力鉴定以及医疗费用和补偿的理赔，经双方确认不走工伤程序的除外。</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B183">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5分</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5940">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如遇到工伤事故，未按甲方要求及时到达现场的，扣2分/次；工伤事故处理，在全程各环节存在出错的，扣3分/次；扣完为止。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DEEF">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5BEF">
            <w:pPr>
              <w:shd w:val="clear"/>
              <w:rPr>
                <w:rFonts w:hint="eastAsia" w:ascii="宋体" w:hAnsi="宋体" w:eastAsia="宋体" w:cs="宋体"/>
                <w:color w:val="auto"/>
                <w:sz w:val="18"/>
                <w:szCs w:val="18"/>
                <w:highlight w:val="none"/>
              </w:rPr>
            </w:pPr>
          </w:p>
        </w:tc>
      </w:tr>
      <w:tr w14:paraId="3ED37AE6">
        <w:tblPrEx>
          <w:tblCellMar>
            <w:top w:w="0" w:type="dxa"/>
            <w:left w:w="108" w:type="dxa"/>
            <w:bottom w:w="0" w:type="dxa"/>
            <w:right w:w="108" w:type="dxa"/>
          </w:tblCellMar>
        </w:tblPrEx>
        <w:trPr>
          <w:trHeight w:val="14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1A21">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9</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05285F1E">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社保和个税缴纳</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53F9">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①每月10日前（法定节假日除外）按标准（即服务所在地标准）及时为医辅人员缴纳当月社保（养老、医疗、失业、工伤、生育保险）；②乙方每月收到甲方考核后，3个工作日内提交上月的社保缴纳、个税缴纳给甲方组织人事部核查（按时、足额代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E44C">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5分</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0F57">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发现延迟或遗漏缴纳社保的，每人每次扣0.5分；发现未按约定险种、标准缴纳社保的，每人每次扣0.5分；未提供相应社保明细的，每次扣0.5 分；未按时、足额代缴个税的，每次扣0.5分；扣完为止。出现以上情况的，暂停转当月服务费，直到纠正后再转账。</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AB1C">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2B22">
            <w:pPr>
              <w:shd w:val="clear"/>
              <w:rPr>
                <w:rFonts w:hint="eastAsia" w:ascii="宋体" w:hAnsi="宋体" w:eastAsia="宋体" w:cs="宋体"/>
                <w:color w:val="auto"/>
                <w:sz w:val="18"/>
                <w:szCs w:val="18"/>
                <w:highlight w:val="none"/>
              </w:rPr>
            </w:pPr>
          </w:p>
        </w:tc>
      </w:tr>
      <w:tr w14:paraId="5A5281EB">
        <w:tblPrEx>
          <w:tblCellMar>
            <w:top w:w="0" w:type="dxa"/>
            <w:left w:w="108" w:type="dxa"/>
            <w:bottom w:w="0" w:type="dxa"/>
            <w:right w:w="108" w:type="dxa"/>
          </w:tblCellMar>
        </w:tblPrEx>
        <w:trPr>
          <w:trHeight w:val="1625"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DEEE">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10</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586B357A">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医辅人员档案建立及保管</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3394">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员工个人档案保存完整：档案内容包括劳动合同书、身份证、毕业证、学位证及教育部学历证书电子注册备案表复印件、资格证书复印件、入职体检表等。</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8B1C">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5分</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A35D">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检查书面资料、如发现员工签订合同后1个月内未能完善保存员工档案的，每延迟一天或交予材料不完整的，每人每次扣</w:t>
            </w:r>
            <w:r>
              <w:rPr>
                <w:rFonts w:hint="eastAsia" w:ascii="宋体" w:hAnsi="宋体" w:eastAsia="宋体" w:cs="宋体"/>
                <w:color w:val="auto"/>
                <w:kern w:val="0"/>
                <w:sz w:val="18"/>
                <w:szCs w:val="18"/>
                <w:highlight w:val="none"/>
                <w:lang w:val="en-US" w:eastAsia="zh-CN"/>
              </w:rPr>
              <w:t>1</w:t>
            </w:r>
            <w:r>
              <w:rPr>
                <w:rFonts w:hint="eastAsia" w:ascii="宋体" w:hAnsi="宋体" w:eastAsia="宋体" w:cs="宋体"/>
                <w:color w:val="auto"/>
                <w:kern w:val="0"/>
                <w:sz w:val="18"/>
                <w:szCs w:val="18"/>
                <w:highlight w:val="none"/>
              </w:rPr>
              <w:t>分；扣完为止。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B809">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41D4">
            <w:pPr>
              <w:shd w:val="clear"/>
              <w:rPr>
                <w:rFonts w:hint="eastAsia" w:ascii="宋体" w:hAnsi="宋体" w:eastAsia="宋体" w:cs="宋体"/>
                <w:color w:val="auto"/>
                <w:sz w:val="18"/>
                <w:szCs w:val="18"/>
                <w:highlight w:val="none"/>
              </w:rPr>
            </w:pPr>
          </w:p>
        </w:tc>
      </w:tr>
      <w:tr w14:paraId="6983FACA">
        <w:tblPrEx>
          <w:tblCellMar>
            <w:top w:w="0" w:type="dxa"/>
            <w:left w:w="108" w:type="dxa"/>
            <w:bottom w:w="0" w:type="dxa"/>
            <w:right w:w="108" w:type="dxa"/>
          </w:tblCellMar>
        </w:tblPrEx>
        <w:trPr>
          <w:trHeight w:val="2354"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8EFB">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11</w:t>
            </w:r>
          </w:p>
        </w:tc>
        <w:tc>
          <w:tcPr>
            <w:tcW w:w="720" w:type="dxa"/>
            <w:tcBorders>
              <w:top w:val="single" w:color="000000" w:sz="4" w:space="0"/>
              <w:left w:val="nil"/>
              <w:bottom w:val="single" w:color="000000" w:sz="4" w:space="0"/>
              <w:right w:val="single" w:color="000000" w:sz="4" w:space="0"/>
            </w:tcBorders>
            <w:shd w:val="clear" w:color="auto" w:fill="auto"/>
            <w:vAlign w:val="center"/>
          </w:tcPr>
          <w:p w14:paraId="62A79293">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离职办理</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8903">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①离职手续办理：因员工本人提出辞职申请，乙方解除其劳动合同前30日内通知甲方用工科室，并征得同意后完成离职手续办理；甲方依法解除员工劳动合同，乙方自接到甲方减员通知后30日内协助甲方完成离职手续办理；②社保减员：当月10日内离职人员，其社保必须当月停保，并为员工或协助员工办理社保转移接续手续。</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E6F0">
            <w:pPr>
              <w:widowControl/>
              <w:shd w:val="clear"/>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5分</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72FF">
            <w:pPr>
              <w:widowControl/>
              <w:shd w:val="clear"/>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 xml:space="preserve">员工提出辞职，乙方未提前30日内通知用工科室或接到甲方减员通知后30日内未及时办理离职手续、社保减员的，每人每次扣 </w:t>
            </w:r>
            <w:r>
              <w:rPr>
                <w:rFonts w:hint="eastAsia" w:ascii="宋体" w:hAnsi="宋体" w:eastAsia="宋体" w:cs="宋体"/>
                <w:color w:val="auto"/>
                <w:kern w:val="0"/>
                <w:sz w:val="18"/>
                <w:szCs w:val="18"/>
                <w:highlight w:val="none"/>
                <w:lang w:val="en-US" w:eastAsia="zh-CN"/>
              </w:rPr>
              <w:t>2</w:t>
            </w:r>
            <w:r>
              <w:rPr>
                <w:rFonts w:hint="eastAsia" w:ascii="宋体" w:hAnsi="宋体" w:eastAsia="宋体" w:cs="宋体"/>
                <w:color w:val="auto"/>
                <w:kern w:val="0"/>
                <w:sz w:val="18"/>
                <w:szCs w:val="18"/>
                <w:highlight w:val="none"/>
              </w:rPr>
              <w:t>分，扣完为止。</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B0DB">
            <w:pPr>
              <w:shd w:val="clear"/>
              <w:rPr>
                <w:rFonts w:hint="eastAsia" w:ascii="宋体" w:hAnsi="宋体" w:eastAsia="宋体" w:cs="宋体"/>
                <w:color w:val="auto"/>
                <w:sz w:val="18"/>
                <w:szCs w:val="18"/>
                <w:highlight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72A6">
            <w:pPr>
              <w:shd w:val="clear"/>
              <w:rPr>
                <w:rFonts w:hint="eastAsia" w:ascii="宋体" w:hAnsi="宋体" w:eastAsia="宋体" w:cs="宋体"/>
                <w:color w:val="auto"/>
                <w:sz w:val="18"/>
                <w:szCs w:val="18"/>
                <w:highlight w:val="none"/>
              </w:rPr>
            </w:pPr>
          </w:p>
        </w:tc>
      </w:tr>
      <w:tr w14:paraId="13D28924">
        <w:tblPrEx>
          <w:tblCellMar>
            <w:top w:w="0" w:type="dxa"/>
            <w:left w:w="108" w:type="dxa"/>
            <w:bottom w:w="0" w:type="dxa"/>
            <w:right w:w="108" w:type="dxa"/>
          </w:tblCellMar>
        </w:tblPrEx>
        <w:trPr>
          <w:trHeight w:val="385" w:hRule="atLeast"/>
          <w:jc w:val="center"/>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3913">
            <w:pPr>
              <w:widowControl/>
              <w:shd w:val="clear"/>
              <w:jc w:val="center"/>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总分</w:t>
            </w:r>
          </w:p>
        </w:tc>
        <w:tc>
          <w:tcPr>
            <w:tcW w:w="8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D774B8">
            <w:pPr>
              <w:shd w:val="clea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100</w:t>
            </w:r>
          </w:p>
        </w:tc>
      </w:tr>
      <w:tr w14:paraId="3BA4837B">
        <w:tblPrEx>
          <w:tblCellMar>
            <w:top w:w="0" w:type="dxa"/>
            <w:left w:w="108" w:type="dxa"/>
            <w:bottom w:w="0" w:type="dxa"/>
            <w:right w:w="108" w:type="dxa"/>
          </w:tblCellMar>
        </w:tblPrEx>
        <w:trPr>
          <w:trHeight w:val="570" w:hRule="atLeast"/>
          <w:jc w:val="center"/>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EEF2">
            <w:pPr>
              <w:widowControl/>
              <w:shd w:val="clear"/>
              <w:jc w:val="center"/>
              <w:textAlignment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备注</w:t>
            </w:r>
          </w:p>
        </w:tc>
        <w:tc>
          <w:tcPr>
            <w:tcW w:w="8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241F29">
            <w:pPr>
              <w:shd w:val="clear"/>
              <w:jc w:val="left"/>
              <w:rPr>
                <w:rFonts w:hint="eastAsia" w:ascii="宋体" w:hAnsi="宋体" w:eastAsia="宋体" w:cs="宋体"/>
                <w:color w:val="auto"/>
                <w:sz w:val="18"/>
                <w:szCs w:val="18"/>
                <w:highlight w:val="none"/>
              </w:rPr>
            </w:pPr>
          </w:p>
        </w:tc>
      </w:tr>
      <w:tr w14:paraId="0AC74835">
        <w:tblPrEx>
          <w:tblCellMar>
            <w:top w:w="0" w:type="dxa"/>
            <w:left w:w="108" w:type="dxa"/>
            <w:bottom w:w="0" w:type="dxa"/>
            <w:right w:w="108" w:type="dxa"/>
          </w:tblCellMar>
        </w:tblPrEx>
        <w:trPr>
          <w:trHeight w:val="1735" w:hRule="atLeast"/>
          <w:jc w:val="center"/>
        </w:trPr>
        <w:tc>
          <w:tcPr>
            <w:tcW w:w="979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27F0">
            <w:pPr>
              <w:shd w:val="clea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甲方（组织人事部）考核意见： </w:t>
            </w:r>
          </w:p>
          <w:p w14:paraId="409CEE95">
            <w:pPr>
              <w:shd w:val="clear"/>
              <w:spacing w:before="100" w:beforeAutospacing="1" w:after="100" w:afterAutospacing="1"/>
              <w:ind w:left="420" w:leftChars="200"/>
              <w:rPr>
                <w:rFonts w:hint="eastAsia" w:ascii="宋体" w:hAnsi="宋体" w:eastAsia="宋体" w:cs="宋体"/>
                <w:color w:val="auto"/>
                <w:sz w:val="18"/>
                <w:szCs w:val="18"/>
                <w:highlight w:val="none"/>
              </w:rPr>
            </w:pPr>
          </w:p>
          <w:p w14:paraId="48C3B815">
            <w:pPr>
              <w:shd w:val="clear"/>
              <w:ind w:firstLine="5760" w:firstLineChars="320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负责人签名：  </w:t>
            </w:r>
          </w:p>
          <w:p w14:paraId="671FBC39">
            <w:pPr>
              <w:shd w:val="clea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日期：         年      月      日</w:t>
            </w:r>
          </w:p>
        </w:tc>
      </w:tr>
      <w:tr w14:paraId="3CB6AFF6">
        <w:tblPrEx>
          <w:tblCellMar>
            <w:top w:w="0" w:type="dxa"/>
            <w:left w:w="108" w:type="dxa"/>
            <w:bottom w:w="0" w:type="dxa"/>
            <w:right w:w="108" w:type="dxa"/>
          </w:tblCellMar>
        </w:tblPrEx>
        <w:trPr>
          <w:trHeight w:val="925" w:hRule="atLeast"/>
          <w:jc w:val="center"/>
        </w:trPr>
        <w:tc>
          <w:tcPr>
            <w:tcW w:w="979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5170">
            <w:pPr>
              <w:shd w:val="clea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乙方确认意见： </w:t>
            </w:r>
          </w:p>
          <w:p w14:paraId="393D1866">
            <w:pPr>
              <w:shd w:val="clear"/>
              <w:rPr>
                <w:rFonts w:hint="eastAsia" w:ascii="宋体" w:hAnsi="宋体" w:eastAsia="宋体" w:cs="宋体"/>
                <w:color w:val="auto"/>
                <w:sz w:val="18"/>
                <w:szCs w:val="18"/>
                <w:highlight w:val="none"/>
              </w:rPr>
            </w:pPr>
          </w:p>
          <w:p w14:paraId="798C48AB">
            <w:pPr>
              <w:shd w:val="clear"/>
              <w:rPr>
                <w:rFonts w:hint="eastAsia" w:ascii="宋体" w:hAnsi="宋体" w:eastAsia="宋体" w:cs="宋体"/>
                <w:color w:val="auto"/>
                <w:sz w:val="18"/>
                <w:szCs w:val="18"/>
                <w:highlight w:val="none"/>
              </w:rPr>
            </w:pPr>
          </w:p>
          <w:p w14:paraId="4F129ECF">
            <w:pPr>
              <w:shd w:val="clea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负责人确认签名：</w:t>
            </w:r>
          </w:p>
          <w:p w14:paraId="030B6A4F">
            <w:pPr>
              <w:shd w:val="clea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日期：         年      月      日</w:t>
            </w:r>
          </w:p>
        </w:tc>
      </w:tr>
    </w:tbl>
    <w:p w14:paraId="73C2CA28">
      <w:pPr>
        <w:shd w:val="clear"/>
        <w:rPr>
          <w:rFonts w:hint="eastAsia" w:ascii="宋体" w:hAnsi="宋体" w:eastAsia="宋体" w:cs="宋体"/>
          <w:color w:val="auto"/>
          <w:sz w:val="21"/>
          <w:szCs w:val="21"/>
          <w:highlight w:val="none"/>
          <w:lang w:val="en-US" w:eastAsia="zh-CN"/>
        </w:rPr>
      </w:pPr>
    </w:p>
    <w:p w14:paraId="2A777B45">
      <w:pPr>
        <w:shd w:val="clear"/>
        <w:rPr>
          <w:rFonts w:hint="eastAsia" w:ascii="宋体" w:hAnsi="宋体" w:eastAsia="宋体" w:cs="宋体"/>
          <w:color w:val="auto"/>
          <w:sz w:val="21"/>
          <w:szCs w:val="21"/>
          <w:highlight w:val="none"/>
        </w:rPr>
      </w:pPr>
    </w:p>
    <w:p w14:paraId="3E7EF405">
      <w:pPr>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br w:type="page"/>
      </w:r>
      <w:r>
        <w:rPr>
          <w:rFonts w:hint="eastAsia" w:ascii="宋体" w:hAnsi="宋体" w:eastAsia="宋体" w:cs="宋体"/>
          <w:color w:val="auto"/>
          <w:sz w:val="21"/>
          <w:szCs w:val="21"/>
          <w:highlight w:val="none"/>
          <w:lang w:eastAsia="zh-CN"/>
        </w:rPr>
        <w:t>附件</w:t>
      </w:r>
      <w:r>
        <w:rPr>
          <w:rFonts w:hint="eastAsia" w:ascii="宋体" w:hAnsi="宋体" w:eastAsia="宋体" w:cs="宋体"/>
          <w:color w:val="auto"/>
          <w:sz w:val="21"/>
          <w:szCs w:val="21"/>
          <w:highlight w:val="none"/>
          <w:lang w:val="en-US" w:eastAsia="zh-CN"/>
        </w:rPr>
        <w:t>2</w:t>
      </w:r>
    </w:p>
    <w:p w14:paraId="4A7C3D70">
      <w:pPr>
        <w:keepNext w:val="0"/>
        <w:keepLines w:val="0"/>
        <w:pageBreakBefore w:val="0"/>
        <w:widowControl w:val="0"/>
        <w:shd w:val="clear"/>
        <w:kinsoku/>
        <w:wordWrap/>
        <w:overflowPunct/>
        <w:topLinePunct w:val="0"/>
        <w:autoSpaceDE/>
        <w:autoSpaceDN/>
        <w:bidi w:val="0"/>
        <w:adjustRightInd/>
        <w:spacing w:before="0" w:beforeAutospacing="0" w:after="0" w:afterAutospacing="0" w:line="500" w:lineRule="exact"/>
        <w:jc w:val="center"/>
        <w:textAlignment w:val="auto"/>
        <w:rPr>
          <w:rFonts w:hint="eastAsia" w:ascii="宋体" w:hAnsi="宋体" w:eastAsia="宋体" w:cs="宋体"/>
          <w:color w:val="auto"/>
          <w:kern w:val="2"/>
          <w:sz w:val="21"/>
          <w:szCs w:val="21"/>
          <w:highlight w:val="none"/>
          <w:lang w:val="en-US" w:eastAsia="zh-CN" w:bidi="ar-SA"/>
        </w:rPr>
      </w:pPr>
      <w:bookmarkStart w:id="42" w:name="tip_risk_bookmark_32"/>
      <w:r>
        <w:rPr>
          <w:rFonts w:hint="eastAsia" w:ascii="宋体" w:hAnsi="宋体" w:eastAsia="宋体" w:cs="宋体"/>
          <w:color w:val="auto"/>
          <w:kern w:val="2"/>
          <w:sz w:val="21"/>
          <w:szCs w:val="21"/>
          <w:highlight w:val="none"/>
          <w:lang w:val="en-US" w:eastAsia="zh-CN" w:bidi="ar-SA"/>
        </w:rPr>
        <w:t>医疗辅助人员20XX年XX月考勤表</w:t>
      </w:r>
    </w:p>
    <w:tbl>
      <w:tblPr>
        <w:tblStyle w:val="5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9"/>
        <w:gridCol w:w="277"/>
        <w:gridCol w:w="247"/>
        <w:gridCol w:w="247"/>
        <w:gridCol w:w="247"/>
        <w:gridCol w:w="247"/>
        <w:gridCol w:w="247"/>
        <w:gridCol w:w="247"/>
        <w:gridCol w:w="247"/>
        <w:gridCol w:w="247"/>
        <w:gridCol w:w="24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8"/>
        <w:gridCol w:w="278"/>
        <w:gridCol w:w="278"/>
        <w:gridCol w:w="278"/>
        <w:gridCol w:w="401"/>
        <w:gridCol w:w="340"/>
        <w:gridCol w:w="278"/>
      </w:tblGrid>
      <w:tr w14:paraId="0DADA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5000" w:type="pct"/>
            <w:gridSpan w:val="36"/>
            <w:tcBorders>
              <w:top w:val="nil"/>
              <w:left w:val="nil"/>
              <w:bottom w:val="nil"/>
              <w:right w:val="nil"/>
            </w:tcBorders>
            <w:noWrap/>
            <w:vAlign w:val="center"/>
          </w:tcPr>
          <w:p w14:paraId="49D09025">
            <w:pPr>
              <w:keepNext w:val="0"/>
              <w:keepLines w:val="0"/>
              <w:widowControl/>
              <w:suppressLineNumbers w:val="0"/>
              <w:shd w:val="clear"/>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科室：                                                 用工科室科主任签名：                        用工科室护士长签名：         </w:t>
            </w:r>
          </w:p>
        </w:tc>
      </w:tr>
      <w:bookmarkEnd w:id="42"/>
      <w:tr w14:paraId="19F2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6" w:hRule="atLeast"/>
          <w:jc w:val="center"/>
        </w:trPr>
        <w:tc>
          <w:tcPr>
            <w:tcW w:w="170" w:type="pct"/>
            <w:tcBorders>
              <w:top w:val="single" w:color="000000" w:sz="4" w:space="0"/>
              <w:left w:val="single" w:color="000000" w:sz="4" w:space="0"/>
              <w:bottom w:val="single" w:color="000000" w:sz="4" w:space="0"/>
              <w:right w:val="single" w:color="000000" w:sz="4" w:space="0"/>
            </w:tcBorders>
            <w:noWrap/>
            <w:vAlign w:val="center"/>
          </w:tcPr>
          <w:p w14:paraId="76F12B95">
            <w:pPr>
              <w:keepNext w:val="0"/>
              <w:keepLines w:val="0"/>
              <w:widowControl/>
              <w:suppressLineNumbers w:val="0"/>
              <w:shd w:val="clear"/>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39" w:type="pct"/>
            <w:tcBorders>
              <w:top w:val="single" w:color="000000" w:sz="4" w:space="0"/>
              <w:left w:val="single" w:color="000000" w:sz="4" w:space="0"/>
              <w:bottom w:val="single" w:color="000000" w:sz="4" w:space="0"/>
              <w:right w:val="single" w:color="000000" w:sz="4" w:space="0"/>
              <w:tl2br w:val="single" w:color="000000" w:sz="4" w:space="0"/>
            </w:tcBorders>
            <w:noWrap w:val="0"/>
            <w:vAlign w:val="center"/>
          </w:tcPr>
          <w:p w14:paraId="7EE6576B">
            <w:pPr>
              <w:keepNext w:val="0"/>
              <w:keepLines w:val="0"/>
              <w:widowControl/>
              <w:suppressLineNumbers w:val="0"/>
              <w:shd w:val="clear"/>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日期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姓名</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140111B2">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26A6076E">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209F9D52">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38A481CC">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4E8C2CCE">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19B89410">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328460BC">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08DD3791">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24" w:type="pct"/>
            <w:tcBorders>
              <w:top w:val="single" w:color="000000" w:sz="4" w:space="0"/>
              <w:left w:val="single" w:color="000000" w:sz="4" w:space="0"/>
              <w:bottom w:val="single" w:color="000000" w:sz="4" w:space="0"/>
              <w:right w:val="single" w:color="000000" w:sz="4" w:space="0"/>
            </w:tcBorders>
            <w:noWrap/>
            <w:vAlign w:val="center"/>
          </w:tcPr>
          <w:p w14:paraId="0D201CBE">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6841880B">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03C15B98">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797B8BEB">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2D447E42">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50713CFE">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E7ACEA4">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20B1E758">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2693249D">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034CD405">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4D1441E5">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4E06F9E6">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4BED9BAB">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64BB07E5">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3D401DB">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66D1B9AC">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1B8243C">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79AD26E2">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775D0C13">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26D80811">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74D06172">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A3209DC">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497F1A6">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201" w:type="pct"/>
            <w:tcBorders>
              <w:top w:val="single" w:color="000000" w:sz="4" w:space="0"/>
              <w:left w:val="single" w:color="000000" w:sz="4" w:space="0"/>
              <w:bottom w:val="single" w:color="000000" w:sz="4" w:space="0"/>
              <w:right w:val="single" w:color="000000" w:sz="4" w:space="0"/>
            </w:tcBorders>
            <w:noWrap/>
            <w:vAlign w:val="center"/>
          </w:tcPr>
          <w:p w14:paraId="0CD6E9DC">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合计</w:t>
            </w:r>
          </w:p>
        </w:tc>
        <w:tc>
          <w:tcPr>
            <w:tcW w:w="170" w:type="pct"/>
            <w:tcBorders>
              <w:top w:val="single" w:color="000000" w:sz="4" w:space="0"/>
              <w:left w:val="single" w:color="000000" w:sz="4" w:space="0"/>
              <w:bottom w:val="single" w:color="000000" w:sz="4" w:space="0"/>
              <w:right w:val="single" w:color="000000" w:sz="4" w:space="0"/>
            </w:tcBorders>
            <w:noWrap/>
            <w:vAlign w:val="center"/>
          </w:tcPr>
          <w:p w14:paraId="6DDC925F">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697CB9E">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本人确认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签名</w:t>
            </w:r>
          </w:p>
        </w:tc>
      </w:tr>
      <w:tr w14:paraId="4D46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170" w:type="pct"/>
            <w:tcBorders>
              <w:top w:val="single" w:color="000000" w:sz="4" w:space="0"/>
              <w:left w:val="single" w:color="000000" w:sz="4" w:space="0"/>
              <w:bottom w:val="single" w:color="000000" w:sz="4" w:space="0"/>
              <w:right w:val="single" w:color="000000" w:sz="4" w:space="0"/>
            </w:tcBorders>
            <w:noWrap/>
            <w:vAlign w:val="center"/>
          </w:tcPr>
          <w:p w14:paraId="4BD1C629">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6C28C05A">
            <w:pPr>
              <w:shd w:val="clear"/>
              <w:jc w:val="center"/>
              <w:rPr>
                <w:rFonts w:hint="eastAsia" w:ascii="宋体" w:hAnsi="宋体" w:eastAsia="宋体" w:cs="宋体"/>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A0ECB6A">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AA09B35">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4B85880E">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249B048">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4333A283">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88474DA">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45026ABD">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36E1C502">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8AA144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3855CE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A2A91E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594FE3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72C5BE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96880CE">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C24D43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EBBB35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F72571E">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060F65E">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4DD16C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A35A54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340F20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057DC0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1C40C9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6C1B71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463632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122332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54C1AA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35ABDE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78F78D3">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82D9A2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5CAC1B4">
            <w:pPr>
              <w:shd w:val="clear"/>
              <w:rPr>
                <w:rFonts w:hint="eastAsia" w:ascii="宋体" w:hAnsi="宋体" w:eastAsia="宋体" w:cs="宋体"/>
                <w:b/>
                <w:bCs/>
                <w:i w:val="0"/>
                <w:iCs w:val="0"/>
                <w:color w:val="auto"/>
                <w:sz w:val="21"/>
                <w:szCs w:val="21"/>
                <w:highlight w:val="none"/>
                <w:u w:val="none"/>
              </w:rPr>
            </w:pPr>
          </w:p>
        </w:tc>
        <w:tc>
          <w:tcPr>
            <w:tcW w:w="201" w:type="pct"/>
            <w:tcBorders>
              <w:top w:val="single" w:color="000000" w:sz="4" w:space="0"/>
              <w:left w:val="single" w:color="000000" w:sz="4" w:space="0"/>
              <w:bottom w:val="single" w:color="000000" w:sz="4" w:space="0"/>
              <w:right w:val="single" w:color="000000" w:sz="4" w:space="0"/>
            </w:tcBorders>
            <w:noWrap/>
            <w:vAlign w:val="center"/>
          </w:tcPr>
          <w:p w14:paraId="104CA0E3">
            <w:pPr>
              <w:shd w:val="clear"/>
              <w:jc w:val="center"/>
              <w:rPr>
                <w:rFonts w:hint="eastAsia" w:ascii="宋体" w:hAnsi="宋体" w:eastAsia="宋体" w:cs="宋体"/>
                <w:i w:val="0"/>
                <w:iCs w:val="0"/>
                <w:color w:val="auto"/>
                <w:sz w:val="21"/>
                <w:szCs w:val="21"/>
                <w:highlight w:val="none"/>
                <w:u w:val="none"/>
              </w:rPr>
            </w:pPr>
          </w:p>
        </w:tc>
        <w:tc>
          <w:tcPr>
            <w:tcW w:w="170" w:type="pct"/>
            <w:tcBorders>
              <w:top w:val="single" w:color="000000" w:sz="4" w:space="0"/>
              <w:left w:val="single" w:color="000000" w:sz="4" w:space="0"/>
              <w:bottom w:val="single" w:color="000000" w:sz="4" w:space="0"/>
              <w:right w:val="single" w:color="000000" w:sz="4" w:space="0"/>
            </w:tcBorders>
            <w:noWrap/>
            <w:vAlign w:val="center"/>
          </w:tcPr>
          <w:p w14:paraId="667F9F31">
            <w:pPr>
              <w:shd w:val="clear"/>
              <w:jc w:val="center"/>
              <w:rPr>
                <w:rFonts w:hint="eastAsia" w:ascii="宋体" w:hAnsi="宋体" w:eastAsia="宋体" w:cs="宋体"/>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2813764A">
            <w:pPr>
              <w:shd w:val="clear"/>
              <w:rPr>
                <w:rFonts w:hint="eastAsia" w:ascii="宋体" w:hAnsi="宋体" w:eastAsia="宋体" w:cs="宋体"/>
                <w:i w:val="0"/>
                <w:iCs w:val="0"/>
                <w:color w:val="auto"/>
                <w:sz w:val="21"/>
                <w:szCs w:val="21"/>
                <w:highlight w:val="none"/>
                <w:u w:val="none"/>
              </w:rPr>
            </w:pPr>
          </w:p>
        </w:tc>
      </w:tr>
      <w:tr w14:paraId="41946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170" w:type="pct"/>
            <w:tcBorders>
              <w:top w:val="single" w:color="000000" w:sz="4" w:space="0"/>
              <w:left w:val="single" w:color="000000" w:sz="4" w:space="0"/>
              <w:bottom w:val="single" w:color="000000" w:sz="4" w:space="0"/>
              <w:right w:val="single" w:color="000000" w:sz="4" w:space="0"/>
            </w:tcBorders>
            <w:noWrap/>
            <w:vAlign w:val="center"/>
          </w:tcPr>
          <w:p w14:paraId="244D478B">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FF06A0F">
            <w:pPr>
              <w:shd w:val="clear"/>
              <w:jc w:val="center"/>
              <w:rPr>
                <w:rFonts w:hint="eastAsia" w:ascii="宋体" w:hAnsi="宋体" w:eastAsia="宋体" w:cs="宋体"/>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6B67C846">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6B3F5EA9">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2215D841">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213C04D8">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EFA7266">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7B9D783">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3D1AE8E1">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E3D51DB">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7F2B2F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049167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A410297">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5AECFB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B9B69B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053637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3E1D1A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0E8EF3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7F9A87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FDD13B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D1783FF">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DF9485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376ED9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F0F30DA">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3B293C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60942BA">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878E75F">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51F1E2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912B39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C216C0F">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D7F2628">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BDCBCF7">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629BB56">
            <w:pPr>
              <w:shd w:val="clear"/>
              <w:rPr>
                <w:rFonts w:hint="eastAsia" w:ascii="宋体" w:hAnsi="宋体" w:eastAsia="宋体" w:cs="宋体"/>
                <w:b/>
                <w:bCs/>
                <w:i w:val="0"/>
                <w:iCs w:val="0"/>
                <w:color w:val="auto"/>
                <w:sz w:val="21"/>
                <w:szCs w:val="21"/>
                <w:highlight w:val="none"/>
                <w:u w:val="none"/>
              </w:rPr>
            </w:pPr>
          </w:p>
        </w:tc>
        <w:tc>
          <w:tcPr>
            <w:tcW w:w="201" w:type="pct"/>
            <w:tcBorders>
              <w:top w:val="single" w:color="000000" w:sz="4" w:space="0"/>
              <w:left w:val="single" w:color="000000" w:sz="4" w:space="0"/>
              <w:bottom w:val="single" w:color="000000" w:sz="4" w:space="0"/>
              <w:right w:val="single" w:color="000000" w:sz="4" w:space="0"/>
            </w:tcBorders>
            <w:noWrap/>
            <w:vAlign w:val="center"/>
          </w:tcPr>
          <w:p w14:paraId="0FEA1CA8">
            <w:pPr>
              <w:shd w:val="clear"/>
              <w:jc w:val="center"/>
              <w:rPr>
                <w:rFonts w:hint="eastAsia" w:ascii="宋体" w:hAnsi="宋体" w:eastAsia="宋体" w:cs="宋体"/>
                <w:i w:val="0"/>
                <w:iCs w:val="0"/>
                <w:color w:val="auto"/>
                <w:sz w:val="21"/>
                <w:szCs w:val="21"/>
                <w:highlight w:val="none"/>
                <w:u w:val="none"/>
              </w:rPr>
            </w:pPr>
          </w:p>
        </w:tc>
        <w:tc>
          <w:tcPr>
            <w:tcW w:w="170" w:type="pct"/>
            <w:tcBorders>
              <w:top w:val="single" w:color="000000" w:sz="4" w:space="0"/>
              <w:left w:val="single" w:color="000000" w:sz="4" w:space="0"/>
              <w:bottom w:val="single" w:color="000000" w:sz="4" w:space="0"/>
              <w:right w:val="single" w:color="000000" w:sz="4" w:space="0"/>
            </w:tcBorders>
            <w:noWrap/>
            <w:vAlign w:val="center"/>
          </w:tcPr>
          <w:p w14:paraId="090EEE80">
            <w:pPr>
              <w:shd w:val="clear"/>
              <w:jc w:val="center"/>
              <w:rPr>
                <w:rFonts w:hint="eastAsia" w:ascii="宋体" w:hAnsi="宋体" w:eastAsia="宋体" w:cs="宋体"/>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3CACA819">
            <w:pPr>
              <w:shd w:val="clear"/>
              <w:rPr>
                <w:rFonts w:hint="eastAsia" w:ascii="宋体" w:hAnsi="宋体" w:eastAsia="宋体" w:cs="宋体"/>
                <w:i w:val="0"/>
                <w:iCs w:val="0"/>
                <w:color w:val="auto"/>
                <w:sz w:val="21"/>
                <w:szCs w:val="21"/>
                <w:highlight w:val="none"/>
                <w:u w:val="none"/>
              </w:rPr>
            </w:pPr>
          </w:p>
        </w:tc>
      </w:tr>
      <w:tr w14:paraId="1B3E7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170" w:type="pct"/>
            <w:tcBorders>
              <w:top w:val="single" w:color="000000" w:sz="4" w:space="0"/>
              <w:left w:val="single" w:color="000000" w:sz="4" w:space="0"/>
              <w:bottom w:val="single" w:color="000000" w:sz="4" w:space="0"/>
              <w:right w:val="single" w:color="000000" w:sz="4" w:space="0"/>
            </w:tcBorders>
            <w:noWrap/>
            <w:vAlign w:val="center"/>
          </w:tcPr>
          <w:p w14:paraId="3B2F732C">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6B72B1C3">
            <w:pPr>
              <w:shd w:val="clear"/>
              <w:jc w:val="center"/>
              <w:rPr>
                <w:rFonts w:hint="eastAsia" w:ascii="宋体" w:hAnsi="宋体" w:eastAsia="宋体" w:cs="宋体"/>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5755B319">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59AF32B">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4B27112">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3959685">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8E3730C">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6290A6A6">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6026E55">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4F64367">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6EF28BD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6ACBF6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010AD2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F977C17">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6D05F5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A28667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C9D31E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BE8C9A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BAFC817">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C4F2A5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BDA908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20E9BA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83D2D1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BE284E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B65A8C7">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EA1D6C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1B1B12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656B34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C95F9C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B2F494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5AC10B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8CB4A08">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83671DE">
            <w:pPr>
              <w:shd w:val="clear"/>
              <w:rPr>
                <w:rFonts w:hint="eastAsia" w:ascii="宋体" w:hAnsi="宋体" w:eastAsia="宋体" w:cs="宋体"/>
                <w:b/>
                <w:bCs/>
                <w:i w:val="0"/>
                <w:iCs w:val="0"/>
                <w:color w:val="auto"/>
                <w:sz w:val="21"/>
                <w:szCs w:val="21"/>
                <w:highlight w:val="none"/>
                <w:u w:val="none"/>
              </w:rPr>
            </w:pPr>
          </w:p>
        </w:tc>
        <w:tc>
          <w:tcPr>
            <w:tcW w:w="201" w:type="pct"/>
            <w:tcBorders>
              <w:top w:val="single" w:color="000000" w:sz="4" w:space="0"/>
              <w:left w:val="single" w:color="000000" w:sz="4" w:space="0"/>
              <w:bottom w:val="single" w:color="000000" w:sz="4" w:space="0"/>
              <w:right w:val="single" w:color="000000" w:sz="4" w:space="0"/>
            </w:tcBorders>
            <w:noWrap/>
            <w:vAlign w:val="center"/>
          </w:tcPr>
          <w:p w14:paraId="1E587564">
            <w:pPr>
              <w:shd w:val="clear"/>
              <w:jc w:val="center"/>
              <w:rPr>
                <w:rFonts w:hint="eastAsia" w:ascii="宋体" w:hAnsi="宋体" w:eastAsia="宋体" w:cs="宋体"/>
                <w:i w:val="0"/>
                <w:iCs w:val="0"/>
                <w:color w:val="auto"/>
                <w:sz w:val="21"/>
                <w:szCs w:val="21"/>
                <w:highlight w:val="none"/>
                <w:u w:val="none"/>
              </w:rPr>
            </w:pPr>
          </w:p>
        </w:tc>
        <w:tc>
          <w:tcPr>
            <w:tcW w:w="170" w:type="pct"/>
            <w:tcBorders>
              <w:top w:val="single" w:color="000000" w:sz="4" w:space="0"/>
              <w:left w:val="single" w:color="000000" w:sz="4" w:space="0"/>
              <w:bottom w:val="single" w:color="000000" w:sz="4" w:space="0"/>
              <w:right w:val="single" w:color="000000" w:sz="4" w:space="0"/>
            </w:tcBorders>
            <w:noWrap/>
            <w:vAlign w:val="center"/>
          </w:tcPr>
          <w:p w14:paraId="18D996B4">
            <w:pPr>
              <w:shd w:val="clear"/>
              <w:jc w:val="center"/>
              <w:rPr>
                <w:rFonts w:hint="eastAsia" w:ascii="宋体" w:hAnsi="宋体" w:eastAsia="宋体" w:cs="宋体"/>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08B847EC">
            <w:pPr>
              <w:shd w:val="clear"/>
              <w:rPr>
                <w:rFonts w:hint="eastAsia" w:ascii="宋体" w:hAnsi="宋体" w:eastAsia="宋体" w:cs="宋体"/>
                <w:i w:val="0"/>
                <w:iCs w:val="0"/>
                <w:color w:val="auto"/>
                <w:sz w:val="21"/>
                <w:szCs w:val="21"/>
                <w:highlight w:val="none"/>
                <w:u w:val="none"/>
              </w:rPr>
            </w:pPr>
          </w:p>
        </w:tc>
      </w:tr>
      <w:tr w14:paraId="3B33E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70" w:type="pct"/>
            <w:tcBorders>
              <w:top w:val="single" w:color="000000" w:sz="4" w:space="0"/>
              <w:left w:val="single" w:color="000000" w:sz="4" w:space="0"/>
              <w:bottom w:val="single" w:color="000000" w:sz="4" w:space="0"/>
              <w:right w:val="single" w:color="000000" w:sz="4" w:space="0"/>
            </w:tcBorders>
            <w:noWrap/>
            <w:vAlign w:val="center"/>
          </w:tcPr>
          <w:p w14:paraId="7F2CF85E">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322B82A5">
            <w:pPr>
              <w:shd w:val="clear"/>
              <w:jc w:val="center"/>
              <w:rPr>
                <w:rFonts w:hint="eastAsia" w:ascii="宋体" w:hAnsi="宋体" w:eastAsia="宋体" w:cs="宋体"/>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46E7EE86">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1253369">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298543A9">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30B22B3A">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62FE5F1B">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C0136D8">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26990787">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B68284D">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5C05720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3AB9F3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B58DF0A">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0FB23E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E4E856F">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4A7D2A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CB34D43">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3A2D03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23A3DAA">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491FB5E">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A166B5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65FEA9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899B37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C9E6EE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48B41C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879600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42EB0F3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928E53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E0FF6D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95DE8C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04D13DD">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74D8A1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CB5C223">
            <w:pPr>
              <w:shd w:val="clear"/>
              <w:rPr>
                <w:rFonts w:hint="eastAsia" w:ascii="宋体" w:hAnsi="宋体" w:eastAsia="宋体" w:cs="宋体"/>
                <w:b/>
                <w:bCs/>
                <w:i w:val="0"/>
                <w:iCs w:val="0"/>
                <w:color w:val="auto"/>
                <w:sz w:val="21"/>
                <w:szCs w:val="21"/>
                <w:highlight w:val="none"/>
                <w:u w:val="none"/>
              </w:rPr>
            </w:pPr>
          </w:p>
        </w:tc>
        <w:tc>
          <w:tcPr>
            <w:tcW w:w="201" w:type="pct"/>
            <w:tcBorders>
              <w:top w:val="single" w:color="000000" w:sz="4" w:space="0"/>
              <w:left w:val="single" w:color="000000" w:sz="4" w:space="0"/>
              <w:bottom w:val="single" w:color="000000" w:sz="4" w:space="0"/>
              <w:right w:val="single" w:color="000000" w:sz="4" w:space="0"/>
            </w:tcBorders>
            <w:noWrap/>
            <w:vAlign w:val="center"/>
          </w:tcPr>
          <w:p w14:paraId="41155930">
            <w:pPr>
              <w:shd w:val="clear"/>
              <w:jc w:val="center"/>
              <w:rPr>
                <w:rFonts w:hint="eastAsia" w:ascii="宋体" w:hAnsi="宋体" w:eastAsia="宋体" w:cs="宋体"/>
                <w:i w:val="0"/>
                <w:iCs w:val="0"/>
                <w:color w:val="auto"/>
                <w:sz w:val="21"/>
                <w:szCs w:val="21"/>
                <w:highlight w:val="none"/>
                <w:u w:val="none"/>
              </w:rPr>
            </w:pPr>
          </w:p>
        </w:tc>
        <w:tc>
          <w:tcPr>
            <w:tcW w:w="170" w:type="pct"/>
            <w:tcBorders>
              <w:top w:val="single" w:color="000000" w:sz="4" w:space="0"/>
              <w:left w:val="single" w:color="000000" w:sz="4" w:space="0"/>
              <w:bottom w:val="single" w:color="000000" w:sz="4" w:space="0"/>
              <w:right w:val="single" w:color="000000" w:sz="4" w:space="0"/>
            </w:tcBorders>
            <w:noWrap/>
            <w:vAlign w:val="center"/>
          </w:tcPr>
          <w:p w14:paraId="317F5A36">
            <w:pPr>
              <w:shd w:val="clear"/>
              <w:jc w:val="center"/>
              <w:rPr>
                <w:rFonts w:hint="eastAsia" w:ascii="宋体" w:hAnsi="宋体" w:eastAsia="宋体" w:cs="宋体"/>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5FCA0790">
            <w:pPr>
              <w:shd w:val="clear"/>
              <w:rPr>
                <w:rFonts w:hint="eastAsia" w:ascii="宋体" w:hAnsi="宋体" w:eastAsia="宋体" w:cs="宋体"/>
                <w:i w:val="0"/>
                <w:iCs w:val="0"/>
                <w:color w:val="auto"/>
                <w:sz w:val="21"/>
                <w:szCs w:val="21"/>
                <w:highlight w:val="none"/>
                <w:u w:val="none"/>
              </w:rPr>
            </w:pPr>
          </w:p>
        </w:tc>
      </w:tr>
      <w:tr w14:paraId="5958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170" w:type="pct"/>
            <w:tcBorders>
              <w:top w:val="single" w:color="000000" w:sz="4" w:space="0"/>
              <w:left w:val="single" w:color="000000" w:sz="4" w:space="0"/>
              <w:bottom w:val="single" w:color="000000" w:sz="4" w:space="0"/>
              <w:right w:val="single" w:color="000000" w:sz="4" w:space="0"/>
            </w:tcBorders>
            <w:noWrap/>
            <w:vAlign w:val="center"/>
          </w:tcPr>
          <w:p w14:paraId="6BD2E3B0">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3F0B369C">
            <w:pPr>
              <w:shd w:val="clear"/>
              <w:jc w:val="center"/>
              <w:rPr>
                <w:rFonts w:hint="eastAsia" w:ascii="宋体" w:hAnsi="宋体" w:eastAsia="宋体" w:cs="宋体"/>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A8586DF">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6E2C7C7">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3DC527E8">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12050605">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2544CD62">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56E19799">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5BE83301">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097D2778">
            <w:pPr>
              <w:shd w:val="clear"/>
              <w:jc w:val="center"/>
              <w:rPr>
                <w:rFonts w:hint="eastAsia" w:ascii="宋体" w:hAnsi="宋体" w:eastAsia="宋体" w:cs="宋体"/>
                <w:b/>
                <w:bCs/>
                <w:i w:val="0"/>
                <w:iCs w:val="0"/>
                <w:color w:val="auto"/>
                <w:sz w:val="21"/>
                <w:szCs w:val="21"/>
                <w:highlight w:val="none"/>
                <w:u w:val="none"/>
              </w:rPr>
            </w:pPr>
          </w:p>
        </w:tc>
        <w:tc>
          <w:tcPr>
            <w:tcW w:w="124" w:type="pct"/>
            <w:tcBorders>
              <w:top w:val="single" w:color="000000" w:sz="4" w:space="0"/>
              <w:left w:val="single" w:color="000000" w:sz="4" w:space="0"/>
              <w:bottom w:val="single" w:color="000000" w:sz="4" w:space="0"/>
              <w:right w:val="single" w:color="000000" w:sz="4" w:space="0"/>
            </w:tcBorders>
            <w:noWrap w:val="0"/>
            <w:vAlign w:val="center"/>
          </w:tcPr>
          <w:p w14:paraId="7D420B98">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D8BE70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6244BF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54967EE">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0D1ABE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3B06229">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52BCA59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080D855">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D3440B3">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45328C4">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4106BA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25E63D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1C7E36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366D9A11">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E3530A7">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36222C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7FCCFDF2">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CEDF77B">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6794A8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1F29A676">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2A4A1B7C">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6326BF70">
            <w:pPr>
              <w:shd w:val="clear"/>
              <w:jc w:val="center"/>
              <w:rPr>
                <w:rFonts w:hint="eastAsia" w:ascii="宋体" w:hAnsi="宋体" w:eastAsia="宋体" w:cs="宋体"/>
                <w:b/>
                <w:bCs/>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0"/>
            <w:vAlign w:val="center"/>
          </w:tcPr>
          <w:p w14:paraId="0B12D39B">
            <w:pPr>
              <w:shd w:val="clear"/>
              <w:rPr>
                <w:rFonts w:hint="eastAsia" w:ascii="宋体" w:hAnsi="宋体" w:eastAsia="宋体" w:cs="宋体"/>
                <w:b/>
                <w:bCs/>
                <w:i w:val="0"/>
                <w:iCs w:val="0"/>
                <w:color w:val="auto"/>
                <w:sz w:val="21"/>
                <w:szCs w:val="21"/>
                <w:highlight w:val="none"/>
                <w:u w:val="none"/>
              </w:rPr>
            </w:pPr>
          </w:p>
        </w:tc>
        <w:tc>
          <w:tcPr>
            <w:tcW w:w="201" w:type="pct"/>
            <w:tcBorders>
              <w:top w:val="single" w:color="000000" w:sz="4" w:space="0"/>
              <w:left w:val="single" w:color="000000" w:sz="4" w:space="0"/>
              <w:bottom w:val="single" w:color="000000" w:sz="4" w:space="0"/>
              <w:right w:val="single" w:color="000000" w:sz="4" w:space="0"/>
            </w:tcBorders>
            <w:noWrap/>
            <w:vAlign w:val="center"/>
          </w:tcPr>
          <w:p w14:paraId="030E77FC">
            <w:pPr>
              <w:shd w:val="clear"/>
              <w:jc w:val="center"/>
              <w:rPr>
                <w:rFonts w:hint="eastAsia" w:ascii="宋体" w:hAnsi="宋体" w:eastAsia="宋体" w:cs="宋体"/>
                <w:i w:val="0"/>
                <w:iCs w:val="0"/>
                <w:color w:val="auto"/>
                <w:sz w:val="21"/>
                <w:szCs w:val="21"/>
                <w:highlight w:val="none"/>
                <w:u w:val="none"/>
              </w:rPr>
            </w:pPr>
          </w:p>
        </w:tc>
        <w:tc>
          <w:tcPr>
            <w:tcW w:w="170" w:type="pct"/>
            <w:tcBorders>
              <w:top w:val="single" w:color="000000" w:sz="4" w:space="0"/>
              <w:left w:val="single" w:color="000000" w:sz="4" w:space="0"/>
              <w:bottom w:val="single" w:color="000000" w:sz="4" w:space="0"/>
              <w:right w:val="single" w:color="000000" w:sz="4" w:space="0"/>
            </w:tcBorders>
            <w:noWrap/>
            <w:vAlign w:val="center"/>
          </w:tcPr>
          <w:p w14:paraId="7AF77C36">
            <w:pPr>
              <w:shd w:val="clear"/>
              <w:jc w:val="center"/>
              <w:rPr>
                <w:rFonts w:hint="eastAsia" w:ascii="宋体" w:hAnsi="宋体" w:eastAsia="宋体" w:cs="宋体"/>
                <w:i w:val="0"/>
                <w:iCs w:val="0"/>
                <w:color w:val="auto"/>
                <w:sz w:val="21"/>
                <w:szCs w:val="21"/>
                <w:highlight w:val="none"/>
                <w:u w:val="none"/>
              </w:rPr>
            </w:pPr>
          </w:p>
        </w:tc>
        <w:tc>
          <w:tcPr>
            <w:tcW w:w="139" w:type="pct"/>
            <w:tcBorders>
              <w:top w:val="single" w:color="000000" w:sz="4" w:space="0"/>
              <w:left w:val="single" w:color="000000" w:sz="4" w:space="0"/>
              <w:bottom w:val="single" w:color="000000" w:sz="4" w:space="0"/>
              <w:right w:val="single" w:color="000000" w:sz="4" w:space="0"/>
            </w:tcBorders>
            <w:noWrap/>
            <w:vAlign w:val="center"/>
          </w:tcPr>
          <w:p w14:paraId="145C9E1C">
            <w:pPr>
              <w:shd w:val="clear"/>
              <w:rPr>
                <w:rFonts w:hint="eastAsia" w:ascii="宋体" w:hAnsi="宋体" w:eastAsia="宋体" w:cs="宋体"/>
                <w:i w:val="0"/>
                <w:iCs w:val="0"/>
                <w:color w:val="auto"/>
                <w:sz w:val="21"/>
                <w:szCs w:val="21"/>
                <w:highlight w:val="none"/>
                <w:u w:val="none"/>
              </w:rPr>
            </w:pPr>
          </w:p>
        </w:tc>
      </w:tr>
      <w:tr w14:paraId="76320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5000" w:type="pct"/>
            <w:gridSpan w:val="36"/>
            <w:tcBorders>
              <w:top w:val="nil"/>
              <w:left w:val="nil"/>
              <w:bottom w:val="nil"/>
              <w:right w:val="nil"/>
            </w:tcBorders>
            <w:noWrap w:val="0"/>
            <w:vAlign w:val="center"/>
          </w:tcPr>
          <w:p w14:paraId="45659ABC">
            <w:pPr>
              <w:keepNext w:val="0"/>
              <w:keepLines w:val="0"/>
              <w:widowControl/>
              <w:suppressLineNumbers w:val="0"/>
              <w:shd w:val="clear"/>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考勤记录：正常上班打“√”，排休写“休”，请假用文字表述，如：年休假、婚假、产假、事假、病假、丧假等。</w:t>
            </w:r>
          </w:p>
        </w:tc>
      </w:tr>
    </w:tbl>
    <w:p w14:paraId="2FB146C6">
      <w:pPr>
        <w:shd w:val="clear"/>
        <w:rPr>
          <w:rFonts w:hint="eastAsia" w:ascii="宋体" w:hAnsi="宋体" w:eastAsia="宋体" w:cs="宋体"/>
          <w:color w:val="auto"/>
          <w:sz w:val="21"/>
          <w:szCs w:val="21"/>
          <w:highlight w:val="none"/>
          <w:lang w:val="en-US" w:eastAsia="zh-CN"/>
        </w:rPr>
      </w:pPr>
    </w:p>
    <w:p w14:paraId="0510D8BB">
      <w:pPr>
        <w:shd w:val="clear"/>
        <w:rPr>
          <w:rFonts w:hint="eastAsia" w:ascii="宋体" w:hAnsi="宋体" w:eastAsia="宋体" w:cs="宋体"/>
          <w:color w:val="auto"/>
          <w:sz w:val="21"/>
          <w:szCs w:val="21"/>
          <w:highlight w:val="none"/>
          <w:lang w:val="en-US" w:eastAsia="zh-CN"/>
        </w:rPr>
      </w:pPr>
    </w:p>
    <w:p w14:paraId="493F92D4">
      <w:pPr>
        <w:shd w:val="clear"/>
        <w:snapToGrid w:val="0"/>
        <w:spacing w:line="40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21"/>
          <w:szCs w:val="21"/>
          <w:highlight w:val="none"/>
        </w:rPr>
        <w:br w:type="page"/>
      </w:r>
    </w:p>
    <w:p w14:paraId="33A84099">
      <w:pPr>
        <w:shd w:val="clear"/>
        <w:snapToGrid w:val="0"/>
        <w:spacing w:line="400" w:lineRule="exact"/>
        <w:jc w:val="center"/>
        <w:rPr>
          <w:rFonts w:hint="eastAsia" w:ascii="宋体" w:hAnsi="宋体" w:eastAsia="宋体" w:cs="宋体"/>
          <w:b/>
          <w:color w:val="auto"/>
          <w:sz w:val="32"/>
          <w:szCs w:val="32"/>
          <w:highlight w:val="none"/>
        </w:rPr>
      </w:pPr>
    </w:p>
    <w:p w14:paraId="732760D9">
      <w:pPr>
        <w:shd w:val="clear"/>
        <w:snapToGrid w:val="0"/>
        <w:spacing w:line="400" w:lineRule="exact"/>
        <w:jc w:val="center"/>
        <w:rPr>
          <w:rFonts w:hint="eastAsia" w:ascii="宋体" w:hAnsi="宋体" w:eastAsia="宋体" w:cs="宋体"/>
          <w:b/>
          <w:color w:val="auto"/>
          <w:sz w:val="32"/>
          <w:szCs w:val="32"/>
          <w:highlight w:val="none"/>
        </w:rPr>
      </w:pPr>
    </w:p>
    <w:p w14:paraId="474125BA">
      <w:pPr>
        <w:shd w:val="clear"/>
        <w:snapToGrid w:val="0"/>
        <w:spacing w:line="400" w:lineRule="exact"/>
        <w:jc w:val="center"/>
        <w:rPr>
          <w:rFonts w:hint="eastAsia" w:ascii="宋体" w:hAnsi="宋体" w:eastAsia="宋体" w:cs="宋体"/>
          <w:b/>
          <w:color w:val="auto"/>
          <w:sz w:val="32"/>
          <w:szCs w:val="32"/>
          <w:highlight w:val="none"/>
        </w:rPr>
      </w:pPr>
    </w:p>
    <w:p w14:paraId="434FAA97">
      <w:pPr>
        <w:shd w:val="clear"/>
        <w:snapToGrid w:val="0"/>
        <w:spacing w:line="400" w:lineRule="exact"/>
        <w:jc w:val="center"/>
        <w:rPr>
          <w:rFonts w:hint="eastAsia" w:ascii="宋体" w:hAnsi="宋体" w:eastAsia="宋体" w:cs="宋体"/>
          <w:b/>
          <w:color w:val="auto"/>
          <w:sz w:val="32"/>
          <w:szCs w:val="32"/>
          <w:highlight w:val="none"/>
        </w:rPr>
      </w:pPr>
    </w:p>
    <w:p w14:paraId="23504F1B">
      <w:pPr>
        <w:shd w:val="clear"/>
        <w:snapToGrid w:val="0"/>
        <w:spacing w:line="400" w:lineRule="exact"/>
        <w:jc w:val="center"/>
        <w:rPr>
          <w:rFonts w:hint="eastAsia" w:ascii="宋体" w:hAnsi="宋体" w:eastAsia="宋体" w:cs="宋体"/>
          <w:b/>
          <w:color w:val="auto"/>
          <w:sz w:val="32"/>
          <w:szCs w:val="32"/>
          <w:highlight w:val="none"/>
        </w:rPr>
      </w:pPr>
    </w:p>
    <w:p w14:paraId="6A9BFE75">
      <w:pPr>
        <w:shd w:val="clear"/>
        <w:snapToGrid w:val="0"/>
        <w:spacing w:line="400" w:lineRule="exact"/>
        <w:jc w:val="center"/>
        <w:rPr>
          <w:rFonts w:hint="eastAsia" w:ascii="宋体" w:hAnsi="宋体" w:eastAsia="宋体" w:cs="宋体"/>
          <w:b/>
          <w:color w:val="auto"/>
          <w:sz w:val="32"/>
          <w:szCs w:val="32"/>
          <w:highlight w:val="none"/>
        </w:rPr>
      </w:pPr>
    </w:p>
    <w:p w14:paraId="08257736">
      <w:pPr>
        <w:shd w:val="clear"/>
        <w:snapToGrid w:val="0"/>
        <w:spacing w:line="400" w:lineRule="exact"/>
        <w:jc w:val="center"/>
        <w:rPr>
          <w:rFonts w:hint="eastAsia" w:ascii="宋体" w:hAnsi="宋体" w:eastAsia="宋体" w:cs="宋体"/>
          <w:b/>
          <w:color w:val="auto"/>
          <w:sz w:val="32"/>
          <w:szCs w:val="32"/>
          <w:highlight w:val="none"/>
        </w:rPr>
      </w:pPr>
    </w:p>
    <w:p w14:paraId="241311A1">
      <w:pPr>
        <w:shd w:val="clear"/>
        <w:snapToGrid w:val="0"/>
        <w:spacing w:line="400" w:lineRule="exact"/>
        <w:jc w:val="center"/>
        <w:rPr>
          <w:rFonts w:hint="eastAsia" w:ascii="宋体" w:hAnsi="宋体" w:eastAsia="宋体" w:cs="宋体"/>
          <w:b/>
          <w:color w:val="auto"/>
          <w:sz w:val="32"/>
          <w:szCs w:val="32"/>
          <w:highlight w:val="none"/>
        </w:rPr>
      </w:pPr>
    </w:p>
    <w:p w14:paraId="6C2DA40C">
      <w:pPr>
        <w:shd w:val="clear"/>
        <w:snapToGrid w:val="0"/>
        <w:spacing w:line="400" w:lineRule="exact"/>
        <w:jc w:val="center"/>
        <w:rPr>
          <w:rFonts w:hint="eastAsia" w:ascii="宋体" w:hAnsi="宋体" w:eastAsia="宋体" w:cs="宋体"/>
          <w:b/>
          <w:color w:val="auto"/>
          <w:sz w:val="32"/>
          <w:szCs w:val="32"/>
          <w:highlight w:val="none"/>
        </w:rPr>
      </w:pPr>
    </w:p>
    <w:p w14:paraId="7959D0D9">
      <w:pPr>
        <w:shd w:val="clear"/>
        <w:snapToGrid w:val="0"/>
        <w:spacing w:line="400" w:lineRule="exact"/>
        <w:jc w:val="center"/>
        <w:rPr>
          <w:rFonts w:hint="eastAsia" w:ascii="宋体" w:hAnsi="宋体" w:eastAsia="宋体" w:cs="宋体"/>
          <w:b/>
          <w:color w:val="auto"/>
          <w:sz w:val="32"/>
          <w:szCs w:val="32"/>
          <w:highlight w:val="none"/>
        </w:rPr>
      </w:pPr>
    </w:p>
    <w:p w14:paraId="48F5766D">
      <w:pPr>
        <w:shd w:val="clear"/>
        <w:snapToGrid w:val="0"/>
        <w:spacing w:line="400" w:lineRule="exact"/>
        <w:jc w:val="center"/>
        <w:rPr>
          <w:rFonts w:hint="eastAsia" w:ascii="宋体" w:hAnsi="宋体" w:eastAsia="宋体" w:cs="宋体"/>
          <w:b/>
          <w:color w:val="auto"/>
          <w:sz w:val="32"/>
          <w:szCs w:val="32"/>
          <w:highlight w:val="none"/>
        </w:rPr>
      </w:pPr>
    </w:p>
    <w:p w14:paraId="5EF4BE68">
      <w:pPr>
        <w:shd w:val="clear"/>
        <w:snapToGrid w:val="0"/>
        <w:spacing w:line="400" w:lineRule="exact"/>
        <w:jc w:val="center"/>
        <w:rPr>
          <w:rFonts w:hint="eastAsia" w:ascii="宋体" w:hAnsi="宋体" w:eastAsia="宋体" w:cs="宋体"/>
          <w:b/>
          <w:color w:val="auto"/>
          <w:sz w:val="32"/>
          <w:szCs w:val="32"/>
          <w:highlight w:val="none"/>
        </w:rPr>
      </w:pPr>
    </w:p>
    <w:p w14:paraId="3B71ED40">
      <w:pPr>
        <w:shd w:val="clear"/>
        <w:snapToGrid w:val="0"/>
        <w:spacing w:line="400" w:lineRule="exact"/>
        <w:jc w:val="center"/>
        <w:rPr>
          <w:rFonts w:hint="eastAsia" w:ascii="宋体" w:hAnsi="宋体" w:eastAsia="宋体" w:cs="宋体"/>
          <w:b/>
          <w:color w:val="auto"/>
          <w:sz w:val="32"/>
          <w:szCs w:val="32"/>
          <w:highlight w:val="none"/>
        </w:rPr>
      </w:pPr>
    </w:p>
    <w:p w14:paraId="0E9EB436">
      <w:pPr>
        <w:shd w:val="clear"/>
        <w:snapToGrid w:val="0"/>
        <w:spacing w:line="400" w:lineRule="exact"/>
        <w:jc w:val="center"/>
        <w:rPr>
          <w:rFonts w:hint="eastAsia" w:ascii="宋体" w:hAnsi="宋体" w:eastAsia="宋体" w:cs="宋体"/>
          <w:b/>
          <w:color w:val="auto"/>
          <w:sz w:val="32"/>
          <w:szCs w:val="32"/>
          <w:highlight w:val="none"/>
        </w:rPr>
      </w:pPr>
    </w:p>
    <w:p w14:paraId="3670BC5F">
      <w:pPr>
        <w:shd w:val="clear"/>
        <w:snapToGrid w:val="0"/>
        <w:spacing w:line="400" w:lineRule="exact"/>
        <w:jc w:val="center"/>
        <w:rPr>
          <w:rFonts w:hint="eastAsia" w:ascii="宋体" w:hAnsi="宋体" w:eastAsia="宋体" w:cs="宋体"/>
          <w:b/>
          <w:color w:val="auto"/>
          <w:sz w:val="32"/>
          <w:szCs w:val="32"/>
          <w:highlight w:val="none"/>
        </w:rPr>
      </w:pPr>
    </w:p>
    <w:p w14:paraId="4C67B50F">
      <w:pPr>
        <w:pStyle w:val="47"/>
        <w:shd w:val="clear"/>
        <w:rPr>
          <w:rFonts w:hint="eastAsia" w:ascii="宋体" w:hAnsi="宋体" w:eastAsia="宋体" w:cs="宋体"/>
          <w:color w:val="auto"/>
          <w:sz w:val="44"/>
          <w:szCs w:val="44"/>
          <w:highlight w:val="none"/>
        </w:rPr>
      </w:pPr>
      <w:bookmarkStart w:id="43" w:name="_Toc476436433"/>
      <w:bookmarkStart w:id="44" w:name="_Toc476436174"/>
      <w:r>
        <w:rPr>
          <w:rFonts w:hint="eastAsia" w:ascii="宋体" w:hAnsi="宋体" w:eastAsia="宋体" w:cs="宋体"/>
          <w:color w:val="auto"/>
          <w:sz w:val="44"/>
          <w:szCs w:val="44"/>
          <w:highlight w:val="none"/>
        </w:rPr>
        <w:t>第三章  投标人须知</w:t>
      </w:r>
      <w:bookmarkEnd w:id="43"/>
      <w:bookmarkEnd w:id="44"/>
    </w:p>
    <w:p w14:paraId="7CE90725">
      <w:pPr>
        <w:shd w:val="clear"/>
        <w:snapToGrid w:val="0"/>
        <w:jc w:val="center"/>
        <w:rPr>
          <w:rFonts w:hint="eastAsia" w:ascii="宋体" w:hAnsi="宋体" w:eastAsia="宋体" w:cs="宋体"/>
          <w:color w:val="auto"/>
          <w:sz w:val="32"/>
          <w:szCs w:val="32"/>
          <w:highlight w:val="none"/>
        </w:rPr>
      </w:pPr>
    </w:p>
    <w:p w14:paraId="010FB591">
      <w:pPr>
        <w:shd w:val="clear"/>
        <w:snapToGrid w:val="0"/>
        <w:jc w:val="center"/>
        <w:rPr>
          <w:rFonts w:hint="eastAsia" w:ascii="宋体" w:hAnsi="宋体" w:eastAsia="宋体" w:cs="宋体"/>
          <w:color w:val="auto"/>
          <w:sz w:val="32"/>
          <w:szCs w:val="32"/>
          <w:highlight w:val="none"/>
        </w:rPr>
      </w:pPr>
    </w:p>
    <w:p w14:paraId="25A9438F">
      <w:pPr>
        <w:shd w:val="clear"/>
        <w:snapToGrid w:val="0"/>
        <w:jc w:val="center"/>
        <w:rPr>
          <w:rFonts w:hint="eastAsia" w:ascii="宋体" w:hAnsi="宋体" w:eastAsia="宋体" w:cs="宋体"/>
          <w:color w:val="auto"/>
          <w:sz w:val="32"/>
          <w:szCs w:val="32"/>
          <w:highlight w:val="none"/>
        </w:rPr>
      </w:pPr>
    </w:p>
    <w:p w14:paraId="7B21E494">
      <w:pPr>
        <w:shd w:val="clear"/>
        <w:snapToGrid w:val="0"/>
        <w:jc w:val="center"/>
        <w:rPr>
          <w:rFonts w:hint="eastAsia" w:ascii="宋体" w:hAnsi="宋体" w:eastAsia="宋体" w:cs="宋体"/>
          <w:color w:val="auto"/>
          <w:sz w:val="32"/>
          <w:szCs w:val="32"/>
          <w:highlight w:val="none"/>
        </w:rPr>
      </w:pPr>
    </w:p>
    <w:p w14:paraId="44E654C2">
      <w:pPr>
        <w:shd w:val="clear"/>
        <w:snapToGrid w:val="0"/>
        <w:jc w:val="center"/>
        <w:rPr>
          <w:rFonts w:hint="eastAsia" w:ascii="宋体" w:hAnsi="宋体" w:eastAsia="宋体" w:cs="宋体"/>
          <w:color w:val="auto"/>
          <w:sz w:val="32"/>
          <w:szCs w:val="32"/>
          <w:highlight w:val="none"/>
        </w:rPr>
      </w:pPr>
    </w:p>
    <w:p w14:paraId="0B96FC9A">
      <w:pPr>
        <w:shd w:val="clear"/>
        <w:snapToGrid w:val="0"/>
        <w:jc w:val="center"/>
        <w:rPr>
          <w:rFonts w:hint="eastAsia" w:ascii="宋体" w:hAnsi="宋体" w:eastAsia="宋体" w:cs="宋体"/>
          <w:color w:val="auto"/>
          <w:sz w:val="32"/>
          <w:szCs w:val="32"/>
          <w:highlight w:val="none"/>
        </w:rPr>
      </w:pPr>
    </w:p>
    <w:p w14:paraId="4DA48AF1">
      <w:pPr>
        <w:shd w:val="clear"/>
        <w:snapToGrid w:val="0"/>
        <w:jc w:val="center"/>
        <w:rPr>
          <w:rFonts w:hint="eastAsia" w:ascii="宋体" w:hAnsi="宋体" w:eastAsia="宋体" w:cs="宋体"/>
          <w:color w:val="auto"/>
          <w:sz w:val="32"/>
          <w:szCs w:val="32"/>
          <w:highlight w:val="none"/>
        </w:rPr>
      </w:pPr>
    </w:p>
    <w:p w14:paraId="0D758AD5">
      <w:pPr>
        <w:shd w:val="clear"/>
        <w:snapToGrid w:val="0"/>
        <w:jc w:val="center"/>
        <w:rPr>
          <w:rFonts w:hint="eastAsia" w:ascii="宋体" w:hAnsi="宋体" w:eastAsia="宋体" w:cs="宋体"/>
          <w:color w:val="auto"/>
          <w:sz w:val="32"/>
          <w:szCs w:val="32"/>
          <w:highlight w:val="none"/>
        </w:rPr>
      </w:pPr>
    </w:p>
    <w:p w14:paraId="1EB62C66">
      <w:pPr>
        <w:shd w:val="clear"/>
        <w:snapToGrid w:val="0"/>
        <w:jc w:val="center"/>
        <w:rPr>
          <w:rFonts w:hint="eastAsia" w:ascii="宋体" w:hAnsi="宋体" w:eastAsia="宋体" w:cs="宋体"/>
          <w:color w:val="auto"/>
          <w:sz w:val="32"/>
          <w:szCs w:val="32"/>
          <w:highlight w:val="none"/>
        </w:rPr>
      </w:pPr>
    </w:p>
    <w:p w14:paraId="48425520">
      <w:pPr>
        <w:shd w:val="clear"/>
        <w:snapToGrid w:val="0"/>
        <w:jc w:val="center"/>
        <w:rPr>
          <w:rFonts w:hint="eastAsia" w:ascii="宋体" w:hAnsi="宋体" w:eastAsia="宋体" w:cs="宋体"/>
          <w:color w:val="auto"/>
          <w:sz w:val="32"/>
          <w:szCs w:val="32"/>
          <w:highlight w:val="none"/>
        </w:rPr>
      </w:pPr>
    </w:p>
    <w:p w14:paraId="406C4953">
      <w:pPr>
        <w:shd w:val="clear"/>
        <w:snapToGrid w:val="0"/>
        <w:jc w:val="center"/>
        <w:rPr>
          <w:rFonts w:hint="eastAsia" w:ascii="宋体" w:hAnsi="宋体" w:eastAsia="宋体" w:cs="宋体"/>
          <w:color w:val="auto"/>
          <w:sz w:val="32"/>
          <w:szCs w:val="32"/>
          <w:highlight w:val="none"/>
        </w:rPr>
      </w:pPr>
    </w:p>
    <w:p w14:paraId="26B48AC1">
      <w:pPr>
        <w:shd w:val="clear"/>
        <w:snapToGrid w:val="0"/>
        <w:jc w:val="center"/>
        <w:rPr>
          <w:rFonts w:hint="eastAsia" w:ascii="宋体" w:hAnsi="宋体" w:eastAsia="宋体" w:cs="宋体"/>
          <w:color w:val="auto"/>
          <w:sz w:val="32"/>
          <w:szCs w:val="32"/>
          <w:highlight w:val="none"/>
        </w:rPr>
      </w:pPr>
    </w:p>
    <w:p w14:paraId="17F1DBE8">
      <w:pPr>
        <w:shd w:val="clear"/>
        <w:snapToGrid w:val="0"/>
        <w:jc w:val="center"/>
        <w:rPr>
          <w:rFonts w:hint="eastAsia" w:ascii="宋体" w:hAnsi="宋体" w:eastAsia="宋体" w:cs="宋体"/>
          <w:color w:val="auto"/>
          <w:sz w:val="32"/>
          <w:szCs w:val="32"/>
          <w:highlight w:val="none"/>
        </w:rPr>
      </w:pPr>
    </w:p>
    <w:p w14:paraId="3D3CBF8C">
      <w:pPr>
        <w:shd w:val="clear"/>
        <w:spacing w:line="72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32"/>
          <w:szCs w:val="32"/>
          <w:highlight w:val="none"/>
        </w:rPr>
        <w:t>投标</w:t>
      </w:r>
      <w:bookmarkStart w:id="45" w:name="_Toc254970526"/>
      <w:bookmarkStart w:id="46" w:name="_Toc254970667"/>
      <w:r>
        <w:rPr>
          <w:rFonts w:hint="eastAsia" w:ascii="宋体" w:hAnsi="宋体" w:eastAsia="宋体" w:cs="宋体"/>
          <w:b/>
          <w:color w:val="auto"/>
          <w:sz w:val="32"/>
          <w:szCs w:val="32"/>
          <w:highlight w:val="none"/>
        </w:rPr>
        <w:t>人须知及前附表</w:t>
      </w:r>
      <w:bookmarkEnd w:id="45"/>
      <w:bookmarkEnd w:id="46"/>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14:paraId="031BF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B71601D">
            <w:pPr>
              <w:shd w:val="clea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5479592">
            <w:pPr>
              <w:shd w:val="clea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内容、要求</w:t>
            </w:r>
          </w:p>
        </w:tc>
      </w:tr>
      <w:tr w14:paraId="01971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4B92861">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2E45633">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w:t>
            </w:r>
            <w:r>
              <w:rPr>
                <w:rFonts w:hint="eastAsia" w:ascii="宋体" w:hAnsi="宋体" w:cs="宋体"/>
                <w:color w:val="auto"/>
                <w:sz w:val="21"/>
                <w:szCs w:val="21"/>
                <w:highlight w:val="none"/>
                <w:lang w:eastAsia="zh-CN"/>
              </w:rPr>
              <w:t>广西壮族自治区妇幼保健院医疗辅助服务项目（重）</w:t>
            </w:r>
            <w:r>
              <w:rPr>
                <w:rFonts w:hint="eastAsia" w:ascii="宋体" w:hAnsi="宋体" w:eastAsia="宋体" w:cs="宋体"/>
                <w:color w:val="auto"/>
                <w:sz w:val="21"/>
                <w:szCs w:val="21"/>
                <w:highlight w:val="none"/>
              </w:rPr>
              <w:t xml:space="preserve"> </w:t>
            </w:r>
          </w:p>
          <w:p w14:paraId="16C8E119">
            <w:pPr>
              <w:shd w:val="clear"/>
              <w:snapToGrid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采购项目编号：</w:t>
            </w:r>
            <w:r>
              <w:rPr>
                <w:rFonts w:hint="eastAsia" w:ascii="宋体" w:hAnsi="宋体" w:cs="宋体"/>
                <w:color w:val="auto"/>
                <w:sz w:val="21"/>
                <w:szCs w:val="21"/>
                <w:highlight w:val="none"/>
                <w:lang w:eastAsia="zh-CN"/>
              </w:rPr>
              <w:t>GXZC2026-G3-002638-GLZB</w:t>
            </w:r>
          </w:p>
        </w:tc>
      </w:tr>
      <w:tr w14:paraId="60C8B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07AFEC2">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E2F697B">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投标报价及费用：</w:t>
            </w:r>
          </w:p>
          <w:p w14:paraId="33CBCB69">
            <w:pPr>
              <w:numPr>
                <w:ilvl w:val="0"/>
                <w:numId w:val="0"/>
              </w:num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本项目投标应以人民币报价；</w:t>
            </w:r>
          </w:p>
          <w:p w14:paraId="6D23C4FA">
            <w:pPr>
              <w:numPr>
                <w:ilvl w:val="0"/>
                <w:numId w:val="0"/>
              </w:num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不论投标结果如何，投标人均应自行承担所有与投标有关的全部费用；</w:t>
            </w:r>
          </w:p>
          <w:p w14:paraId="63999288">
            <w:pPr>
              <w:numPr>
                <w:ilvl w:val="0"/>
                <w:numId w:val="0"/>
              </w:num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本项目的代理服务费按投标人须知第九条规定的（服务类）标准采用差额定率累进计费方式计算，由中标人向采购代理机构支付。</w:t>
            </w:r>
          </w:p>
        </w:tc>
      </w:tr>
      <w:tr w14:paraId="4B4F72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1EA4C4F2">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C254283">
            <w:pPr>
              <w:shd w:val="clea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投标保证金（人民币）：详见本项目公开招标公告。</w:t>
            </w:r>
          </w:p>
          <w:p w14:paraId="478D2C94">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投标保证金必须根据招标公告的要求进行缴纳，否则视为无效投标保证金。本项目不接受现金形式或从个人账户转出的投标保证金。</w:t>
            </w:r>
          </w:p>
        </w:tc>
      </w:tr>
      <w:tr w14:paraId="1A046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40DA3BD">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0E9DDE8">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现场踏勘：</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tc>
      </w:tr>
      <w:tr w14:paraId="7E3A17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5C3D500E">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DD75841">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演示时间及地点：</w:t>
            </w:r>
            <w:r>
              <w:rPr>
                <w:rFonts w:hint="eastAsia" w:ascii="宋体" w:hAnsi="宋体" w:eastAsia="宋体" w:cs="宋体"/>
                <w:color w:val="auto"/>
                <w:sz w:val="21"/>
                <w:szCs w:val="21"/>
                <w:highlight w:val="none"/>
                <w:u w:val="single"/>
                <w:lang w:val="en-US" w:eastAsia="zh-CN"/>
              </w:rPr>
              <w:t>详见采购需求</w:t>
            </w:r>
            <w:r>
              <w:rPr>
                <w:rFonts w:hint="eastAsia" w:ascii="宋体" w:hAnsi="宋体" w:eastAsia="宋体" w:cs="宋体"/>
                <w:color w:val="auto"/>
                <w:sz w:val="21"/>
                <w:szCs w:val="21"/>
                <w:highlight w:val="none"/>
              </w:rPr>
              <w:t>。</w:t>
            </w:r>
          </w:p>
        </w:tc>
      </w:tr>
      <w:tr w14:paraId="1CADA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CBDEDCF">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273C093">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答疑、澄清：投标人如认为招标文件表述不清晰、有误或有不合理要求的，应以书面形式要求采购人或者本公司作出书面答疑、澄清；</w:t>
            </w:r>
          </w:p>
          <w:p w14:paraId="6D81BA47">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询问、质疑：投标人如认为招标文件存在歧视性、排他性或者其他违法内容的，按投标人须知“一、总则（九）询问、质疑和投诉”中的要求向采购人或者本公司提出书面询问、质疑。</w:t>
            </w:r>
          </w:p>
          <w:p w14:paraId="3DB00326">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答疑、澄清内容是招标文件的组成部份，本公司将以书面形式送达所有已报名的投标人；本公司可以视采购具体情况，延长招标文件或者资格预审文件提供期限，并在财政部门指定的政府采购信息发布媒体上发布公告。</w:t>
            </w:r>
          </w:p>
        </w:tc>
      </w:tr>
      <w:tr w14:paraId="0A99D0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8C75ECF">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CC80293">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投标文件形式：投标供应商应准备电子投标文件。</w:t>
            </w:r>
          </w:p>
          <w:p w14:paraId="31CA3CBD">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电子投标文件是指通过“广西政府采购云平台电子投标客户端”完成投标文件编制后生成并加密的数据电文形式的电子加密投标文件。</w:t>
            </w:r>
          </w:p>
        </w:tc>
      </w:tr>
      <w:tr w14:paraId="6380CB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E486E46">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633FFABD">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投标文件的编制：供应商应先安装“广西政府采购云平台电子投标客户端”，并按照本招标文件和“广西政府采购云平台”的要求，通过“广西政府采购云平台电子投标客户端”编制并加密投标文件。</w:t>
            </w:r>
          </w:p>
        </w:tc>
      </w:tr>
      <w:tr w14:paraId="60201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022D2EC">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2DF1CDF">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投标文件的盖章：投标文件中所涉及的加盖公章均采用CA电子签章。</w:t>
            </w:r>
          </w:p>
        </w:tc>
      </w:tr>
      <w:tr w14:paraId="2FEB1E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2E6DE8BB">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6F31921">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14:paraId="48703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2853DC5B">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09AAA663">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投标文件份数：电子加密投标文件在线上传提交一份。</w:t>
            </w:r>
          </w:p>
        </w:tc>
      </w:tr>
      <w:tr w14:paraId="4F64A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391AF405">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897716A">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投标文件的上传和提交：本项目通过“广西政府采购云平台”实行在线投标响应（电子投标），投标供应商应当在投标截止时间前，将生成的“电子加密投标文件”上传提交至“广西政府采购云平台”。</w:t>
            </w:r>
          </w:p>
          <w:p w14:paraId="5509A8C8">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“电子加密投标文件”的上传、提交：</w:t>
            </w:r>
          </w:p>
          <w:p w14:paraId="23BEB4F5">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a.投标供应商应在投标截止时间前将“电子加密投标文件”成功上传提交至“广西政府采购云平台”，否则投标无效。</w:t>
            </w:r>
          </w:p>
          <w:p w14:paraId="62B2344C">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b.“电子加密投标文件”成功上传提交后，供应商可自行打印投标文件接收回执。</w:t>
            </w:r>
          </w:p>
        </w:tc>
      </w:tr>
      <w:tr w14:paraId="2580C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5A317AAB">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6A9DB5C">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电子加密投标文件的解密：</w:t>
            </w:r>
          </w:p>
          <w:p w14:paraId="087BD768">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后，采购代理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14:paraId="29546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E087262">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4313ECC5">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提交投标文件截止时间、开标时间和地点：</w:t>
            </w:r>
            <w:r>
              <w:rPr>
                <w:rFonts w:hint="eastAsia" w:ascii="宋体" w:hAnsi="宋体" w:eastAsia="宋体" w:cs="宋体"/>
                <w:b/>
                <w:color w:val="auto"/>
                <w:sz w:val="21"/>
                <w:szCs w:val="21"/>
                <w:highlight w:val="none"/>
              </w:rPr>
              <w:t>详见本项目公开招标公告。</w:t>
            </w:r>
          </w:p>
        </w:tc>
      </w:tr>
      <w:tr w14:paraId="04213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4052E81">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568451D6">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评标方法：综合评分法。</w:t>
            </w:r>
          </w:p>
        </w:tc>
      </w:tr>
      <w:tr w14:paraId="66BB8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9C0F6A1">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789FDDF">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中标公告及中标通知书：采购代理机构在采购人依法确认中标人后二个工作日内发布中标公告和中标通知书，中标公告发布于财政部门指定的政府采购信息发布媒体。</w:t>
            </w:r>
          </w:p>
        </w:tc>
      </w:tr>
      <w:tr w14:paraId="16A14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87867F4">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2704D971">
            <w:pPr>
              <w:shd w:val="clea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采购资金来源：财政性资金。</w:t>
            </w:r>
          </w:p>
        </w:tc>
      </w:tr>
      <w:tr w14:paraId="79A45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5959415D">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182CF766">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r>
              <w:rPr>
                <w:rFonts w:hint="eastAsia" w:ascii="宋体" w:hAnsi="宋体" w:eastAsia="宋体" w:cs="宋体"/>
                <w:color w:val="auto"/>
                <w:kern w:val="0"/>
                <w:sz w:val="21"/>
                <w:szCs w:val="21"/>
                <w:highlight w:val="none"/>
              </w:rPr>
              <w:t>见招标项目采购需求。</w:t>
            </w:r>
          </w:p>
        </w:tc>
      </w:tr>
      <w:tr w14:paraId="5422A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10E3712B">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358B00BE">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投标文件有效期：</w:t>
            </w:r>
            <w:r>
              <w:rPr>
                <w:rFonts w:hint="eastAsia" w:ascii="宋体" w:hAnsi="宋体" w:eastAsia="宋体" w:cs="宋体"/>
                <w:color w:val="auto"/>
                <w:sz w:val="21"/>
                <w:szCs w:val="21"/>
                <w:highlight w:val="none"/>
                <w:u w:val="single"/>
              </w:rPr>
              <w:t xml:space="preserve"> 60</w:t>
            </w:r>
            <w:r>
              <w:rPr>
                <w:rFonts w:hint="eastAsia" w:ascii="宋体" w:hAnsi="宋体" w:eastAsia="宋体" w:cs="宋体"/>
                <w:color w:val="auto"/>
                <w:sz w:val="21"/>
                <w:szCs w:val="21"/>
                <w:highlight w:val="none"/>
              </w:rPr>
              <w:t>天。</w:t>
            </w:r>
          </w:p>
        </w:tc>
      </w:tr>
      <w:tr w14:paraId="607BD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48D1F38E">
            <w:pPr>
              <w:numPr>
                <w:ilvl w:val="0"/>
                <w:numId w:val="2"/>
              </w:numPr>
              <w:shd w:val="clear"/>
              <w:snapToGrid w:val="0"/>
              <w:spacing w:line="360" w:lineRule="exact"/>
              <w:jc w:val="center"/>
              <w:rPr>
                <w:rFonts w:hint="eastAsia" w:ascii="宋体" w:hAnsi="宋体" w:eastAsia="宋体" w:cs="宋体"/>
                <w:color w:val="auto"/>
                <w:sz w:val="21"/>
                <w:szCs w:val="21"/>
                <w:highlight w:val="none"/>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14:paraId="7B0AD647">
            <w:pPr>
              <w:shd w:val="clea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本招标文件解释权属广西国力招标有限公司。</w:t>
            </w:r>
          </w:p>
        </w:tc>
      </w:tr>
    </w:tbl>
    <w:p w14:paraId="04D0BE7D">
      <w:pPr>
        <w:shd w:val="clear"/>
        <w:spacing w:line="24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32"/>
          <w:szCs w:val="32"/>
          <w:highlight w:val="none"/>
        </w:rPr>
        <w:t>投标人须知</w:t>
      </w:r>
    </w:p>
    <w:p w14:paraId="4E2FECE8">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一、总  则</w:t>
      </w:r>
      <w:bookmarkStart w:id="47" w:name="_Toc254970527"/>
      <w:bookmarkStart w:id="48" w:name="_Toc254970668"/>
    </w:p>
    <w:p w14:paraId="7DFC5873">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 适用范围</w:t>
      </w:r>
      <w:bookmarkEnd w:id="47"/>
      <w:bookmarkEnd w:id="48"/>
    </w:p>
    <w:p w14:paraId="7FA35BB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本招标文件适用于</w:t>
      </w:r>
      <w:r>
        <w:rPr>
          <w:rFonts w:hint="eastAsia" w:ascii="宋体" w:hAnsi="宋体" w:eastAsia="宋体" w:cs="宋体"/>
          <w:bCs/>
          <w:color w:val="auto"/>
          <w:highlight w:val="none"/>
          <w:lang w:eastAsia="zh-CN"/>
        </w:rPr>
        <w:t>本项目</w:t>
      </w:r>
      <w:r>
        <w:rPr>
          <w:rFonts w:hint="eastAsia" w:ascii="宋体" w:hAnsi="宋体" w:eastAsia="宋体" w:cs="宋体"/>
          <w:color w:val="auto"/>
          <w:highlight w:val="none"/>
        </w:rPr>
        <w:t>的招标、投标、评标、定标、验收、合同履约、付款等行为（法律、法规另有规定的，从其规定）。</w:t>
      </w:r>
      <w:bookmarkStart w:id="49" w:name="_Toc254970528"/>
      <w:bookmarkStart w:id="50" w:name="_Toc254970669"/>
    </w:p>
    <w:p w14:paraId="74DE44D7">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（二）定义</w:t>
      </w:r>
      <w:bookmarkEnd w:id="49"/>
      <w:bookmarkEnd w:id="50"/>
    </w:p>
    <w:p w14:paraId="0677BDF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1.“采购人”系指组织本次招标的采购单位。</w:t>
      </w:r>
    </w:p>
    <w:p w14:paraId="3335083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2.“采购代理机构”系指广西国力招标有限公司（以下简称“本公司”）。</w:t>
      </w:r>
    </w:p>
    <w:p w14:paraId="1524940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3.“投标人”系指响应招标、参加投标竞争的法人、其他组织或者自然人。</w:t>
      </w:r>
    </w:p>
    <w:p w14:paraId="0AD367B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4.“产品”系指供方按招标文件规定，须向采购人提供的一切设备、保险、税金、备品备件、工具、手册及其它有关技术资料和材料。</w:t>
      </w:r>
    </w:p>
    <w:p w14:paraId="77917D2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5.“服务”系指招标文件规定投标人须承担的安装、调试、技术协助、校准、培训、技术指导以及其他类似的义务。</w:t>
      </w:r>
    </w:p>
    <w:p w14:paraId="0BCA8D7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6.“项目”系指投标人按招标文件规定向采购人提供的产品和服务。</w:t>
      </w:r>
    </w:p>
    <w:p w14:paraId="3795A4F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7.“书面形式”包括信函、传真、电报等。</w:t>
      </w:r>
    </w:p>
    <w:p w14:paraId="202F7C2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8.“▲”系指实质性要求条款。</w:t>
      </w:r>
      <w:bookmarkStart w:id="51" w:name="_Toc254970529"/>
      <w:bookmarkStart w:id="52" w:name="_Toc254970670"/>
    </w:p>
    <w:p w14:paraId="4793373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9.“允许偏离的技术、性能指标或者辅助功能项目”系指不带“▲”的非实质性要求的技术指标、主要功能项目条款。</w:t>
      </w:r>
    </w:p>
    <w:p w14:paraId="0165192B">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（三）招标方式</w:t>
      </w:r>
      <w:bookmarkEnd w:id="51"/>
      <w:bookmarkEnd w:id="52"/>
    </w:p>
    <w:p w14:paraId="10615FE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公开招标方式。</w:t>
      </w:r>
      <w:bookmarkStart w:id="53" w:name="_Toc254970530"/>
      <w:bookmarkStart w:id="54" w:name="_Toc254970671"/>
    </w:p>
    <w:p w14:paraId="7486A844">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（四）投标委托</w:t>
      </w:r>
      <w:bookmarkEnd w:id="53"/>
      <w:bookmarkEnd w:id="54"/>
    </w:p>
    <w:p w14:paraId="17C7F91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如投标人代表不是法定代表人(负责人)，须有法定代表人(负责人)出具的授权委托书（格式见第六章《投标文件格式》）。</w:t>
      </w:r>
      <w:bookmarkStart w:id="55" w:name="_Toc254970672"/>
      <w:bookmarkStart w:id="56" w:name="_Toc254970531"/>
    </w:p>
    <w:p w14:paraId="6C99B6AB">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（五）投标费用</w:t>
      </w:r>
      <w:bookmarkEnd w:id="55"/>
      <w:bookmarkEnd w:id="56"/>
    </w:p>
    <w:p w14:paraId="759DB73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投标人均应自行承担所有与投标有关的全部费用（招标文件有相关的规定除外）。</w:t>
      </w:r>
    </w:p>
    <w:p w14:paraId="2404FE5E">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（六）联合体投标</w:t>
      </w:r>
    </w:p>
    <w:p w14:paraId="3D0801F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本项目明确不接受联合体形式投标，本招标文件所有相关联合体要求及格式文件均不适用。投标人以联合体形式参加投标的，投标无效。</w:t>
      </w:r>
    </w:p>
    <w:p w14:paraId="5A0EF85C">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（七）转包与分包</w:t>
      </w:r>
    </w:p>
    <w:p w14:paraId="045029C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1.本项目不允许转包。</w:t>
      </w:r>
    </w:p>
    <w:p w14:paraId="59900B9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2.本项目不可以分包。</w:t>
      </w:r>
      <w:bookmarkStart w:id="57" w:name="_Toc254970532"/>
      <w:bookmarkStart w:id="58" w:name="_Toc254970673"/>
    </w:p>
    <w:p w14:paraId="3428ACFC">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（八）特别说明：</w:t>
      </w:r>
      <w:bookmarkEnd w:id="57"/>
      <w:bookmarkEnd w:id="58"/>
    </w:p>
    <w:p w14:paraId="6FEFDF5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bookmarkStart w:id="59" w:name="_Toc254970674"/>
      <w:bookmarkStart w:id="60" w:name="_Toc254970533"/>
      <w:r>
        <w:rPr>
          <w:rFonts w:hint="eastAsia" w:ascii="宋体" w:hAnsi="宋体" w:eastAsia="宋体" w:cs="宋体"/>
          <w:color w:val="auto"/>
          <w:highlight w:val="none"/>
        </w:rPr>
        <w:t>▲1.单位负责人为同一人或者存在直接控股、管理关系的不同供应商，不得参加同一合同项下的政府采购活动。</w:t>
      </w:r>
    </w:p>
    <w:p w14:paraId="37F47B6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14:paraId="747935D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非单一产品采购项目中，多家投标人提供的招标文件中载明的核心产品品牌相同的，视为提供相同品牌产品。</w:t>
      </w:r>
    </w:p>
    <w:p w14:paraId="24D4AED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3</w:t>
      </w:r>
      <w:r>
        <w:rPr>
          <w:rFonts w:hint="eastAsia" w:ascii="宋体" w:hAnsi="宋体" w:eastAsia="宋体" w:cs="宋体"/>
          <w:color w:val="auto"/>
          <w:highlight w:val="none"/>
        </w:rPr>
        <w:t>.投标人应仔细阅读招标文件的所有内容，按照招标文件的要求提交投标文件，并对所提供的全部资料的真实性承担法律责任。</w:t>
      </w:r>
    </w:p>
    <w:p w14:paraId="4D8184B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4</w:t>
      </w:r>
      <w:r>
        <w:rPr>
          <w:rFonts w:hint="eastAsia" w:ascii="宋体" w:hAnsi="宋体" w:eastAsia="宋体" w:cs="宋体"/>
          <w:color w:val="auto"/>
          <w:highlight w:val="none"/>
        </w:rPr>
        <w:t>.投标人在投标活动中提供任何虚假材料、互相串通投标，其投标无效，并报监管部门查处。</w:t>
      </w:r>
    </w:p>
    <w:p w14:paraId="7177F25E">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（九）</w:t>
      </w:r>
      <w:bookmarkEnd w:id="59"/>
      <w:bookmarkEnd w:id="60"/>
      <w:r>
        <w:rPr>
          <w:rFonts w:hint="eastAsia" w:ascii="宋体" w:hAnsi="宋体" w:eastAsia="宋体" w:cs="宋体"/>
          <w:b/>
          <w:color w:val="auto"/>
          <w:highlight w:val="none"/>
        </w:rPr>
        <w:t>询问、质疑和投诉</w:t>
      </w:r>
    </w:p>
    <w:p w14:paraId="1D0E701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1.投标人对政府采购活动事项有疑问的，可以向采购人、采购代理机构提出询问。</w:t>
      </w:r>
    </w:p>
    <w:p w14:paraId="5B38616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认为招标文件、招标过程或中标结果使自己的合法权益受到损害的，应当在知道或者应知其权益受到损害之日起七个工作日内，以书面形式向采购人、采购代理机构提出质疑，投标人在法定质疑期内必须一次性提出针对同一采购程序环节的质疑。具体计算时间如下：</w:t>
      </w:r>
    </w:p>
    <w:p w14:paraId="2CB6E62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（1）对可以质疑的采购文件提出质疑的，为收到采购文件之日或者采购文件公告期限届满之日；</w:t>
      </w:r>
    </w:p>
    <w:p w14:paraId="12B8D77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（2）对</w:t>
      </w:r>
      <w:r>
        <w:rPr>
          <w:rFonts w:hint="eastAsia" w:ascii="宋体" w:hAnsi="宋体" w:eastAsia="宋体" w:cs="宋体"/>
          <w:color w:val="auto"/>
          <w:highlight w:val="none"/>
          <w:lang w:eastAsia="zh-CN"/>
        </w:rPr>
        <w:t>采购</w:t>
      </w:r>
      <w:r>
        <w:rPr>
          <w:rFonts w:hint="eastAsia" w:ascii="宋体" w:hAnsi="宋体" w:eastAsia="宋体" w:cs="宋体"/>
          <w:color w:val="auto"/>
          <w:highlight w:val="none"/>
        </w:rPr>
        <w:t>过程提出质疑的，为各采购程序环节结束之日；</w:t>
      </w:r>
    </w:p>
    <w:p w14:paraId="7DB87D6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（3）对中标结果提出质疑的，为中标结果公告期限届满之日。</w:t>
      </w:r>
    </w:p>
    <w:p w14:paraId="7B8A008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投标人对招标采购单位的质疑答复不满意或者招标采购单位未在规定时间内作出答复的，可以在答复期满后十五个工作日内向同级采购监管部门投诉。</w:t>
      </w:r>
    </w:p>
    <w:p w14:paraId="7C4246C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bookmarkStart w:id="61" w:name="_Toc254970675"/>
      <w:bookmarkStart w:id="62" w:name="_Toc254970534"/>
    </w:p>
    <w:p w14:paraId="78C577A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4.供应商提出质疑应当提交质疑函和必要的证明材料。质疑函应当包括下列内容：</w:t>
      </w:r>
    </w:p>
    <w:p w14:paraId="01FDD12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36165A0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47B9E7D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1F67C87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1E28BA8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3750FA7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4FC994F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供应商为自然人的，应当由本人签字；供应商为法人或者其他组织的，应当由法定代表人、主要负责人，或者其授权代表签字或者盖章，并加盖公章。</w:t>
      </w:r>
    </w:p>
    <w:p w14:paraId="05C5BAE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代理人提出质疑和投诉，应当提交供应商签署的授权委托书。</w:t>
      </w:r>
    </w:p>
    <w:p w14:paraId="310FDFA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.采购人、采购代理机构认为供应商质疑不成立，或者成立但未对中标结果构成影响的，继续开展采购活动；认为供应商质疑成立且影响或者可能影响中标结果的，按照下列情况处理：</w:t>
      </w:r>
    </w:p>
    <w:p w14:paraId="5195C20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）对采购文件提出的质疑，依法通过澄清或者修改可以继续开展采购活动的，澄清或者修改采购文件后继续开展采购活动；否则应当修改采购文件后重新开展采购活动。</w:t>
      </w:r>
    </w:p>
    <w:p w14:paraId="7859371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）对采购过程、中标结果提出的质疑，合格供应商符合法定数量时，可以从合格的中标候选人中另行确定中标供应商的，应当依法根据中标候选人推荐原则另行确定中标供应商；否则应当重新开展采购活动。</w:t>
      </w:r>
    </w:p>
    <w:p w14:paraId="00CC254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质疑答复导致中标结果改变的，采购人或者采购代理机构应当将有关情况书面报告本级财政部门。</w:t>
      </w:r>
    </w:p>
    <w:p w14:paraId="522F51A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①质疑联系部门及电话为：广西国力招标有限公司                      0771-4915558</w:t>
      </w:r>
    </w:p>
    <w:p w14:paraId="1518919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通讯地址：广西南宁市白沙大道53号松宇时代13楼</w:t>
      </w:r>
    </w:p>
    <w:p w14:paraId="705A957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②投诉联系部门及电话为：广西壮族自治区财政厅政府采购监督管理处    0771-5331544</w:t>
      </w:r>
    </w:p>
    <w:p w14:paraId="0DAB0F8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highlight w:val="none"/>
          <w:lang w:val="en-US"/>
        </w:rPr>
      </w:pPr>
      <w:r>
        <w:rPr>
          <w:rFonts w:hint="eastAsia" w:ascii="宋体" w:hAnsi="宋体" w:eastAsia="宋体" w:cs="宋体"/>
          <w:color w:val="auto"/>
          <w:highlight w:val="none"/>
        </w:rPr>
        <w:t>通讯地址：广西南宁市桃源路69号</w:t>
      </w:r>
    </w:p>
    <w:p w14:paraId="0E170F1B">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二、招标文件</w:t>
      </w:r>
      <w:bookmarkEnd w:id="61"/>
      <w:bookmarkEnd w:id="62"/>
    </w:p>
    <w:p w14:paraId="283BE0A5">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（一）招标文件的构成</w:t>
      </w:r>
    </w:p>
    <w:p w14:paraId="3C91812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1.公开招标公告；</w:t>
      </w:r>
    </w:p>
    <w:p w14:paraId="4E1E253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2.招标项目采购需求</w:t>
      </w:r>
    </w:p>
    <w:p w14:paraId="4CD45D6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3.投标人须知；</w:t>
      </w:r>
    </w:p>
    <w:p w14:paraId="1FBD8B7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4.评标方法及评分标准；</w:t>
      </w:r>
    </w:p>
    <w:p w14:paraId="4ED5C57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5.政府采购合同主要条款；</w:t>
      </w:r>
    </w:p>
    <w:p w14:paraId="3B92AE1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6.投标文件格式。</w:t>
      </w:r>
    </w:p>
    <w:p w14:paraId="0FD06725">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（二）投标人的风险</w:t>
      </w:r>
    </w:p>
    <w:p w14:paraId="145E72C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应认真阅读招标文件，按照招标文件的要求编制投标文件。投标文件应对招标文件提出的要求和条件作出实质性的响应。投标人没有按照招标文件要求提供全部资料，或者投标人没有对招标文件在各方面作出实质性响应是投标人的风险，并可能导致其投标被拒绝。</w:t>
      </w:r>
    </w:p>
    <w:p w14:paraId="4023421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2.对招标文件提出的实质性要求和条件作出响应是指投标人必须对招标文件中涉及招标项目的价格、采购</w:t>
      </w:r>
      <w:r>
        <w:rPr>
          <w:rFonts w:hint="eastAsia" w:ascii="宋体" w:hAnsi="宋体" w:eastAsia="宋体" w:cs="宋体"/>
          <w:color w:val="auto"/>
          <w:highlight w:val="none"/>
          <w:lang w:eastAsia="zh-CN"/>
        </w:rPr>
        <w:t>服务</w:t>
      </w:r>
      <w:r>
        <w:rPr>
          <w:rFonts w:hint="eastAsia" w:ascii="宋体" w:hAnsi="宋体" w:eastAsia="宋体" w:cs="宋体"/>
          <w:color w:val="auto"/>
          <w:highlight w:val="none"/>
        </w:rPr>
        <w:t>的</w:t>
      </w:r>
      <w:r>
        <w:rPr>
          <w:rFonts w:hint="eastAsia" w:ascii="宋体" w:hAnsi="宋体" w:eastAsia="宋体" w:cs="宋体"/>
          <w:color w:val="auto"/>
          <w:highlight w:val="none"/>
          <w:lang w:eastAsia="zh-CN"/>
        </w:rPr>
        <w:t>服务要求</w:t>
      </w:r>
      <w:r>
        <w:rPr>
          <w:rFonts w:hint="eastAsia" w:ascii="宋体" w:hAnsi="宋体" w:eastAsia="宋体" w:cs="宋体"/>
          <w:color w:val="auto"/>
          <w:highlight w:val="none"/>
        </w:rPr>
        <w:t>及其它要求、合同主要条款等内容作出响应。</w:t>
      </w:r>
    </w:p>
    <w:p w14:paraId="6384988B">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（三）招标文件的澄清与修改</w:t>
      </w:r>
    </w:p>
    <w:p w14:paraId="5E36FF3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bCs/>
          <w:color w:val="auto"/>
          <w:highlight w:val="none"/>
        </w:rPr>
        <w:t>投标人应认真阅读本招标文件，发现其中有误或有不合理要求的，投标人</w:t>
      </w:r>
      <w:r>
        <w:rPr>
          <w:rFonts w:hint="eastAsia" w:ascii="宋体" w:hAnsi="宋体" w:eastAsia="宋体" w:cs="宋体"/>
          <w:b/>
          <w:bCs/>
          <w:color w:val="auto"/>
          <w:highlight w:val="none"/>
        </w:rPr>
        <w:t>应当</w:t>
      </w:r>
      <w:r>
        <w:rPr>
          <w:rFonts w:hint="eastAsia" w:ascii="宋体" w:hAnsi="宋体" w:eastAsia="宋体" w:cs="宋体"/>
          <w:bCs/>
          <w:color w:val="auto"/>
          <w:highlight w:val="none"/>
        </w:rPr>
        <w:t>在</w:t>
      </w:r>
      <w:r>
        <w:rPr>
          <w:rFonts w:hint="eastAsia" w:ascii="宋体" w:hAnsi="宋体" w:eastAsia="宋体" w:cs="宋体"/>
          <w:bCs/>
          <w:color w:val="auto"/>
          <w:highlight w:val="none"/>
          <w:u w:val="single"/>
        </w:rPr>
        <w:t>“采购文件：第三章 《投标人须知及前附表》序号6”规定的时间</w:t>
      </w:r>
      <w:r>
        <w:rPr>
          <w:rFonts w:hint="eastAsia" w:ascii="宋体" w:hAnsi="宋体" w:eastAsia="宋体" w:cs="宋体"/>
          <w:bCs/>
          <w:color w:val="auto"/>
          <w:highlight w:val="none"/>
        </w:rPr>
        <w:t>前以书面形式要求</w:t>
      </w:r>
      <w:r>
        <w:rPr>
          <w:rFonts w:hint="eastAsia" w:ascii="宋体" w:hAnsi="宋体" w:eastAsia="宋体" w:cs="宋体"/>
          <w:color w:val="auto"/>
          <w:highlight w:val="none"/>
        </w:rPr>
        <w:t>采购人或者采购代理机构答疑、澄清</w:t>
      </w:r>
      <w:r>
        <w:rPr>
          <w:rFonts w:hint="eastAsia" w:ascii="宋体" w:hAnsi="宋体" w:eastAsia="宋体" w:cs="宋体"/>
          <w:bCs/>
          <w:color w:val="auto"/>
          <w:highlight w:val="none"/>
        </w:rPr>
        <w:t>。采购代理机构对已发出的招标文件进行必要澄清、答复、修改或补充</w:t>
      </w:r>
      <w:r>
        <w:rPr>
          <w:rFonts w:hint="eastAsia" w:ascii="宋体" w:hAnsi="宋体" w:eastAsia="宋体" w:cs="宋体"/>
          <w:b/>
          <w:bCs/>
          <w:color w:val="auto"/>
          <w:highlight w:val="none"/>
          <w:lang w:eastAsia="zh-CN"/>
        </w:rPr>
        <w:t>的内容</w:t>
      </w:r>
      <w:r>
        <w:rPr>
          <w:rFonts w:hint="eastAsia" w:ascii="宋体" w:hAnsi="宋体" w:eastAsia="宋体" w:cs="宋体"/>
          <w:b/>
          <w:bCs/>
          <w:color w:val="auto"/>
          <w:highlight w:val="none"/>
        </w:rPr>
        <w:t>可能影响投标文件编制的</w:t>
      </w:r>
      <w:r>
        <w:rPr>
          <w:rFonts w:hint="eastAsia" w:ascii="宋体" w:hAnsi="宋体" w:eastAsia="宋体" w:cs="宋体"/>
          <w:bCs/>
          <w:color w:val="auto"/>
          <w:highlight w:val="none"/>
        </w:rPr>
        <w:t>，应当在招标文件要求提交投标文件截止时间</w:t>
      </w:r>
      <w:r>
        <w:rPr>
          <w:rFonts w:hint="eastAsia" w:ascii="宋体" w:hAnsi="宋体" w:eastAsia="宋体" w:cs="宋体"/>
          <w:bCs/>
          <w:color w:val="auto"/>
          <w:highlight w:val="none"/>
          <w:lang w:eastAsia="zh-CN"/>
        </w:rPr>
        <w:t>15</w:t>
      </w:r>
      <w:r>
        <w:rPr>
          <w:rFonts w:hint="eastAsia" w:ascii="宋体" w:hAnsi="宋体" w:eastAsia="宋体" w:cs="宋体"/>
          <w:bCs/>
          <w:color w:val="auto"/>
          <w:highlight w:val="none"/>
        </w:rPr>
        <w:t>日前，在财政部门指定的政府采购信息发布媒体上发布更正公告，并以书面形式通知所有招标文件收受人。</w:t>
      </w:r>
    </w:p>
    <w:p w14:paraId="3E2BB2D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 招标文件澄清、答复、修改、补充的内容为招标文件的组成部分。当招标文件与招标文件的答复、澄清、修改、补充通知就同一内容的表述不一致时，以最后发出的书面文件为准。</w:t>
      </w:r>
    </w:p>
    <w:p w14:paraId="2362BF2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 招标文件的澄清、答复、修改、补充都应该通过本采购代理机构以法定形式发布，采购人非通过本机构，不得擅自澄清、答复、修改、补充招标文件。</w:t>
      </w:r>
    </w:p>
    <w:p w14:paraId="4CD26A2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 采购代理机构可以视采购具体情况，延长招标文件或者资格预审文件提供期限，并在财政部门指定的政府采购信息发布媒体上发布公告。</w:t>
      </w:r>
      <w:bookmarkStart w:id="63" w:name="_Toc254970676"/>
      <w:bookmarkStart w:id="64" w:name="_Toc254970535"/>
    </w:p>
    <w:p w14:paraId="1AE9DCF0">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三、投标文件的编制</w:t>
      </w:r>
      <w:bookmarkEnd w:id="63"/>
      <w:bookmarkEnd w:id="64"/>
      <w:bookmarkStart w:id="65" w:name="_Toc254970536"/>
      <w:bookmarkStart w:id="66" w:name="_Toc254970677"/>
    </w:p>
    <w:p w14:paraId="2B102E01">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（一）投标文件的组成</w:t>
      </w:r>
      <w:bookmarkEnd w:id="65"/>
      <w:bookmarkEnd w:id="66"/>
      <w:r>
        <w:rPr>
          <w:rFonts w:hint="eastAsia" w:ascii="宋体" w:hAnsi="宋体" w:eastAsia="宋体" w:cs="宋体"/>
          <w:b/>
          <w:color w:val="auto"/>
          <w:highlight w:val="none"/>
        </w:rPr>
        <w:t>（以下要求“必须提供”的，请按要求在投标文件中提供，否则作投标无效处理；其他如有请提供）</w:t>
      </w:r>
    </w:p>
    <w:p w14:paraId="445DC7F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投标文件由资格文件、商务技术文件、报价文件</w:t>
      </w:r>
      <w:r>
        <w:rPr>
          <w:rFonts w:hint="eastAsia" w:ascii="宋体" w:hAnsi="宋体" w:eastAsia="宋体" w:cs="宋体"/>
          <w:b/>
          <w:color w:val="auto"/>
          <w:szCs w:val="21"/>
          <w:highlight w:val="none"/>
        </w:rPr>
        <w:t>三部分</w:t>
      </w:r>
      <w:r>
        <w:rPr>
          <w:rFonts w:hint="eastAsia" w:ascii="宋体" w:hAnsi="宋体" w:eastAsia="宋体" w:cs="宋体"/>
          <w:color w:val="auto"/>
          <w:szCs w:val="21"/>
          <w:highlight w:val="none"/>
        </w:rPr>
        <w:t>组成。</w:t>
      </w:r>
      <w:r>
        <w:rPr>
          <w:rFonts w:hint="eastAsia" w:ascii="宋体" w:hAnsi="宋体" w:eastAsia="宋体" w:cs="宋体"/>
          <w:b/>
          <w:color w:val="auto"/>
          <w:szCs w:val="21"/>
          <w:highlight w:val="none"/>
        </w:rPr>
        <w:t>（扫描件或其他电子文件）</w:t>
      </w:r>
    </w:p>
    <w:p w14:paraId="4972170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1.资格文件：</w:t>
      </w:r>
    </w:p>
    <w:p w14:paraId="44A764C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（1）有效的主体资格证明文件</w:t>
      </w:r>
    </w:p>
    <w:p w14:paraId="58EBD81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①投标人有效的“主体资格证明文件”（如营业执照、事业单位法人证书、执业许可证、自然人身份证等）复印件，同时要加盖单位公章</w:t>
      </w:r>
      <w:r>
        <w:rPr>
          <w:rFonts w:hint="eastAsia" w:ascii="宋体" w:hAnsi="宋体" w:eastAsia="宋体" w:cs="宋体"/>
          <w:b/>
          <w:color w:val="auto"/>
          <w:highlight w:val="none"/>
          <w:lang w:eastAsia="zh-CN"/>
        </w:rPr>
        <w:t>[必须提供]</w:t>
      </w:r>
    </w:p>
    <w:p w14:paraId="52BD3F1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②</w:t>
      </w:r>
      <w:r>
        <w:rPr>
          <w:rFonts w:hint="eastAsia" w:hAnsi="宋体" w:cs="宋体"/>
          <w:color w:val="auto"/>
          <w:szCs w:val="21"/>
          <w:highlight w:val="none"/>
          <w:lang w:val="en-US" w:eastAsia="zh-CN"/>
        </w:rPr>
        <w:t>投标人有效的人力资源服务许可证复印件</w:t>
      </w:r>
      <w:r>
        <w:rPr>
          <w:rFonts w:hint="eastAsia" w:ascii="宋体" w:hAnsi="宋体" w:eastAsia="宋体" w:cs="宋体"/>
          <w:b/>
          <w:color w:val="auto"/>
          <w:highlight w:val="none"/>
          <w:lang w:eastAsia="zh-CN"/>
        </w:rPr>
        <w:t>[必须提供]</w:t>
      </w:r>
    </w:p>
    <w:p w14:paraId="443B8D2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（2）投标截止之日</w:t>
      </w:r>
      <w:r>
        <w:rPr>
          <w:rFonts w:hint="eastAsia" w:ascii="宋体" w:hAnsi="宋体" w:eastAsia="宋体" w:cs="宋体"/>
          <w:color w:val="auto"/>
          <w:szCs w:val="21"/>
          <w:highlight w:val="none"/>
          <w:lang w:eastAsia="zh-CN"/>
        </w:rPr>
        <w:t>前半年</w:t>
      </w:r>
      <w:r>
        <w:rPr>
          <w:rFonts w:hint="eastAsia" w:ascii="宋体" w:hAnsi="宋体" w:eastAsia="宋体" w:cs="宋体"/>
          <w:color w:val="auto"/>
          <w:szCs w:val="21"/>
          <w:highlight w:val="none"/>
        </w:rPr>
        <w:t>内投标人</w:t>
      </w:r>
      <w:r>
        <w:rPr>
          <w:rFonts w:hint="eastAsia" w:ascii="宋体" w:hAnsi="宋体" w:eastAsia="宋体" w:cs="宋体"/>
          <w:color w:val="auto"/>
          <w:szCs w:val="21"/>
          <w:highlight w:val="none"/>
          <w:lang w:eastAsia="zh-CN"/>
        </w:rPr>
        <w:t>任意一个月</w:t>
      </w:r>
      <w:r>
        <w:rPr>
          <w:rFonts w:hint="eastAsia" w:ascii="宋体" w:hAnsi="宋体" w:eastAsia="宋体" w:cs="宋体"/>
          <w:color w:val="auto"/>
          <w:szCs w:val="21"/>
          <w:highlight w:val="none"/>
        </w:rPr>
        <w:t>的依法缴纳税费或依法免缴税费的证明；无纳税记录的，应提供由投标人所在地的税务部门出具的《依法纳税或依法免税证明》</w:t>
      </w:r>
      <w:r>
        <w:rPr>
          <w:rFonts w:hint="eastAsia" w:ascii="宋体" w:hAnsi="宋体" w:eastAsia="宋体" w:cs="宋体"/>
          <w:b/>
          <w:color w:val="auto"/>
          <w:szCs w:val="21"/>
          <w:highlight w:val="none"/>
          <w:lang w:eastAsia="zh-CN"/>
        </w:rPr>
        <w:t>[必须提供，新成立单位按实际提供]</w:t>
      </w:r>
    </w:p>
    <w:p w14:paraId="759914B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（3）投标截止之日</w:t>
      </w:r>
      <w:r>
        <w:rPr>
          <w:rFonts w:hint="eastAsia" w:ascii="宋体" w:hAnsi="宋体" w:eastAsia="宋体" w:cs="宋体"/>
          <w:color w:val="auto"/>
          <w:szCs w:val="21"/>
          <w:highlight w:val="none"/>
          <w:lang w:eastAsia="zh-CN"/>
        </w:rPr>
        <w:t>前半年</w:t>
      </w:r>
      <w:r>
        <w:rPr>
          <w:rFonts w:hint="eastAsia" w:ascii="宋体" w:hAnsi="宋体" w:eastAsia="宋体" w:cs="宋体"/>
          <w:color w:val="auto"/>
          <w:szCs w:val="21"/>
          <w:highlight w:val="none"/>
        </w:rPr>
        <w:t>内投标人</w:t>
      </w:r>
      <w:r>
        <w:rPr>
          <w:rFonts w:hint="eastAsia" w:ascii="宋体" w:hAnsi="宋体" w:eastAsia="宋体" w:cs="宋体"/>
          <w:color w:val="auto"/>
          <w:szCs w:val="21"/>
          <w:highlight w:val="none"/>
          <w:lang w:eastAsia="zh-CN"/>
        </w:rPr>
        <w:t>任意一个月</w:t>
      </w:r>
      <w:r>
        <w:rPr>
          <w:rFonts w:hint="eastAsia" w:ascii="宋体" w:hAnsi="宋体" w:eastAsia="宋体" w:cs="宋体"/>
          <w:color w:val="auto"/>
          <w:szCs w:val="21"/>
          <w:highlight w:val="none"/>
        </w:rPr>
        <w:t>的依法缴纳社保费的缴费凭证；无缴费记录的，应提供由投标人所在地社保等相关部门出具的《依法缴纳或依法免缴社保费证明》</w:t>
      </w:r>
      <w:r>
        <w:rPr>
          <w:rFonts w:hint="eastAsia" w:ascii="宋体" w:hAnsi="宋体" w:eastAsia="宋体" w:cs="宋体"/>
          <w:b/>
          <w:color w:val="auto"/>
          <w:szCs w:val="21"/>
          <w:highlight w:val="none"/>
          <w:lang w:eastAsia="zh-CN"/>
        </w:rPr>
        <w:t>[必须提供，新成立单位按实际提供]</w:t>
      </w:r>
    </w:p>
    <w:p w14:paraId="147F017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财务状况报告</w:t>
      </w:r>
      <w:r>
        <w:rPr>
          <w:rFonts w:hint="eastAsia" w:ascii="宋体" w:hAnsi="宋体" w:eastAsia="宋体" w:cs="宋体"/>
          <w:b/>
          <w:color w:val="auto"/>
          <w:szCs w:val="21"/>
          <w:highlight w:val="none"/>
          <w:lang w:eastAsia="zh-CN"/>
        </w:rPr>
        <w:t>[格式自拟，必须提供]</w:t>
      </w:r>
    </w:p>
    <w:p w14:paraId="55D3D27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kern w:val="0"/>
          <w:szCs w:val="21"/>
          <w:highlight w:val="none"/>
          <w:lang w:eastAsia="zh-CN"/>
        </w:rPr>
      </w:pPr>
      <w:r>
        <w:rPr>
          <w:rFonts w:hint="eastAsia" w:ascii="宋体" w:hAnsi="宋体" w:eastAsia="宋体" w:cs="宋体"/>
          <w:color w:val="auto"/>
          <w:kern w:val="0"/>
          <w:szCs w:val="21"/>
          <w:highlight w:val="none"/>
        </w:rPr>
        <w:t>（5）</w:t>
      </w:r>
      <w:r>
        <w:rPr>
          <w:rFonts w:hint="eastAsia" w:ascii="宋体" w:hAnsi="宋体" w:eastAsia="宋体" w:cs="宋体"/>
          <w:color w:val="auto"/>
          <w:szCs w:val="21"/>
          <w:highlight w:val="none"/>
        </w:rPr>
        <w:t>具备履行合同所必需的设备和专业技术能力的证明材料</w:t>
      </w:r>
      <w:r>
        <w:rPr>
          <w:rFonts w:hint="eastAsia" w:ascii="宋体" w:hAnsi="宋体" w:eastAsia="宋体" w:cs="宋体"/>
          <w:b/>
          <w:color w:val="auto"/>
          <w:szCs w:val="21"/>
          <w:highlight w:val="none"/>
          <w:lang w:eastAsia="zh-CN"/>
        </w:rPr>
        <w:t>[内容、格式自拟，必须提供]</w:t>
      </w:r>
    </w:p>
    <w:p w14:paraId="6A1AF26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（6）</w:t>
      </w:r>
      <w:r>
        <w:rPr>
          <w:rFonts w:hint="eastAsia" w:ascii="宋体" w:hAnsi="宋体" w:eastAsia="宋体" w:cs="宋体"/>
          <w:color w:val="auto"/>
          <w:szCs w:val="21"/>
          <w:highlight w:val="none"/>
        </w:rPr>
        <w:t>参加政府采购活动前三年内在经营活动中没有重大违法记录和不良信用记录的书面声明</w:t>
      </w:r>
      <w:r>
        <w:rPr>
          <w:rFonts w:hint="eastAsia" w:ascii="宋体" w:hAnsi="宋体" w:eastAsia="宋体" w:cs="宋体"/>
          <w:b/>
          <w:bCs/>
          <w:color w:val="auto"/>
          <w:szCs w:val="21"/>
          <w:highlight w:val="none"/>
          <w:lang w:eastAsia="zh-CN"/>
        </w:rPr>
        <w:t>[格式自拟，必须提供]</w:t>
      </w:r>
    </w:p>
    <w:p w14:paraId="3D25578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注：采购人或采购代理机构在资格审查结束前对供应商进行信用查询</w:t>
      </w:r>
    </w:p>
    <w:p w14:paraId="76B08EA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查询渠道：“信用中国”网站(www.creditchina.gov.cn) 、中国政府采购网(www.ccgp.gov.cn)</w:t>
      </w:r>
    </w:p>
    <w:p w14:paraId="21BD758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查询截止时间：资格审查结束前。</w:t>
      </w:r>
    </w:p>
    <w:p w14:paraId="4F63008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查询记录和证据留存方式：在查询网站中直接打印查询记录，打印材料作为评审资料保存。</w:t>
      </w:r>
    </w:p>
    <w:p w14:paraId="2692CAD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27537FE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（7）投标人直接控股、管理关系信息表</w:t>
      </w:r>
      <w:r>
        <w:rPr>
          <w:rFonts w:hint="eastAsia" w:ascii="宋体" w:hAnsi="宋体" w:eastAsia="宋体" w:cs="宋体"/>
          <w:b/>
          <w:color w:val="auto"/>
          <w:highlight w:val="none"/>
          <w:lang w:eastAsia="zh-CN"/>
        </w:rPr>
        <w:t>[必须提供]</w:t>
      </w:r>
    </w:p>
    <w:p w14:paraId="1689722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（8</w:t>
      </w:r>
      <w:r>
        <w:rPr>
          <w:rFonts w:hint="eastAsia" w:hAnsi="宋体" w:cs="宋体"/>
          <w:b w:val="0"/>
          <w:bCs/>
          <w:color w:val="auto"/>
          <w:highlight w:val="none"/>
          <w:lang w:eastAsia="zh-CN"/>
        </w:rPr>
        <w:t>）</w:t>
      </w:r>
      <w:r>
        <w:rPr>
          <w:rFonts w:hint="eastAsia" w:ascii="宋体" w:hAnsi="宋体" w:eastAsia="宋体" w:cs="宋体"/>
          <w:b w:val="0"/>
          <w:bCs/>
          <w:color w:val="auto"/>
          <w:highlight w:val="none"/>
        </w:rPr>
        <w:t>投标人参加本项目无围标串标行为的承诺</w:t>
      </w:r>
      <w:r>
        <w:rPr>
          <w:rFonts w:hint="eastAsia" w:ascii="宋体" w:hAnsi="宋体" w:eastAsia="宋体" w:cs="宋体"/>
          <w:b/>
          <w:color w:val="auto"/>
          <w:highlight w:val="none"/>
          <w:lang w:eastAsia="zh-CN"/>
        </w:rPr>
        <w:t>[必须提供]</w:t>
      </w:r>
    </w:p>
    <w:p w14:paraId="2B95DB8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rPr>
        <w:t>2.商务技术文件：</w:t>
      </w:r>
    </w:p>
    <w:p w14:paraId="7E57CDA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w:t>
      </w:r>
      <w:r>
        <w:rPr>
          <w:rFonts w:hint="eastAsia" w:ascii="宋体" w:hAnsi="宋体" w:eastAsia="宋体" w:cs="宋体"/>
          <w:b/>
          <w:color w:val="auto"/>
          <w:highlight w:val="none"/>
          <w:lang w:eastAsia="zh-CN"/>
        </w:rPr>
        <w:t>1</w:t>
      </w:r>
      <w:r>
        <w:rPr>
          <w:rFonts w:hint="eastAsia" w:ascii="宋体" w:hAnsi="宋体" w:eastAsia="宋体" w:cs="宋体"/>
          <w:b/>
          <w:color w:val="auto"/>
          <w:highlight w:val="none"/>
        </w:rPr>
        <w:t>商务文件：</w:t>
      </w:r>
    </w:p>
    <w:p w14:paraId="1F26B62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（1）投标保证金的提交凭证</w:t>
      </w:r>
      <w:r>
        <w:rPr>
          <w:rFonts w:hint="eastAsia" w:ascii="宋体" w:hAnsi="宋体" w:eastAsia="宋体" w:cs="宋体"/>
          <w:b/>
          <w:color w:val="auto"/>
          <w:szCs w:val="21"/>
          <w:highlight w:val="none"/>
          <w:lang w:eastAsia="zh-CN"/>
        </w:rPr>
        <w:t>[必须提供]</w:t>
      </w:r>
    </w:p>
    <w:p w14:paraId="64DDA8B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（2）投标声明书 (格式见第六章)</w:t>
      </w:r>
      <w:r>
        <w:rPr>
          <w:rFonts w:hint="eastAsia" w:ascii="宋体" w:hAnsi="宋体" w:eastAsia="宋体" w:cs="宋体"/>
          <w:b/>
          <w:color w:val="auto"/>
          <w:szCs w:val="21"/>
          <w:highlight w:val="none"/>
          <w:lang w:eastAsia="zh-CN"/>
        </w:rPr>
        <w:t>[必须提供]</w:t>
      </w:r>
    </w:p>
    <w:p w14:paraId="66125CC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（3）法定代表人(负责人)授权委托书和委托代理人身份证正、反面复印件（格式见第六章)</w:t>
      </w:r>
      <w:r>
        <w:rPr>
          <w:rFonts w:hint="eastAsia" w:ascii="宋体" w:hAnsi="宋体" w:eastAsia="宋体" w:cs="宋体"/>
          <w:b/>
          <w:color w:val="auto"/>
          <w:szCs w:val="21"/>
          <w:highlight w:val="none"/>
          <w:lang w:eastAsia="zh-CN"/>
        </w:rPr>
        <w:t>[委托时必须提供]</w:t>
      </w:r>
    </w:p>
    <w:p w14:paraId="1179440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（4）法定代表人(负责人)身份证明书（格式见附件)、法定代表人（负责人）有效身份证正反面复印件</w:t>
      </w:r>
      <w:r>
        <w:rPr>
          <w:rFonts w:hint="eastAsia" w:ascii="宋体" w:hAnsi="宋体" w:eastAsia="宋体" w:cs="宋体"/>
          <w:b/>
          <w:color w:val="auto"/>
          <w:szCs w:val="21"/>
          <w:highlight w:val="none"/>
          <w:lang w:eastAsia="zh-CN"/>
        </w:rPr>
        <w:t>[必须提供]</w:t>
      </w:r>
      <w:r>
        <w:rPr>
          <w:rFonts w:hint="eastAsia" w:ascii="宋体" w:hAnsi="宋体" w:eastAsia="宋体" w:cs="宋体"/>
          <w:color w:val="auto"/>
          <w:szCs w:val="21"/>
          <w:highlight w:val="none"/>
        </w:rPr>
        <w:t xml:space="preserve"> </w:t>
      </w:r>
    </w:p>
    <w:p w14:paraId="288F9A1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（5）商务响应表（格式见第六章）</w:t>
      </w:r>
      <w:r>
        <w:rPr>
          <w:rFonts w:hint="eastAsia" w:ascii="宋体" w:hAnsi="宋体" w:eastAsia="宋体" w:cs="宋体"/>
          <w:b/>
          <w:color w:val="auto"/>
          <w:szCs w:val="21"/>
          <w:highlight w:val="none"/>
          <w:lang w:eastAsia="zh-CN"/>
        </w:rPr>
        <w:t>[必须提供]</w:t>
      </w:r>
    </w:p>
    <w:p w14:paraId="268242A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（6）招标项目采购需求中要求必须提供的材料等</w:t>
      </w:r>
      <w:r>
        <w:rPr>
          <w:rFonts w:hint="eastAsia" w:ascii="宋体" w:hAnsi="宋体" w:eastAsia="宋体" w:cs="宋体"/>
          <w:color w:val="auto"/>
          <w:highlight w:val="none"/>
        </w:rPr>
        <w:t>（招标项目采购需求中要求必须提供的材料，据实提供）</w:t>
      </w:r>
    </w:p>
    <w:p w14:paraId="51FF7FD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（7）具备法律、行政法规规定的其他条件的证明材料</w:t>
      </w:r>
      <w:r>
        <w:rPr>
          <w:rFonts w:hint="eastAsia" w:ascii="宋体" w:hAnsi="宋体" w:eastAsia="宋体" w:cs="宋体"/>
          <w:b/>
          <w:color w:val="auto"/>
          <w:szCs w:val="21"/>
          <w:highlight w:val="none"/>
          <w:lang w:eastAsia="zh-CN"/>
        </w:rPr>
        <w:t>[如有规定,则必须提供]</w:t>
      </w:r>
    </w:p>
    <w:p w14:paraId="1682520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可作为投标人资信评分的资质证明材料（可选）  </w:t>
      </w:r>
    </w:p>
    <w:p w14:paraId="5FC1881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（8）类似成功案例的业绩（投标人同类项目实施情况一览表、合同扫描件等，格式可自行调整）</w:t>
      </w:r>
    </w:p>
    <w:p w14:paraId="3F12EC0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（9）其他特殊资质证书</w:t>
      </w:r>
    </w:p>
    <w:p w14:paraId="0E7DAD4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（10）投标人质量管理和质量保证体系等方面的认证证书</w:t>
      </w:r>
    </w:p>
    <w:p w14:paraId="458F592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（11）投标人认为可以证明其能力或业绩的其他材料</w:t>
      </w:r>
    </w:p>
    <w:p w14:paraId="4EB9CE7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（12）投标人关于服务升级以及本单位债务纠纷、违法违规记录等方面的情况（内容见投标声明书）</w:t>
      </w:r>
    </w:p>
    <w:p w14:paraId="0C74439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（13）投标人情况介绍</w:t>
      </w:r>
    </w:p>
    <w:p w14:paraId="48BB94F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（14）投标人认为需要提供的其他材料</w:t>
      </w:r>
    </w:p>
    <w:p w14:paraId="18361BE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（15）中小企业声明函</w:t>
      </w:r>
      <w:r>
        <w:rPr>
          <w:rFonts w:hint="eastAsia" w:ascii="宋体" w:hAnsi="宋体" w:eastAsia="宋体" w:cs="宋体"/>
          <w:b w:val="0"/>
          <w:bCs/>
          <w:color w:val="auto"/>
          <w:szCs w:val="21"/>
          <w:highlight w:val="none"/>
          <w:lang w:eastAsia="zh-CN"/>
        </w:rPr>
        <w:t>[按最新相关政策执行，格式见第六章，如有请提供]</w:t>
      </w:r>
    </w:p>
    <w:p w14:paraId="556611C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16</w:t>
      </w:r>
      <w:r>
        <w:rPr>
          <w:rFonts w:hint="eastAsia" w:ascii="宋体" w:hAnsi="宋体" w:eastAsia="宋体" w:cs="宋体"/>
          <w:color w:val="auto"/>
          <w:szCs w:val="21"/>
          <w:highlight w:val="none"/>
          <w:lang w:eastAsia="zh-CN"/>
        </w:rPr>
        <w:t>）本国产品适用政府采购政策相关资料[格式见第六章，如有请提供]</w:t>
      </w:r>
    </w:p>
    <w:p w14:paraId="62822C8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2.2技术文件：</w:t>
      </w:r>
    </w:p>
    <w:p w14:paraId="17583F8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（1）服务响应表</w:t>
      </w:r>
      <w:r>
        <w:rPr>
          <w:rFonts w:hint="eastAsia" w:ascii="宋体" w:hAnsi="宋体" w:eastAsia="宋体" w:cs="宋体"/>
          <w:b/>
          <w:color w:val="auto"/>
          <w:szCs w:val="21"/>
          <w:highlight w:val="none"/>
          <w:lang w:eastAsia="zh-CN"/>
        </w:rPr>
        <w:t>[必须提供]</w:t>
      </w:r>
    </w:p>
    <w:p w14:paraId="676A899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服务方案</w:t>
      </w:r>
      <w:r>
        <w:rPr>
          <w:rFonts w:hint="eastAsia" w:ascii="宋体" w:hAnsi="宋体" w:eastAsia="宋体" w:cs="宋体"/>
          <w:b/>
          <w:color w:val="auto"/>
          <w:szCs w:val="21"/>
          <w:highlight w:val="none"/>
          <w:lang w:eastAsia="zh-CN"/>
        </w:rPr>
        <w:t>[格式自拟，必须提供]</w:t>
      </w:r>
    </w:p>
    <w:p w14:paraId="0B00781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（3）投标人拥有主要服务设施的情况和现状（格式自拟）及项目实施人员一览表</w:t>
      </w:r>
    </w:p>
    <w:p w14:paraId="7F7E6A0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（4）优惠条件：投标人承诺给予招标人的各种优惠条件</w:t>
      </w:r>
    </w:p>
    <w:p w14:paraId="7A765A4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（5）投标人对本项目的合理化建议和改进措施</w:t>
      </w:r>
    </w:p>
    <w:p w14:paraId="6B4357A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（6）投标人认为需要提供的其他材料</w:t>
      </w:r>
    </w:p>
    <w:p w14:paraId="2D132CF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（7）招标项目采购需求中要求必须提供的材料</w:t>
      </w:r>
      <w:r>
        <w:rPr>
          <w:rFonts w:hint="eastAsia" w:ascii="宋体" w:hAnsi="宋体" w:eastAsia="宋体" w:cs="宋体"/>
          <w:color w:val="auto"/>
          <w:highlight w:val="none"/>
        </w:rPr>
        <w:t>（招标项目采购需求中要求必须提供的材料，据实提供）</w:t>
      </w:r>
    </w:p>
    <w:p w14:paraId="106A7D4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3.报价文件：</w:t>
      </w:r>
    </w:p>
    <w:p w14:paraId="130FFC8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（1）投标函（格式见第六章）</w:t>
      </w:r>
      <w:r>
        <w:rPr>
          <w:rFonts w:hint="eastAsia" w:ascii="宋体" w:hAnsi="宋体" w:eastAsia="宋体" w:cs="宋体"/>
          <w:b/>
          <w:color w:val="auto"/>
          <w:szCs w:val="21"/>
          <w:highlight w:val="none"/>
          <w:lang w:eastAsia="zh-CN"/>
        </w:rPr>
        <w:t>[必须提供]</w:t>
      </w:r>
    </w:p>
    <w:p w14:paraId="7CB4533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（2）投标报价明细表（格式见第六章）</w:t>
      </w:r>
      <w:r>
        <w:rPr>
          <w:rFonts w:hint="eastAsia" w:ascii="宋体" w:hAnsi="宋体" w:eastAsia="宋体" w:cs="宋体"/>
          <w:b/>
          <w:color w:val="auto"/>
          <w:szCs w:val="21"/>
          <w:highlight w:val="none"/>
          <w:lang w:eastAsia="zh-CN"/>
        </w:rPr>
        <w:t>[必须提供]</w:t>
      </w:r>
    </w:p>
    <w:p w14:paraId="542F52B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（3）投标人针对报价需要说明的其他文件和说明（格式自拟）</w:t>
      </w:r>
    </w:p>
    <w:p w14:paraId="02A1B3D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（4）开标一览表（格式见第六章）</w:t>
      </w:r>
      <w:r>
        <w:rPr>
          <w:rFonts w:hint="eastAsia" w:ascii="宋体" w:hAnsi="宋体" w:eastAsia="宋体" w:cs="宋体"/>
          <w:b/>
          <w:color w:val="auto"/>
          <w:szCs w:val="21"/>
          <w:highlight w:val="none"/>
          <w:lang w:eastAsia="zh-CN"/>
        </w:rPr>
        <w:t>[必须提供]</w:t>
      </w:r>
    </w:p>
    <w:p w14:paraId="2EF07D5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注：</w:t>
      </w:r>
      <w:r>
        <w:rPr>
          <w:rFonts w:hint="eastAsia" w:ascii="宋体" w:hAnsi="宋体" w:eastAsia="宋体" w:cs="宋体"/>
          <w:b/>
          <w:bCs/>
          <w:color w:val="auto"/>
          <w:highlight w:val="none"/>
        </w:rPr>
        <w:t>法定</w:t>
      </w:r>
      <w:r>
        <w:rPr>
          <w:rFonts w:hint="eastAsia" w:ascii="宋体" w:hAnsi="宋体" w:eastAsia="宋体" w:cs="宋体"/>
          <w:b/>
          <w:bCs/>
          <w:color w:val="auto"/>
          <w:szCs w:val="21"/>
          <w:highlight w:val="none"/>
        </w:rPr>
        <w:t>代表人(负责人)授权委托书、投标声明书、投标函、开标一览表必须按照招标文件格式要求签署和加盖单位公章，否则作投标无效处理。</w:t>
      </w:r>
    </w:p>
    <w:p w14:paraId="3DDCFC18">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bookmarkStart w:id="67" w:name="_Toc254970537"/>
      <w:bookmarkStart w:id="68" w:name="_Toc254970678"/>
      <w:r>
        <w:rPr>
          <w:rFonts w:hint="eastAsia" w:ascii="宋体" w:hAnsi="宋体" w:eastAsia="宋体" w:cs="宋体"/>
          <w:b/>
          <w:color w:val="auto"/>
          <w:highlight w:val="none"/>
        </w:rPr>
        <w:t>（二）投标文件的语言及计量</w:t>
      </w:r>
      <w:bookmarkEnd w:id="67"/>
      <w:bookmarkEnd w:id="68"/>
    </w:p>
    <w:p w14:paraId="169A128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▲1.投标文件以及投标方与招标方就有关投标事宜的所有来往函电，均应以中文汉语书写。除签名、盖章、专用名称等特殊情形外，以中文汉语以外的文字表述的投标文件视同未提供。</w:t>
      </w:r>
    </w:p>
    <w:p w14:paraId="5A0A102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▲2.投标计量单位，招标文件已有明确规定的，使用招标文件规定的计量单位；招标文件没有规定的，应采用中华人民共和国法定计量单位（货币单位：人民币元），否则视同未响应。</w:t>
      </w:r>
      <w:bookmarkStart w:id="69" w:name="_Toc254970679"/>
      <w:bookmarkStart w:id="70" w:name="_Toc254970538"/>
    </w:p>
    <w:p w14:paraId="0CAA440F">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（三）投标报价</w:t>
      </w:r>
      <w:bookmarkEnd w:id="69"/>
      <w:bookmarkEnd w:id="70"/>
    </w:p>
    <w:p w14:paraId="0C292C2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1.投标报价应按招标文件中相关附表格式填写。</w:t>
      </w:r>
    </w:p>
    <w:p w14:paraId="422A442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2.投标报价是履行合同的最终价格。</w:t>
      </w:r>
    </w:p>
    <w:p w14:paraId="4E6C93D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3.投标文件只允许有一个报价，有选择的或有条件的报价将不予接受。</w:t>
      </w:r>
    </w:p>
    <w:p w14:paraId="2F2C1BC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1" w:firstLineChars="100"/>
        <w:textAlignment w:val="auto"/>
        <w:rPr>
          <w:rFonts w:hint="eastAsia" w:ascii="宋体" w:hAnsi="宋体" w:eastAsia="宋体" w:cs="宋体"/>
          <w:b/>
          <w:bCs/>
          <w:color w:val="auto"/>
          <w:highlight w:val="none"/>
        </w:rPr>
      </w:pPr>
      <w:r>
        <w:rPr>
          <w:rFonts w:hint="eastAsia" w:ascii="宋体" w:hAnsi="宋体" w:eastAsia="宋体" w:cs="宋体"/>
          <w:b/>
          <w:color w:val="auto"/>
          <w:highlight w:val="none"/>
        </w:rPr>
        <w:t>▲4.</w:t>
      </w:r>
      <w:r>
        <w:rPr>
          <w:rFonts w:hint="eastAsia" w:ascii="宋体" w:hAnsi="宋体" w:eastAsia="宋体" w:cs="宋体"/>
          <w:b/>
          <w:bCs/>
          <w:color w:val="auto"/>
          <w:highlight w:val="none"/>
        </w:rPr>
        <w:t>异常低价审查：政府采购评审中出现下列情形之一的，评审委员会应当启动异常低价投标审查程序：</w:t>
      </w:r>
    </w:p>
    <w:p w14:paraId="7360126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①投标（响应）报价低于全部通过符合性审查供应商投标（响应）报价平均值50%的，即投标（响应）报价＜全部通过符合性审查供应商投标（响应）报价平均值×50%； </w:t>
      </w:r>
    </w:p>
    <w:p w14:paraId="6ACB10E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②投标（响应）报价低于通过符合性审查的次低报价供应商投标（响应）报价50%的，即投标（响应）报价＜通过符合性审查的次低报价供应商投标（响应）报价×50%； </w:t>
      </w:r>
    </w:p>
    <w:p w14:paraId="49293EC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③投标（响应）报价低于采购项目最高限价45%的，即投标（响应）报价＜采购项目最高限价×45%； </w:t>
      </w:r>
    </w:p>
    <w:p w14:paraId="7FC6D3A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④评标委员会基于专业判断，认为供应商报价过低，有可能影响产品质量或者不能诚信履约的其他情形。</w:t>
      </w:r>
    </w:p>
    <w:p w14:paraId="69D922E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触发审查的供应商应在评标委员会规定的时间内（一般不少于30分钟，供应商应提前做好充分准备）提交书面说明，并提供必要的证明材料，包括但不限于：原材料成本、人工成本、制造费用等。</w:t>
      </w:r>
    </w:p>
    <w:p w14:paraId="296C02C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评标委员会结合项目具体特点、市场行情、供应商的说明及证明材料，对其报价是否低于成本、是否影响项目质量和合同履约进行集体评议。</w:t>
      </w:r>
    </w:p>
    <w:p w14:paraId="5D7E98E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bCs/>
          <w:color w:val="auto"/>
          <w:highlight w:val="none"/>
        </w:rPr>
        <w:t>若供应商未能按时提交说明和证明材料，或提交的材料不足以合理证明其报价能够保证项目质量并诚信履约，经评标委员会过半数成员认定，其</w:t>
      </w:r>
      <w:r>
        <w:rPr>
          <w:rFonts w:hint="eastAsia" w:ascii="宋体" w:hAnsi="宋体" w:eastAsia="宋体" w:cs="宋体"/>
          <w:b/>
          <w:bCs/>
          <w:color w:val="auto"/>
          <w:highlight w:val="none"/>
          <w:lang w:val="en-US" w:eastAsia="zh-CN"/>
        </w:rPr>
        <w:t>投标</w:t>
      </w:r>
      <w:r>
        <w:rPr>
          <w:rFonts w:hint="eastAsia" w:ascii="宋体" w:hAnsi="宋体" w:eastAsia="宋体" w:cs="宋体"/>
          <w:b/>
          <w:bCs/>
          <w:color w:val="auto"/>
          <w:highlight w:val="none"/>
        </w:rPr>
        <w:t>文件将按无效响应处理。</w:t>
      </w:r>
    </w:p>
    <w:p w14:paraId="69CC335E">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（四）投标文件的有效期</w:t>
      </w:r>
    </w:p>
    <w:p w14:paraId="2C7F0EA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1.自投标截止日起</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60</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日投标文件应保持有效。有效期不足的投标文件将被拒绝。</w:t>
      </w:r>
    </w:p>
    <w:p w14:paraId="10BAA9A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2.在特殊情况下，采购人可与投标人协商延长投标书的有效期，这种要求和答复均以书面形式进行。</w:t>
      </w:r>
      <w:bookmarkStart w:id="71" w:name="_Toc254970539"/>
      <w:bookmarkStart w:id="72" w:name="_Toc254970680"/>
    </w:p>
    <w:p w14:paraId="6AD1143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3.投标人可拒绝接受延期要求而不会导致投标保证金被没收。同意延长有效期的投标人需要相应延长投标保证金的有效期，但不能修改投标文件。</w:t>
      </w:r>
      <w:bookmarkEnd w:id="71"/>
      <w:bookmarkEnd w:id="72"/>
      <w:r>
        <w:rPr>
          <w:rFonts w:hint="eastAsia" w:ascii="宋体" w:hAnsi="宋体" w:eastAsia="宋体" w:cs="宋体"/>
          <w:color w:val="auto"/>
          <w:highlight w:val="none"/>
        </w:rPr>
        <w:t xml:space="preserve"> </w:t>
      </w:r>
      <w:bookmarkStart w:id="73" w:name="_Toc254970540"/>
      <w:bookmarkStart w:id="74" w:name="_Toc254970681"/>
    </w:p>
    <w:p w14:paraId="7484E81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4.中标人的投标文件自开标之日起至合同履行完毕止均应保持有效。</w:t>
      </w:r>
      <w:bookmarkEnd w:id="73"/>
      <w:bookmarkEnd w:id="74"/>
      <w:bookmarkStart w:id="75" w:name="_Toc254970682"/>
      <w:bookmarkStart w:id="76" w:name="_Toc254970541"/>
    </w:p>
    <w:p w14:paraId="6B1409FC">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（五）投标保证金</w:t>
      </w:r>
      <w:bookmarkEnd w:id="75"/>
      <w:bookmarkEnd w:id="76"/>
    </w:p>
    <w:p w14:paraId="6134B2D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1.投标人须按须知前附表的规定提交投标保证金。否则，其投标将被拒绝。</w:t>
      </w:r>
    </w:p>
    <w:p w14:paraId="4ED254C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2.投标保证金的交纳方式：详见本项目公开招标公告。</w:t>
      </w:r>
    </w:p>
    <w:p w14:paraId="3CC9267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3.投标保证金的退还均以转账形式退回到投标人银行账户。</w:t>
      </w:r>
    </w:p>
    <w:p w14:paraId="14F05D1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4.未中标人的投标保证金在中标通知书发出后5个工作日内退还。</w:t>
      </w:r>
    </w:p>
    <w:p w14:paraId="0111482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5.中标人的投标保证金在合同签订后（合同签订后送达本公司）5个工作日内退还。</w:t>
      </w:r>
    </w:p>
    <w:p w14:paraId="209E5E7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6.投标保证金不计息。</w:t>
      </w:r>
    </w:p>
    <w:p w14:paraId="3B92DC0D">
      <w:pPr>
        <w:shd w:val="clear"/>
        <w:spacing w:line="370" w:lineRule="exac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 xml:space="preserve">    注：办理投标保证金手续时，请务必在银行相关票据（非现金）或凭证的用途或空白栏上注明采购项目名称及采购项目编号，分标号（如有），以免耽误投标。        </w:t>
      </w:r>
    </w:p>
    <w:p w14:paraId="4F9A104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7.中标人应在中标通知书发出之日起</w:t>
      </w:r>
      <w:r>
        <w:rPr>
          <w:rFonts w:hint="eastAsia" w:ascii="宋体" w:hAnsi="宋体" w:eastAsia="宋体" w:cs="宋体"/>
          <w:color w:val="auto"/>
          <w:highlight w:val="none"/>
          <w:u w:val="single"/>
        </w:rPr>
        <w:t>25</w:t>
      </w:r>
      <w:r>
        <w:rPr>
          <w:rFonts w:hint="eastAsia" w:ascii="宋体" w:hAnsi="宋体" w:eastAsia="宋体" w:cs="宋体"/>
          <w:color w:val="auto"/>
          <w:highlight w:val="none"/>
        </w:rPr>
        <w:t>日内与采购人签订合同。</w:t>
      </w:r>
    </w:p>
    <w:p w14:paraId="77D9219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lang w:val="en-US" w:eastAsia="zh-CN"/>
        </w:rPr>
        <w:t>8</w:t>
      </w:r>
      <w:r>
        <w:rPr>
          <w:rFonts w:hint="eastAsia" w:ascii="宋体" w:hAnsi="宋体" w:eastAsia="宋体" w:cs="宋体"/>
          <w:b/>
          <w:color w:val="auto"/>
          <w:highlight w:val="none"/>
        </w:rPr>
        <w:t>.投标人有下列情形之一的，投标保证金将不予退还：</w:t>
      </w:r>
    </w:p>
    <w:p w14:paraId="3FF847A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（1）投标人在投标有效期内撤回投标文件的；</w:t>
      </w:r>
    </w:p>
    <w:p w14:paraId="58DF92A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（2）投标人在投标过程中弄虚作假，提供虚假材料的；</w:t>
      </w:r>
    </w:p>
    <w:p w14:paraId="20987D8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（3）中标人无正当理由不与采购人签订合同的；</w:t>
      </w:r>
    </w:p>
    <w:p w14:paraId="2B5F05D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（4）将中标项目转让给他人或者在投标文件中未说明，且未经采购人同意，将中标项目分包给他人的；</w:t>
      </w:r>
    </w:p>
    <w:p w14:paraId="5495F11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（5）其他严重扰乱招投标程序的</w:t>
      </w:r>
      <w:bookmarkStart w:id="77" w:name="_Toc254970683"/>
      <w:bookmarkStart w:id="78" w:name="_Toc254970542"/>
      <w:r>
        <w:rPr>
          <w:rFonts w:hint="eastAsia" w:ascii="宋体" w:hAnsi="宋体" w:eastAsia="宋体" w:cs="宋体"/>
          <w:color w:val="auto"/>
          <w:highlight w:val="none"/>
        </w:rPr>
        <w:t>；</w:t>
      </w:r>
    </w:p>
    <w:p w14:paraId="69BB84D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（6）未按规定提交履约保证金的。</w:t>
      </w:r>
    </w:p>
    <w:p w14:paraId="1B204A43">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（六）投标文件的签署和份数</w:t>
      </w:r>
      <w:bookmarkEnd w:id="77"/>
      <w:bookmarkEnd w:id="78"/>
    </w:p>
    <w:p w14:paraId="4A8794F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1.投标人应按本招标文件规定的格式和顺序编制投标文件并标注页码，投标文件内容不完整、编排混乱导致投标文件被误读、漏读或者查找不到相关内容的，是投标人的责任。</w:t>
      </w:r>
    </w:p>
    <w:p w14:paraId="0A1026A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2.投标文件份数：见投标人须知及前附表。</w:t>
      </w:r>
    </w:p>
    <w:p w14:paraId="07DA9C5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3.投标文件须由投标人在规定位置盖章并由法定代表人或法定代表人的授权委托人签署，投标人应写全称。</w:t>
      </w:r>
    </w:p>
    <w:p w14:paraId="0ECB39C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4.投标文件不得涂改，若有修改错漏处，须加盖单位公章或者法定代表人或授权委托人签字或盖章。投标文件因扫描不清晰或乱码或表达不清所引起的后果由投标人负责。</w:t>
      </w:r>
    </w:p>
    <w:p w14:paraId="7DD1FFE7">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（七）投标文件的上传、提交、修改、撤回和解密</w:t>
      </w:r>
    </w:p>
    <w:p w14:paraId="62BC030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highlight w:val="none"/>
        </w:rPr>
      </w:pPr>
      <w:bookmarkStart w:id="79" w:name="_Toc254970684"/>
      <w:bookmarkStart w:id="80" w:name="_Toc254970543"/>
      <w:r>
        <w:rPr>
          <w:rFonts w:hint="eastAsia" w:ascii="宋体" w:hAnsi="宋体" w:eastAsia="宋体" w:cs="宋体"/>
          <w:color w:val="auto"/>
          <w:highlight w:val="none"/>
        </w:rPr>
        <w:t>▲1. 投标文件的上传、提交：见投标人须知及前附表。</w:t>
      </w:r>
    </w:p>
    <w:p w14:paraId="165DDE4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14:paraId="6B9A40B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14:paraId="0E6BEF9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4.投标人已经被推荐为第一中标候选供应商后撤回投标或放弃中标的，其投标保证金将不予退还，并上缴国库，给采购人造成损失的，还应当赔偿损失，并作为不良行为记录在案。</w:t>
      </w:r>
    </w:p>
    <w:p w14:paraId="387C9CA8">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（八）投标无效的情形</w:t>
      </w:r>
      <w:bookmarkEnd w:id="79"/>
      <w:bookmarkEnd w:id="80"/>
    </w:p>
    <w:p w14:paraId="27A6932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实质上没有响应招标文件要求的投标将被视为无效投标。投标人不得通过修正或撤销不合要求的偏离或保留从而使其投标成为实质上响应的投标，但经评标委员会认定属于投标人疏忽、笔误所造成的差错，应当允许其在评标结束之前在广西政府采购云平台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14:paraId="11BB81F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1.在资格、符合性审查时，如发现下列情形之一的，投标文件将被视为无效：</w:t>
      </w:r>
    </w:p>
    <w:p w14:paraId="38D8C2B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（1）超越了按照法律法规规定必须获得行政许可或者行政审批的经营范围的；</w:t>
      </w:r>
    </w:p>
    <w:p w14:paraId="3DE7E07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（2）资格证明文件不全的，或者不符合招标文件标明的资格要求的；</w:t>
      </w:r>
    </w:p>
    <w:p w14:paraId="7671F99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（3）投标文件无法定代表人(负责人)或其授权委托代理人签字，或未提供法定代表人(负责人)授权委托书、投标声明书或者填写内容不齐全的；</w:t>
      </w:r>
    </w:p>
    <w:p w14:paraId="6BF7C50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（4）投标代表人未能出具身份证明或与法定代表人(负责人)授权委托人身份不符的； </w:t>
      </w:r>
    </w:p>
    <w:p w14:paraId="61893D7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（5）项目填写不齐全或者内容虚假的；</w:t>
      </w:r>
    </w:p>
    <w:p w14:paraId="56E0CB1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（6）投标文件的实质性内容未使用中文表述、意思表述不明确、前后矛盾或者使用计量单位不符合招标文件要求的（经评标委员会认定并允许其当场更正的笔误除外）；</w:t>
      </w:r>
    </w:p>
    <w:p w14:paraId="4CED64C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（7）未实质性响应招标文件要求或者投标文件有招标方不能接受的附加条件的；</w:t>
      </w:r>
    </w:p>
    <w:p w14:paraId="0509D84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（8）未按照招标文件的规定提交投标保证金的；（说明：评标时，评标委员会将以本采购代理财务室编制的《项目投标保证金到账信息表》作为评审参考依据）。</w:t>
      </w:r>
    </w:p>
    <w:p w14:paraId="57157C5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（9）法律、法规和招标文件规定的其他无效情形。</w:t>
      </w:r>
    </w:p>
    <w:p w14:paraId="69EBCBB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2.在商务、技术评审时，如发现下列情形之一的，投标文件将被视为无效：</w:t>
      </w:r>
    </w:p>
    <w:p w14:paraId="2797631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（1）投标有效期等商务条款不能满足招标文件要求的；</w:t>
      </w:r>
    </w:p>
    <w:p w14:paraId="70DF9D0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（2）未实质性响应招标文件要求或者投标文件有采购人不能接受的附加条件的；</w:t>
      </w:r>
    </w:p>
    <w:p w14:paraId="0D97214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（3）未提供或未如实提供投标服务的服务承诺，或者投标文件标明的响应或偏离与事实不符或虚假投标的；</w:t>
      </w:r>
    </w:p>
    <w:p w14:paraId="072709B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（4）明显不符合招标文件要求的服务要求，或者与招标文件中标“▲”的技术指标、主要功能项目发生实质性负偏离的；</w:t>
      </w:r>
    </w:p>
    <w:p w14:paraId="3D0243D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（5）允许偏离的商务、技术、性能指标或者辅助功能项目发生负偏离超出允许的范围以上的；</w:t>
      </w:r>
    </w:p>
    <w:p w14:paraId="58BDD33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（6）投标技术方案不明确，存在一个或一个以上备选（替代）投标方案的；</w:t>
      </w:r>
    </w:p>
    <w:p w14:paraId="2476FB7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（7）与其他参加本次投标供应商的投标文件（技术文件）的文字表述内容差错相同二处以上的；</w:t>
      </w:r>
    </w:p>
    <w:p w14:paraId="2BEC85D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3.在报价评审时，如发现下列情形之一的，投标文件将被视为无效：</w:t>
      </w:r>
    </w:p>
    <w:p w14:paraId="5FDB656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（1）未采用人民币报价或者未按照招标文件标明的币种报价的；</w:t>
      </w:r>
    </w:p>
    <w:p w14:paraId="3C091C7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（2）报价超出最高限价，或者超出采购预算金额，采购人不能支付的；</w:t>
      </w:r>
    </w:p>
    <w:p w14:paraId="5900810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（3）投标报价具有选择性，或者开标价格与投标文件承诺的优惠（折扣）价格不一致的；</w:t>
      </w:r>
    </w:p>
    <w:p w14:paraId="65A4A1D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（4）评标委员会认为投标人的报价明显低于其他通过符合性审查投标人的报价，有可能影响产品（服务）质量或者不能诚信履约，投标人不能证明其报价合理性的。</w:t>
      </w:r>
    </w:p>
    <w:p w14:paraId="64ACA78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4.有下列情形之一的视为投标人相互串通投标，投标文件将被视为无效：</w:t>
      </w:r>
    </w:p>
    <w:p w14:paraId="7B05DBD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（1）不同投标人的投标文件由同一单位或者个人编制；或不同投标人报名的IP地址一致的；</w:t>
      </w:r>
    </w:p>
    <w:p w14:paraId="37C3096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（2）不同投标人委托同一单位或者个人办理投标事宜；</w:t>
      </w:r>
    </w:p>
    <w:p w14:paraId="46E1977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（3）不同投标人的投标文件载明的项目管理成员或者联系人员为同一人；</w:t>
      </w:r>
    </w:p>
    <w:p w14:paraId="7EE91B5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（4）不同投标人的投标文件异常一致或投标报价呈规律性差异；</w:t>
      </w:r>
    </w:p>
    <w:p w14:paraId="4235836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（5）不同投标人的投标文件相互混装；</w:t>
      </w:r>
    </w:p>
    <w:p w14:paraId="4F6ADA8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（6）不同投标人的投标保证金从同一个单位或者个人账户转出。</w:t>
      </w:r>
    </w:p>
    <w:p w14:paraId="4901161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5.其他投标无效的情形：</w:t>
      </w:r>
    </w:p>
    <w:p w14:paraId="49156B4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（1）投标文件未按招标文件要求签署或CA电子签章的；</w:t>
      </w:r>
    </w:p>
    <w:p w14:paraId="025D45A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（2）供应商提交两份或两份以上内容不同的投标文件；</w:t>
      </w:r>
    </w:p>
    <w:p w14:paraId="6E57133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（3）投标供应商在线制作投标文件时填写的报价金额与解密后“电子加密投标文件”中《开标一览表》填写的金额不一致并拒绝按招标文件要求接受调整的；</w:t>
      </w:r>
    </w:p>
    <w:p w14:paraId="18269AB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（4）法律、法规和招标文件规定的其他无效情形（或出现重大偏差）。</w:t>
      </w:r>
    </w:p>
    <w:p w14:paraId="1480791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rPr>
        <w:t>6.被拒绝的投标文件为无效。</w:t>
      </w:r>
      <w:bookmarkStart w:id="81" w:name="_Toc254970685"/>
      <w:bookmarkStart w:id="82" w:name="_Toc254970544"/>
    </w:p>
    <w:p w14:paraId="309189AD">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四、开  标</w:t>
      </w:r>
      <w:bookmarkEnd w:id="81"/>
      <w:bookmarkEnd w:id="82"/>
    </w:p>
    <w:p w14:paraId="2C2650FF">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（一）开标准备</w:t>
      </w:r>
    </w:p>
    <w:p w14:paraId="16EAF7D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代理机构将在规定的时间和地点通过“广西政府采购云平台”组织开标、开启投标文件，所有供应商均应当准时在线参加。投标供应商因未在线参加开标而导致投标文件无法按时解密等一切后果由供应商自行承担。</w:t>
      </w:r>
    </w:p>
    <w:p w14:paraId="2959A678">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（二）开标程序</w:t>
      </w:r>
    </w:p>
    <w:p w14:paraId="44226EC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bookmarkStart w:id="83" w:name="_Toc254970545"/>
      <w:bookmarkStart w:id="84" w:name="_Toc254970686"/>
      <w:r>
        <w:rPr>
          <w:rFonts w:hint="eastAsia" w:ascii="宋体" w:hAnsi="宋体" w:eastAsia="宋体" w:cs="宋体"/>
          <w:color w:val="auto"/>
          <w:highlight w:val="none"/>
        </w:rPr>
        <w:t>1.电子开标会由本采购代理机构主持。</w:t>
      </w:r>
    </w:p>
    <w:p w14:paraId="29E9121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2.本采购代理机构工作人员向各投标供应商发出电子加密投标文件【开始解密】通知，由供应商按招标文件规定的时间内自行进行投标文件解密。投标供应商未在规定时间内完成解密的，系统默认自动放弃。</w:t>
      </w:r>
    </w:p>
    <w:p w14:paraId="1DFA8C7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14:paraId="48B1DE9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4.进入资格文件审查环节，采购人、采购代理机构根据双方签订的代理协议约定，依法对投标供应商的资格进行审查。</w:t>
      </w:r>
    </w:p>
    <w:p w14:paraId="38BE6F1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5.开启资格审查通过的投标供应商的商务技术文件进入符合性审查及商务技术评审。</w:t>
      </w:r>
    </w:p>
    <w:p w14:paraId="443C0B5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注：①当整个招标项目的投标人不足3家的不开标，本采购代理机构将按政府采购管理的有关规定处理。</w:t>
      </w:r>
    </w:p>
    <w:p w14:paraId="61C398C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②开标后，某分标投标人不足3家的，本采购代理机构将按政府采购管理的有关规定处理。</w:t>
      </w:r>
    </w:p>
    <w:p w14:paraId="680FF63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color w:val="auto"/>
          <w:highlight w:val="none"/>
        </w:rPr>
      </w:pPr>
      <w:r>
        <w:rPr>
          <w:rFonts w:hint="eastAsia" w:ascii="宋体" w:hAnsi="宋体" w:eastAsia="宋体" w:cs="宋体"/>
          <w:b/>
          <w:color w:val="auto"/>
          <w:highlight w:val="none"/>
        </w:rPr>
        <w:t>特别说明：如遇“广西政府采购云平台”电子化开标或评审程序调整的，按调整后程序执行。</w:t>
      </w:r>
    </w:p>
    <w:p w14:paraId="374578D3">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五、资格审查</w:t>
      </w:r>
    </w:p>
    <w:p w14:paraId="701D7CC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采购人、采购代理机构根据双方签订的代理协议约定，依法对投标人的资格进行审查。合格投标人不足3家的，不得评标。</w:t>
      </w:r>
    </w:p>
    <w:p w14:paraId="4B0841C7">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六、评  标</w:t>
      </w:r>
      <w:bookmarkEnd w:id="83"/>
      <w:bookmarkEnd w:id="84"/>
    </w:p>
    <w:p w14:paraId="69FBD286">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（一）组建评标委员会</w:t>
      </w:r>
    </w:p>
    <w:p w14:paraId="1071075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本招标采购项目的评标委员会由采购人代表和评审专家组成，成员人数应当为五人以上单数。其中，评审专家不得少于成员总数的三分之二。</w:t>
      </w:r>
    </w:p>
    <w:p w14:paraId="23B16411">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（二）评标的方式</w:t>
      </w:r>
    </w:p>
    <w:p w14:paraId="1036E7B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本项目采用不公开方式评标，评标的依据为招标文件和投标文件。</w:t>
      </w:r>
    </w:p>
    <w:p w14:paraId="5E295643">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（三）评标程序</w:t>
      </w:r>
    </w:p>
    <w:p w14:paraId="65BC07B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实质审查与比较</w:t>
      </w:r>
    </w:p>
    <w:p w14:paraId="08FFD51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（1）评标委员会审查、评价投标文件是否符合招标文件的商务、技术等实质性要求。</w:t>
      </w:r>
    </w:p>
    <w:p w14:paraId="586E4B5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（2）评标委员会对投标文件进行评价,如有疑问,将以电子询标函的形式要求投标人在线对投标文件有关事项作出澄清或者说明。投标人向评标委员会澄清或者说明有关问题,并最终以盖章的电子文件进行回复。</w:t>
      </w:r>
    </w:p>
    <w:p w14:paraId="0DD242D2">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投标人代表超过规定时间或者拒绝澄清或者澄清的内容改变了投标文件的实质性内容的，评标委员会有权视该投标文件无效。</w:t>
      </w:r>
    </w:p>
    <w:p w14:paraId="6AFE6C9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（3）各投标人的技术得分为所有评委的有效评分的算术平均数，由指定专人进行计算复核。</w:t>
      </w:r>
    </w:p>
    <w:p w14:paraId="6AEF691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（4）采购代理机构工作人员协助评标委员会根据本项目的评分标准计算各投标人的商务报价得分。</w:t>
      </w:r>
    </w:p>
    <w:p w14:paraId="0C190C7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评标委员会完成评标后,由广西政府采购云平台系统对各部分得分汇总,计算出本项目最终得分、评标价等。评标委员会按推荐原则推荐中标候选人同时形成评标报告。评标委员会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F6CFCAE">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（四）澄清问题的形式</w:t>
      </w:r>
    </w:p>
    <w:p w14:paraId="54629E0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14:paraId="50EAAED0">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（五）错误修正</w:t>
      </w:r>
    </w:p>
    <w:p w14:paraId="3CC632E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投标文件如果出现计算或表达上的错误，修正错误的原则如下：</w:t>
      </w:r>
    </w:p>
    <w:p w14:paraId="6B1D5E8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1.投标文件中开标一览表（报价表）内容与投标文件中相应内容不一致的，以开标一览表（报价表）为准；</w:t>
      </w:r>
    </w:p>
    <w:p w14:paraId="72E923B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15A5ECE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1E054BF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5647BD3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5.对不同文字文本投标文件的解释发生异议的，以中文文本为准。</w:t>
      </w:r>
    </w:p>
    <w:p w14:paraId="26C192B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同时出现两种以上不一致的，按照前款规定的顺序修正。</w:t>
      </w:r>
    </w:p>
    <w:p w14:paraId="6DBB29B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14:paraId="58D9B2E6">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六</w:t>
      </w:r>
      <w:r>
        <w:rPr>
          <w:rFonts w:hint="eastAsia" w:ascii="宋体" w:hAnsi="宋体" w:eastAsia="宋体" w:cs="宋体"/>
          <w:b/>
          <w:color w:val="auto"/>
          <w:highlight w:val="none"/>
        </w:rPr>
        <w:t>）评委表决</w:t>
      </w:r>
    </w:p>
    <w:p w14:paraId="5BD0D464">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在评标过程中出现法律法规和招标文件均没有明确规定的情形时，由评标委员会现场协商解决，协商不一致的，由全体评委投票表决，以得票率二分之一以上专家的意见为准。</w:t>
      </w:r>
    </w:p>
    <w:p w14:paraId="1D1EE9C0">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七</w:t>
      </w:r>
      <w:r>
        <w:rPr>
          <w:rFonts w:hint="eastAsia" w:ascii="宋体" w:hAnsi="宋体" w:eastAsia="宋体" w:cs="宋体"/>
          <w:b/>
          <w:color w:val="auto"/>
          <w:highlight w:val="none"/>
        </w:rPr>
        <w:t>）评标原则和评标方法</w:t>
      </w:r>
    </w:p>
    <w:p w14:paraId="651C8F5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EC8830A">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2.评标方法。本项目评标方法是</w:t>
      </w:r>
      <w:r>
        <w:rPr>
          <w:rFonts w:hint="eastAsia" w:ascii="宋体" w:hAnsi="宋体" w:eastAsia="宋体" w:cs="宋体"/>
          <w:b/>
          <w:color w:val="auto"/>
          <w:highlight w:val="none"/>
          <w:u w:val="single"/>
        </w:rPr>
        <w:t>综合评分法</w:t>
      </w:r>
      <w:r>
        <w:rPr>
          <w:rFonts w:hint="eastAsia" w:ascii="宋体" w:hAnsi="宋体" w:eastAsia="宋体" w:cs="宋体"/>
          <w:color w:val="auto"/>
          <w:highlight w:val="none"/>
        </w:rPr>
        <w:t>，具体评标内容及评分标准等详见第四章：评标方法及评分标准。</w:t>
      </w:r>
    </w:p>
    <w:p w14:paraId="60868E39">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八</w:t>
      </w:r>
      <w:r>
        <w:rPr>
          <w:rFonts w:hint="eastAsia" w:ascii="宋体" w:hAnsi="宋体" w:eastAsia="宋体" w:cs="宋体"/>
          <w:b/>
          <w:color w:val="auto"/>
          <w:highlight w:val="none"/>
        </w:rPr>
        <w:t>）评标过程的监控</w:t>
      </w:r>
    </w:p>
    <w:p w14:paraId="73EBD85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本项目评标过程实行全程录音、录像监控，投标人在评标过程中所进行的试图影响评标结果的不公正活动，可能导致其投标被拒绝。</w:t>
      </w:r>
      <w:bookmarkStart w:id="85" w:name="_Toc254970687"/>
      <w:bookmarkStart w:id="86" w:name="_Toc254970546"/>
    </w:p>
    <w:p w14:paraId="559C16A9">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lang w:eastAsia="zh-CN"/>
        </w:rPr>
        <w:t>七</w:t>
      </w:r>
      <w:r>
        <w:rPr>
          <w:rFonts w:hint="eastAsia" w:ascii="宋体" w:hAnsi="宋体" w:eastAsia="宋体" w:cs="宋体"/>
          <w:b/>
          <w:color w:val="auto"/>
          <w:highlight w:val="none"/>
        </w:rPr>
        <w:t>、评标结果</w:t>
      </w:r>
      <w:bookmarkEnd w:id="85"/>
      <w:bookmarkEnd w:id="86"/>
    </w:p>
    <w:p w14:paraId="5AC7027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（一）本采购代理机构将在评标结束后2个工作日内将评标报告送采购人，采购人在5个工作日内按照评标报告中推荐的中标候选人顺序确定中标人。采购人也可以事先授权评标委员会直接确定中标人。</w:t>
      </w:r>
    </w:p>
    <w:p w14:paraId="7DA2951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（二）中标人确定后，采购代理机构在财政部门指定的政府采购信息发布媒体发布中标公告。</w:t>
      </w:r>
    </w:p>
    <w:p w14:paraId="38D9D9D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（三）在发布中标公告的同时，采购代理机构向中标人发出中标通知书。</w:t>
      </w:r>
    </w:p>
    <w:p w14:paraId="01E0F34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（四）投标人认为招标文件、招标过程和中标结果使自己的权益受到损害的，可以在知道或者应知其权益受到损害之日起七个工作日内，以书面形式向采购代理机构提出质疑，并及时索要书面回执。</w:t>
      </w:r>
    </w:p>
    <w:p w14:paraId="09F9AF1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（五）采购代理机构应当按照有关规定就采购人委托授权范围内的事项在收到投标人的书面质疑后七个工作日内做出答复，但答复的内容不得涉及商业秘密。</w:t>
      </w:r>
    </w:p>
    <w:p w14:paraId="041B051D">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lang w:eastAsia="zh-CN"/>
        </w:rPr>
        <w:t>八</w:t>
      </w:r>
      <w:r>
        <w:rPr>
          <w:rFonts w:hint="eastAsia" w:ascii="宋体" w:hAnsi="宋体" w:eastAsia="宋体" w:cs="宋体"/>
          <w:b/>
          <w:color w:val="auto"/>
          <w:highlight w:val="none"/>
        </w:rPr>
        <w:t>、签订合同</w:t>
      </w:r>
    </w:p>
    <w:p w14:paraId="525EEE1B">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（一）合同授予标准</w:t>
      </w:r>
    </w:p>
    <w:p w14:paraId="73C3D03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合同将授予被确定投标文件满足招标文件全部实质性要求，具备履行合同能力，评审得分最高，综合评分排名第一的供应商。</w:t>
      </w:r>
    </w:p>
    <w:p w14:paraId="1B9A38B0">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（二）履约保证金</w:t>
      </w:r>
    </w:p>
    <w:p w14:paraId="4A994EB3">
      <w:pPr>
        <w:pStyle w:val="27"/>
        <w:keepNext w:val="0"/>
        <w:keepLines w:val="0"/>
        <w:pageBreakBefore w:val="0"/>
        <w:widowControl w:val="0"/>
        <w:shd w:val="clear"/>
        <w:kinsoku/>
        <w:wordWrap/>
        <w:overflowPunct/>
        <w:topLinePunct w:val="0"/>
        <w:autoSpaceDE/>
        <w:autoSpaceDN/>
        <w:bidi w:val="0"/>
        <w:adjustRightInd/>
        <w:snapToGrid/>
        <w:spacing w:before="0" w:after="0"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1.中标人须于签订合同前按本项目关于履约保证金的规定进行办理。否则，不予签订合同。</w:t>
      </w:r>
    </w:p>
    <w:p w14:paraId="6CEDD97E">
      <w:pPr>
        <w:pStyle w:val="27"/>
        <w:keepNext w:val="0"/>
        <w:keepLines w:val="0"/>
        <w:pageBreakBefore w:val="0"/>
        <w:widowControl w:val="0"/>
        <w:shd w:val="clear"/>
        <w:kinsoku/>
        <w:wordWrap/>
        <w:overflowPunct/>
        <w:topLinePunct w:val="0"/>
        <w:autoSpaceDE/>
        <w:autoSpaceDN/>
        <w:bidi w:val="0"/>
        <w:adjustRightInd/>
        <w:snapToGrid/>
        <w:spacing w:before="0" w:after="0"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2.签订合同后，如中标人不按双方签订的合同规定履约，则没收其全部履约保证金，履约保证金不足以赔偿损失的，按实际损失赔偿。</w:t>
      </w:r>
    </w:p>
    <w:p w14:paraId="65C33E4B">
      <w:pPr>
        <w:pStyle w:val="27"/>
        <w:keepNext w:val="0"/>
        <w:keepLines w:val="0"/>
        <w:pageBreakBefore w:val="0"/>
        <w:widowControl w:val="0"/>
        <w:shd w:val="clear"/>
        <w:kinsoku/>
        <w:wordWrap/>
        <w:overflowPunct/>
        <w:topLinePunct w:val="0"/>
        <w:autoSpaceDE/>
        <w:autoSpaceDN/>
        <w:bidi w:val="0"/>
        <w:adjustRightInd/>
        <w:snapToGrid/>
        <w:spacing w:before="0" w:after="0"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履约保证金在中标人按合同约定验收合格后，由中标人提供《政府采购项目履约保证金退付意见书》及《政府采购项目合同验收报告》（详见附件），履约保证金在收到合格材料后5个工作日内以银行转账方式如数退还（不计利息）。</w:t>
      </w:r>
    </w:p>
    <w:p w14:paraId="7CA67A73">
      <w:pPr>
        <w:pStyle w:val="27"/>
        <w:keepNext w:val="0"/>
        <w:keepLines w:val="0"/>
        <w:pageBreakBefore w:val="0"/>
        <w:widowControl w:val="0"/>
        <w:shd w:val="clear"/>
        <w:kinsoku/>
        <w:wordWrap/>
        <w:overflowPunct/>
        <w:topLinePunct w:val="0"/>
        <w:autoSpaceDE/>
        <w:autoSpaceDN/>
        <w:bidi w:val="0"/>
        <w:adjustRightInd/>
        <w:snapToGrid/>
        <w:spacing w:before="0" w:after="0"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4.在履约保证金退还日期前，若中标人的开户名称、开户银行、账号有变动的，请以书面形式通知履约保证金收取机构，否则由此产生的后果由中标人自负。</w:t>
      </w:r>
    </w:p>
    <w:p w14:paraId="63B74671">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（三）签订合同</w:t>
      </w:r>
    </w:p>
    <w:p w14:paraId="5C6E116D">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（1）投标人接到中标通知书后，应按中标通知书规定的时间、地点与采购人签订合同。中标人无正</w:t>
      </w:r>
      <w:r>
        <w:rPr>
          <w:rFonts w:hint="eastAsia" w:ascii="宋体" w:hAnsi="宋体" w:eastAsia="宋体" w:cs="宋体"/>
          <w:color w:val="auto"/>
          <w:highlight w:val="none"/>
          <w:lang w:val="en-US" w:eastAsia="zh-CN"/>
        </w:rPr>
        <w:t>当理由不得放弃中标。</w:t>
      </w:r>
    </w:p>
    <w:p w14:paraId="541AE2D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（2）如中标人不按中标通知书的规定签订合同，则按中标人违约处理，采购代理机构将没收中标人投标的全部投标保证金。</w:t>
      </w:r>
    </w:p>
    <w:p w14:paraId="2907802C">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（3）中标人</w:t>
      </w:r>
      <w:r>
        <w:rPr>
          <w:rFonts w:hint="eastAsia" w:ascii="宋体" w:hAnsi="宋体" w:eastAsia="宋体" w:cs="宋体"/>
          <w:b/>
          <w:color w:val="auto"/>
          <w:highlight w:val="none"/>
        </w:rPr>
        <w:t>拒绝与采购人签订合同或</w:t>
      </w:r>
      <w:r>
        <w:rPr>
          <w:rFonts w:hint="eastAsia" w:ascii="宋体" w:hAnsi="宋体" w:eastAsia="宋体" w:cs="宋体"/>
          <w:color w:val="auto"/>
          <w:highlight w:val="none"/>
        </w:rPr>
        <w:t>因不可抗力或者自身原因不能履行采购合同的，采购人可以与中标人之后排名第一的中标候选</w:t>
      </w:r>
      <w:r>
        <w:rPr>
          <w:rFonts w:hint="eastAsia" w:ascii="宋体" w:hAnsi="宋体" w:eastAsia="宋体" w:cs="宋体"/>
          <w:bCs/>
          <w:color w:val="auto"/>
          <w:highlight w:val="none"/>
        </w:rPr>
        <w:t>人</w:t>
      </w:r>
      <w:r>
        <w:rPr>
          <w:rFonts w:hint="eastAsia" w:ascii="宋体" w:hAnsi="宋体" w:eastAsia="宋体" w:cs="宋体"/>
          <w:color w:val="auto"/>
          <w:highlight w:val="none"/>
        </w:rPr>
        <w:t>签订采购合同，以此类推,也可以重新招标。中标人放弃中标项目，拒绝与采购人签订合同的，其投标保证金将不予退还，并上缴国库，给采购人造成损失的，还应当赔偿损失，并作为不良行为记录在案。</w:t>
      </w:r>
    </w:p>
    <w:p w14:paraId="1FDC456A">
      <w:pPr>
        <w:pStyle w:val="27"/>
        <w:keepNext w:val="0"/>
        <w:keepLines w:val="0"/>
        <w:pageBreakBefore w:val="0"/>
        <w:widowControl w:val="0"/>
        <w:shd w:val="clear"/>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eastAsia="宋体" w:cs="宋体"/>
          <w:b/>
          <w:color w:val="auto"/>
          <w:highlight w:val="none"/>
        </w:rPr>
      </w:pPr>
      <w:r>
        <w:rPr>
          <w:rFonts w:hint="eastAsia" w:ascii="宋体" w:hAnsi="宋体" w:eastAsia="宋体" w:cs="宋体"/>
          <w:b/>
          <w:color w:val="auto"/>
          <w:highlight w:val="none"/>
          <w:lang w:eastAsia="zh-CN"/>
        </w:rPr>
        <w:t>九</w:t>
      </w:r>
      <w:r>
        <w:rPr>
          <w:rFonts w:hint="eastAsia" w:ascii="宋体" w:hAnsi="宋体" w:eastAsia="宋体" w:cs="宋体"/>
          <w:b/>
          <w:color w:val="auto"/>
          <w:highlight w:val="none"/>
        </w:rPr>
        <w:t>、其他事项</w:t>
      </w:r>
    </w:p>
    <w:p w14:paraId="099BCFA1">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（一）中标服务费</w:t>
      </w:r>
    </w:p>
    <w:p w14:paraId="2344352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（1）采购代理机构按计价格〔2002〕1980号、发改价格〔2011〕534号</w:t>
      </w:r>
      <w:r>
        <w:rPr>
          <w:rFonts w:hint="eastAsia" w:hAnsi="宋体" w:cs="宋体"/>
          <w:color w:val="auto"/>
          <w:highlight w:val="none"/>
          <w:lang w:val="en-US" w:eastAsia="zh-CN"/>
        </w:rPr>
        <w:t>等文件规定</w:t>
      </w:r>
      <w:r>
        <w:rPr>
          <w:rFonts w:hint="eastAsia" w:ascii="宋体" w:hAnsi="宋体" w:eastAsia="宋体" w:cs="宋体"/>
          <w:color w:val="auto"/>
          <w:highlight w:val="none"/>
        </w:rPr>
        <w:t>的收费标准</w:t>
      </w:r>
      <w:r>
        <w:rPr>
          <w:rFonts w:hint="eastAsia" w:hAnsi="宋体" w:cs="宋体"/>
          <w:color w:val="auto"/>
          <w:highlight w:val="none"/>
          <w:lang w:val="en-US" w:eastAsia="zh-CN"/>
        </w:rPr>
        <w:t>下浮45%</w:t>
      </w:r>
      <w:r>
        <w:rPr>
          <w:rFonts w:hint="eastAsia" w:ascii="宋体" w:hAnsi="宋体" w:eastAsia="宋体" w:cs="宋体"/>
          <w:color w:val="auto"/>
          <w:highlight w:val="none"/>
        </w:rPr>
        <w:t>，按差额定率累进法计取中标服务费。</w:t>
      </w:r>
      <w:r>
        <w:rPr>
          <w:rFonts w:hint="eastAsia" w:ascii="宋体" w:hAnsi="宋体" w:eastAsia="宋体" w:cs="宋体"/>
          <w:color w:val="auto"/>
          <w:highlight w:val="none"/>
          <w:lang w:eastAsia="zh-CN"/>
        </w:rPr>
        <w:t>发布中标结果公告后</w:t>
      </w:r>
      <w:r>
        <w:rPr>
          <w:rFonts w:hint="eastAsia" w:ascii="宋体" w:hAnsi="宋体" w:eastAsia="宋体" w:cs="宋体"/>
          <w:color w:val="auto"/>
          <w:highlight w:val="none"/>
        </w:rPr>
        <w:t>，中标人须向广西国力招标有限公司一次付清中标服务费。</w:t>
      </w:r>
      <w:bookmarkStart w:id="87" w:name="_Toc254970689"/>
      <w:bookmarkStart w:id="88" w:name="_Toc254970548"/>
    </w:p>
    <w:p w14:paraId="4C6CDB30">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（2）代理服务收费标准：</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32E8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6735E2CC">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4A5DE378">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6D0F4642">
            <w:pPr>
              <w:shd w:val="clear"/>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254C1D5F">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164680D8">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036A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AA32770">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659D139E">
            <w:pPr>
              <w:shd w:val="clea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14:paraId="66BEBEDD">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14:paraId="3B9277C2">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458F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3DFDA5C">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5D49BCBC">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14:paraId="266276C3">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14:paraId="1288EB92">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785A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9EE7C03">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0C2E730C">
            <w:pPr>
              <w:shd w:val="clea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14:paraId="61718F38">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14:paraId="2E5FD6F6">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7B98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C30850D">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2CDD54E2">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14:paraId="2A29E224">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14:paraId="39CF7ADA">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125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B8F70EE">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049A00F9">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14:paraId="610C71D1">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14:paraId="4A8DD015">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051A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D8D762B">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52A33690">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32973875">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7CD61218">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1576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93850D8">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185697FC">
            <w:pPr>
              <w:shd w:val="clear"/>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2C24D9A9">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6D9700B4">
            <w:pPr>
              <w:shd w:val="clear"/>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30C5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2ACBE95">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2E6B357D">
            <w:pPr>
              <w:shd w:val="clear"/>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2797E536">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4DAC30DA">
            <w:pPr>
              <w:shd w:val="clear"/>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46F6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FBC160F">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2F866166">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71FE5193">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795467FF">
            <w:pPr>
              <w:shd w:val="clear"/>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6480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4D9A5AA">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5B70F6D5">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6A52E202">
            <w:pPr>
              <w:shd w:val="clear"/>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6DF77DEF">
            <w:pPr>
              <w:shd w:val="clear"/>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68D3AC6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注:招标代理服务收费按差额定率累进法计算。</w:t>
      </w:r>
    </w:p>
    <w:p w14:paraId="449349E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（3）服务费指定银行账户：</w:t>
      </w:r>
    </w:p>
    <w:p w14:paraId="2239EDC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开户名称：广西国力招标有限公司</w:t>
      </w:r>
    </w:p>
    <w:p w14:paraId="15DCD17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开户银行：广西北部湾银行股份有限公司南宁市白沙支行（网银支付可选广西北部湾银行江南支行）</w:t>
      </w:r>
    </w:p>
    <w:p w14:paraId="551ADCB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银行账号：800109057400039 </w:t>
      </w:r>
    </w:p>
    <w:p w14:paraId="6939A2B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银行行号：313611002051</w:t>
      </w:r>
    </w:p>
    <w:p w14:paraId="111668A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（4）开具代理服务费发票事宜的联系方式：0771-4915100、4915200。</w:t>
      </w:r>
    </w:p>
    <w:p w14:paraId="2A1973F0">
      <w:pPr>
        <w:pStyle w:val="27"/>
        <w:keepNext w:val="0"/>
        <w:keepLines w:val="0"/>
        <w:pageBreakBefore w:val="0"/>
        <w:widowControl w:val="0"/>
        <w:shd w:val="clear"/>
        <w:kinsoku/>
        <w:wordWrap/>
        <w:overflowPunct/>
        <w:topLinePunct w:val="0"/>
        <w:autoSpaceDE/>
        <w:autoSpaceDN/>
        <w:bidi w:val="0"/>
        <w:adjustRightInd/>
        <w:snapToGrid/>
        <w:spacing w:before="120" w:after="120" w:line="4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（二）解释权：本招标文件解释权属本采购代理机构。</w:t>
      </w:r>
    </w:p>
    <w:p w14:paraId="1FA5D89D">
      <w:pPr>
        <w:pStyle w:val="27"/>
        <w:shd w:val="clear"/>
        <w:spacing w:line="380" w:lineRule="exact"/>
        <w:rPr>
          <w:rFonts w:hint="eastAsia" w:ascii="宋体" w:hAnsi="宋体" w:eastAsia="宋体" w:cs="宋体"/>
          <w:color w:val="auto"/>
          <w:highlight w:val="none"/>
        </w:rPr>
      </w:pPr>
      <w:r>
        <w:rPr>
          <w:rFonts w:hint="eastAsia" w:ascii="宋体" w:hAnsi="宋体" w:eastAsia="宋体" w:cs="宋体"/>
          <w:color w:val="auto"/>
          <w:spacing w:val="-4"/>
          <w:highlight w:val="none"/>
        </w:rPr>
        <w:t xml:space="preserve">   </w:t>
      </w:r>
    </w:p>
    <w:p w14:paraId="6DBF229D">
      <w:pPr>
        <w:pStyle w:val="27"/>
        <w:shd w:val="clear"/>
        <w:spacing w:line="380" w:lineRule="exact"/>
        <w:ind w:firstLine="420"/>
        <w:rPr>
          <w:rFonts w:hint="eastAsia" w:ascii="宋体" w:hAnsi="宋体" w:eastAsia="宋体" w:cs="宋体"/>
          <w:color w:val="auto"/>
          <w:highlight w:val="none"/>
        </w:rPr>
      </w:pPr>
    </w:p>
    <w:p w14:paraId="2EC63EF1">
      <w:pPr>
        <w:shd w:val="clear"/>
        <w:snapToGrid w:val="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20"/>
          <w:szCs w:val="21"/>
          <w:highlight w:val="none"/>
        </w:rPr>
        <w:br w:type="page"/>
      </w:r>
      <w:r>
        <w:rPr>
          <w:rFonts w:hint="eastAsia" w:ascii="宋体" w:hAnsi="宋体" w:eastAsia="宋体" w:cs="宋体"/>
          <w:color w:val="auto"/>
          <w:kern w:val="0"/>
          <w:sz w:val="32"/>
          <w:szCs w:val="32"/>
          <w:highlight w:val="none"/>
        </w:rPr>
        <w:t>附件1：</w:t>
      </w:r>
    </w:p>
    <w:p w14:paraId="27D576B8">
      <w:pPr>
        <w:widowControl/>
        <w:shd w:val="clear" w:color="auto"/>
        <w:spacing w:line="720" w:lineRule="auto"/>
        <w:jc w:val="cente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广西壮族自治区政府采购项目合同验收书（格式）</w:t>
      </w:r>
    </w:p>
    <w:p w14:paraId="55464DEE">
      <w:pPr>
        <w:widowControl/>
        <w:shd w:val="clear" w:color="auto"/>
        <w:snapToGrid w:val="0"/>
        <w:spacing w:line="38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提供的货物（或工程、服务）进行了验收，验收情况如下：</w:t>
      </w:r>
    </w:p>
    <w:tbl>
      <w:tblPr>
        <w:tblStyle w:val="50"/>
        <w:tblW w:w="0" w:type="auto"/>
        <w:jc w:val="center"/>
        <w:tblLayout w:type="fixed"/>
        <w:tblCellMar>
          <w:top w:w="0" w:type="dxa"/>
          <w:left w:w="0" w:type="dxa"/>
          <w:bottom w:w="0" w:type="dxa"/>
          <w:right w:w="0" w:type="dxa"/>
        </w:tblCellMar>
      </w:tblPr>
      <w:tblGrid>
        <w:gridCol w:w="1497"/>
        <w:gridCol w:w="2159"/>
        <w:gridCol w:w="897"/>
        <w:gridCol w:w="114"/>
        <w:gridCol w:w="2251"/>
        <w:gridCol w:w="200"/>
        <w:gridCol w:w="770"/>
        <w:gridCol w:w="1606"/>
      </w:tblGrid>
      <w:tr w14:paraId="171E0D28">
        <w:tblPrEx>
          <w:tblCellMar>
            <w:top w:w="0" w:type="dxa"/>
            <w:left w:w="0" w:type="dxa"/>
            <w:bottom w:w="0" w:type="dxa"/>
            <w:right w:w="0" w:type="dxa"/>
          </w:tblCellMar>
        </w:tblPrEx>
        <w:trPr>
          <w:trHeight w:val="523" w:hRule="atLeast"/>
          <w:jc w:val="center"/>
        </w:trPr>
        <w:tc>
          <w:tcPr>
            <w:tcW w:w="3656" w:type="dxa"/>
            <w:gridSpan w:val="2"/>
            <w:tcBorders>
              <w:top w:val="single" w:color="auto" w:sz="8" w:space="0"/>
              <w:left w:val="single" w:color="auto" w:sz="8" w:space="0"/>
              <w:bottom w:val="single" w:color="auto" w:sz="8" w:space="0"/>
              <w:right w:val="single" w:color="auto" w:sz="8" w:space="0"/>
            </w:tcBorders>
            <w:noWrap w:val="0"/>
            <w:vAlign w:val="center"/>
          </w:tcPr>
          <w:p w14:paraId="0572017B">
            <w:pPr>
              <w:widowControl/>
              <w:shd w:val="clea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838" w:type="dxa"/>
            <w:gridSpan w:val="6"/>
            <w:tcBorders>
              <w:top w:val="single" w:color="auto" w:sz="8" w:space="0"/>
              <w:left w:val="nil"/>
              <w:bottom w:val="single" w:color="auto" w:sz="8" w:space="0"/>
              <w:right w:val="single" w:color="auto" w:sz="8" w:space="0"/>
            </w:tcBorders>
            <w:noWrap w:val="0"/>
            <w:vAlign w:val="center"/>
          </w:tcPr>
          <w:p w14:paraId="23D95C8C">
            <w:pPr>
              <w:widowControl/>
              <w:shd w:val="clea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663C8CBA">
        <w:tblPrEx>
          <w:tblCellMar>
            <w:top w:w="0" w:type="dxa"/>
            <w:left w:w="0" w:type="dxa"/>
            <w:bottom w:w="0" w:type="dxa"/>
            <w:right w:w="0" w:type="dxa"/>
          </w:tblCellMar>
        </w:tblPrEx>
        <w:trPr>
          <w:trHeight w:val="65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2917D171">
            <w:pPr>
              <w:widowControl/>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159" w:type="dxa"/>
            <w:tcBorders>
              <w:top w:val="nil"/>
              <w:left w:val="nil"/>
              <w:bottom w:val="single" w:color="auto" w:sz="8" w:space="0"/>
              <w:right w:val="single" w:color="auto" w:sz="8" w:space="0"/>
            </w:tcBorders>
            <w:noWrap w:val="0"/>
            <w:vAlign w:val="center"/>
          </w:tcPr>
          <w:p w14:paraId="710292CC">
            <w:pPr>
              <w:widowControl/>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3262" w:type="dxa"/>
            <w:gridSpan w:val="3"/>
            <w:tcBorders>
              <w:top w:val="nil"/>
              <w:left w:val="nil"/>
              <w:bottom w:val="single" w:color="auto" w:sz="8" w:space="0"/>
              <w:right w:val="single" w:color="auto" w:sz="8" w:space="0"/>
            </w:tcBorders>
            <w:noWrap w:val="0"/>
            <w:vAlign w:val="center"/>
          </w:tcPr>
          <w:p w14:paraId="658E5908">
            <w:pPr>
              <w:widowControl/>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货物型号规格、标准及配置等（或服务内容、标准）</w:t>
            </w:r>
          </w:p>
        </w:tc>
        <w:tc>
          <w:tcPr>
            <w:tcW w:w="970" w:type="dxa"/>
            <w:gridSpan w:val="2"/>
            <w:tcBorders>
              <w:top w:val="nil"/>
              <w:left w:val="nil"/>
              <w:bottom w:val="single" w:color="auto" w:sz="8" w:space="0"/>
              <w:right w:val="single" w:color="auto" w:sz="8" w:space="0"/>
            </w:tcBorders>
            <w:noWrap w:val="0"/>
            <w:vAlign w:val="center"/>
          </w:tcPr>
          <w:p w14:paraId="5ABFDE1D">
            <w:pPr>
              <w:widowControl/>
              <w:shd w:val="clea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606" w:type="dxa"/>
            <w:tcBorders>
              <w:top w:val="nil"/>
              <w:left w:val="nil"/>
              <w:bottom w:val="single" w:color="auto" w:sz="8" w:space="0"/>
              <w:right w:val="single" w:color="auto" w:sz="8" w:space="0"/>
            </w:tcBorders>
            <w:noWrap w:val="0"/>
            <w:vAlign w:val="center"/>
          </w:tcPr>
          <w:p w14:paraId="4C46D0D3">
            <w:pPr>
              <w:widowControl/>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1C9CB5A5">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2AA5141">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4F30FEA6">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42BAD943">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3A9F5015">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79F48BDA">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4B7C9BE0">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627E221A">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545BCF5B">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5273F440">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5FF592D7">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677441BC">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032F562">
        <w:tblPrEx>
          <w:tblCellMar>
            <w:top w:w="0" w:type="dxa"/>
            <w:left w:w="0" w:type="dxa"/>
            <w:bottom w:w="0" w:type="dxa"/>
            <w:right w:w="0" w:type="dxa"/>
          </w:tblCellMar>
        </w:tblPrEx>
        <w:trPr>
          <w:trHeight w:val="513" w:hRule="atLeast"/>
          <w:jc w:val="center"/>
        </w:trPr>
        <w:tc>
          <w:tcPr>
            <w:tcW w:w="1497" w:type="dxa"/>
            <w:tcBorders>
              <w:top w:val="nil"/>
              <w:left w:val="single" w:color="auto" w:sz="8" w:space="0"/>
              <w:bottom w:val="single" w:color="auto" w:sz="8" w:space="0"/>
              <w:right w:val="single" w:color="auto" w:sz="8" w:space="0"/>
            </w:tcBorders>
            <w:noWrap w:val="0"/>
            <w:vAlign w:val="center"/>
          </w:tcPr>
          <w:p w14:paraId="2286753B">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59" w:type="dxa"/>
            <w:tcBorders>
              <w:top w:val="nil"/>
              <w:left w:val="nil"/>
              <w:bottom w:val="single" w:color="auto" w:sz="8" w:space="0"/>
              <w:right w:val="single" w:color="auto" w:sz="8" w:space="0"/>
            </w:tcBorders>
            <w:noWrap w:val="0"/>
            <w:vAlign w:val="center"/>
          </w:tcPr>
          <w:p w14:paraId="3EEE3CE6">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262" w:type="dxa"/>
            <w:gridSpan w:val="3"/>
            <w:tcBorders>
              <w:top w:val="nil"/>
              <w:left w:val="nil"/>
              <w:bottom w:val="single" w:color="auto" w:sz="8" w:space="0"/>
              <w:right w:val="single" w:color="auto" w:sz="8" w:space="0"/>
            </w:tcBorders>
            <w:noWrap w:val="0"/>
            <w:vAlign w:val="center"/>
          </w:tcPr>
          <w:p w14:paraId="3244C2D5">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970" w:type="dxa"/>
            <w:gridSpan w:val="2"/>
            <w:tcBorders>
              <w:top w:val="nil"/>
              <w:left w:val="nil"/>
              <w:bottom w:val="single" w:color="auto" w:sz="8" w:space="0"/>
              <w:right w:val="single" w:color="auto" w:sz="8" w:space="0"/>
            </w:tcBorders>
            <w:noWrap w:val="0"/>
            <w:vAlign w:val="center"/>
          </w:tcPr>
          <w:p w14:paraId="3C8A243A">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49F038E1">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762A985">
        <w:tblPrEx>
          <w:tblCellMar>
            <w:top w:w="0" w:type="dxa"/>
            <w:left w:w="0" w:type="dxa"/>
            <w:bottom w:w="0" w:type="dxa"/>
            <w:right w:w="0" w:type="dxa"/>
          </w:tblCellMar>
        </w:tblPrEx>
        <w:trPr>
          <w:trHeight w:val="513" w:hRule="atLeast"/>
          <w:jc w:val="center"/>
        </w:trPr>
        <w:tc>
          <w:tcPr>
            <w:tcW w:w="6918" w:type="dxa"/>
            <w:gridSpan w:val="5"/>
            <w:tcBorders>
              <w:top w:val="nil"/>
              <w:left w:val="single" w:color="auto" w:sz="8" w:space="0"/>
              <w:bottom w:val="single" w:color="auto" w:sz="8" w:space="0"/>
              <w:right w:val="single" w:color="auto" w:sz="8" w:space="0"/>
            </w:tcBorders>
            <w:noWrap w:val="0"/>
            <w:vAlign w:val="center"/>
          </w:tcPr>
          <w:p w14:paraId="275913B1">
            <w:pPr>
              <w:widowControl/>
              <w:shd w:val="clea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970" w:type="dxa"/>
            <w:gridSpan w:val="2"/>
            <w:tcBorders>
              <w:top w:val="nil"/>
              <w:left w:val="nil"/>
              <w:bottom w:val="single" w:color="auto" w:sz="8" w:space="0"/>
              <w:right w:val="single" w:color="auto" w:sz="8" w:space="0"/>
            </w:tcBorders>
            <w:noWrap w:val="0"/>
            <w:vAlign w:val="center"/>
          </w:tcPr>
          <w:p w14:paraId="02548417">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06" w:type="dxa"/>
            <w:tcBorders>
              <w:top w:val="nil"/>
              <w:left w:val="nil"/>
              <w:bottom w:val="single" w:color="auto" w:sz="8" w:space="0"/>
              <w:right w:val="single" w:color="auto" w:sz="8" w:space="0"/>
            </w:tcBorders>
            <w:noWrap w:val="0"/>
            <w:vAlign w:val="center"/>
          </w:tcPr>
          <w:p w14:paraId="30D9F6C0">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5892529">
        <w:tblPrEx>
          <w:tblCellMar>
            <w:top w:w="0" w:type="dxa"/>
            <w:left w:w="0" w:type="dxa"/>
            <w:bottom w:w="0" w:type="dxa"/>
            <w:right w:w="0" w:type="dxa"/>
          </w:tblCellMar>
        </w:tblPrEx>
        <w:trPr>
          <w:trHeight w:val="674" w:hRule="atLeast"/>
          <w:jc w:val="center"/>
        </w:trPr>
        <w:tc>
          <w:tcPr>
            <w:tcW w:w="9494" w:type="dxa"/>
            <w:gridSpan w:val="8"/>
            <w:tcBorders>
              <w:top w:val="nil"/>
              <w:left w:val="single" w:color="auto" w:sz="8" w:space="0"/>
              <w:bottom w:val="single" w:color="auto" w:sz="8" w:space="0"/>
              <w:right w:val="single" w:color="auto" w:sz="8" w:space="0"/>
            </w:tcBorders>
            <w:noWrap w:val="0"/>
            <w:vAlign w:val="center"/>
          </w:tcPr>
          <w:p w14:paraId="39B64119">
            <w:pPr>
              <w:widowControl/>
              <w:shd w:val="clea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2163A5C1">
        <w:tblPrEx>
          <w:tblCellMar>
            <w:top w:w="0" w:type="dxa"/>
            <w:left w:w="0" w:type="dxa"/>
            <w:bottom w:w="0" w:type="dxa"/>
            <w:right w:w="0" w:type="dxa"/>
          </w:tblCellMar>
        </w:tblPrEx>
        <w:trPr>
          <w:trHeight w:val="674" w:hRule="atLeast"/>
          <w:jc w:val="center"/>
        </w:trPr>
        <w:tc>
          <w:tcPr>
            <w:tcW w:w="1497" w:type="dxa"/>
            <w:tcBorders>
              <w:top w:val="nil"/>
              <w:left w:val="single" w:color="auto" w:sz="8" w:space="0"/>
              <w:bottom w:val="single" w:color="auto" w:sz="8" w:space="0"/>
              <w:right w:val="single" w:color="auto" w:sz="8" w:space="0"/>
            </w:tcBorders>
            <w:noWrap w:val="0"/>
            <w:vAlign w:val="center"/>
          </w:tcPr>
          <w:p w14:paraId="37484BE1">
            <w:pPr>
              <w:widowControl/>
              <w:shd w:val="clea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3056" w:type="dxa"/>
            <w:gridSpan w:val="2"/>
            <w:tcBorders>
              <w:top w:val="nil"/>
              <w:left w:val="nil"/>
              <w:bottom w:val="single" w:color="auto" w:sz="8" w:space="0"/>
              <w:right w:val="single" w:color="auto" w:sz="8" w:space="0"/>
            </w:tcBorders>
            <w:noWrap w:val="0"/>
            <w:vAlign w:val="center"/>
          </w:tcPr>
          <w:p w14:paraId="7DFA8C81">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565" w:type="dxa"/>
            <w:gridSpan w:val="3"/>
            <w:tcBorders>
              <w:top w:val="nil"/>
              <w:left w:val="nil"/>
              <w:bottom w:val="single" w:color="auto" w:sz="8" w:space="0"/>
              <w:right w:val="single" w:color="auto" w:sz="8" w:space="0"/>
            </w:tcBorders>
            <w:noWrap w:val="0"/>
            <w:vAlign w:val="center"/>
          </w:tcPr>
          <w:p w14:paraId="2986D30A">
            <w:pPr>
              <w:widowControl/>
              <w:shd w:val="clea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376" w:type="dxa"/>
            <w:gridSpan w:val="2"/>
            <w:tcBorders>
              <w:top w:val="nil"/>
              <w:left w:val="nil"/>
              <w:bottom w:val="single" w:color="auto" w:sz="8" w:space="0"/>
              <w:right w:val="single" w:color="auto" w:sz="8" w:space="0"/>
            </w:tcBorders>
            <w:noWrap w:val="0"/>
            <w:vAlign w:val="center"/>
          </w:tcPr>
          <w:p w14:paraId="39E8323F">
            <w:pPr>
              <w:widowControl/>
              <w:shd w:val="clea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A48CDD2">
        <w:tblPrEx>
          <w:tblCellMar>
            <w:top w:w="0" w:type="dxa"/>
            <w:left w:w="0" w:type="dxa"/>
            <w:bottom w:w="0" w:type="dxa"/>
            <w:right w:w="0" w:type="dxa"/>
          </w:tblCellMar>
        </w:tblPrEx>
        <w:trPr>
          <w:trHeight w:val="729" w:hRule="atLeast"/>
          <w:jc w:val="center"/>
        </w:trPr>
        <w:tc>
          <w:tcPr>
            <w:tcW w:w="14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F2ACFFB">
            <w:pPr>
              <w:widowControl/>
              <w:shd w:val="clea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7997" w:type="dxa"/>
            <w:gridSpan w:val="7"/>
            <w:tcBorders>
              <w:top w:val="nil"/>
              <w:left w:val="nil"/>
              <w:bottom w:val="single" w:color="auto" w:sz="8" w:space="0"/>
              <w:right w:val="single" w:color="auto" w:sz="8" w:space="0"/>
            </w:tcBorders>
            <w:noWrap w:val="0"/>
            <w:tcMar>
              <w:left w:w="108" w:type="dxa"/>
              <w:right w:w="108" w:type="dxa"/>
            </w:tcMar>
            <w:vAlign w:val="center"/>
          </w:tcPr>
          <w:p w14:paraId="72F7D57A">
            <w:pPr>
              <w:widowControl/>
              <w:shd w:val="clea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113EE3D3">
        <w:tblPrEx>
          <w:tblCellMar>
            <w:top w:w="0" w:type="dxa"/>
            <w:left w:w="0" w:type="dxa"/>
            <w:bottom w:w="0" w:type="dxa"/>
            <w:right w:w="0" w:type="dxa"/>
          </w:tblCellMar>
        </w:tblPrEx>
        <w:trPr>
          <w:trHeight w:val="1348" w:hRule="atLeast"/>
          <w:jc w:val="center"/>
        </w:trPr>
        <w:tc>
          <w:tcPr>
            <w:tcW w:w="14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1B520F8">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7997" w:type="dxa"/>
            <w:gridSpan w:val="7"/>
            <w:tcBorders>
              <w:top w:val="nil"/>
              <w:left w:val="nil"/>
              <w:bottom w:val="single" w:color="auto" w:sz="8" w:space="0"/>
              <w:right w:val="single" w:color="auto" w:sz="8" w:space="0"/>
            </w:tcBorders>
            <w:noWrap w:val="0"/>
            <w:vAlign w:val="center"/>
          </w:tcPr>
          <w:p w14:paraId="6A74E0A7">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511FC4B5">
        <w:tblPrEx>
          <w:tblCellMar>
            <w:top w:w="0" w:type="dxa"/>
            <w:left w:w="0" w:type="dxa"/>
            <w:bottom w:w="0" w:type="dxa"/>
            <w:right w:w="0" w:type="dxa"/>
          </w:tblCellMar>
        </w:tblPrEx>
        <w:trPr>
          <w:trHeight w:val="639" w:hRule="atLeast"/>
          <w:jc w:val="center"/>
        </w:trPr>
        <w:tc>
          <w:tcPr>
            <w:tcW w:w="1497" w:type="dxa"/>
            <w:vMerge w:val="continue"/>
            <w:tcBorders>
              <w:top w:val="nil"/>
              <w:left w:val="single" w:color="auto" w:sz="8" w:space="0"/>
              <w:bottom w:val="single" w:color="auto" w:sz="8" w:space="0"/>
              <w:right w:val="single" w:color="auto" w:sz="8" w:space="0"/>
            </w:tcBorders>
            <w:noWrap w:val="0"/>
            <w:vAlign w:val="center"/>
          </w:tcPr>
          <w:p w14:paraId="418A3DF8">
            <w:pPr>
              <w:shd w:val="clear"/>
              <w:rPr>
                <w:rFonts w:hint="eastAsia" w:ascii="宋体" w:hAnsi="宋体" w:eastAsia="宋体" w:cs="宋体"/>
                <w:color w:val="auto"/>
                <w:highlight w:val="none"/>
              </w:rPr>
            </w:pPr>
          </w:p>
        </w:tc>
        <w:tc>
          <w:tcPr>
            <w:tcW w:w="7997" w:type="dxa"/>
            <w:gridSpan w:val="7"/>
            <w:tcBorders>
              <w:top w:val="nil"/>
              <w:left w:val="nil"/>
              <w:bottom w:val="single" w:color="auto" w:sz="8" w:space="0"/>
              <w:right w:val="single" w:color="auto" w:sz="8" w:space="0"/>
            </w:tcBorders>
            <w:noWrap w:val="0"/>
            <w:vAlign w:val="center"/>
          </w:tcPr>
          <w:p w14:paraId="53DF2340">
            <w:pPr>
              <w:widowControl/>
              <w:shd w:val="clea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5DD60A1C">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38195207">
        <w:tblPrEx>
          <w:tblCellMar>
            <w:top w:w="0" w:type="dxa"/>
            <w:left w:w="0" w:type="dxa"/>
            <w:bottom w:w="0" w:type="dxa"/>
            <w:right w:w="0" w:type="dxa"/>
          </w:tblCellMar>
        </w:tblPrEx>
        <w:trPr>
          <w:trHeight w:val="53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09518DD9">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7538ED40">
        <w:tblPrEx>
          <w:tblCellMar>
            <w:top w:w="0" w:type="dxa"/>
            <w:left w:w="0" w:type="dxa"/>
            <w:bottom w:w="0" w:type="dxa"/>
            <w:right w:w="0" w:type="dxa"/>
          </w:tblCellMar>
        </w:tblPrEx>
        <w:trPr>
          <w:trHeight w:val="774" w:hRule="atLeast"/>
          <w:jc w:val="center"/>
        </w:trPr>
        <w:tc>
          <w:tcPr>
            <w:tcW w:w="9494" w:type="dxa"/>
            <w:gridSpan w:val="8"/>
            <w:tcBorders>
              <w:top w:val="nil"/>
              <w:left w:val="single" w:color="auto" w:sz="8" w:space="0"/>
              <w:bottom w:val="single" w:color="auto" w:sz="8" w:space="0"/>
              <w:right w:val="single" w:color="auto" w:sz="8" w:space="0"/>
            </w:tcBorders>
            <w:noWrap w:val="0"/>
            <w:tcMar>
              <w:left w:w="108" w:type="dxa"/>
              <w:right w:w="108" w:type="dxa"/>
            </w:tcMar>
            <w:vAlign w:val="center"/>
          </w:tcPr>
          <w:p w14:paraId="7840E100">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监督人员或其他相关人员签字：</w:t>
            </w:r>
          </w:p>
          <w:p w14:paraId="201068E0">
            <w:pPr>
              <w:widowControl/>
              <w:shd w:val="clea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或受邀机构的意见（盖章）：</w:t>
            </w:r>
          </w:p>
        </w:tc>
      </w:tr>
      <w:tr w14:paraId="632DD3A2">
        <w:tblPrEx>
          <w:tblCellMar>
            <w:top w:w="0" w:type="dxa"/>
            <w:left w:w="0" w:type="dxa"/>
            <w:bottom w:w="0" w:type="dxa"/>
            <w:right w:w="0" w:type="dxa"/>
          </w:tblCellMar>
        </w:tblPrEx>
        <w:trPr>
          <w:trHeight w:val="797" w:hRule="atLeast"/>
          <w:jc w:val="center"/>
        </w:trPr>
        <w:tc>
          <w:tcPr>
            <w:tcW w:w="4667" w:type="dxa"/>
            <w:gridSpan w:val="4"/>
            <w:tcBorders>
              <w:top w:val="nil"/>
              <w:left w:val="single" w:color="auto" w:sz="8" w:space="0"/>
              <w:bottom w:val="single" w:color="auto" w:sz="8" w:space="0"/>
              <w:right w:val="nil"/>
            </w:tcBorders>
            <w:noWrap w:val="0"/>
            <w:tcMar>
              <w:left w:w="108" w:type="dxa"/>
              <w:right w:w="108" w:type="dxa"/>
            </w:tcMar>
            <w:vAlign w:val="center"/>
          </w:tcPr>
          <w:p w14:paraId="0668C4B1">
            <w:pPr>
              <w:widowControl/>
              <w:shd w:val="clea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中标或者成交供应商负责人签字或盖章：</w:t>
            </w:r>
          </w:p>
          <w:p w14:paraId="42EA91DD">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4827" w:type="dxa"/>
            <w:gridSpan w:val="4"/>
            <w:tcBorders>
              <w:top w:val="nil"/>
              <w:left w:val="nil"/>
              <w:bottom w:val="single" w:color="auto" w:sz="8" w:space="0"/>
              <w:right w:val="single" w:color="auto" w:sz="8" w:space="0"/>
            </w:tcBorders>
            <w:noWrap w:val="0"/>
            <w:vAlign w:val="center"/>
          </w:tcPr>
          <w:p w14:paraId="580DF420">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采购人或受托机构的意见（盖章）：</w:t>
            </w:r>
          </w:p>
          <w:p w14:paraId="45A47985">
            <w:pPr>
              <w:widowControl/>
              <w:shd w:val="clea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71BB031B">
      <w:pPr>
        <w:shd w:val="clear"/>
        <w:jc w:val="left"/>
        <w:rPr>
          <w:rFonts w:hint="eastAsia" w:ascii="宋体" w:hAnsi="宋体" w:eastAsia="宋体" w:cs="宋体"/>
          <w:color w:val="auto"/>
          <w:highlight w:val="none"/>
        </w:rPr>
      </w:pPr>
    </w:p>
    <w:p w14:paraId="6D6A1F9C">
      <w:pPr>
        <w:shd w:val="clear"/>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rPr>
        <w:br w:type="page"/>
      </w:r>
      <w:r>
        <w:rPr>
          <w:rFonts w:hint="eastAsia" w:ascii="楷体" w:hAnsi="Times New Roman" w:eastAsia="楷体" w:cs="Times New Roman"/>
          <w:color w:val="auto"/>
          <w:kern w:val="0"/>
          <w:sz w:val="32"/>
          <w:szCs w:val="32"/>
          <w:highlight w:val="none"/>
        </w:rPr>
        <w:t>附件2：</w:t>
      </w:r>
    </w:p>
    <w:p w14:paraId="471E76CE">
      <w:pPr>
        <w:shd w:val="clear"/>
        <w:jc w:val="center"/>
        <w:rPr>
          <w:rFonts w:hint="eastAsia" w:ascii="黑体" w:hAnsi="Times New Roman" w:eastAsia="黑体" w:cs="Times New Roman"/>
          <w:color w:val="auto"/>
          <w:sz w:val="32"/>
          <w:szCs w:val="32"/>
          <w:highlight w:val="none"/>
        </w:rPr>
      </w:pPr>
      <w:r>
        <w:rPr>
          <w:rFonts w:hint="eastAsia" w:ascii="黑体" w:hAnsi="Times New Roman" w:eastAsia="黑体" w:cs="Times New Roman"/>
          <w:color w:val="auto"/>
          <w:sz w:val="32"/>
          <w:szCs w:val="32"/>
          <w:highlight w:val="none"/>
        </w:rPr>
        <w:t>政府采购项目履约保证金退付意见书</w:t>
      </w:r>
      <w:r>
        <w:rPr>
          <w:rFonts w:hint="eastAsia" w:ascii="仿宋" w:hAnsi="Times New Roman" w:eastAsia="仿宋" w:cs="宋体"/>
          <w:color w:val="auto"/>
          <w:kern w:val="0"/>
          <w:sz w:val="32"/>
          <w:szCs w:val="32"/>
          <w:highlight w:val="none"/>
        </w:rPr>
        <w:t>（格式）</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266F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5FBBC8C1">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供</w:t>
            </w:r>
          </w:p>
          <w:p w14:paraId="3CB97355">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应</w:t>
            </w:r>
          </w:p>
          <w:p w14:paraId="1D65A9BE">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商</w:t>
            </w:r>
          </w:p>
          <w:p w14:paraId="012EA597">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申</w:t>
            </w:r>
          </w:p>
          <w:p w14:paraId="1C419323">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请</w:t>
            </w:r>
          </w:p>
        </w:tc>
        <w:tc>
          <w:tcPr>
            <w:tcW w:w="8640" w:type="dxa"/>
            <w:noWrap w:val="0"/>
            <w:vAlign w:val="center"/>
          </w:tcPr>
          <w:p w14:paraId="3DD68116">
            <w:pPr>
              <w:shd w:val="clea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项目编号：</w:t>
            </w:r>
          </w:p>
        </w:tc>
      </w:tr>
      <w:tr w14:paraId="1199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432DFB6A">
            <w:pPr>
              <w:shd w:val="clear"/>
              <w:rPr>
                <w:rFonts w:ascii="Times New Roman" w:hAnsi="Times New Roman" w:eastAsia="宋体" w:cs="Times New Roman"/>
                <w:color w:val="auto"/>
                <w:highlight w:val="none"/>
              </w:rPr>
            </w:pPr>
          </w:p>
        </w:tc>
        <w:tc>
          <w:tcPr>
            <w:tcW w:w="8640" w:type="dxa"/>
            <w:noWrap w:val="0"/>
            <w:vAlign w:val="center"/>
          </w:tcPr>
          <w:p w14:paraId="67C9A937">
            <w:pPr>
              <w:shd w:val="clea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项目名称：</w:t>
            </w:r>
          </w:p>
        </w:tc>
      </w:tr>
      <w:tr w14:paraId="1B15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446AD7A">
            <w:pPr>
              <w:shd w:val="clear"/>
              <w:rPr>
                <w:rFonts w:ascii="Times New Roman" w:hAnsi="Times New Roman" w:eastAsia="宋体" w:cs="Times New Roman"/>
                <w:color w:val="auto"/>
                <w:highlight w:val="none"/>
              </w:rPr>
            </w:pPr>
          </w:p>
        </w:tc>
        <w:tc>
          <w:tcPr>
            <w:tcW w:w="8640" w:type="dxa"/>
            <w:noWrap w:val="0"/>
            <w:vAlign w:val="top"/>
          </w:tcPr>
          <w:p w14:paraId="39E28703">
            <w:pPr>
              <w:shd w:val="clea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w:t>
            </w:r>
          </w:p>
          <w:p w14:paraId="59A79074">
            <w:pPr>
              <w:shd w:val="clear"/>
              <w:spacing w:line="400" w:lineRule="exact"/>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该项目已于</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日验收并交付使用。根据合同规定，该项目的履约保证金期限于</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日已满，请将履约保证金</w:t>
            </w:r>
          </w:p>
          <w:p w14:paraId="0B82CF91">
            <w:pPr>
              <w:shd w:val="clear"/>
              <w:spacing w:line="40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（大写）¥</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（小写）退付到达以下账户。</w:t>
            </w:r>
          </w:p>
          <w:p w14:paraId="75959603">
            <w:pPr>
              <w:shd w:val="clear"/>
              <w:spacing w:line="400" w:lineRule="exact"/>
              <w:ind w:firstLine="705"/>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单位名称：</w:t>
            </w:r>
          </w:p>
          <w:p w14:paraId="1D7F7129">
            <w:pPr>
              <w:shd w:val="clear"/>
              <w:spacing w:line="400" w:lineRule="exact"/>
              <w:ind w:firstLine="705"/>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开户银行：</w:t>
            </w:r>
          </w:p>
          <w:p w14:paraId="75E5B4AE">
            <w:pPr>
              <w:shd w:val="clear"/>
              <w:spacing w:line="400" w:lineRule="exact"/>
              <w:ind w:firstLine="705"/>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账   号：</w:t>
            </w:r>
          </w:p>
          <w:p w14:paraId="7F808AC5">
            <w:pPr>
              <w:shd w:val="clear"/>
              <w:spacing w:line="40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联系人及电话：</w:t>
            </w:r>
          </w:p>
          <w:p w14:paraId="59923B9C">
            <w:pPr>
              <w:shd w:val="clear"/>
              <w:spacing w:line="400" w:lineRule="exact"/>
              <w:rPr>
                <w:rFonts w:hint="eastAsia" w:ascii="Times New Roman" w:hAnsi="Times New Roman" w:eastAsia="宋体" w:cs="Times New Roman"/>
                <w:color w:val="auto"/>
                <w:szCs w:val="21"/>
                <w:highlight w:val="none"/>
              </w:rPr>
            </w:pPr>
          </w:p>
          <w:p w14:paraId="28A2EA94">
            <w:pPr>
              <w:shd w:val="clear"/>
              <w:spacing w:line="520" w:lineRule="exact"/>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供应商签章：</w:t>
            </w:r>
          </w:p>
          <w:p w14:paraId="6A0EC021">
            <w:pPr>
              <w:shd w:val="clear"/>
              <w:spacing w:line="520" w:lineRule="exact"/>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年    月     日</w:t>
            </w:r>
          </w:p>
        </w:tc>
      </w:tr>
      <w:tr w14:paraId="66B6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BAD8ED6">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采</w:t>
            </w:r>
          </w:p>
          <w:p w14:paraId="0278082D">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购</w:t>
            </w:r>
          </w:p>
          <w:p w14:paraId="793E2DDA">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单</w:t>
            </w:r>
          </w:p>
          <w:p w14:paraId="22283246">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位</w:t>
            </w:r>
          </w:p>
          <w:p w14:paraId="4CE71690">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意</w:t>
            </w:r>
          </w:p>
          <w:p w14:paraId="44308033">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见</w:t>
            </w:r>
          </w:p>
        </w:tc>
        <w:tc>
          <w:tcPr>
            <w:tcW w:w="8640" w:type="dxa"/>
            <w:noWrap w:val="0"/>
            <w:vAlign w:val="top"/>
          </w:tcPr>
          <w:p w14:paraId="54BA3EFF">
            <w:pPr>
              <w:shd w:val="clear"/>
              <w:rPr>
                <w:rFonts w:hint="eastAsia" w:ascii="Times New Roman" w:hAnsi="Times New Roman" w:eastAsia="宋体" w:cs="Times New Roman"/>
                <w:color w:val="auto"/>
                <w:szCs w:val="21"/>
                <w:highlight w:val="none"/>
              </w:rPr>
            </w:pPr>
          </w:p>
          <w:p w14:paraId="2F1B36F3">
            <w:pPr>
              <w:shd w:val="clea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退付意见：是否同意退付履约保证金及退付金额：</w:t>
            </w:r>
          </w:p>
          <w:p w14:paraId="605FC4F3">
            <w:pPr>
              <w:shd w:val="clear"/>
              <w:rPr>
                <w:rFonts w:hint="eastAsia" w:ascii="Times New Roman" w:hAnsi="Times New Roman" w:eastAsia="宋体" w:cs="Times New Roman"/>
                <w:color w:val="auto"/>
                <w:szCs w:val="21"/>
                <w:highlight w:val="none"/>
              </w:rPr>
            </w:pPr>
          </w:p>
          <w:p w14:paraId="1D2FDF1B">
            <w:pPr>
              <w:shd w:val="clear"/>
              <w:rPr>
                <w:rFonts w:hint="eastAsia" w:ascii="Times New Roman" w:hAnsi="Times New Roman" w:eastAsia="宋体" w:cs="Times New Roman"/>
                <w:color w:val="auto"/>
                <w:szCs w:val="21"/>
                <w:highlight w:val="none"/>
              </w:rPr>
            </w:pPr>
          </w:p>
          <w:p w14:paraId="5B0A5085">
            <w:pPr>
              <w:shd w:val="clear"/>
              <w:spacing w:line="52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联系人及电话：                                 采购单位签章</w:t>
            </w:r>
          </w:p>
          <w:p w14:paraId="24E6D7B4">
            <w:pPr>
              <w:shd w:val="clear"/>
              <w:spacing w:line="520" w:lineRule="exact"/>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年    月     日</w:t>
            </w:r>
          </w:p>
        </w:tc>
      </w:tr>
      <w:tr w14:paraId="6254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2BC60881">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财</w:t>
            </w:r>
          </w:p>
          <w:p w14:paraId="69AAEF07">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务</w:t>
            </w:r>
          </w:p>
          <w:p w14:paraId="0EC2AF0E">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部</w:t>
            </w:r>
          </w:p>
          <w:p w14:paraId="51FE82DC">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门</w:t>
            </w:r>
          </w:p>
          <w:p w14:paraId="4C6F2C97">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意</w:t>
            </w:r>
          </w:p>
          <w:p w14:paraId="23DD4252">
            <w:pPr>
              <w:shd w:val="clear"/>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见</w:t>
            </w:r>
          </w:p>
        </w:tc>
        <w:tc>
          <w:tcPr>
            <w:tcW w:w="8640" w:type="dxa"/>
            <w:noWrap w:val="0"/>
            <w:vAlign w:val="top"/>
          </w:tcPr>
          <w:p w14:paraId="1E9DB052">
            <w:pPr>
              <w:shd w:val="clear"/>
              <w:spacing w:line="64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此表于</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 xml:space="preserve"> 月 </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 xml:space="preserve"> 日收到。</w:t>
            </w:r>
          </w:p>
          <w:p w14:paraId="4CCDDC02">
            <w:pPr>
              <w:shd w:val="clear"/>
              <w:spacing w:line="64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会计审核：</w:t>
            </w:r>
          </w:p>
          <w:p w14:paraId="1D3341BD">
            <w:pPr>
              <w:shd w:val="clear"/>
              <w:spacing w:line="64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财务负责人审核：</w:t>
            </w:r>
          </w:p>
          <w:p w14:paraId="4CFF41BA">
            <w:pPr>
              <w:shd w:val="clear"/>
              <w:spacing w:line="64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单位负责人签字：</w:t>
            </w:r>
          </w:p>
          <w:p w14:paraId="745F7989">
            <w:pPr>
              <w:shd w:val="clear"/>
              <w:spacing w:line="640" w:lineRule="exact"/>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出纳办理转账日期：</w:t>
            </w:r>
          </w:p>
        </w:tc>
      </w:tr>
    </w:tbl>
    <w:p w14:paraId="0866547D">
      <w:pPr>
        <w:shd w:val="clear"/>
        <w:spacing w:line="380" w:lineRule="exact"/>
        <w:ind w:left="420" w:leftChars="114" w:hanging="181" w:hangingChars="100"/>
        <w:rPr>
          <w:rFonts w:ascii="宋体" w:hAnsi="Times New Roman" w:eastAsia="宋体" w:cs="Times New Roman"/>
          <w:b/>
          <w:bCs/>
          <w:color w:val="auto"/>
          <w:kern w:val="0"/>
          <w:sz w:val="18"/>
          <w:highlight w:val="none"/>
        </w:rPr>
      </w:pPr>
      <w:r>
        <w:rPr>
          <w:rFonts w:hint="eastAsia" w:ascii="宋体" w:hAnsi="Times New Roman" w:eastAsia="宋体" w:cs="Times New Roman"/>
          <w:b/>
          <w:bCs/>
          <w:color w:val="auto"/>
          <w:kern w:val="0"/>
          <w:sz w:val="18"/>
          <w:highlight w:val="none"/>
        </w:rPr>
        <w:t>注：供应商凭经采购单位审批的退付意见书办理履约保证金退付事宜。</w:t>
      </w:r>
    </w:p>
    <w:p w14:paraId="529258D3">
      <w:pPr>
        <w:shd w:val="clear"/>
        <w:jc w:val="left"/>
        <w:rPr>
          <w:rFonts w:hint="eastAsia" w:ascii="宋体" w:hAnsi="宋体" w:eastAsia="宋体" w:cs="宋体"/>
          <w:color w:val="auto"/>
          <w:kern w:val="0"/>
          <w:sz w:val="32"/>
          <w:szCs w:val="32"/>
          <w:highlight w:val="none"/>
        </w:rPr>
      </w:pPr>
      <w:r>
        <w:rPr>
          <w:rFonts w:ascii="宋体" w:hAnsi="Times New Roman" w:eastAsia="宋体" w:cs="Times New Roman"/>
          <w:b/>
          <w:bCs/>
          <w:color w:val="auto"/>
          <w:kern w:val="0"/>
          <w:sz w:val="18"/>
          <w:highlight w:val="none"/>
        </w:rPr>
        <w:br w:type="page"/>
      </w:r>
      <w:r>
        <w:rPr>
          <w:rFonts w:hint="eastAsia" w:ascii="宋体" w:hAnsi="宋体" w:eastAsia="宋体" w:cs="宋体"/>
          <w:color w:val="auto"/>
          <w:kern w:val="0"/>
          <w:sz w:val="32"/>
          <w:szCs w:val="32"/>
          <w:highlight w:val="none"/>
        </w:rPr>
        <w:t>附件</w:t>
      </w:r>
      <w:r>
        <w:rPr>
          <w:rFonts w:hint="eastAsia" w:ascii="宋体" w:hAnsi="宋体" w:cs="宋体"/>
          <w:color w:val="auto"/>
          <w:kern w:val="0"/>
          <w:sz w:val="32"/>
          <w:szCs w:val="32"/>
          <w:highlight w:val="none"/>
          <w:lang w:val="en-US" w:eastAsia="zh-CN"/>
        </w:rPr>
        <w:t>3</w:t>
      </w:r>
      <w:r>
        <w:rPr>
          <w:rFonts w:hint="eastAsia" w:ascii="宋体" w:hAnsi="宋体" w:eastAsia="宋体" w:cs="宋体"/>
          <w:color w:val="auto"/>
          <w:kern w:val="0"/>
          <w:sz w:val="32"/>
          <w:szCs w:val="32"/>
          <w:highlight w:val="none"/>
        </w:rPr>
        <w:t>：</w:t>
      </w:r>
    </w:p>
    <w:p w14:paraId="042DF678">
      <w:pPr>
        <w:shd w:val="clear"/>
        <w:spacing w:line="528" w:lineRule="exact"/>
        <w:ind w:left="1871" w:leftChars="891" w:firstLine="200" w:firstLineChars="50"/>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50"/>
        <w:tblW w:w="9220"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31"/>
        <w:gridCol w:w="1161"/>
        <w:gridCol w:w="1581"/>
        <w:gridCol w:w="1615"/>
        <w:gridCol w:w="4232"/>
      </w:tblGrid>
      <w:tr w14:paraId="6A8279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5" w:hRule="atLeast"/>
        </w:trPr>
        <w:tc>
          <w:tcPr>
            <w:tcW w:w="660" w:type="dxa"/>
            <w:tcBorders>
              <w:tl2br w:val="nil"/>
              <w:tr2bl w:val="nil"/>
            </w:tcBorders>
            <w:noWrap w:val="0"/>
            <w:vAlign w:val="top"/>
          </w:tcPr>
          <w:p w14:paraId="5B6CF42B">
            <w:pPr>
              <w:widowControl/>
              <w:shd w:val="clear"/>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品目序号</w:t>
            </w:r>
          </w:p>
        </w:tc>
        <w:tc>
          <w:tcPr>
            <w:tcW w:w="4020" w:type="dxa"/>
            <w:gridSpan w:val="3"/>
            <w:tcBorders>
              <w:tl2br w:val="nil"/>
              <w:tr2bl w:val="nil"/>
            </w:tcBorders>
            <w:noWrap w:val="0"/>
            <w:vAlign w:val="center"/>
          </w:tcPr>
          <w:p w14:paraId="691A9A7B">
            <w:pPr>
              <w:widowControl/>
              <w:shd w:val="clear"/>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名称</w:t>
            </w:r>
          </w:p>
        </w:tc>
        <w:tc>
          <w:tcPr>
            <w:tcW w:w="4540" w:type="dxa"/>
            <w:tcBorders>
              <w:tl2br w:val="nil"/>
              <w:tr2bl w:val="nil"/>
            </w:tcBorders>
            <w:noWrap w:val="0"/>
            <w:vAlign w:val="center"/>
          </w:tcPr>
          <w:p w14:paraId="3F36D650">
            <w:pPr>
              <w:widowControl/>
              <w:shd w:val="clear"/>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依据的标准</w:t>
            </w:r>
          </w:p>
        </w:tc>
      </w:tr>
      <w:tr w14:paraId="0DA4DB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2C6DC90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080" w:type="dxa"/>
            <w:vMerge w:val="restart"/>
            <w:tcBorders>
              <w:tl2br w:val="nil"/>
              <w:tr2bl w:val="nil"/>
            </w:tcBorders>
            <w:noWrap w:val="0"/>
            <w:vAlign w:val="center"/>
          </w:tcPr>
          <w:p w14:paraId="4F49C3A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A020101计算机设备</w:t>
            </w:r>
          </w:p>
        </w:tc>
        <w:tc>
          <w:tcPr>
            <w:tcW w:w="1320" w:type="dxa"/>
            <w:tcBorders>
              <w:tl2br w:val="nil"/>
              <w:tr2bl w:val="nil"/>
            </w:tcBorders>
            <w:noWrap w:val="0"/>
            <w:vAlign w:val="center"/>
          </w:tcPr>
          <w:p w14:paraId="337C945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★A02010104台式计算机</w:t>
            </w:r>
          </w:p>
        </w:tc>
        <w:tc>
          <w:tcPr>
            <w:tcW w:w="1620" w:type="dxa"/>
            <w:tcBorders>
              <w:tl2br w:val="nil"/>
              <w:tr2bl w:val="nil"/>
            </w:tcBorders>
            <w:noWrap w:val="0"/>
            <w:vAlign w:val="center"/>
          </w:tcPr>
          <w:p w14:paraId="0F90EA4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431B19ED">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《微型计算机能效限定值及能效等级》（GB28380）</w:t>
            </w:r>
          </w:p>
        </w:tc>
      </w:tr>
      <w:tr w14:paraId="7553B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5ADD8DDA">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2D2406C8">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0762884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★A02010105便携式计算机</w:t>
            </w:r>
          </w:p>
        </w:tc>
        <w:tc>
          <w:tcPr>
            <w:tcW w:w="1620" w:type="dxa"/>
            <w:tcBorders>
              <w:tl2br w:val="nil"/>
              <w:tr2bl w:val="nil"/>
            </w:tcBorders>
            <w:noWrap w:val="0"/>
            <w:vAlign w:val="center"/>
          </w:tcPr>
          <w:p w14:paraId="75674D9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6790DA29">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《微型计算机能效限定值及能效等级》（GB28380）</w:t>
            </w:r>
          </w:p>
        </w:tc>
      </w:tr>
      <w:tr w14:paraId="56FDEC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310169D3">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1BE69472">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50C54E1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★A02010107平板式微型计算机</w:t>
            </w:r>
          </w:p>
        </w:tc>
        <w:tc>
          <w:tcPr>
            <w:tcW w:w="1620" w:type="dxa"/>
            <w:tcBorders>
              <w:tl2br w:val="nil"/>
              <w:tr2bl w:val="nil"/>
            </w:tcBorders>
            <w:noWrap w:val="0"/>
            <w:vAlign w:val="center"/>
          </w:tcPr>
          <w:p w14:paraId="3196B330">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294DE48A">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《微型计算机能效限定值及能效等级》（GB28380）</w:t>
            </w:r>
          </w:p>
        </w:tc>
      </w:tr>
      <w:tr w14:paraId="5FEEB9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08B36610">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080" w:type="dxa"/>
            <w:vMerge w:val="restart"/>
            <w:tcBorders>
              <w:tl2br w:val="nil"/>
              <w:tr2bl w:val="nil"/>
            </w:tcBorders>
            <w:noWrap w:val="0"/>
            <w:vAlign w:val="center"/>
          </w:tcPr>
          <w:p w14:paraId="361B3F3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A020106输入输出设备</w:t>
            </w:r>
          </w:p>
        </w:tc>
        <w:tc>
          <w:tcPr>
            <w:tcW w:w="1320" w:type="dxa"/>
            <w:vMerge w:val="restart"/>
            <w:tcBorders>
              <w:tl2br w:val="nil"/>
              <w:tr2bl w:val="nil"/>
            </w:tcBorders>
            <w:noWrap w:val="0"/>
            <w:vAlign w:val="center"/>
          </w:tcPr>
          <w:p w14:paraId="4452EFDF">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A02010601打印设备</w:t>
            </w:r>
          </w:p>
        </w:tc>
        <w:tc>
          <w:tcPr>
            <w:tcW w:w="1620" w:type="dxa"/>
            <w:tcBorders>
              <w:tl2br w:val="nil"/>
              <w:tr2bl w:val="nil"/>
            </w:tcBorders>
            <w:noWrap w:val="0"/>
            <w:vAlign w:val="center"/>
          </w:tcPr>
          <w:p w14:paraId="2BF7F09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A0201060101喷墨打印机</w:t>
            </w:r>
          </w:p>
        </w:tc>
        <w:tc>
          <w:tcPr>
            <w:tcW w:w="4540" w:type="dxa"/>
            <w:tcBorders>
              <w:tl2br w:val="nil"/>
              <w:tr2bl w:val="nil"/>
            </w:tcBorders>
            <w:noWrap w:val="0"/>
            <w:vAlign w:val="center"/>
          </w:tcPr>
          <w:p w14:paraId="4226676D">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《复印机、打印机和传真机能效限定值及能效等级》（GB21521）</w:t>
            </w:r>
          </w:p>
        </w:tc>
      </w:tr>
      <w:tr w14:paraId="07B883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2A87881F">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2ED13C1C">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6B91E382">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1ACEBF9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★A0201060102激光打印机</w:t>
            </w:r>
          </w:p>
        </w:tc>
        <w:tc>
          <w:tcPr>
            <w:tcW w:w="4540" w:type="dxa"/>
            <w:tcBorders>
              <w:tl2br w:val="nil"/>
              <w:tr2bl w:val="nil"/>
            </w:tcBorders>
            <w:noWrap w:val="0"/>
            <w:vAlign w:val="center"/>
          </w:tcPr>
          <w:p w14:paraId="3F1D6454">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《复印机、打印机和传真机能效限定值及能效等级》（GB21521）</w:t>
            </w:r>
          </w:p>
        </w:tc>
      </w:tr>
      <w:tr w14:paraId="712687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58671ED">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53048B30">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50B97DED">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3FD3956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★A0201060104针式打印机</w:t>
            </w:r>
          </w:p>
        </w:tc>
        <w:tc>
          <w:tcPr>
            <w:tcW w:w="4540" w:type="dxa"/>
            <w:tcBorders>
              <w:tl2br w:val="nil"/>
              <w:tr2bl w:val="nil"/>
            </w:tcBorders>
            <w:noWrap w:val="0"/>
            <w:vAlign w:val="center"/>
          </w:tcPr>
          <w:p w14:paraId="5621EC71">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《复印机、打印机和传真机能效限定值及能效等级》（GB21521）</w:t>
            </w:r>
          </w:p>
        </w:tc>
      </w:tr>
      <w:tr w14:paraId="7D2F41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51B25851">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7368D32E">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2A467DD1">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A02010604显示设备</w:t>
            </w:r>
          </w:p>
        </w:tc>
        <w:tc>
          <w:tcPr>
            <w:tcW w:w="1620" w:type="dxa"/>
            <w:tcBorders>
              <w:tl2br w:val="nil"/>
              <w:tr2bl w:val="nil"/>
            </w:tcBorders>
            <w:noWrap w:val="0"/>
            <w:vAlign w:val="center"/>
          </w:tcPr>
          <w:p w14:paraId="0F7B36F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★A0201060401液晶显示器</w:t>
            </w:r>
          </w:p>
        </w:tc>
        <w:tc>
          <w:tcPr>
            <w:tcW w:w="4540" w:type="dxa"/>
            <w:tcBorders>
              <w:tl2br w:val="nil"/>
              <w:tr2bl w:val="nil"/>
            </w:tcBorders>
            <w:noWrap w:val="0"/>
            <w:vAlign w:val="center"/>
          </w:tcPr>
          <w:p w14:paraId="619DB469">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《计算机显示器能效限定值及能效等级》（GB21520）</w:t>
            </w:r>
          </w:p>
        </w:tc>
      </w:tr>
      <w:tr w14:paraId="19EA72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0" w:type="auto"/>
            <w:vMerge w:val="continue"/>
            <w:tcBorders>
              <w:tl2br w:val="nil"/>
              <w:tr2bl w:val="nil"/>
            </w:tcBorders>
            <w:noWrap w:val="0"/>
            <w:vAlign w:val="center"/>
          </w:tcPr>
          <w:p w14:paraId="1F6D70D4">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02B15AE5">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2FF26A72">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A02010609图形图像输入设备</w:t>
            </w:r>
          </w:p>
        </w:tc>
        <w:tc>
          <w:tcPr>
            <w:tcW w:w="1620" w:type="dxa"/>
            <w:tcBorders>
              <w:tl2br w:val="nil"/>
              <w:tr2bl w:val="nil"/>
            </w:tcBorders>
            <w:noWrap w:val="0"/>
            <w:vAlign w:val="center"/>
          </w:tcPr>
          <w:p w14:paraId="5CF6C66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A0201060901扫描仪</w:t>
            </w:r>
          </w:p>
        </w:tc>
        <w:tc>
          <w:tcPr>
            <w:tcW w:w="4540" w:type="dxa"/>
            <w:tcBorders>
              <w:tl2br w:val="nil"/>
              <w:tr2bl w:val="nil"/>
            </w:tcBorders>
            <w:noWrap w:val="0"/>
            <w:vAlign w:val="center"/>
          </w:tcPr>
          <w:p w14:paraId="62923943">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参照《复印机、打印机和传真机能效限定值及能效等级》（GB21521中打印速度为15页/分的针式打印机相关要求中打印速度为15页/分的针式打印机相关要求</w:t>
            </w:r>
          </w:p>
        </w:tc>
      </w:tr>
      <w:tr w14:paraId="2A445D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4BE8F4B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080" w:type="dxa"/>
            <w:tcBorders>
              <w:tl2br w:val="nil"/>
              <w:tr2bl w:val="nil"/>
            </w:tcBorders>
            <w:noWrap w:val="0"/>
            <w:vAlign w:val="center"/>
          </w:tcPr>
          <w:p w14:paraId="7F7FE250">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A020202投影仪</w:t>
            </w:r>
          </w:p>
        </w:tc>
        <w:tc>
          <w:tcPr>
            <w:tcW w:w="1320" w:type="dxa"/>
            <w:tcBorders>
              <w:tl2br w:val="nil"/>
              <w:tr2bl w:val="nil"/>
            </w:tcBorders>
            <w:noWrap w:val="0"/>
            <w:vAlign w:val="center"/>
          </w:tcPr>
          <w:p w14:paraId="166CD3F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1620" w:type="dxa"/>
            <w:tcBorders>
              <w:tl2br w:val="nil"/>
              <w:tr2bl w:val="nil"/>
            </w:tcBorders>
            <w:noWrap w:val="0"/>
            <w:vAlign w:val="center"/>
          </w:tcPr>
          <w:p w14:paraId="2C4F258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6DB0F352">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《投影机能效限定值及能效等级》（GB32028）</w:t>
            </w:r>
          </w:p>
        </w:tc>
      </w:tr>
      <w:tr w14:paraId="75D92B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6A07ABEA">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080" w:type="dxa"/>
            <w:tcBorders>
              <w:tl2br w:val="nil"/>
              <w:tr2bl w:val="nil"/>
            </w:tcBorders>
            <w:noWrap w:val="0"/>
            <w:vAlign w:val="center"/>
          </w:tcPr>
          <w:p w14:paraId="6D86EAE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A020204多功能一体机</w:t>
            </w:r>
          </w:p>
        </w:tc>
        <w:tc>
          <w:tcPr>
            <w:tcW w:w="1320" w:type="dxa"/>
            <w:tcBorders>
              <w:tl2br w:val="nil"/>
              <w:tr2bl w:val="nil"/>
            </w:tcBorders>
            <w:noWrap w:val="0"/>
            <w:vAlign w:val="center"/>
          </w:tcPr>
          <w:p w14:paraId="22096EF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1620" w:type="dxa"/>
            <w:tcBorders>
              <w:tl2br w:val="nil"/>
              <w:tr2bl w:val="nil"/>
            </w:tcBorders>
            <w:noWrap w:val="0"/>
            <w:vAlign w:val="center"/>
          </w:tcPr>
          <w:p w14:paraId="57F0D89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2456CF51">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《复印机、打印机和传真机能效限定值及能效等级》（GB21521）</w:t>
            </w:r>
          </w:p>
        </w:tc>
      </w:tr>
      <w:tr w14:paraId="66AEC6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31335A5F">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080" w:type="dxa"/>
            <w:tcBorders>
              <w:tl2br w:val="nil"/>
              <w:tr2bl w:val="nil"/>
            </w:tcBorders>
            <w:noWrap w:val="0"/>
            <w:vAlign w:val="center"/>
          </w:tcPr>
          <w:p w14:paraId="1970E7D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A020519泵</w:t>
            </w:r>
          </w:p>
        </w:tc>
        <w:tc>
          <w:tcPr>
            <w:tcW w:w="1320" w:type="dxa"/>
            <w:tcBorders>
              <w:tl2br w:val="nil"/>
              <w:tr2bl w:val="nil"/>
            </w:tcBorders>
            <w:noWrap w:val="0"/>
            <w:vAlign w:val="center"/>
          </w:tcPr>
          <w:p w14:paraId="13F72BB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A02051901离心泵</w:t>
            </w:r>
          </w:p>
        </w:tc>
        <w:tc>
          <w:tcPr>
            <w:tcW w:w="1620" w:type="dxa"/>
            <w:tcBorders>
              <w:tl2br w:val="nil"/>
              <w:tr2bl w:val="nil"/>
            </w:tcBorders>
            <w:noWrap w:val="0"/>
            <w:vAlign w:val="center"/>
          </w:tcPr>
          <w:p w14:paraId="2DBAF82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2A529200">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《清水离心泵能效限定值及节能评价值》（GB19762）</w:t>
            </w:r>
          </w:p>
        </w:tc>
      </w:tr>
      <w:tr w14:paraId="1A6726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60" w:type="dxa"/>
            <w:vMerge w:val="restart"/>
            <w:tcBorders>
              <w:tl2br w:val="nil"/>
              <w:tr2bl w:val="nil"/>
            </w:tcBorders>
            <w:noWrap w:val="0"/>
            <w:vAlign w:val="center"/>
          </w:tcPr>
          <w:p w14:paraId="29793D9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1080" w:type="dxa"/>
            <w:vMerge w:val="restart"/>
            <w:tcBorders>
              <w:tl2br w:val="nil"/>
              <w:tr2bl w:val="nil"/>
            </w:tcBorders>
            <w:noWrap w:val="0"/>
            <w:vAlign w:val="center"/>
          </w:tcPr>
          <w:p w14:paraId="32E58D21">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A020523制冷空调设备</w:t>
            </w:r>
          </w:p>
        </w:tc>
        <w:tc>
          <w:tcPr>
            <w:tcW w:w="1320" w:type="dxa"/>
            <w:vMerge w:val="restart"/>
            <w:tcBorders>
              <w:tl2br w:val="nil"/>
              <w:tr2bl w:val="nil"/>
            </w:tcBorders>
            <w:noWrap w:val="0"/>
            <w:vAlign w:val="center"/>
          </w:tcPr>
          <w:p w14:paraId="19B4E26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★A02052301制冷压缩机</w:t>
            </w:r>
          </w:p>
        </w:tc>
        <w:tc>
          <w:tcPr>
            <w:tcW w:w="1620" w:type="dxa"/>
            <w:tcBorders>
              <w:tl2br w:val="nil"/>
              <w:tr2bl w:val="nil"/>
            </w:tcBorders>
            <w:noWrap w:val="0"/>
            <w:vAlign w:val="center"/>
          </w:tcPr>
          <w:p w14:paraId="4687E51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冷水机组</w:t>
            </w:r>
          </w:p>
        </w:tc>
        <w:tc>
          <w:tcPr>
            <w:tcW w:w="4540" w:type="dxa"/>
            <w:tcBorders>
              <w:tl2br w:val="nil"/>
              <w:tr2bl w:val="nil"/>
            </w:tcBorders>
            <w:noWrap w:val="0"/>
            <w:vAlign w:val="center"/>
          </w:tcPr>
          <w:p w14:paraId="56155968">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《冷水机组能效限定值及能效等级》（GB19577），《低环境温度空气源热泵（冷水）机组能效限定值及能效等级》（GB37480）</w:t>
            </w:r>
          </w:p>
        </w:tc>
      </w:tr>
      <w:tr w14:paraId="58D5D8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34EFA9BF">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1363D000">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1DD65A8D">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5EA0745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水源热泵机组</w:t>
            </w:r>
          </w:p>
        </w:tc>
        <w:tc>
          <w:tcPr>
            <w:tcW w:w="4540" w:type="dxa"/>
            <w:tcBorders>
              <w:tl2br w:val="nil"/>
              <w:tr2bl w:val="nil"/>
            </w:tcBorders>
            <w:noWrap w:val="0"/>
            <w:vAlign w:val="center"/>
          </w:tcPr>
          <w:p w14:paraId="706343DB">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《水（地）源热泵机组能效限定值及能效等级》（GB30721）</w:t>
            </w:r>
          </w:p>
        </w:tc>
      </w:tr>
      <w:tr w14:paraId="4A2CB6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8A407A4">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34D51791">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0B231C2A">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74C7F3A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溴化锂吸收式冷水机组</w:t>
            </w:r>
          </w:p>
        </w:tc>
        <w:tc>
          <w:tcPr>
            <w:tcW w:w="4540" w:type="dxa"/>
            <w:tcBorders>
              <w:tl2br w:val="nil"/>
              <w:tr2bl w:val="nil"/>
            </w:tcBorders>
            <w:noWrap w:val="0"/>
            <w:vAlign w:val="center"/>
          </w:tcPr>
          <w:p w14:paraId="7ACAAB35">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《溴化锂吸收式冷水机组能效限定值及能效等级》（GB29540）</w:t>
            </w:r>
          </w:p>
        </w:tc>
      </w:tr>
      <w:tr w14:paraId="2D2101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5E61A3A">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732EDB5A">
            <w:pPr>
              <w:widowControl/>
              <w:shd w:val="clear"/>
              <w:jc w:val="left"/>
              <w:rPr>
                <w:rFonts w:hint="eastAsia" w:ascii="宋体" w:hAnsi="宋体" w:eastAsia="宋体" w:cs="宋体"/>
                <w:color w:val="auto"/>
                <w:kern w:val="0"/>
                <w:szCs w:val="21"/>
                <w:highlight w:val="none"/>
              </w:rPr>
            </w:pPr>
          </w:p>
        </w:tc>
        <w:tc>
          <w:tcPr>
            <w:tcW w:w="1320" w:type="dxa"/>
            <w:vMerge w:val="restart"/>
            <w:tcBorders>
              <w:tl2br w:val="nil"/>
              <w:tr2bl w:val="nil"/>
            </w:tcBorders>
            <w:noWrap w:val="0"/>
            <w:vAlign w:val="center"/>
          </w:tcPr>
          <w:p w14:paraId="31D2730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★A02052305空调机组</w:t>
            </w:r>
          </w:p>
        </w:tc>
        <w:tc>
          <w:tcPr>
            <w:tcW w:w="1620" w:type="dxa"/>
            <w:tcBorders>
              <w:tl2br w:val="nil"/>
              <w:tr2bl w:val="nil"/>
            </w:tcBorders>
            <w:noWrap w:val="0"/>
            <w:vAlign w:val="center"/>
          </w:tcPr>
          <w:p w14:paraId="10E26470">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多联式空调（热泵）机组(制冷量&gt;14000W)</w:t>
            </w:r>
          </w:p>
        </w:tc>
        <w:tc>
          <w:tcPr>
            <w:tcW w:w="4540" w:type="dxa"/>
            <w:tcBorders>
              <w:tl2br w:val="nil"/>
              <w:tr2bl w:val="nil"/>
            </w:tcBorders>
            <w:noWrap w:val="0"/>
            <w:vAlign w:val="center"/>
          </w:tcPr>
          <w:p w14:paraId="2B5F362F">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《多联式空调（热泵）机组能效限定值及能源效率等级》（GB21454）</w:t>
            </w:r>
          </w:p>
        </w:tc>
      </w:tr>
      <w:tr w14:paraId="4053EB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53DCCFFE">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0918FA15">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5F869519">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61BBB52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单元式空气调节机(制冷量&gt;14000W</w:t>
            </w:r>
          </w:p>
        </w:tc>
        <w:tc>
          <w:tcPr>
            <w:tcW w:w="4540" w:type="dxa"/>
            <w:tcBorders>
              <w:tl2br w:val="nil"/>
              <w:tr2bl w:val="nil"/>
            </w:tcBorders>
            <w:noWrap w:val="0"/>
            <w:vAlign w:val="center"/>
          </w:tcPr>
          <w:p w14:paraId="4C734652">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《单元式空气调节机能效限定值及能效等级》（GB19576）《风管送风式空调机组能效限定值及能效等级》（GB37479）</w:t>
            </w:r>
          </w:p>
        </w:tc>
      </w:tr>
      <w:tr w14:paraId="18DA56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2704A56A">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15DC84D3">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0047A85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★A02052309专用制冷、空调设备</w:t>
            </w:r>
          </w:p>
        </w:tc>
        <w:tc>
          <w:tcPr>
            <w:tcW w:w="1620" w:type="dxa"/>
            <w:tcBorders>
              <w:tl2br w:val="nil"/>
              <w:tr2bl w:val="nil"/>
            </w:tcBorders>
            <w:noWrap w:val="0"/>
            <w:vAlign w:val="center"/>
          </w:tcPr>
          <w:p w14:paraId="7CCAB58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机房空调</w:t>
            </w:r>
          </w:p>
        </w:tc>
        <w:tc>
          <w:tcPr>
            <w:tcW w:w="4540" w:type="dxa"/>
            <w:tcBorders>
              <w:tl2br w:val="nil"/>
              <w:tr2bl w:val="nil"/>
            </w:tcBorders>
            <w:noWrap w:val="0"/>
            <w:vAlign w:val="center"/>
          </w:tcPr>
          <w:p w14:paraId="45AA7467">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《单元式空气调节机能效限定值及能效等级》（GB19576）</w:t>
            </w:r>
          </w:p>
        </w:tc>
      </w:tr>
      <w:tr w14:paraId="653DF2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6E45D378">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492842DD">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273B2E2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A02052399其他制冷空调设备</w:t>
            </w:r>
          </w:p>
        </w:tc>
        <w:tc>
          <w:tcPr>
            <w:tcW w:w="1620" w:type="dxa"/>
            <w:tcBorders>
              <w:tl2br w:val="nil"/>
              <w:tr2bl w:val="nil"/>
            </w:tcBorders>
            <w:noWrap w:val="0"/>
            <w:vAlign w:val="center"/>
          </w:tcPr>
          <w:p w14:paraId="1D8D2F6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冷却塔</w:t>
            </w:r>
          </w:p>
        </w:tc>
        <w:tc>
          <w:tcPr>
            <w:tcW w:w="4540" w:type="dxa"/>
            <w:tcBorders>
              <w:tl2br w:val="nil"/>
              <w:tr2bl w:val="nil"/>
            </w:tcBorders>
            <w:noWrap w:val="0"/>
            <w:vAlign w:val="center"/>
          </w:tcPr>
          <w:p w14:paraId="7A657319">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《机械通风冷却塔第1部分：中小型开式冷却塔》（GB/T7190.1）；《机械通风冷却塔第2部分：大型开式冷却塔》（GB/T7190.2）</w:t>
            </w:r>
          </w:p>
        </w:tc>
      </w:tr>
      <w:tr w14:paraId="1B560E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17E75B30">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1080" w:type="dxa"/>
            <w:tcBorders>
              <w:tl2br w:val="nil"/>
              <w:tr2bl w:val="nil"/>
            </w:tcBorders>
            <w:noWrap w:val="0"/>
            <w:vAlign w:val="center"/>
          </w:tcPr>
          <w:p w14:paraId="3EA40C3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A020601电机</w:t>
            </w:r>
          </w:p>
        </w:tc>
        <w:tc>
          <w:tcPr>
            <w:tcW w:w="1320" w:type="dxa"/>
            <w:tcBorders>
              <w:tl2br w:val="nil"/>
              <w:tr2bl w:val="nil"/>
            </w:tcBorders>
            <w:noWrap w:val="0"/>
            <w:vAlign w:val="center"/>
          </w:tcPr>
          <w:p w14:paraId="4119EA1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1620" w:type="dxa"/>
            <w:tcBorders>
              <w:tl2br w:val="nil"/>
              <w:tr2bl w:val="nil"/>
            </w:tcBorders>
            <w:noWrap w:val="0"/>
            <w:vAlign w:val="center"/>
          </w:tcPr>
          <w:p w14:paraId="7FC764E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75EEFE41">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《中小型三相异步电动机能效限定值及能效等级》（GB18613）</w:t>
            </w:r>
          </w:p>
        </w:tc>
      </w:tr>
      <w:tr w14:paraId="6C97C0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5BC267A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1080" w:type="dxa"/>
            <w:tcBorders>
              <w:tl2br w:val="nil"/>
              <w:tr2bl w:val="nil"/>
            </w:tcBorders>
            <w:noWrap w:val="0"/>
            <w:vAlign w:val="center"/>
          </w:tcPr>
          <w:p w14:paraId="700654D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A020602变压器</w:t>
            </w:r>
          </w:p>
        </w:tc>
        <w:tc>
          <w:tcPr>
            <w:tcW w:w="1320" w:type="dxa"/>
            <w:tcBorders>
              <w:tl2br w:val="nil"/>
              <w:tr2bl w:val="nil"/>
            </w:tcBorders>
            <w:noWrap w:val="0"/>
            <w:vAlign w:val="center"/>
          </w:tcPr>
          <w:p w14:paraId="2B2252F2">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配电变压器</w:t>
            </w:r>
          </w:p>
        </w:tc>
        <w:tc>
          <w:tcPr>
            <w:tcW w:w="1620" w:type="dxa"/>
            <w:tcBorders>
              <w:tl2br w:val="nil"/>
              <w:tr2bl w:val="nil"/>
            </w:tcBorders>
            <w:noWrap w:val="0"/>
            <w:vAlign w:val="center"/>
          </w:tcPr>
          <w:p w14:paraId="26A9123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02BD3CC5">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《三相配电变压器能效限定值及能效等级》（GB20052）</w:t>
            </w:r>
          </w:p>
        </w:tc>
      </w:tr>
      <w:tr w14:paraId="2400E7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3F46BB4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w:t>
            </w:r>
          </w:p>
        </w:tc>
        <w:tc>
          <w:tcPr>
            <w:tcW w:w="1080" w:type="dxa"/>
            <w:tcBorders>
              <w:tl2br w:val="nil"/>
              <w:tr2bl w:val="nil"/>
            </w:tcBorders>
            <w:noWrap w:val="0"/>
            <w:vAlign w:val="center"/>
          </w:tcPr>
          <w:p w14:paraId="7FEECBF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★A020609镇流器</w:t>
            </w:r>
          </w:p>
        </w:tc>
        <w:tc>
          <w:tcPr>
            <w:tcW w:w="1320" w:type="dxa"/>
            <w:tcBorders>
              <w:tl2br w:val="nil"/>
              <w:tr2bl w:val="nil"/>
            </w:tcBorders>
            <w:noWrap w:val="0"/>
            <w:vAlign w:val="center"/>
          </w:tcPr>
          <w:p w14:paraId="6AAADDF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管型荧光灯镇流器</w:t>
            </w:r>
          </w:p>
        </w:tc>
        <w:tc>
          <w:tcPr>
            <w:tcW w:w="1620" w:type="dxa"/>
            <w:tcBorders>
              <w:tl2br w:val="nil"/>
              <w:tr2bl w:val="nil"/>
            </w:tcBorders>
            <w:noWrap w:val="0"/>
            <w:vAlign w:val="center"/>
          </w:tcPr>
          <w:p w14:paraId="2ACBC21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133FCC27">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《管形荧光灯镇流器能效限定值及能效等级》（GB17896）</w:t>
            </w:r>
          </w:p>
        </w:tc>
      </w:tr>
      <w:tr w14:paraId="6284FE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70025431">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w:t>
            </w:r>
          </w:p>
        </w:tc>
        <w:tc>
          <w:tcPr>
            <w:tcW w:w="1080" w:type="dxa"/>
            <w:vMerge w:val="restart"/>
            <w:tcBorders>
              <w:tl2br w:val="nil"/>
              <w:tr2bl w:val="nil"/>
            </w:tcBorders>
            <w:noWrap w:val="0"/>
            <w:vAlign w:val="center"/>
          </w:tcPr>
          <w:p w14:paraId="7EF1118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A020618生活用电器</w:t>
            </w:r>
          </w:p>
        </w:tc>
        <w:tc>
          <w:tcPr>
            <w:tcW w:w="1320" w:type="dxa"/>
            <w:tcBorders>
              <w:tl2br w:val="nil"/>
              <w:tr2bl w:val="nil"/>
            </w:tcBorders>
            <w:noWrap w:val="0"/>
            <w:vAlign w:val="center"/>
          </w:tcPr>
          <w:p w14:paraId="64FF3AE2">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A0206180101电冰箱</w:t>
            </w:r>
          </w:p>
        </w:tc>
        <w:tc>
          <w:tcPr>
            <w:tcW w:w="1620" w:type="dxa"/>
            <w:tcBorders>
              <w:tl2br w:val="nil"/>
              <w:tr2bl w:val="nil"/>
            </w:tcBorders>
            <w:noWrap w:val="0"/>
            <w:vAlign w:val="center"/>
          </w:tcPr>
          <w:p w14:paraId="7117278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3983E48B">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《家用电冰箱耗电量限定值及能效等级》（GB 12021.2）</w:t>
            </w:r>
          </w:p>
        </w:tc>
      </w:tr>
      <w:tr w14:paraId="433CA0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0" w:type="auto"/>
            <w:vMerge w:val="continue"/>
            <w:tcBorders>
              <w:tl2br w:val="nil"/>
              <w:tr2bl w:val="nil"/>
            </w:tcBorders>
            <w:noWrap w:val="0"/>
            <w:vAlign w:val="center"/>
          </w:tcPr>
          <w:p w14:paraId="52A06C24">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3E41EF83">
            <w:pPr>
              <w:widowControl/>
              <w:shd w:val="clear"/>
              <w:jc w:val="left"/>
              <w:rPr>
                <w:rFonts w:hint="eastAsia" w:ascii="宋体" w:hAnsi="宋体" w:eastAsia="宋体" w:cs="宋体"/>
                <w:color w:val="auto"/>
                <w:kern w:val="0"/>
                <w:szCs w:val="21"/>
                <w:highlight w:val="none"/>
              </w:rPr>
            </w:pPr>
          </w:p>
        </w:tc>
        <w:tc>
          <w:tcPr>
            <w:tcW w:w="1320" w:type="dxa"/>
            <w:vMerge w:val="restart"/>
            <w:tcBorders>
              <w:tl2br w:val="nil"/>
              <w:tr2bl w:val="nil"/>
            </w:tcBorders>
            <w:noWrap w:val="0"/>
            <w:vAlign w:val="center"/>
          </w:tcPr>
          <w:p w14:paraId="1BD284C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★A0206180203空调机</w:t>
            </w:r>
          </w:p>
        </w:tc>
        <w:tc>
          <w:tcPr>
            <w:tcW w:w="1620" w:type="dxa"/>
            <w:tcBorders>
              <w:tl2br w:val="nil"/>
              <w:tr2bl w:val="nil"/>
            </w:tcBorders>
            <w:noWrap w:val="0"/>
            <w:vAlign w:val="center"/>
          </w:tcPr>
          <w:p w14:paraId="70292BE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房间空气调节器</w:t>
            </w:r>
          </w:p>
        </w:tc>
        <w:tc>
          <w:tcPr>
            <w:tcW w:w="4540" w:type="dxa"/>
            <w:tcBorders>
              <w:tl2br w:val="nil"/>
              <w:tr2bl w:val="nil"/>
            </w:tcBorders>
            <w:noWrap w:val="0"/>
            <w:vAlign w:val="center"/>
          </w:tcPr>
          <w:p w14:paraId="3A6E6660">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4AF88B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4E66FF24">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445EDEE5">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3B40901F">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5A09A45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多联式空调（热泵）机组（制冷量≤ 14000W）</w:t>
            </w:r>
          </w:p>
        </w:tc>
        <w:tc>
          <w:tcPr>
            <w:tcW w:w="4540" w:type="dxa"/>
            <w:tcBorders>
              <w:tl2br w:val="nil"/>
              <w:tr2bl w:val="nil"/>
            </w:tcBorders>
            <w:noWrap w:val="0"/>
            <w:vAlign w:val="center"/>
          </w:tcPr>
          <w:p w14:paraId="15487658">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《多联式空调（热泵）机组能效限定值及能源效率等级》（GB21454）</w:t>
            </w:r>
          </w:p>
        </w:tc>
      </w:tr>
      <w:tr w14:paraId="7C017D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4B46B29F">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194A9EAD">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729610F1">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2C1F1F9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单元式空气调节机(制冷量≤14000W)</w:t>
            </w:r>
          </w:p>
        </w:tc>
        <w:tc>
          <w:tcPr>
            <w:tcW w:w="4540" w:type="dxa"/>
            <w:tcBorders>
              <w:tl2br w:val="nil"/>
              <w:tr2bl w:val="nil"/>
            </w:tcBorders>
            <w:noWrap w:val="0"/>
            <w:vAlign w:val="center"/>
          </w:tcPr>
          <w:p w14:paraId="5EA0B19F">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《单元式空气调节机能效限定值及能源效率等级》（GB19576）《风管送风式空调机组能效限定值及能效等级》（GB37479）</w:t>
            </w:r>
          </w:p>
        </w:tc>
      </w:tr>
      <w:tr w14:paraId="5F8F2B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C6D399A">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657E7BED">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20308C5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A0206180301洗衣机</w:t>
            </w:r>
          </w:p>
        </w:tc>
        <w:tc>
          <w:tcPr>
            <w:tcW w:w="1620" w:type="dxa"/>
            <w:tcBorders>
              <w:tl2br w:val="nil"/>
              <w:tr2bl w:val="nil"/>
            </w:tcBorders>
            <w:noWrap w:val="0"/>
            <w:vAlign w:val="center"/>
          </w:tcPr>
          <w:p w14:paraId="28FEF63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3B0B2063">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《电动洗衣机能效水效限定值及等级》（GB12021.4）</w:t>
            </w:r>
          </w:p>
        </w:tc>
      </w:tr>
      <w:tr w14:paraId="6A2BF4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C8C1948">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5C633185">
            <w:pPr>
              <w:widowControl/>
              <w:shd w:val="clear"/>
              <w:jc w:val="left"/>
              <w:rPr>
                <w:rFonts w:hint="eastAsia" w:ascii="宋体" w:hAnsi="宋体" w:eastAsia="宋体" w:cs="宋体"/>
                <w:color w:val="auto"/>
                <w:kern w:val="0"/>
                <w:szCs w:val="21"/>
                <w:highlight w:val="none"/>
              </w:rPr>
            </w:pPr>
          </w:p>
        </w:tc>
        <w:tc>
          <w:tcPr>
            <w:tcW w:w="1320" w:type="dxa"/>
            <w:vMerge w:val="restart"/>
            <w:tcBorders>
              <w:tl2br w:val="nil"/>
              <w:tr2bl w:val="nil"/>
            </w:tcBorders>
            <w:noWrap w:val="0"/>
            <w:vAlign w:val="center"/>
          </w:tcPr>
          <w:p w14:paraId="63E7CF8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A02061808热水器</w:t>
            </w:r>
          </w:p>
        </w:tc>
        <w:tc>
          <w:tcPr>
            <w:tcW w:w="1620" w:type="dxa"/>
            <w:tcBorders>
              <w:tl2br w:val="nil"/>
              <w:tr2bl w:val="nil"/>
            </w:tcBorders>
            <w:noWrap w:val="0"/>
            <w:vAlign w:val="center"/>
          </w:tcPr>
          <w:p w14:paraId="72A3402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★电热水器</w:t>
            </w:r>
          </w:p>
        </w:tc>
        <w:tc>
          <w:tcPr>
            <w:tcW w:w="4540" w:type="dxa"/>
            <w:tcBorders>
              <w:tl2br w:val="nil"/>
              <w:tr2bl w:val="nil"/>
            </w:tcBorders>
            <w:noWrap w:val="0"/>
            <w:vAlign w:val="center"/>
          </w:tcPr>
          <w:p w14:paraId="1DCAC12F">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《储水式电热水器能效限定值及能效等级》（GB21519）</w:t>
            </w:r>
          </w:p>
        </w:tc>
      </w:tr>
      <w:tr w14:paraId="56CAD4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83196B7">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422D1D76">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0104B260">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16839812">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燃气热水器</w:t>
            </w:r>
          </w:p>
        </w:tc>
        <w:tc>
          <w:tcPr>
            <w:tcW w:w="4540" w:type="dxa"/>
            <w:tcBorders>
              <w:tl2br w:val="nil"/>
              <w:tr2bl w:val="nil"/>
            </w:tcBorders>
            <w:noWrap w:val="0"/>
            <w:vAlign w:val="center"/>
          </w:tcPr>
          <w:p w14:paraId="2AE6A7F0">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《家用燃气快速热水器和燃气采暖热水炉能效限定值及能效等级》（GB20665）</w:t>
            </w:r>
          </w:p>
        </w:tc>
      </w:tr>
      <w:tr w14:paraId="3FF1DD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219D496">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215F7AE1">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107F5BA0">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61BC8AF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热泵热水器</w:t>
            </w:r>
          </w:p>
        </w:tc>
        <w:tc>
          <w:tcPr>
            <w:tcW w:w="4540" w:type="dxa"/>
            <w:tcBorders>
              <w:tl2br w:val="nil"/>
              <w:tr2bl w:val="nil"/>
            </w:tcBorders>
            <w:noWrap w:val="0"/>
            <w:vAlign w:val="center"/>
          </w:tcPr>
          <w:p w14:paraId="75DA5031">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《热泵热水机（器）能效限定值及能效等级》（GB29541）</w:t>
            </w:r>
          </w:p>
        </w:tc>
      </w:tr>
      <w:tr w14:paraId="601B1B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59665D1A">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4F74BCD6">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5CF23174">
            <w:pPr>
              <w:widowControl/>
              <w:shd w:val="clear"/>
              <w:jc w:val="left"/>
              <w:rPr>
                <w:rFonts w:hint="eastAsia" w:ascii="宋体" w:hAnsi="宋体" w:eastAsia="宋体" w:cs="宋体"/>
                <w:color w:val="auto"/>
                <w:kern w:val="0"/>
                <w:szCs w:val="21"/>
                <w:highlight w:val="none"/>
              </w:rPr>
            </w:pPr>
          </w:p>
        </w:tc>
        <w:tc>
          <w:tcPr>
            <w:tcW w:w="1620" w:type="dxa"/>
            <w:tcBorders>
              <w:tl2br w:val="nil"/>
              <w:tr2bl w:val="nil"/>
            </w:tcBorders>
            <w:noWrap w:val="0"/>
            <w:vAlign w:val="center"/>
          </w:tcPr>
          <w:p w14:paraId="10C7190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太阳能热水系统</w:t>
            </w:r>
          </w:p>
        </w:tc>
        <w:tc>
          <w:tcPr>
            <w:tcW w:w="4540" w:type="dxa"/>
            <w:tcBorders>
              <w:tl2br w:val="nil"/>
              <w:tr2bl w:val="nil"/>
            </w:tcBorders>
            <w:noWrap w:val="0"/>
            <w:vAlign w:val="center"/>
          </w:tcPr>
          <w:p w14:paraId="4C95EAB0">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《家用太阳能热水系统能效限定值及能效等级》（GB26969）</w:t>
            </w:r>
          </w:p>
        </w:tc>
      </w:tr>
      <w:tr w14:paraId="5EE9F5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vMerge w:val="restart"/>
            <w:tcBorders>
              <w:tl2br w:val="nil"/>
              <w:tr2bl w:val="nil"/>
            </w:tcBorders>
            <w:noWrap w:val="0"/>
            <w:vAlign w:val="center"/>
          </w:tcPr>
          <w:p w14:paraId="0FB2D9EA">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11</w:t>
            </w:r>
          </w:p>
        </w:tc>
        <w:tc>
          <w:tcPr>
            <w:tcW w:w="1080" w:type="dxa"/>
            <w:vMerge w:val="restart"/>
            <w:tcBorders>
              <w:tl2br w:val="nil"/>
              <w:tr2bl w:val="nil"/>
            </w:tcBorders>
            <w:noWrap w:val="0"/>
            <w:vAlign w:val="center"/>
          </w:tcPr>
          <w:p w14:paraId="0102ABB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A020619照明设备</w:t>
            </w:r>
          </w:p>
        </w:tc>
        <w:tc>
          <w:tcPr>
            <w:tcW w:w="1320" w:type="dxa"/>
            <w:tcBorders>
              <w:tl2br w:val="nil"/>
              <w:tr2bl w:val="nil"/>
            </w:tcBorders>
            <w:noWrap w:val="0"/>
            <w:vAlign w:val="center"/>
          </w:tcPr>
          <w:p w14:paraId="0111347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★普通照明用双端荧光灯</w:t>
            </w:r>
          </w:p>
        </w:tc>
        <w:tc>
          <w:tcPr>
            <w:tcW w:w="1620" w:type="dxa"/>
            <w:tcBorders>
              <w:tl2br w:val="nil"/>
              <w:tr2bl w:val="nil"/>
            </w:tcBorders>
            <w:noWrap w:val="0"/>
            <w:vAlign w:val="center"/>
          </w:tcPr>
          <w:p w14:paraId="48826AF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723868F5">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《普通照明用双端荧光灯能效限定值及能效等级》（GB19043）</w:t>
            </w:r>
          </w:p>
        </w:tc>
      </w:tr>
      <w:tr w14:paraId="2F4324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5B0A059E">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648DEC04">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594F249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LED道路/隧道照明产品</w:t>
            </w:r>
          </w:p>
        </w:tc>
        <w:tc>
          <w:tcPr>
            <w:tcW w:w="1620" w:type="dxa"/>
            <w:tcBorders>
              <w:tl2br w:val="nil"/>
              <w:tr2bl w:val="nil"/>
            </w:tcBorders>
            <w:noWrap w:val="0"/>
            <w:vAlign w:val="center"/>
          </w:tcPr>
          <w:p w14:paraId="6619FC1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509C2DD9">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《道路和隧道照明用LED灯具能效限定值及能效等级》（GB37478）</w:t>
            </w:r>
          </w:p>
        </w:tc>
      </w:tr>
      <w:tr w14:paraId="0F5518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753BF0B2">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790E990E">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79DE376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LED筒灯</w:t>
            </w:r>
          </w:p>
        </w:tc>
        <w:tc>
          <w:tcPr>
            <w:tcW w:w="1620" w:type="dxa"/>
            <w:tcBorders>
              <w:tl2br w:val="nil"/>
              <w:tr2bl w:val="nil"/>
            </w:tcBorders>
            <w:noWrap w:val="0"/>
            <w:vAlign w:val="center"/>
          </w:tcPr>
          <w:p w14:paraId="4C387F6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538D28A3">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《室内照明用LED产品能效限定值及能效等级》（GB30255）</w:t>
            </w:r>
          </w:p>
        </w:tc>
      </w:tr>
      <w:tr w14:paraId="559D4F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0" w:type="auto"/>
            <w:vMerge w:val="continue"/>
            <w:tcBorders>
              <w:tl2br w:val="nil"/>
              <w:tr2bl w:val="nil"/>
            </w:tcBorders>
            <w:noWrap w:val="0"/>
            <w:vAlign w:val="center"/>
          </w:tcPr>
          <w:p w14:paraId="7AA00B6B">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69689C13">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20177D5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普通照明用非定向自镇流LED灯</w:t>
            </w:r>
          </w:p>
        </w:tc>
        <w:tc>
          <w:tcPr>
            <w:tcW w:w="1620" w:type="dxa"/>
            <w:tcBorders>
              <w:tl2br w:val="nil"/>
              <w:tr2bl w:val="nil"/>
            </w:tcBorders>
            <w:noWrap w:val="0"/>
            <w:vAlign w:val="center"/>
          </w:tcPr>
          <w:p w14:paraId="3E7FFADB">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2CE595BF">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《室内照明用LED产品能效限定值及能效等级》（GB30255）</w:t>
            </w:r>
          </w:p>
        </w:tc>
      </w:tr>
      <w:tr w14:paraId="080049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5" w:hRule="atLeast"/>
        </w:trPr>
        <w:tc>
          <w:tcPr>
            <w:tcW w:w="660" w:type="dxa"/>
            <w:tcBorders>
              <w:tl2br w:val="nil"/>
              <w:tr2bl w:val="nil"/>
            </w:tcBorders>
            <w:noWrap w:val="0"/>
            <w:vAlign w:val="center"/>
          </w:tcPr>
          <w:p w14:paraId="6FD1EDF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p>
        </w:tc>
        <w:tc>
          <w:tcPr>
            <w:tcW w:w="1080" w:type="dxa"/>
            <w:tcBorders>
              <w:tl2br w:val="nil"/>
              <w:tr2bl w:val="nil"/>
            </w:tcBorders>
            <w:noWrap w:val="0"/>
            <w:vAlign w:val="center"/>
          </w:tcPr>
          <w:p w14:paraId="39CD530F">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★A020910电视设备</w:t>
            </w:r>
          </w:p>
        </w:tc>
        <w:tc>
          <w:tcPr>
            <w:tcW w:w="1320" w:type="dxa"/>
            <w:tcBorders>
              <w:tl2br w:val="nil"/>
              <w:tr2bl w:val="nil"/>
            </w:tcBorders>
            <w:noWrap w:val="0"/>
            <w:vAlign w:val="center"/>
          </w:tcPr>
          <w:p w14:paraId="4C1FE0B1">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A02091001普通电视设备（电视机）</w:t>
            </w:r>
          </w:p>
        </w:tc>
        <w:tc>
          <w:tcPr>
            <w:tcW w:w="1620" w:type="dxa"/>
            <w:tcBorders>
              <w:tl2br w:val="nil"/>
              <w:tr2bl w:val="nil"/>
            </w:tcBorders>
            <w:noWrap w:val="0"/>
            <w:vAlign w:val="center"/>
          </w:tcPr>
          <w:p w14:paraId="26DE962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2389C668">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《平板电视能效限定值及能效等级》（GB24850）</w:t>
            </w:r>
          </w:p>
        </w:tc>
      </w:tr>
      <w:tr w14:paraId="213963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75" w:hRule="atLeast"/>
        </w:trPr>
        <w:tc>
          <w:tcPr>
            <w:tcW w:w="660" w:type="dxa"/>
            <w:tcBorders>
              <w:tl2br w:val="nil"/>
              <w:tr2bl w:val="nil"/>
            </w:tcBorders>
            <w:noWrap w:val="0"/>
            <w:vAlign w:val="center"/>
          </w:tcPr>
          <w:p w14:paraId="7364CCB4">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13</w:t>
            </w:r>
          </w:p>
        </w:tc>
        <w:tc>
          <w:tcPr>
            <w:tcW w:w="1080" w:type="dxa"/>
            <w:tcBorders>
              <w:tl2br w:val="nil"/>
              <w:tr2bl w:val="nil"/>
            </w:tcBorders>
            <w:noWrap w:val="0"/>
            <w:vAlign w:val="center"/>
          </w:tcPr>
          <w:p w14:paraId="68B441A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★A020911视频设备</w:t>
            </w:r>
          </w:p>
        </w:tc>
        <w:tc>
          <w:tcPr>
            <w:tcW w:w="1320" w:type="dxa"/>
            <w:tcBorders>
              <w:tl2br w:val="nil"/>
              <w:tr2bl w:val="nil"/>
            </w:tcBorders>
            <w:noWrap w:val="0"/>
            <w:vAlign w:val="center"/>
          </w:tcPr>
          <w:p w14:paraId="476689FA">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A02091107视频监控设备</w:t>
            </w:r>
          </w:p>
        </w:tc>
        <w:tc>
          <w:tcPr>
            <w:tcW w:w="1620" w:type="dxa"/>
            <w:tcBorders>
              <w:tl2br w:val="nil"/>
              <w:tr2bl w:val="nil"/>
            </w:tcBorders>
            <w:noWrap w:val="0"/>
            <w:vAlign w:val="center"/>
          </w:tcPr>
          <w:p w14:paraId="3C5A726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监视器</w:t>
            </w:r>
          </w:p>
        </w:tc>
        <w:tc>
          <w:tcPr>
            <w:tcW w:w="4540" w:type="dxa"/>
            <w:tcBorders>
              <w:tl2br w:val="nil"/>
              <w:tr2bl w:val="nil"/>
            </w:tcBorders>
            <w:noWrap w:val="0"/>
            <w:vAlign w:val="center"/>
          </w:tcPr>
          <w:p w14:paraId="3F8D8430">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71198C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54070E8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14</w:t>
            </w:r>
          </w:p>
        </w:tc>
        <w:tc>
          <w:tcPr>
            <w:tcW w:w="1080" w:type="dxa"/>
            <w:tcBorders>
              <w:tl2br w:val="nil"/>
              <w:tr2bl w:val="nil"/>
            </w:tcBorders>
            <w:noWrap w:val="0"/>
            <w:vAlign w:val="center"/>
          </w:tcPr>
          <w:p w14:paraId="69E08F2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A031210饮食炊事机械</w:t>
            </w:r>
          </w:p>
        </w:tc>
        <w:tc>
          <w:tcPr>
            <w:tcW w:w="1320" w:type="dxa"/>
            <w:tcBorders>
              <w:tl2br w:val="nil"/>
              <w:tr2bl w:val="nil"/>
            </w:tcBorders>
            <w:noWrap w:val="0"/>
            <w:vAlign w:val="center"/>
          </w:tcPr>
          <w:p w14:paraId="206187D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商用燃气灶具</w:t>
            </w:r>
          </w:p>
        </w:tc>
        <w:tc>
          <w:tcPr>
            <w:tcW w:w="1620" w:type="dxa"/>
            <w:tcBorders>
              <w:tl2br w:val="nil"/>
              <w:tr2bl w:val="nil"/>
            </w:tcBorders>
            <w:noWrap w:val="0"/>
            <w:vAlign w:val="center"/>
          </w:tcPr>
          <w:p w14:paraId="0229A9B1">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5B0DB75C">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《商用燃气灶具能效限定值及能效等级》（GB30531）</w:t>
            </w:r>
          </w:p>
        </w:tc>
      </w:tr>
      <w:tr w14:paraId="671A3C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660" w:type="dxa"/>
            <w:vMerge w:val="restart"/>
            <w:tcBorders>
              <w:tl2br w:val="nil"/>
              <w:tr2bl w:val="nil"/>
            </w:tcBorders>
            <w:noWrap w:val="0"/>
            <w:vAlign w:val="center"/>
          </w:tcPr>
          <w:p w14:paraId="5C7A161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15</w:t>
            </w:r>
          </w:p>
        </w:tc>
        <w:tc>
          <w:tcPr>
            <w:tcW w:w="1080" w:type="dxa"/>
            <w:vMerge w:val="restart"/>
            <w:tcBorders>
              <w:tl2br w:val="nil"/>
              <w:tr2bl w:val="nil"/>
            </w:tcBorders>
            <w:noWrap w:val="0"/>
            <w:vAlign w:val="center"/>
          </w:tcPr>
          <w:p w14:paraId="165DC698">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★A060805便器</w:t>
            </w:r>
          </w:p>
        </w:tc>
        <w:tc>
          <w:tcPr>
            <w:tcW w:w="1320" w:type="dxa"/>
            <w:tcBorders>
              <w:tl2br w:val="nil"/>
              <w:tr2bl w:val="nil"/>
            </w:tcBorders>
            <w:noWrap w:val="0"/>
            <w:vAlign w:val="center"/>
          </w:tcPr>
          <w:p w14:paraId="01A91CA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坐便器</w:t>
            </w:r>
          </w:p>
        </w:tc>
        <w:tc>
          <w:tcPr>
            <w:tcW w:w="1620" w:type="dxa"/>
            <w:tcBorders>
              <w:tl2br w:val="nil"/>
              <w:tr2bl w:val="nil"/>
            </w:tcBorders>
            <w:noWrap w:val="0"/>
            <w:vAlign w:val="center"/>
          </w:tcPr>
          <w:p w14:paraId="0CBA40A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50604A33">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《坐便器水效限定值及水效等级》（GB25502）</w:t>
            </w:r>
          </w:p>
        </w:tc>
      </w:tr>
      <w:tr w14:paraId="4E6F19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0F1087D8">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5D4F26EE">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5A740F2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蹲便器</w:t>
            </w:r>
          </w:p>
        </w:tc>
        <w:tc>
          <w:tcPr>
            <w:tcW w:w="1620" w:type="dxa"/>
            <w:tcBorders>
              <w:tl2br w:val="nil"/>
              <w:tr2bl w:val="nil"/>
            </w:tcBorders>
            <w:noWrap w:val="0"/>
            <w:vAlign w:val="center"/>
          </w:tcPr>
          <w:p w14:paraId="1D010BEA">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04867F92">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《蹲便器用水效率限定值及用水效率等级》（GB30717）</w:t>
            </w:r>
          </w:p>
        </w:tc>
      </w:tr>
      <w:tr w14:paraId="37627B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0" w:type="auto"/>
            <w:vMerge w:val="continue"/>
            <w:tcBorders>
              <w:tl2br w:val="nil"/>
              <w:tr2bl w:val="nil"/>
            </w:tcBorders>
            <w:noWrap w:val="0"/>
            <w:vAlign w:val="center"/>
          </w:tcPr>
          <w:p w14:paraId="18FAA828">
            <w:pPr>
              <w:widowControl/>
              <w:shd w:val="clear"/>
              <w:jc w:val="left"/>
              <w:rPr>
                <w:rFonts w:hint="eastAsia" w:ascii="宋体" w:hAnsi="宋体" w:eastAsia="宋体" w:cs="宋体"/>
                <w:color w:val="auto"/>
                <w:kern w:val="0"/>
                <w:szCs w:val="21"/>
                <w:highlight w:val="none"/>
              </w:rPr>
            </w:pPr>
          </w:p>
        </w:tc>
        <w:tc>
          <w:tcPr>
            <w:tcW w:w="0" w:type="auto"/>
            <w:vMerge w:val="continue"/>
            <w:tcBorders>
              <w:tl2br w:val="nil"/>
              <w:tr2bl w:val="nil"/>
            </w:tcBorders>
            <w:noWrap w:val="0"/>
            <w:vAlign w:val="center"/>
          </w:tcPr>
          <w:p w14:paraId="72986496">
            <w:pPr>
              <w:widowControl/>
              <w:shd w:val="clear"/>
              <w:jc w:val="left"/>
              <w:rPr>
                <w:rFonts w:hint="eastAsia" w:ascii="宋体" w:hAnsi="宋体" w:eastAsia="宋体" w:cs="宋体"/>
                <w:color w:val="auto"/>
                <w:kern w:val="0"/>
                <w:szCs w:val="21"/>
                <w:highlight w:val="none"/>
              </w:rPr>
            </w:pPr>
          </w:p>
        </w:tc>
        <w:tc>
          <w:tcPr>
            <w:tcW w:w="1320" w:type="dxa"/>
            <w:tcBorders>
              <w:tl2br w:val="nil"/>
              <w:tr2bl w:val="nil"/>
            </w:tcBorders>
            <w:noWrap w:val="0"/>
            <w:vAlign w:val="center"/>
          </w:tcPr>
          <w:p w14:paraId="06A0C15F">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小便器</w:t>
            </w:r>
          </w:p>
        </w:tc>
        <w:tc>
          <w:tcPr>
            <w:tcW w:w="1620" w:type="dxa"/>
            <w:tcBorders>
              <w:tl2br w:val="nil"/>
              <w:tr2bl w:val="nil"/>
            </w:tcBorders>
            <w:noWrap w:val="0"/>
            <w:vAlign w:val="center"/>
          </w:tcPr>
          <w:p w14:paraId="645DEA6A">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4445411C">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《小便器用水效率限定值及用水效率等级》（GB28377）</w:t>
            </w:r>
          </w:p>
        </w:tc>
      </w:tr>
      <w:tr w14:paraId="146BE6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0D53E83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16</w:t>
            </w:r>
          </w:p>
        </w:tc>
        <w:tc>
          <w:tcPr>
            <w:tcW w:w="1080" w:type="dxa"/>
            <w:tcBorders>
              <w:tl2br w:val="nil"/>
              <w:tr2bl w:val="nil"/>
            </w:tcBorders>
            <w:noWrap w:val="0"/>
            <w:vAlign w:val="center"/>
          </w:tcPr>
          <w:p w14:paraId="480C76F5">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★A060806水嘴</w:t>
            </w:r>
          </w:p>
        </w:tc>
        <w:tc>
          <w:tcPr>
            <w:tcW w:w="1320" w:type="dxa"/>
            <w:tcBorders>
              <w:tl2br w:val="nil"/>
              <w:tr2bl w:val="nil"/>
            </w:tcBorders>
            <w:noWrap w:val="0"/>
            <w:vAlign w:val="center"/>
          </w:tcPr>
          <w:p w14:paraId="67485A1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1620" w:type="dxa"/>
            <w:tcBorders>
              <w:tl2br w:val="nil"/>
              <w:tr2bl w:val="nil"/>
            </w:tcBorders>
            <w:noWrap w:val="0"/>
            <w:vAlign w:val="center"/>
          </w:tcPr>
          <w:p w14:paraId="76BB9F91">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7D07996E">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《水嘴用水效率限定值及用水效率等级》（GB 25501）</w:t>
            </w:r>
          </w:p>
        </w:tc>
      </w:tr>
      <w:tr w14:paraId="631601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712700C6">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w:t>
            </w:r>
          </w:p>
        </w:tc>
        <w:tc>
          <w:tcPr>
            <w:tcW w:w="1080" w:type="dxa"/>
            <w:tcBorders>
              <w:tl2br w:val="nil"/>
              <w:tr2bl w:val="nil"/>
            </w:tcBorders>
            <w:noWrap w:val="0"/>
            <w:vAlign w:val="center"/>
          </w:tcPr>
          <w:p w14:paraId="613F08DF">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A060807便器冲洗阀</w:t>
            </w:r>
          </w:p>
        </w:tc>
        <w:tc>
          <w:tcPr>
            <w:tcW w:w="1320" w:type="dxa"/>
            <w:tcBorders>
              <w:tl2br w:val="nil"/>
              <w:tr2bl w:val="nil"/>
            </w:tcBorders>
            <w:noWrap w:val="0"/>
            <w:vAlign w:val="center"/>
          </w:tcPr>
          <w:p w14:paraId="5D194CD3">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1620" w:type="dxa"/>
            <w:tcBorders>
              <w:tl2br w:val="nil"/>
              <w:tr2bl w:val="nil"/>
            </w:tcBorders>
            <w:noWrap w:val="0"/>
            <w:vAlign w:val="center"/>
          </w:tcPr>
          <w:p w14:paraId="33702067">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76DF72BE">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《便器冲洗阀用水效率限定值及用水效率等级》（GB28379）</w:t>
            </w:r>
          </w:p>
        </w:tc>
      </w:tr>
      <w:tr w14:paraId="02C754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95" w:hRule="atLeast"/>
        </w:trPr>
        <w:tc>
          <w:tcPr>
            <w:tcW w:w="660" w:type="dxa"/>
            <w:tcBorders>
              <w:tl2br w:val="nil"/>
              <w:tr2bl w:val="nil"/>
            </w:tcBorders>
            <w:noWrap w:val="0"/>
            <w:vAlign w:val="center"/>
          </w:tcPr>
          <w:p w14:paraId="20D756CD">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18</w:t>
            </w:r>
          </w:p>
        </w:tc>
        <w:tc>
          <w:tcPr>
            <w:tcW w:w="1080" w:type="dxa"/>
            <w:tcBorders>
              <w:tl2br w:val="nil"/>
              <w:tr2bl w:val="nil"/>
            </w:tcBorders>
            <w:noWrap w:val="0"/>
            <w:vAlign w:val="center"/>
          </w:tcPr>
          <w:p w14:paraId="4B8515A9">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A060810淋浴器</w:t>
            </w:r>
          </w:p>
        </w:tc>
        <w:tc>
          <w:tcPr>
            <w:tcW w:w="1320" w:type="dxa"/>
            <w:tcBorders>
              <w:tl2br w:val="nil"/>
              <w:tr2bl w:val="nil"/>
            </w:tcBorders>
            <w:noWrap w:val="0"/>
            <w:vAlign w:val="center"/>
          </w:tcPr>
          <w:p w14:paraId="6C4D073C">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1620" w:type="dxa"/>
            <w:tcBorders>
              <w:tl2br w:val="nil"/>
              <w:tr2bl w:val="nil"/>
            </w:tcBorders>
            <w:noWrap w:val="0"/>
            <w:vAlign w:val="center"/>
          </w:tcPr>
          <w:p w14:paraId="43BBA68E">
            <w:pPr>
              <w:widowControl/>
              <w:shd w:val="clea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tc>
        <w:tc>
          <w:tcPr>
            <w:tcW w:w="4540" w:type="dxa"/>
            <w:tcBorders>
              <w:tl2br w:val="nil"/>
              <w:tr2bl w:val="nil"/>
            </w:tcBorders>
            <w:noWrap w:val="0"/>
            <w:vAlign w:val="center"/>
          </w:tcPr>
          <w:p w14:paraId="113047AD">
            <w:pPr>
              <w:widowControl/>
              <w:shd w:val="clear"/>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《淋浴器用水效率限定值及用水效率等级》（GB28378）</w:t>
            </w:r>
          </w:p>
        </w:tc>
      </w:tr>
    </w:tbl>
    <w:p w14:paraId="11A0025C">
      <w:pPr>
        <w:pStyle w:val="20"/>
        <w:shd w:val="clea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注：1.节能产品认证应依据相关国家标准的最新版本，依据国家标准中二级能效（水效）</w:t>
      </w:r>
      <w:r>
        <w:rPr>
          <w:rFonts w:hint="eastAsia" w:ascii="宋体" w:hAnsi="宋体" w:eastAsia="宋体" w:cs="宋体"/>
          <w:color w:val="auto"/>
          <w:sz w:val="21"/>
          <w:szCs w:val="21"/>
          <w:highlight w:val="none"/>
        </w:rPr>
        <w:t>指标。</w:t>
      </w:r>
    </w:p>
    <w:p w14:paraId="159208EA">
      <w:pPr>
        <w:shd w:val="clear"/>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714F9936">
      <w:pPr>
        <w:shd w:val="clear"/>
        <w:jc w:val="left"/>
        <w:rPr>
          <w:rFonts w:hint="eastAsia" w:ascii="宋体" w:hAnsi="宋体" w:eastAsia="宋体" w:cs="宋体"/>
          <w:color w:val="auto"/>
          <w:sz w:val="32"/>
          <w:szCs w:val="32"/>
          <w:highlight w:val="none"/>
        </w:rPr>
      </w:pPr>
      <w:r>
        <w:rPr>
          <w:rFonts w:hint="eastAsia" w:ascii="宋体" w:hAnsi="宋体" w:eastAsia="宋体" w:cs="宋体"/>
          <w:b/>
          <w:bCs/>
          <w:color w:val="auto"/>
          <w:szCs w:val="21"/>
          <w:highlight w:val="none"/>
        </w:rPr>
        <w:br w:type="page"/>
      </w:r>
    </w:p>
    <w:p w14:paraId="0856D4DE">
      <w:pPr>
        <w:shd w:val="clear"/>
        <w:spacing w:line="400" w:lineRule="exact"/>
        <w:jc w:val="center"/>
        <w:rPr>
          <w:rFonts w:hint="eastAsia" w:ascii="宋体" w:hAnsi="宋体" w:eastAsia="宋体" w:cs="宋体"/>
          <w:color w:val="auto"/>
          <w:sz w:val="32"/>
          <w:szCs w:val="32"/>
          <w:highlight w:val="none"/>
        </w:rPr>
      </w:pPr>
    </w:p>
    <w:p w14:paraId="50CC717E">
      <w:pPr>
        <w:shd w:val="clear"/>
        <w:spacing w:line="400" w:lineRule="exact"/>
        <w:jc w:val="center"/>
        <w:rPr>
          <w:rFonts w:hint="eastAsia" w:ascii="宋体" w:hAnsi="宋体" w:eastAsia="宋体" w:cs="宋体"/>
          <w:color w:val="auto"/>
          <w:sz w:val="32"/>
          <w:szCs w:val="32"/>
          <w:highlight w:val="none"/>
        </w:rPr>
      </w:pPr>
    </w:p>
    <w:p w14:paraId="7AA54242">
      <w:pPr>
        <w:shd w:val="clear"/>
        <w:spacing w:line="400" w:lineRule="exact"/>
        <w:jc w:val="center"/>
        <w:rPr>
          <w:rFonts w:hint="eastAsia" w:ascii="宋体" w:hAnsi="宋体" w:eastAsia="宋体" w:cs="宋体"/>
          <w:color w:val="auto"/>
          <w:sz w:val="32"/>
          <w:szCs w:val="32"/>
          <w:highlight w:val="none"/>
        </w:rPr>
      </w:pPr>
    </w:p>
    <w:p w14:paraId="13BC0346">
      <w:pPr>
        <w:shd w:val="clear"/>
        <w:spacing w:line="400" w:lineRule="exact"/>
        <w:jc w:val="center"/>
        <w:rPr>
          <w:rFonts w:hint="eastAsia" w:ascii="宋体" w:hAnsi="宋体" w:eastAsia="宋体" w:cs="宋体"/>
          <w:color w:val="auto"/>
          <w:sz w:val="32"/>
          <w:szCs w:val="32"/>
          <w:highlight w:val="none"/>
        </w:rPr>
      </w:pPr>
    </w:p>
    <w:p w14:paraId="494191AB">
      <w:pPr>
        <w:shd w:val="clear"/>
        <w:spacing w:line="400" w:lineRule="exact"/>
        <w:jc w:val="center"/>
        <w:rPr>
          <w:rFonts w:hint="eastAsia" w:ascii="宋体" w:hAnsi="宋体" w:eastAsia="宋体" w:cs="宋体"/>
          <w:color w:val="auto"/>
          <w:sz w:val="32"/>
          <w:szCs w:val="32"/>
          <w:highlight w:val="none"/>
        </w:rPr>
      </w:pPr>
    </w:p>
    <w:p w14:paraId="62F75108">
      <w:pPr>
        <w:shd w:val="clear"/>
        <w:spacing w:line="400" w:lineRule="exact"/>
        <w:jc w:val="center"/>
        <w:rPr>
          <w:rFonts w:hint="eastAsia" w:ascii="宋体" w:hAnsi="宋体" w:eastAsia="宋体" w:cs="宋体"/>
          <w:color w:val="auto"/>
          <w:sz w:val="32"/>
          <w:szCs w:val="32"/>
          <w:highlight w:val="none"/>
        </w:rPr>
      </w:pPr>
    </w:p>
    <w:p w14:paraId="6A876F63">
      <w:pPr>
        <w:shd w:val="clear"/>
        <w:spacing w:line="400" w:lineRule="exact"/>
        <w:jc w:val="center"/>
        <w:rPr>
          <w:rFonts w:hint="eastAsia" w:ascii="宋体" w:hAnsi="宋体" w:eastAsia="宋体" w:cs="宋体"/>
          <w:color w:val="auto"/>
          <w:sz w:val="32"/>
          <w:szCs w:val="32"/>
          <w:highlight w:val="none"/>
        </w:rPr>
      </w:pPr>
    </w:p>
    <w:p w14:paraId="1F3B594E">
      <w:pPr>
        <w:shd w:val="clear"/>
        <w:spacing w:line="400" w:lineRule="exact"/>
        <w:jc w:val="center"/>
        <w:rPr>
          <w:rFonts w:hint="eastAsia" w:ascii="宋体" w:hAnsi="宋体" w:eastAsia="宋体" w:cs="宋体"/>
          <w:color w:val="auto"/>
          <w:sz w:val="32"/>
          <w:szCs w:val="32"/>
          <w:highlight w:val="none"/>
        </w:rPr>
      </w:pPr>
    </w:p>
    <w:p w14:paraId="5DFFA675">
      <w:pPr>
        <w:shd w:val="clear"/>
        <w:spacing w:line="400" w:lineRule="exact"/>
        <w:jc w:val="center"/>
        <w:rPr>
          <w:rFonts w:hint="eastAsia" w:ascii="宋体" w:hAnsi="宋体" w:eastAsia="宋体" w:cs="宋体"/>
          <w:color w:val="auto"/>
          <w:sz w:val="32"/>
          <w:szCs w:val="32"/>
          <w:highlight w:val="none"/>
        </w:rPr>
      </w:pPr>
    </w:p>
    <w:p w14:paraId="65B9A2DF">
      <w:pPr>
        <w:shd w:val="clear"/>
        <w:spacing w:line="400" w:lineRule="exact"/>
        <w:jc w:val="center"/>
        <w:rPr>
          <w:rFonts w:hint="eastAsia" w:ascii="宋体" w:hAnsi="宋体" w:eastAsia="宋体" w:cs="宋体"/>
          <w:color w:val="auto"/>
          <w:sz w:val="32"/>
          <w:szCs w:val="32"/>
          <w:highlight w:val="none"/>
        </w:rPr>
      </w:pPr>
    </w:p>
    <w:p w14:paraId="2989295A">
      <w:pPr>
        <w:shd w:val="clear"/>
        <w:spacing w:line="400" w:lineRule="exact"/>
        <w:jc w:val="center"/>
        <w:rPr>
          <w:rFonts w:hint="eastAsia" w:ascii="宋体" w:hAnsi="宋体" w:eastAsia="宋体" w:cs="宋体"/>
          <w:color w:val="auto"/>
          <w:sz w:val="32"/>
          <w:szCs w:val="32"/>
          <w:highlight w:val="none"/>
        </w:rPr>
      </w:pPr>
    </w:p>
    <w:p w14:paraId="48194BB0">
      <w:pPr>
        <w:shd w:val="clear"/>
        <w:spacing w:line="400" w:lineRule="exact"/>
        <w:jc w:val="center"/>
        <w:rPr>
          <w:rFonts w:hint="eastAsia" w:ascii="宋体" w:hAnsi="宋体" w:eastAsia="宋体" w:cs="宋体"/>
          <w:color w:val="auto"/>
          <w:sz w:val="32"/>
          <w:szCs w:val="32"/>
          <w:highlight w:val="none"/>
        </w:rPr>
      </w:pPr>
    </w:p>
    <w:p w14:paraId="7C765358">
      <w:pPr>
        <w:shd w:val="clear"/>
        <w:spacing w:line="400" w:lineRule="exact"/>
        <w:jc w:val="center"/>
        <w:rPr>
          <w:rFonts w:hint="eastAsia" w:ascii="宋体" w:hAnsi="宋体" w:eastAsia="宋体" w:cs="宋体"/>
          <w:color w:val="auto"/>
          <w:sz w:val="32"/>
          <w:szCs w:val="32"/>
          <w:highlight w:val="none"/>
        </w:rPr>
      </w:pPr>
    </w:p>
    <w:p w14:paraId="5C600B38">
      <w:pPr>
        <w:shd w:val="clear"/>
        <w:spacing w:line="400" w:lineRule="exact"/>
        <w:jc w:val="center"/>
        <w:rPr>
          <w:rFonts w:hint="eastAsia" w:ascii="宋体" w:hAnsi="宋体" w:eastAsia="宋体" w:cs="宋体"/>
          <w:color w:val="auto"/>
          <w:sz w:val="32"/>
          <w:szCs w:val="32"/>
          <w:highlight w:val="none"/>
        </w:rPr>
      </w:pPr>
    </w:p>
    <w:bookmarkEnd w:id="87"/>
    <w:bookmarkEnd w:id="88"/>
    <w:p w14:paraId="1338E9B7">
      <w:pPr>
        <w:pStyle w:val="47"/>
        <w:shd w:val="clear"/>
        <w:rPr>
          <w:rFonts w:hint="eastAsia" w:ascii="宋体" w:hAnsi="宋体" w:eastAsia="宋体" w:cs="宋体"/>
          <w:color w:val="auto"/>
          <w:sz w:val="44"/>
          <w:szCs w:val="44"/>
          <w:highlight w:val="none"/>
        </w:rPr>
      </w:pPr>
      <w:bookmarkStart w:id="89" w:name="_Toc476436434"/>
      <w:bookmarkStart w:id="90" w:name="_Toc476436175"/>
      <w:r>
        <w:rPr>
          <w:rFonts w:hint="eastAsia" w:ascii="宋体" w:hAnsi="宋体" w:eastAsia="宋体" w:cs="宋体"/>
          <w:color w:val="auto"/>
          <w:sz w:val="44"/>
          <w:szCs w:val="44"/>
          <w:highlight w:val="none"/>
        </w:rPr>
        <w:t>第四章  评标方法及评分标准</w:t>
      </w:r>
      <w:bookmarkEnd w:id="89"/>
      <w:bookmarkEnd w:id="90"/>
    </w:p>
    <w:p w14:paraId="38A03E7B">
      <w:pPr>
        <w:pStyle w:val="27"/>
        <w:shd w:val="clear"/>
        <w:spacing w:line="360" w:lineRule="exact"/>
        <w:rPr>
          <w:rFonts w:hint="eastAsia" w:ascii="宋体" w:hAnsi="宋体" w:eastAsia="宋体" w:cs="宋体"/>
          <w:b/>
          <w:bCs/>
          <w:color w:val="auto"/>
          <w:highlight w:val="none"/>
        </w:rPr>
      </w:pPr>
      <w:bookmarkStart w:id="91" w:name="_Toc254970549"/>
      <w:bookmarkStart w:id="92" w:name="_Toc254970690"/>
    </w:p>
    <w:p w14:paraId="4B77A509">
      <w:pPr>
        <w:pStyle w:val="27"/>
        <w:shd w:val="clear"/>
        <w:spacing w:line="360" w:lineRule="exact"/>
        <w:rPr>
          <w:rFonts w:hint="eastAsia" w:ascii="宋体" w:hAnsi="宋体" w:eastAsia="宋体" w:cs="宋体"/>
          <w:b/>
          <w:bCs/>
          <w:color w:val="auto"/>
          <w:highlight w:val="none"/>
        </w:rPr>
      </w:pPr>
    </w:p>
    <w:p w14:paraId="442C269F">
      <w:pPr>
        <w:pStyle w:val="27"/>
        <w:shd w:val="clear"/>
        <w:spacing w:line="360" w:lineRule="exact"/>
        <w:rPr>
          <w:rFonts w:hint="eastAsia" w:ascii="宋体" w:hAnsi="宋体" w:eastAsia="宋体" w:cs="宋体"/>
          <w:b/>
          <w:bCs/>
          <w:color w:val="auto"/>
          <w:highlight w:val="none"/>
        </w:rPr>
      </w:pPr>
    </w:p>
    <w:p w14:paraId="3BD455EA">
      <w:pPr>
        <w:pStyle w:val="27"/>
        <w:shd w:val="clear"/>
        <w:spacing w:line="360" w:lineRule="exact"/>
        <w:rPr>
          <w:rFonts w:hint="eastAsia" w:ascii="宋体" w:hAnsi="宋体" w:eastAsia="宋体" w:cs="宋体"/>
          <w:b/>
          <w:bCs/>
          <w:color w:val="auto"/>
          <w:highlight w:val="none"/>
        </w:rPr>
      </w:pPr>
    </w:p>
    <w:p w14:paraId="120C8329">
      <w:pPr>
        <w:pStyle w:val="27"/>
        <w:shd w:val="clear"/>
        <w:spacing w:line="360" w:lineRule="exact"/>
        <w:rPr>
          <w:rFonts w:hint="eastAsia" w:ascii="宋体" w:hAnsi="宋体" w:eastAsia="宋体" w:cs="宋体"/>
          <w:b/>
          <w:bCs/>
          <w:color w:val="auto"/>
          <w:highlight w:val="none"/>
        </w:rPr>
      </w:pPr>
    </w:p>
    <w:p w14:paraId="0A1B8D3C">
      <w:pPr>
        <w:pStyle w:val="27"/>
        <w:shd w:val="clear"/>
        <w:spacing w:line="360" w:lineRule="exact"/>
        <w:rPr>
          <w:rFonts w:hint="eastAsia" w:ascii="宋体" w:hAnsi="宋体" w:eastAsia="宋体" w:cs="宋体"/>
          <w:b/>
          <w:bCs/>
          <w:color w:val="auto"/>
          <w:highlight w:val="none"/>
        </w:rPr>
      </w:pPr>
    </w:p>
    <w:p w14:paraId="7B069AB8">
      <w:pPr>
        <w:pStyle w:val="27"/>
        <w:shd w:val="clear"/>
        <w:spacing w:line="360" w:lineRule="exact"/>
        <w:rPr>
          <w:rFonts w:hint="eastAsia" w:ascii="宋体" w:hAnsi="宋体" w:eastAsia="宋体" w:cs="宋体"/>
          <w:b/>
          <w:bCs/>
          <w:color w:val="auto"/>
          <w:highlight w:val="none"/>
        </w:rPr>
      </w:pPr>
    </w:p>
    <w:p w14:paraId="0D1345F3">
      <w:pPr>
        <w:pStyle w:val="27"/>
        <w:shd w:val="clear"/>
        <w:spacing w:line="360" w:lineRule="exact"/>
        <w:rPr>
          <w:rFonts w:hint="eastAsia" w:ascii="宋体" w:hAnsi="宋体" w:eastAsia="宋体" w:cs="宋体"/>
          <w:b/>
          <w:bCs/>
          <w:color w:val="auto"/>
          <w:highlight w:val="none"/>
        </w:rPr>
      </w:pPr>
    </w:p>
    <w:p w14:paraId="0EE4A453">
      <w:pPr>
        <w:pStyle w:val="27"/>
        <w:shd w:val="clear"/>
        <w:spacing w:line="360" w:lineRule="exact"/>
        <w:rPr>
          <w:rFonts w:hint="eastAsia" w:ascii="宋体" w:hAnsi="宋体" w:eastAsia="宋体" w:cs="宋体"/>
          <w:b/>
          <w:bCs/>
          <w:color w:val="auto"/>
          <w:highlight w:val="none"/>
        </w:rPr>
      </w:pPr>
    </w:p>
    <w:p w14:paraId="2EB58152">
      <w:pPr>
        <w:pStyle w:val="27"/>
        <w:shd w:val="clear"/>
        <w:spacing w:line="360" w:lineRule="exact"/>
        <w:rPr>
          <w:rFonts w:hint="eastAsia" w:ascii="宋体" w:hAnsi="宋体" w:eastAsia="宋体" w:cs="宋体"/>
          <w:b/>
          <w:bCs/>
          <w:color w:val="auto"/>
          <w:highlight w:val="none"/>
        </w:rPr>
      </w:pPr>
    </w:p>
    <w:bookmarkEnd w:id="91"/>
    <w:bookmarkEnd w:id="92"/>
    <w:p w14:paraId="77A1F67A">
      <w:pPr>
        <w:pStyle w:val="27"/>
        <w:shd w:val="clear"/>
        <w:spacing w:line="360" w:lineRule="exact"/>
        <w:ind w:firstLine="3196" w:firstLineChars="995"/>
        <w:rPr>
          <w:rFonts w:hint="eastAsia" w:ascii="宋体" w:hAnsi="宋体" w:eastAsia="宋体" w:cs="宋体"/>
          <w:b/>
          <w:color w:val="auto"/>
          <w:sz w:val="32"/>
          <w:szCs w:val="32"/>
          <w:highlight w:val="none"/>
        </w:rPr>
      </w:pPr>
    </w:p>
    <w:p w14:paraId="153ACFAA">
      <w:pPr>
        <w:pStyle w:val="27"/>
        <w:shd w:val="clear"/>
        <w:spacing w:line="360" w:lineRule="exact"/>
        <w:ind w:firstLine="3196" w:firstLineChars="995"/>
        <w:rPr>
          <w:rFonts w:hint="eastAsia" w:ascii="宋体" w:hAnsi="宋体" w:eastAsia="宋体" w:cs="宋体"/>
          <w:b/>
          <w:color w:val="auto"/>
          <w:sz w:val="32"/>
          <w:szCs w:val="32"/>
          <w:highlight w:val="none"/>
        </w:rPr>
      </w:pPr>
    </w:p>
    <w:p w14:paraId="717EBAB2">
      <w:pPr>
        <w:pStyle w:val="27"/>
        <w:shd w:val="clear"/>
        <w:spacing w:line="360" w:lineRule="exact"/>
        <w:ind w:firstLine="3196" w:firstLineChars="995"/>
        <w:rPr>
          <w:rFonts w:hint="eastAsia" w:ascii="宋体" w:hAnsi="宋体" w:eastAsia="宋体" w:cs="宋体"/>
          <w:b/>
          <w:color w:val="auto"/>
          <w:sz w:val="32"/>
          <w:szCs w:val="32"/>
          <w:highlight w:val="none"/>
        </w:rPr>
      </w:pPr>
    </w:p>
    <w:p w14:paraId="544CE5F6">
      <w:pPr>
        <w:pStyle w:val="27"/>
        <w:shd w:val="clear"/>
        <w:spacing w:line="56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评标方法及评分标准</w:t>
      </w:r>
    </w:p>
    <w:p w14:paraId="15DF2AA0">
      <w:pPr>
        <w:pStyle w:val="42"/>
        <w:keepNext w:val="0"/>
        <w:keepLines w:val="0"/>
        <w:pageBreakBefore w:val="0"/>
        <w:widowControl w:val="0"/>
        <w:shd w:val="clear"/>
        <w:kinsoku/>
        <w:wordWrap/>
        <w:overflowPunct/>
        <w:topLinePunct w:val="0"/>
        <w:autoSpaceDE/>
        <w:autoSpaceDN/>
        <w:bidi w:val="0"/>
        <w:adjustRightInd/>
        <w:snapToGrid/>
        <w:spacing w:line="400" w:lineRule="exact"/>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一、评标原则</w:t>
      </w:r>
    </w:p>
    <w:p w14:paraId="0F779D4B">
      <w:pPr>
        <w:pStyle w:val="42"/>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（一）评标委员会的构成：本采购项目的评标委员会由采购人代表和有关技术、经济等方面的专家组成，成员人数应当为</w:t>
      </w:r>
      <w:r>
        <w:rPr>
          <w:rFonts w:hint="eastAsia" w:ascii="宋体" w:hAnsi="宋体" w:eastAsia="宋体" w:cs="宋体"/>
          <w:bCs/>
          <w:color w:val="auto"/>
          <w:szCs w:val="21"/>
          <w:highlight w:val="none"/>
          <w:lang w:val="en-US" w:eastAsia="zh-CN"/>
        </w:rPr>
        <w:t>五</w:t>
      </w:r>
      <w:r>
        <w:rPr>
          <w:rFonts w:hint="eastAsia" w:ascii="宋体" w:hAnsi="宋体" w:eastAsia="宋体" w:cs="宋体"/>
          <w:bCs/>
          <w:color w:val="auto"/>
          <w:szCs w:val="21"/>
          <w:highlight w:val="none"/>
        </w:rPr>
        <w:t>人以上单数。其中，技术、经济等方面的专家不得少于成员总数的三分之二。</w:t>
      </w:r>
    </w:p>
    <w:p w14:paraId="7C0B76D5">
      <w:pPr>
        <w:pStyle w:val="42"/>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
          <w:bCs/>
          <w:strike/>
          <w:color w:val="auto"/>
          <w:szCs w:val="21"/>
          <w:highlight w:val="none"/>
        </w:rPr>
      </w:pPr>
      <w:r>
        <w:rPr>
          <w:rFonts w:hint="eastAsia" w:ascii="宋体" w:hAnsi="宋体" w:eastAsia="宋体" w:cs="宋体"/>
          <w:bCs/>
          <w:color w:val="auto"/>
          <w:szCs w:val="21"/>
          <w:highlight w:val="none"/>
        </w:rPr>
        <w:t>（二）评标依据：评委将以招投标文件为评标依据，对投标人的投标文件内容按百分制打分。</w:t>
      </w:r>
    </w:p>
    <w:p w14:paraId="3353CCF0">
      <w:pPr>
        <w:pStyle w:val="42"/>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（三）评标方式：以封闭方式进行。</w:t>
      </w:r>
    </w:p>
    <w:p w14:paraId="5242712B">
      <w:pPr>
        <w:pStyle w:val="42"/>
        <w:keepNext w:val="0"/>
        <w:keepLines w:val="0"/>
        <w:pageBreakBefore w:val="0"/>
        <w:widowControl w:val="0"/>
        <w:shd w:val="clear"/>
        <w:kinsoku/>
        <w:wordWrap/>
        <w:overflowPunct/>
        <w:topLinePunct w:val="0"/>
        <w:autoSpaceDE/>
        <w:autoSpaceDN/>
        <w:bidi w:val="0"/>
        <w:adjustRightInd/>
        <w:snapToGrid/>
        <w:spacing w:line="400" w:lineRule="exact"/>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二、评标方法</w:t>
      </w:r>
    </w:p>
    <w:p w14:paraId="50DA1C4D">
      <w:pPr>
        <w:pStyle w:val="42"/>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（一）对进入详评的，采用百分制综合评分法。</w:t>
      </w:r>
    </w:p>
    <w:p w14:paraId="4B8E1422">
      <w:pPr>
        <w:pStyle w:val="42"/>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（二）计分办法（按四舍五入取至百分位）：</w:t>
      </w:r>
    </w:p>
    <w:tbl>
      <w:tblPr>
        <w:tblStyle w:val="5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943"/>
        <w:gridCol w:w="7512"/>
        <w:gridCol w:w="904"/>
      </w:tblGrid>
      <w:tr w14:paraId="75ED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35BCF1C0">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474" w:type="pct"/>
            <w:noWrap w:val="0"/>
            <w:vAlign w:val="center"/>
          </w:tcPr>
          <w:p w14:paraId="65A1F1A4">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w:t>
            </w:r>
          </w:p>
          <w:p w14:paraId="48DE795C">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因素</w:t>
            </w:r>
          </w:p>
        </w:tc>
        <w:tc>
          <w:tcPr>
            <w:tcW w:w="3774" w:type="pct"/>
            <w:noWrap w:val="0"/>
            <w:vAlign w:val="center"/>
          </w:tcPr>
          <w:p w14:paraId="3A1BA31F">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454" w:type="pct"/>
            <w:noWrap w:val="0"/>
            <w:vAlign w:val="center"/>
          </w:tcPr>
          <w:p w14:paraId="019B556B">
            <w:pPr>
              <w:keepNext w:val="0"/>
              <w:keepLines w:val="0"/>
              <w:pageBreakBefore w:val="0"/>
              <w:widowControl/>
              <w:shd w:val="clear" w:color="auto"/>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0DFA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2E01D756">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474" w:type="pct"/>
            <w:noWrap w:val="0"/>
            <w:vAlign w:val="center"/>
          </w:tcPr>
          <w:p w14:paraId="3AE77CB7">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3774" w:type="pct"/>
            <w:noWrap w:val="0"/>
            <w:vAlign w:val="top"/>
          </w:tcPr>
          <w:p w14:paraId="75B0548B">
            <w:pPr>
              <w:keepNext w:val="0"/>
              <w:keepLines w:val="0"/>
              <w:pageBreakBefore w:val="0"/>
              <w:widowControl w:val="0"/>
              <w:shd w:val="clear" w:color="auto"/>
              <w:kinsoku/>
              <w:wordWrap/>
              <w:overflowPunct/>
              <w:topLinePunct w:val="0"/>
              <w:autoSpaceDE/>
              <w:autoSpaceDN/>
              <w:bidi w:val="0"/>
              <w:adjustRightInd/>
              <w:snapToGrid/>
              <w:spacing w:line="40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符合《政府采购促进中小企业发展管理办法》（财库〔2020〕46号）的规定条件且按该办法中规定的格式提供了《中小企业声明函》的小型和微型企业，对投标价给予10%的扣除，扣除后的价格为评标价，即评标价=投标价×（1-10%）；大中型企业与小型、微型企业组成联合体投标，其中小型、微型企业的协议合同金额占到联合体协议合同总金额30%以上的，联合体投标价给予4%的扣除，扣除后的价格为评标价，即评标价=投标价×（1-4%）；除上述情况外，评标价=投标价。</w:t>
            </w:r>
          </w:p>
          <w:p w14:paraId="2917DC6F">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按照《财政部、司法部关于政府采购支持监狱企业发展有关问题的通知》（财库〔2014〕68号）之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7DBC070">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B238C60">
            <w:pPr>
              <w:keepNext w:val="0"/>
              <w:keepLines w:val="0"/>
              <w:pageBreakBefore w:val="0"/>
              <w:widowControl w:val="0"/>
              <w:shd w:val="clear" w:color="auto"/>
              <w:kinsoku/>
              <w:wordWrap/>
              <w:overflowPunct/>
              <w:topLinePunct w:val="0"/>
              <w:autoSpaceDE/>
              <w:autoSpaceDN/>
              <w:bidi w:val="0"/>
              <w:adjustRightInd/>
              <w:snapToGrid/>
              <w:spacing w:line="40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（2）以进入评标的最低的评标价为30分。</w:t>
            </w:r>
          </w:p>
          <w:p w14:paraId="7040E2E2">
            <w:pPr>
              <w:keepNext w:val="0"/>
              <w:keepLines w:val="0"/>
              <w:pageBreakBefore w:val="0"/>
              <w:widowControl w:val="0"/>
              <w:shd w:val="clear" w:color="auto"/>
              <w:kinsoku/>
              <w:wordWrap/>
              <w:overflowPunct/>
              <w:topLinePunct w:val="0"/>
              <w:autoSpaceDE/>
              <w:autoSpaceDN/>
              <w:bidi w:val="0"/>
              <w:adjustRightInd/>
              <w:snapToGrid/>
              <w:spacing w:line="40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（3）某投标人价格分 = 投标人最低评标价/某投标人评标价×30分</w:t>
            </w:r>
          </w:p>
        </w:tc>
        <w:tc>
          <w:tcPr>
            <w:tcW w:w="454" w:type="pct"/>
            <w:noWrap w:val="0"/>
            <w:vAlign w:val="center"/>
          </w:tcPr>
          <w:p w14:paraId="0F7824DA">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30</w:t>
            </w:r>
            <w:r>
              <w:rPr>
                <w:rFonts w:hint="eastAsia" w:ascii="宋体" w:hAnsi="宋体" w:eastAsia="宋体" w:cs="宋体"/>
                <w:color w:val="auto"/>
                <w:kern w:val="0"/>
                <w:szCs w:val="21"/>
                <w:highlight w:val="none"/>
              </w:rPr>
              <w:t>分</w:t>
            </w:r>
          </w:p>
        </w:tc>
      </w:tr>
      <w:tr w14:paraId="7E39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31B256F1">
            <w:pPr>
              <w:keepNext w:val="0"/>
              <w:keepLines w:val="0"/>
              <w:pageBreakBefore w:val="0"/>
              <w:widowControl/>
              <w:shd w:val="clear" w:color="auto"/>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2</w:t>
            </w:r>
          </w:p>
        </w:tc>
        <w:tc>
          <w:tcPr>
            <w:tcW w:w="474" w:type="pct"/>
            <w:noWrap w:val="0"/>
            <w:vAlign w:val="center"/>
          </w:tcPr>
          <w:p w14:paraId="0F7A4EC5">
            <w:pPr>
              <w:keepNext w:val="0"/>
              <w:keepLines w:val="0"/>
              <w:pageBreakBefore w:val="0"/>
              <w:widowControl/>
              <w:shd w:val="clear" w:color="auto"/>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技术分</w:t>
            </w:r>
          </w:p>
        </w:tc>
        <w:tc>
          <w:tcPr>
            <w:tcW w:w="4229" w:type="pct"/>
            <w:gridSpan w:val="2"/>
            <w:noWrap w:val="0"/>
            <w:vAlign w:val="center"/>
          </w:tcPr>
          <w:p w14:paraId="72FC1A9A">
            <w:pPr>
              <w:keepNext w:val="0"/>
              <w:keepLines w:val="0"/>
              <w:pageBreakBefore w:val="0"/>
              <w:widowControl/>
              <w:shd w:val="clear" w:color="auto"/>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458A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0E21E6A2">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474" w:type="pct"/>
            <w:noWrap w:val="0"/>
            <w:vAlign w:val="center"/>
          </w:tcPr>
          <w:p w14:paraId="52DD0830">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整体服务规划方案</w:t>
            </w:r>
          </w:p>
        </w:tc>
        <w:tc>
          <w:tcPr>
            <w:tcW w:w="3774" w:type="pct"/>
            <w:noWrap w:val="0"/>
            <w:vAlign w:val="center"/>
          </w:tcPr>
          <w:p w14:paraId="07928FE3">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一档（0分）：未提供完整服务方案，对项目要求、医疗辅助岗位规则、医院管理制度理解严重偏差，无实施思路，无阶段性工作安排。</w:t>
            </w:r>
          </w:p>
          <w:p w14:paraId="20A0C799">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二档（3分）：服务方案内容简略，对岗位工作内容、服务标准理解浅显，整体实施流程模糊，仅制定笼统总体思路，未划分阶段工作，针对性与可行性不足。</w:t>
            </w:r>
          </w:p>
          <w:p w14:paraId="07921216">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三档（6分）：服务方案框架完整，基本吃透项目各项要求，服务流程、工作思路清晰，划分基础工作阶段，明确常规工作节点，可满足项目基本运行需求。</w:t>
            </w:r>
          </w:p>
          <w:p w14:paraId="53055022">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四档（10分）：方案体系完整、逻辑严谨，深度结合医疗行业特性与医院管理要求，细化全流程工作阶段、明确周/月工作计划与管控节点，全流程规划贴合现场实际，落地性、适配性极强。</w:t>
            </w:r>
          </w:p>
        </w:tc>
        <w:tc>
          <w:tcPr>
            <w:tcW w:w="454" w:type="pct"/>
            <w:noWrap w:val="0"/>
            <w:vAlign w:val="center"/>
          </w:tcPr>
          <w:p w14:paraId="19189552">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分</w:t>
            </w:r>
          </w:p>
        </w:tc>
      </w:tr>
      <w:tr w14:paraId="4AB82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2F16D264">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2.2</w:t>
            </w:r>
          </w:p>
        </w:tc>
        <w:tc>
          <w:tcPr>
            <w:tcW w:w="474" w:type="pct"/>
            <w:noWrap w:val="0"/>
            <w:vAlign w:val="center"/>
          </w:tcPr>
          <w:p w14:paraId="57B6532C">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color w:val="auto"/>
                <w:kern w:val="0"/>
                <w:sz w:val="21"/>
                <w:szCs w:val="21"/>
                <w:highlight w:val="none"/>
                <w:lang w:val="en-US" w:eastAsia="zh-CN" w:bidi="ar-SA"/>
              </w:rPr>
              <w:t>人员招聘、配置与应急顶岗方案</w:t>
            </w:r>
          </w:p>
        </w:tc>
        <w:tc>
          <w:tcPr>
            <w:tcW w:w="3774" w:type="pct"/>
            <w:noWrap w:val="0"/>
            <w:vAlign w:val="center"/>
          </w:tcPr>
          <w:p w14:paraId="36E93EA0">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一档（0分）：无招聘计划、人员筛选标准及顶岗方案，无法完成人员招录与岗位补位工作，无人员储备。</w:t>
            </w:r>
          </w:p>
          <w:p w14:paraId="2A9CF2B7">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二档（3分）：招聘流程、人员任职要求描述笼统，未明确招聘时限、体检、试岗等环节，无专职招聘人员，未建立人员储备库，无应急顶岗安排。</w:t>
            </w:r>
          </w:p>
          <w:p w14:paraId="402CA367">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三档（6分）：招聘流程完整，明确人员招录条件、各环节工作要求，可按10个工作日约定时限完成人员到岗；建立基础人员储备库，储备人员≥3人，具备基础人员调配、临时顶岗措施。</w:t>
            </w:r>
          </w:p>
          <w:p w14:paraId="1689749B">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四档（10分）：招聘方案细化完善，严格落实10个工作日招录要求，人员筛选标准贴合医学、护理类岗位需求；建立专项人才储备库，储备人员≥5人，岗位空缺、人员流动等突发情况的应急顶岗流程清晰，响应高效。</w:t>
            </w:r>
          </w:p>
        </w:tc>
        <w:tc>
          <w:tcPr>
            <w:tcW w:w="454" w:type="pct"/>
            <w:noWrap w:val="0"/>
            <w:vAlign w:val="center"/>
          </w:tcPr>
          <w:p w14:paraId="00AF732B">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分</w:t>
            </w:r>
          </w:p>
        </w:tc>
      </w:tr>
      <w:tr w14:paraId="73EF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00533048">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2.3</w:t>
            </w:r>
          </w:p>
        </w:tc>
        <w:tc>
          <w:tcPr>
            <w:tcW w:w="474" w:type="pct"/>
            <w:noWrap w:val="0"/>
            <w:vAlign w:val="center"/>
          </w:tcPr>
          <w:p w14:paraId="39E4E5C4">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color w:val="auto"/>
                <w:kern w:val="0"/>
                <w:sz w:val="21"/>
                <w:szCs w:val="21"/>
                <w:highlight w:val="none"/>
                <w:lang w:val="en-US" w:eastAsia="zh-CN" w:bidi="ar-SA"/>
              </w:rPr>
              <w:t>用工、档案、薪酬社保及个税管理方案</w:t>
            </w:r>
          </w:p>
        </w:tc>
        <w:tc>
          <w:tcPr>
            <w:tcW w:w="3774" w:type="pct"/>
            <w:noWrap w:val="0"/>
            <w:vAlign w:val="center"/>
          </w:tcPr>
          <w:p w14:paraId="54B9D83D">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一档（0分）：未制定劳动合同、人员档案、薪酬社保相关管理制度及执行措施，无台账管理。</w:t>
            </w:r>
          </w:p>
          <w:p w14:paraId="3E2ACC1C">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二档（3分）：仅简单提及基础管理工作，合同签订、档案归档、工资发放、社保增减员等关键流程缺失，无标准化电子台账，管理极不规范。</w:t>
            </w:r>
          </w:p>
          <w:p w14:paraId="3044A307">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三档（6分）：用工、档案、薪酬、社保、个税管理流程齐全，明确办理时限与基本要求，建立电子+纸质双台账，档案、台账更新周期≤3个工作日，可合规开展日常管理工作。</w:t>
            </w:r>
          </w:p>
          <w:p w14:paraId="71E00C7E">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四档（10分）：全流程管理标准化、精细化，严格执行合同签订、台账更新、档案保管、工资发放、社保申报、个税代扣等规定，实行每日台账核对、实时档案更新，时效与准确率保障措施完善，有效规避各类用工风险。</w:t>
            </w:r>
          </w:p>
        </w:tc>
        <w:tc>
          <w:tcPr>
            <w:tcW w:w="454" w:type="pct"/>
            <w:noWrap w:val="0"/>
            <w:vAlign w:val="center"/>
          </w:tcPr>
          <w:p w14:paraId="67830BF7">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r>
      <w:tr w14:paraId="4E81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6ACFC5D0">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4</w:t>
            </w:r>
          </w:p>
        </w:tc>
        <w:tc>
          <w:tcPr>
            <w:tcW w:w="474" w:type="pct"/>
            <w:noWrap w:val="0"/>
            <w:vAlign w:val="center"/>
          </w:tcPr>
          <w:p w14:paraId="61BB4BE2">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color w:val="auto"/>
                <w:kern w:val="0"/>
                <w:sz w:val="21"/>
                <w:szCs w:val="21"/>
                <w:highlight w:val="none"/>
                <w:lang w:val="en-US" w:eastAsia="zh-CN" w:bidi="ar-SA"/>
              </w:rPr>
              <w:t>培训、在岗管理与风险处置方案</w:t>
            </w:r>
          </w:p>
        </w:tc>
        <w:tc>
          <w:tcPr>
            <w:tcW w:w="3774" w:type="pct"/>
            <w:noWrap w:val="0"/>
            <w:vAlign w:val="center"/>
          </w:tcPr>
          <w:p w14:paraId="22412927">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一档（0分）：无培训计划、在岗管控措施，也未制定工伤、劳动争议、隐私保护等风险处置方案，无常态化培训。</w:t>
            </w:r>
          </w:p>
          <w:p w14:paraId="645C35F4">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二档（3分）：培训内容单一，缺少医疗保密、职业纪律等核心内容；无月度在岗巡查，日常管控薄弱，工伤、劳动纠纷等处置流程模糊，风险防控能力不足。</w:t>
            </w:r>
          </w:p>
          <w:p w14:paraId="115AB583">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三档（6分）：培训体系覆盖岗前、在岗全阶段，包含岗位技能、职业道德、隐私保护等内容；每月开展不少于1次在岗巡查，考勤、人员考核制度齐全，具备基础的工伤处理、劳动争议调解流程。</w:t>
            </w:r>
          </w:p>
          <w:p w14:paraId="6DEE01F2">
            <w:pPr>
              <w:keepNext w:val="0"/>
              <w:keepLines w:val="0"/>
              <w:pageBreakBefore w:val="0"/>
              <w:widowControl w:val="0"/>
              <w:shd w:val="clear" w:color="auto"/>
              <w:kinsoku/>
              <w:wordWrap/>
              <w:overflowPunct/>
              <w:topLinePunct w:val="0"/>
              <w:autoSpaceDE/>
              <w:autoSpaceDN/>
              <w:bidi w:val="0"/>
              <w:adjustRightInd/>
              <w:snapToGrid/>
              <w:spacing w:line="400" w:lineRule="exact"/>
              <w:ind w:firstLine="0" w:firstLineChars="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四档（10分）：分层分类设置专项培训，重点强化医疗隐私保护、医患沟通、工作纪律等内容；每周开展现场巡查、每月开展全员考核；具备完善的工伤处理、劳动争议调解流程，违规问题处理流程完善，风险防控能力突出。</w:t>
            </w:r>
          </w:p>
        </w:tc>
        <w:tc>
          <w:tcPr>
            <w:tcW w:w="454" w:type="pct"/>
            <w:noWrap w:val="0"/>
            <w:vAlign w:val="center"/>
          </w:tcPr>
          <w:p w14:paraId="6DA579A4">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分</w:t>
            </w:r>
          </w:p>
        </w:tc>
      </w:tr>
      <w:tr w14:paraId="2892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15F18C35">
            <w:pPr>
              <w:keepNext w:val="0"/>
              <w:keepLines w:val="0"/>
              <w:pageBreakBefore w:val="0"/>
              <w:shd w:val="clear" w:color="auto"/>
              <w:kinsoku/>
              <w:wordWrap/>
              <w:overflowPunct/>
              <w:topLinePunct w:val="0"/>
              <w:autoSpaceDE/>
              <w:autoSpaceDN/>
              <w:bidi w:val="0"/>
              <w:adjustRightInd/>
              <w:snapToGrid/>
              <w:spacing w:line="400" w:lineRule="exact"/>
              <w:ind w:left="-105" w:leftChars="-50" w:right="-105" w:rightChars="-50"/>
              <w:jc w:val="center"/>
              <w:textAlignment w:val="baseline"/>
              <w:rPr>
                <w:rFonts w:hint="eastAsia" w:ascii="宋体" w:hAnsi="宋体" w:eastAsia="宋体" w:cs="宋体"/>
                <w:bCs/>
                <w:color w:val="auto"/>
                <w:kern w:val="0"/>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5</w:t>
            </w:r>
          </w:p>
        </w:tc>
        <w:tc>
          <w:tcPr>
            <w:tcW w:w="474" w:type="pct"/>
            <w:noWrap w:val="0"/>
            <w:vAlign w:val="center"/>
          </w:tcPr>
          <w:p w14:paraId="2F1A37C1">
            <w:pPr>
              <w:keepNext w:val="0"/>
              <w:keepLines w:val="0"/>
              <w:pageBreakBefore w:val="0"/>
              <w:shd w:val="clear" w:color="auto"/>
              <w:kinsoku/>
              <w:wordWrap/>
              <w:overflowPunct/>
              <w:topLinePunct w:val="0"/>
              <w:autoSpaceDE/>
              <w:autoSpaceDN/>
              <w:bidi w:val="0"/>
              <w:adjustRightInd/>
              <w:snapToGrid/>
              <w:spacing w:line="400" w:lineRule="exact"/>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color w:val="auto"/>
                <w:kern w:val="0"/>
                <w:sz w:val="21"/>
                <w:szCs w:val="21"/>
                <w:highlight w:val="none"/>
                <w:lang w:val="en-US" w:eastAsia="zh-CN" w:bidi="ar-SA"/>
              </w:rPr>
              <w:t>项目团队配置与服务保障承诺</w:t>
            </w:r>
          </w:p>
        </w:tc>
        <w:tc>
          <w:tcPr>
            <w:tcW w:w="3774" w:type="pct"/>
            <w:noWrap w:val="0"/>
            <w:vAlign w:val="center"/>
          </w:tcPr>
          <w:p w14:paraId="5B427FB7">
            <w:pPr>
              <w:keepNext w:val="0"/>
              <w:keepLines w:val="0"/>
              <w:pageBreakBefore w:val="0"/>
              <w:widowControl w:val="0"/>
              <w:shd w:val="clear" w:color="auto"/>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一档（0分）：未提供项目团队配置，无专职管理人员，也未作出任何履约及服务承诺。</w:t>
            </w:r>
          </w:p>
          <w:p w14:paraId="4718FEC7">
            <w:pPr>
              <w:keepNext w:val="0"/>
              <w:keepLines w:val="0"/>
              <w:pageBreakBefore w:val="0"/>
              <w:widowControl w:val="0"/>
              <w:shd w:val="clear" w:color="auto"/>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二档（3分）：团队配置简单，仅配备1名兼职对接人员，无现场驻场人员；仅提供基础履约表述，未针对医疗服务特点作出专项承诺。</w:t>
            </w:r>
          </w:p>
          <w:p w14:paraId="20B55118">
            <w:pPr>
              <w:keepNext w:val="0"/>
              <w:keepLines w:val="0"/>
              <w:pageBreakBefore w:val="0"/>
              <w:widowControl w:val="0"/>
              <w:shd w:val="clear" w:color="auto"/>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三档（6分）：配备1名专职项目对接管理人员，人员分工基本明确；履约、人员更换、隐私保护等常规承诺完整，可满足基础服务保障要求。</w:t>
            </w:r>
          </w:p>
          <w:p w14:paraId="21794CF3">
            <w:pPr>
              <w:keepNext w:val="0"/>
              <w:keepLines w:val="0"/>
              <w:pageBreakBefore w:val="0"/>
              <w:widowControl w:val="0"/>
              <w:shd w:val="clear" w:color="auto"/>
              <w:kinsoku/>
              <w:wordWrap/>
              <w:overflowPunct/>
              <w:topLinePunct w:val="0"/>
              <w:autoSpaceDE/>
              <w:autoSpaceDN/>
              <w:bidi w:val="0"/>
              <w:adjustRightInd/>
              <w:snapToGrid/>
              <w:spacing w:line="400" w:lineRule="exact"/>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四档（10分）：项目组织架构完整，配备有专职对接人员+现场驻场管理人员合计不少于2人，团队分工清晰、具备医疗辅助服务管理经验；针对人员更换、隐私保密、售后响应、违约处置等作出全面细化承诺，服务保障体系健全。</w:t>
            </w:r>
          </w:p>
        </w:tc>
        <w:tc>
          <w:tcPr>
            <w:tcW w:w="454" w:type="pct"/>
            <w:noWrap w:val="0"/>
            <w:vAlign w:val="center"/>
          </w:tcPr>
          <w:p w14:paraId="540F794F">
            <w:pPr>
              <w:keepNext w:val="0"/>
              <w:keepLines w:val="0"/>
              <w:pageBreakBefore w:val="0"/>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lang w:val="en-US" w:eastAsia="zh-CN"/>
              </w:rPr>
              <w:t>10</w:t>
            </w:r>
            <w:r>
              <w:rPr>
                <w:rFonts w:hint="eastAsia" w:ascii="宋体" w:hAnsi="宋体" w:eastAsia="宋体" w:cs="宋体"/>
                <w:bCs/>
                <w:color w:val="auto"/>
                <w:kern w:val="0"/>
                <w:szCs w:val="21"/>
                <w:highlight w:val="none"/>
              </w:rPr>
              <w:t>分</w:t>
            </w:r>
          </w:p>
        </w:tc>
      </w:tr>
      <w:tr w14:paraId="7C7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3F6530FB">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474" w:type="pct"/>
            <w:noWrap w:val="0"/>
            <w:vAlign w:val="center"/>
          </w:tcPr>
          <w:p w14:paraId="35AE818F">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商务分</w:t>
            </w:r>
          </w:p>
        </w:tc>
        <w:tc>
          <w:tcPr>
            <w:tcW w:w="4229" w:type="pct"/>
            <w:gridSpan w:val="2"/>
            <w:noWrap w:val="0"/>
            <w:vAlign w:val="center"/>
          </w:tcPr>
          <w:p w14:paraId="7E1DBCAF">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评审因素</w:t>
            </w:r>
          </w:p>
        </w:tc>
      </w:tr>
      <w:tr w14:paraId="1DA0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noWrap w:val="0"/>
            <w:vAlign w:val="center"/>
          </w:tcPr>
          <w:p w14:paraId="564EC861">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4249" w:type="pct"/>
            <w:gridSpan w:val="2"/>
            <w:noWrap w:val="0"/>
            <w:vAlign w:val="center"/>
          </w:tcPr>
          <w:p w14:paraId="7D49A86A">
            <w:pPr>
              <w:keepNext w:val="0"/>
              <w:keepLines w:val="0"/>
              <w:pageBreakBefore w:val="0"/>
              <w:widowControl w:val="0"/>
              <w:shd w:val="clear" w:color="auto"/>
              <w:kinsoku/>
              <w:wordWrap/>
              <w:overflowPunct/>
              <w:topLinePunct w:val="0"/>
              <w:autoSpaceDE/>
              <w:autoSpaceDN/>
              <w:bidi w:val="0"/>
              <w:adjustRightInd/>
              <w:snapToGrid/>
              <w:spacing w:line="400" w:lineRule="exact"/>
              <w:ind w:firstLine="420" w:firstLineChars="20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供应商自2023以来具有与本次采购类似的项目业绩的每个得2分，满分20分。（须提供合同或中标（成交）通知书复印件）</w:t>
            </w:r>
          </w:p>
        </w:tc>
        <w:tc>
          <w:tcPr>
            <w:tcW w:w="454" w:type="pct"/>
            <w:noWrap w:val="0"/>
            <w:vAlign w:val="center"/>
          </w:tcPr>
          <w:p w14:paraId="34AD8A68">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20</w:t>
            </w:r>
            <w:r>
              <w:rPr>
                <w:rFonts w:hint="eastAsia" w:ascii="宋体" w:hAnsi="宋体" w:eastAsia="宋体" w:cs="宋体"/>
                <w:color w:val="auto"/>
                <w:kern w:val="0"/>
                <w:szCs w:val="21"/>
                <w:highlight w:val="none"/>
              </w:rPr>
              <w:t>分</w:t>
            </w:r>
          </w:p>
        </w:tc>
      </w:tr>
      <w:tr w14:paraId="399A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45" w:type="pct"/>
            <w:gridSpan w:val="3"/>
            <w:noWrap w:val="0"/>
            <w:vAlign w:val="top"/>
          </w:tcPr>
          <w:p w14:paraId="638C80B4">
            <w:pPr>
              <w:keepNext w:val="0"/>
              <w:keepLines w:val="0"/>
              <w:pageBreakBefore w:val="0"/>
              <w:widowControl w:val="0"/>
              <w:shd w:val="clear" w:color="auto"/>
              <w:kinsoku/>
              <w:wordWrap/>
              <w:overflowPunct/>
              <w:topLinePunct w:val="0"/>
              <w:autoSpaceDE/>
              <w:autoSpaceDN/>
              <w:bidi w:val="0"/>
              <w:adjustRightInd/>
              <w:snapToGrid/>
              <w:spacing w:line="40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总得分＝1＋2＋3</w:t>
            </w:r>
          </w:p>
        </w:tc>
        <w:tc>
          <w:tcPr>
            <w:tcW w:w="454" w:type="pct"/>
            <w:noWrap w:val="0"/>
            <w:vAlign w:val="center"/>
          </w:tcPr>
          <w:p w14:paraId="1AB9BD26">
            <w:pPr>
              <w:keepNext w:val="0"/>
              <w:keepLines w:val="0"/>
              <w:pageBreakBefore w:val="0"/>
              <w:widowControl/>
              <w:shd w:val="clear" w:color="auto"/>
              <w:kinsoku/>
              <w:wordWrap/>
              <w:overflowPunct/>
              <w:topLinePunct w:val="0"/>
              <w:autoSpaceDE/>
              <w:autoSpaceDN/>
              <w:bidi w:val="0"/>
              <w:adjustRightInd/>
              <w:snapToGrid/>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100分</w:t>
            </w:r>
          </w:p>
        </w:tc>
      </w:tr>
    </w:tbl>
    <w:p w14:paraId="2AE0FB11">
      <w:pPr>
        <w:pStyle w:val="42"/>
        <w:keepNext w:val="0"/>
        <w:keepLines w:val="0"/>
        <w:pageBreakBefore w:val="0"/>
        <w:widowControl w:val="0"/>
        <w:shd w:val="clear"/>
        <w:kinsoku/>
        <w:wordWrap/>
        <w:overflowPunct/>
        <w:topLinePunct w:val="0"/>
        <w:autoSpaceDE/>
        <w:autoSpaceDN/>
        <w:bidi w:val="0"/>
        <w:adjustRightInd/>
        <w:snapToGrid/>
        <w:spacing w:line="400" w:lineRule="exact"/>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三、中标候选供应商推荐原则</w:t>
      </w:r>
    </w:p>
    <w:p w14:paraId="3BBB0E2A">
      <w:pPr>
        <w:pStyle w:val="42"/>
        <w:keepNext w:val="0"/>
        <w:keepLines w:val="0"/>
        <w:pageBreakBefore w:val="0"/>
        <w:widowControl w:val="0"/>
        <w:shd w:val="clear"/>
        <w:kinsoku/>
        <w:wordWrap/>
        <w:overflowPunct/>
        <w:topLinePunct w:val="0"/>
        <w:autoSpaceDE/>
        <w:autoSpaceDN/>
        <w:bidi w:val="0"/>
        <w:adjustRightInd/>
        <w:snapToGrid/>
        <w:spacing w:line="400" w:lineRule="exact"/>
        <w:ind w:left="0"/>
        <w:rPr>
          <w:rFonts w:hint="eastAsia" w:ascii="宋体" w:hAnsi="宋体" w:eastAsia="宋体" w:cs="宋体"/>
          <w:bCs/>
          <w:color w:val="auto"/>
          <w:highlight w:val="none"/>
        </w:rPr>
      </w:pPr>
      <w:r>
        <w:rPr>
          <w:rFonts w:hint="eastAsia" w:ascii="宋体" w:hAnsi="宋体" w:eastAsia="宋体" w:cs="宋体"/>
          <w:b/>
          <w:bCs/>
          <w:color w:val="auto"/>
          <w:szCs w:val="21"/>
          <w:highlight w:val="none"/>
        </w:rPr>
        <w:t xml:space="preserve">    </w:t>
      </w:r>
      <w:r>
        <w:rPr>
          <w:rFonts w:hint="eastAsia" w:ascii="宋体" w:hAnsi="宋体" w:eastAsia="宋体" w:cs="宋体"/>
          <w:bCs/>
          <w:color w:val="auto"/>
          <w:szCs w:val="21"/>
          <w:highlight w:val="none"/>
        </w:rPr>
        <w:t>（一）</w:t>
      </w:r>
      <w:r>
        <w:rPr>
          <w:rFonts w:hint="eastAsia" w:ascii="宋体" w:hAnsi="宋体" w:eastAsia="宋体" w:cs="宋体"/>
          <w:bCs/>
          <w:color w:val="auto"/>
          <w:highlight w:val="none"/>
        </w:rPr>
        <w:t>评标委员会将根据评审后得分由高到低顺序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14:paraId="484E1D08">
      <w:pPr>
        <w:pStyle w:val="42"/>
        <w:keepNext w:val="0"/>
        <w:keepLines w:val="0"/>
        <w:pageBreakBefore w:val="0"/>
        <w:widowControl w:val="0"/>
        <w:shd w:val="clear"/>
        <w:kinsoku/>
        <w:wordWrap/>
        <w:overflowPunct/>
        <w:topLinePunct w:val="0"/>
        <w:autoSpaceDE/>
        <w:autoSpaceDN/>
        <w:bidi w:val="0"/>
        <w:adjustRightInd/>
        <w:snapToGrid/>
        <w:spacing w:line="400" w:lineRule="exact"/>
        <w:ind w:left="0" w:firstLine="420" w:firstLineChars="200"/>
        <w:rPr>
          <w:rFonts w:hint="eastAsia" w:ascii="宋体" w:hAnsi="宋体" w:eastAsia="宋体" w:cs="宋体"/>
          <w:b/>
          <w:bCs/>
          <w:color w:val="auto"/>
          <w:highlight w:val="none"/>
        </w:rPr>
      </w:pPr>
      <w:r>
        <w:rPr>
          <w:rFonts w:hint="eastAsia" w:ascii="宋体" w:hAnsi="宋体" w:eastAsia="宋体" w:cs="宋体"/>
          <w:bCs/>
          <w:color w:val="auto"/>
          <w:highlight w:val="none"/>
        </w:rPr>
        <w:t>采购人应当确定评审委员会推荐排名第一的中标候选人为</w:t>
      </w:r>
      <w:r>
        <w:rPr>
          <w:rFonts w:hint="eastAsia" w:ascii="宋体" w:hAnsi="宋体" w:eastAsia="宋体" w:cs="宋体"/>
          <w:color w:val="auto"/>
          <w:highlight w:val="none"/>
        </w:rPr>
        <w:t>中标人</w:t>
      </w:r>
      <w:r>
        <w:rPr>
          <w:rFonts w:hint="eastAsia" w:ascii="宋体" w:hAnsi="宋体" w:eastAsia="宋体" w:cs="宋体"/>
          <w:bCs/>
          <w:color w:val="auto"/>
          <w:highlight w:val="none"/>
        </w:rPr>
        <w:t>。排名第一的中标候选人放弃中标、因不可抗力或者自身原因提出不能履行合同，采购人可以确定排名第二的中标候选人为</w:t>
      </w:r>
      <w:r>
        <w:rPr>
          <w:rFonts w:hint="eastAsia" w:ascii="宋体" w:hAnsi="宋体" w:eastAsia="宋体" w:cs="宋体"/>
          <w:color w:val="auto"/>
          <w:highlight w:val="none"/>
        </w:rPr>
        <w:t>中标人</w:t>
      </w:r>
      <w:r>
        <w:rPr>
          <w:rFonts w:hint="eastAsia" w:ascii="宋体" w:hAnsi="宋体" w:eastAsia="宋体" w:cs="宋体"/>
          <w:bCs/>
          <w:color w:val="auto"/>
          <w:highlight w:val="none"/>
        </w:rPr>
        <w:t>。排名第二的中标候选人因前款规定的同样原因不能签订合同的，采购人、采购代理机构可以确定排名第三的中标候选人为中标人，采购人也可以决定重新采购。对采购过程、中标结果提出的质疑，合格供应商符合法定数量时，可以从合格的中标候选人中另行确定中标供应商的，应当依法另行确定中标供应商；否则应当重新开展采购活动。</w:t>
      </w:r>
    </w:p>
    <w:p w14:paraId="7D148C42">
      <w:pPr>
        <w:pStyle w:val="42"/>
        <w:keepNext w:val="0"/>
        <w:keepLines w:val="0"/>
        <w:pageBreakBefore w:val="0"/>
        <w:widowControl w:val="0"/>
        <w:shd w:val="clear"/>
        <w:kinsoku/>
        <w:wordWrap/>
        <w:overflowPunct/>
        <w:topLinePunct w:val="0"/>
        <w:autoSpaceDE/>
        <w:autoSpaceDN/>
        <w:bidi w:val="0"/>
        <w:adjustRightInd/>
        <w:snapToGrid/>
        <w:spacing w:line="400" w:lineRule="exact"/>
        <w:ind w:left="0"/>
        <w:rPr>
          <w:rFonts w:hint="eastAsia" w:ascii="宋体" w:hAnsi="宋体" w:eastAsia="宋体" w:cs="宋体"/>
          <w:color w:val="auto"/>
          <w:highlight w:val="none"/>
        </w:rPr>
      </w:pPr>
      <w:r>
        <w:rPr>
          <w:rFonts w:hint="eastAsia" w:ascii="宋体" w:hAnsi="宋体" w:eastAsia="宋体" w:cs="宋体"/>
          <w:b/>
          <w:bCs/>
          <w:color w:val="auto"/>
          <w:highlight w:val="none"/>
        </w:rPr>
        <w:t xml:space="preserve">    </w:t>
      </w:r>
      <w:r>
        <w:rPr>
          <w:rFonts w:hint="eastAsia" w:ascii="宋体" w:hAnsi="宋体" w:eastAsia="宋体" w:cs="宋体"/>
          <w:bCs/>
          <w:color w:val="auto"/>
          <w:highlight w:val="none"/>
        </w:rPr>
        <w:t>（二）异常低价审查：具体详见第三章《投标人须知》内容。</w:t>
      </w:r>
    </w:p>
    <w:p w14:paraId="09C4E091">
      <w:pPr>
        <w:pStyle w:val="27"/>
        <w:shd w:val="clear"/>
        <w:spacing w:line="330" w:lineRule="exact"/>
        <w:jc w:val="center"/>
        <w:rPr>
          <w:rFonts w:hint="eastAsia" w:ascii="宋体" w:hAnsi="宋体" w:eastAsia="宋体" w:cs="宋体"/>
          <w:color w:val="auto"/>
          <w:highlight w:val="none"/>
        </w:rPr>
      </w:pPr>
    </w:p>
    <w:p w14:paraId="4D01A7BE">
      <w:pPr>
        <w:shd w:val="clear"/>
        <w:spacing w:line="40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27DA15F1">
      <w:pPr>
        <w:shd w:val="clear"/>
        <w:spacing w:line="400" w:lineRule="exact"/>
        <w:jc w:val="center"/>
        <w:rPr>
          <w:rFonts w:hint="eastAsia" w:ascii="宋体" w:hAnsi="宋体" w:eastAsia="宋体" w:cs="宋体"/>
          <w:color w:val="auto"/>
          <w:sz w:val="32"/>
          <w:szCs w:val="32"/>
          <w:highlight w:val="none"/>
        </w:rPr>
      </w:pPr>
    </w:p>
    <w:p w14:paraId="731A66C4">
      <w:pPr>
        <w:shd w:val="clear"/>
        <w:spacing w:line="400" w:lineRule="exact"/>
        <w:jc w:val="center"/>
        <w:rPr>
          <w:rFonts w:hint="eastAsia" w:ascii="宋体" w:hAnsi="宋体" w:eastAsia="宋体" w:cs="宋体"/>
          <w:color w:val="auto"/>
          <w:sz w:val="32"/>
          <w:szCs w:val="32"/>
          <w:highlight w:val="none"/>
        </w:rPr>
      </w:pPr>
    </w:p>
    <w:p w14:paraId="3C7080C4">
      <w:pPr>
        <w:shd w:val="clear"/>
        <w:spacing w:line="400" w:lineRule="exact"/>
        <w:jc w:val="center"/>
        <w:rPr>
          <w:rFonts w:hint="eastAsia" w:ascii="宋体" w:hAnsi="宋体" w:eastAsia="宋体" w:cs="宋体"/>
          <w:color w:val="auto"/>
          <w:sz w:val="32"/>
          <w:szCs w:val="32"/>
          <w:highlight w:val="none"/>
        </w:rPr>
      </w:pPr>
    </w:p>
    <w:p w14:paraId="2FB89D8B">
      <w:pPr>
        <w:shd w:val="clear"/>
        <w:spacing w:line="400" w:lineRule="exact"/>
        <w:jc w:val="center"/>
        <w:rPr>
          <w:rFonts w:hint="eastAsia" w:ascii="宋体" w:hAnsi="宋体" w:eastAsia="宋体" w:cs="宋体"/>
          <w:color w:val="auto"/>
          <w:sz w:val="32"/>
          <w:szCs w:val="32"/>
          <w:highlight w:val="none"/>
        </w:rPr>
      </w:pPr>
    </w:p>
    <w:p w14:paraId="6E0D2366">
      <w:pPr>
        <w:shd w:val="clear"/>
        <w:spacing w:line="400" w:lineRule="exact"/>
        <w:jc w:val="center"/>
        <w:rPr>
          <w:rFonts w:hint="eastAsia" w:ascii="宋体" w:hAnsi="宋体" w:eastAsia="宋体" w:cs="宋体"/>
          <w:color w:val="auto"/>
          <w:sz w:val="32"/>
          <w:szCs w:val="32"/>
          <w:highlight w:val="none"/>
        </w:rPr>
      </w:pPr>
    </w:p>
    <w:p w14:paraId="251B1B80">
      <w:pPr>
        <w:shd w:val="clear"/>
        <w:spacing w:line="400" w:lineRule="exact"/>
        <w:jc w:val="center"/>
        <w:rPr>
          <w:rFonts w:hint="eastAsia" w:ascii="宋体" w:hAnsi="宋体" w:eastAsia="宋体" w:cs="宋体"/>
          <w:color w:val="auto"/>
          <w:sz w:val="32"/>
          <w:szCs w:val="32"/>
          <w:highlight w:val="none"/>
        </w:rPr>
      </w:pPr>
    </w:p>
    <w:p w14:paraId="0F87589C">
      <w:pPr>
        <w:shd w:val="clear"/>
        <w:spacing w:line="400" w:lineRule="exact"/>
        <w:jc w:val="center"/>
        <w:rPr>
          <w:rFonts w:hint="eastAsia" w:ascii="宋体" w:hAnsi="宋体" w:eastAsia="宋体" w:cs="宋体"/>
          <w:color w:val="auto"/>
          <w:sz w:val="32"/>
          <w:szCs w:val="32"/>
          <w:highlight w:val="none"/>
        </w:rPr>
      </w:pPr>
    </w:p>
    <w:p w14:paraId="60E0DC13">
      <w:pPr>
        <w:shd w:val="clear"/>
        <w:spacing w:line="400" w:lineRule="exact"/>
        <w:jc w:val="center"/>
        <w:rPr>
          <w:rFonts w:hint="eastAsia" w:ascii="宋体" w:hAnsi="宋体" w:eastAsia="宋体" w:cs="宋体"/>
          <w:color w:val="auto"/>
          <w:sz w:val="32"/>
          <w:szCs w:val="32"/>
          <w:highlight w:val="none"/>
        </w:rPr>
      </w:pPr>
    </w:p>
    <w:p w14:paraId="53438AFE">
      <w:pPr>
        <w:shd w:val="clear"/>
        <w:spacing w:line="400" w:lineRule="exact"/>
        <w:jc w:val="center"/>
        <w:rPr>
          <w:rFonts w:hint="eastAsia" w:ascii="宋体" w:hAnsi="宋体" w:eastAsia="宋体" w:cs="宋体"/>
          <w:color w:val="auto"/>
          <w:sz w:val="32"/>
          <w:szCs w:val="32"/>
          <w:highlight w:val="none"/>
        </w:rPr>
      </w:pPr>
    </w:p>
    <w:p w14:paraId="5141A16D">
      <w:pPr>
        <w:shd w:val="clear"/>
        <w:spacing w:line="400" w:lineRule="exact"/>
        <w:jc w:val="center"/>
        <w:rPr>
          <w:rFonts w:hint="eastAsia" w:ascii="宋体" w:hAnsi="宋体" w:eastAsia="宋体" w:cs="宋体"/>
          <w:color w:val="auto"/>
          <w:sz w:val="32"/>
          <w:szCs w:val="32"/>
          <w:highlight w:val="none"/>
        </w:rPr>
      </w:pPr>
    </w:p>
    <w:p w14:paraId="26A7843E">
      <w:pPr>
        <w:shd w:val="clear"/>
        <w:spacing w:line="400" w:lineRule="exact"/>
        <w:jc w:val="center"/>
        <w:rPr>
          <w:rFonts w:hint="eastAsia" w:ascii="宋体" w:hAnsi="宋体" w:eastAsia="宋体" w:cs="宋体"/>
          <w:color w:val="auto"/>
          <w:sz w:val="32"/>
          <w:szCs w:val="32"/>
          <w:highlight w:val="none"/>
        </w:rPr>
      </w:pPr>
    </w:p>
    <w:p w14:paraId="5820E684">
      <w:pPr>
        <w:shd w:val="clear"/>
        <w:spacing w:line="400" w:lineRule="exact"/>
        <w:jc w:val="center"/>
        <w:rPr>
          <w:rFonts w:hint="eastAsia" w:ascii="宋体" w:hAnsi="宋体" w:eastAsia="宋体" w:cs="宋体"/>
          <w:color w:val="auto"/>
          <w:sz w:val="32"/>
          <w:szCs w:val="32"/>
          <w:highlight w:val="none"/>
        </w:rPr>
      </w:pPr>
    </w:p>
    <w:p w14:paraId="4F6A5931">
      <w:pPr>
        <w:shd w:val="clear"/>
        <w:spacing w:line="400" w:lineRule="exact"/>
        <w:jc w:val="center"/>
        <w:rPr>
          <w:rFonts w:hint="eastAsia" w:ascii="宋体" w:hAnsi="宋体" w:eastAsia="宋体" w:cs="宋体"/>
          <w:color w:val="auto"/>
          <w:sz w:val="32"/>
          <w:szCs w:val="32"/>
          <w:highlight w:val="none"/>
        </w:rPr>
      </w:pPr>
    </w:p>
    <w:p w14:paraId="2802F482">
      <w:pPr>
        <w:shd w:val="clear"/>
        <w:spacing w:line="400" w:lineRule="exact"/>
        <w:jc w:val="center"/>
        <w:rPr>
          <w:rFonts w:hint="eastAsia" w:ascii="宋体" w:hAnsi="宋体" w:eastAsia="宋体" w:cs="宋体"/>
          <w:color w:val="auto"/>
          <w:sz w:val="32"/>
          <w:szCs w:val="32"/>
          <w:highlight w:val="none"/>
        </w:rPr>
      </w:pPr>
    </w:p>
    <w:p w14:paraId="00A6FEA7">
      <w:pPr>
        <w:pStyle w:val="47"/>
        <w:shd w:val="clear"/>
        <w:rPr>
          <w:rFonts w:hint="eastAsia" w:ascii="宋体" w:hAnsi="宋体" w:eastAsia="宋体" w:cs="宋体"/>
          <w:color w:val="auto"/>
          <w:sz w:val="44"/>
          <w:szCs w:val="44"/>
          <w:highlight w:val="none"/>
        </w:rPr>
      </w:pPr>
      <w:bookmarkStart w:id="93" w:name="_Toc476436435"/>
      <w:bookmarkStart w:id="94" w:name="_Toc476436176"/>
      <w:r>
        <w:rPr>
          <w:rFonts w:hint="eastAsia" w:ascii="宋体" w:hAnsi="宋体" w:eastAsia="宋体" w:cs="宋体"/>
          <w:color w:val="auto"/>
          <w:sz w:val="44"/>
          <w:szCs w:val="44"/>
          <w:highlight w:val="none"/>
        </w:rPr>
        <w:t>第五章  政府采购合同主要条款</w:t>
      </w:r>
      <w:bookmarkEnd w:id="93"/>
      <w:bookmarkEnd w:id="94"/>
    </w:p>
    <w:p w14:paraId="35D7E864">
      <w:pPr>
        <w:pStyle w:val="27"/>
        <w:shd w:val="clear"/>
        <w:jc w:val="center"/>
        <w:rPr>
          <w:rFonts w:hint="eastAsia" w:ascii="宋体" w:hAnsi="宋体" w:eastAsia="宋体" w:cs="宋体"/>
          <w:b/>
          <w:color w:val="auto"/>
          <w:sz w:val="52"/>
          <w:szCs w:val="52"/>
          <w:highlight w:val="none"/>
        </w:rPr>
      </w:pPr>
    </w:p>
    <w:p w14:paraId="307E07FE">
      <w:pPr>
        <w:shd w:val="clear"/>
        <w:spacing w:line="340" w:lineRule="exact"/>
        <w:rPr>
          <w:rFonts w:hint="eastAsia" w:ascii="宋体" w:hAnsi="宋体" w:eastAsia="宋体" w:cs="Times New Roman"/>
          <w:color w:val="auto"/>
          <w:szCs w:val="20"/>
          <w:highlight w:val="none"/>
          <w:lang w:val="en-US" w:eastAsia="zh-CN"/>
        </w:rPr>
      </w:pPr>
      <w:r>
        <w:rPr>
          <w:rFonts w:hint="eastAsia" w:ascii="宋体" w:hAnsi="宋体" w:eastAsia="宋体" w:cs="宋体"/>
          <w:b/>
          <w:color w:val="auto"/>
          <w:sz w:val="52"/>
          <w:szCs w:val="52"/>
          <w:highlight w:val="none"/>
        </w:rPr>
        <w:br w:type="page"/>
      </w:r>
      <w:r>
        <w:rPr>
          <w:rFonts w:hint="eastAsia" w:ascii="宋体" w:hAnsi="宋体" w:cs="Times New Roman"/>
          <w:color w:val="auto"/>
          <w:szCs w:val="20"/>
          <w:highlight w:val="none"/>
          <w:lang w:val="en-US" w:eastAsia="zh-CN"/>
        </w:rPr>
        <w:t xml:space="preserve"> </w:t>
      </w:r>
    </w:p>
    <w:p w14:paraId="21A3D8A4">
      <w:pPr>
        <w:shd w:val="clear"/>
        <w:spacing w:line="340" w:lineRule="exact"/>
        <w:ind w:firstLine="5645"/>
        <w:rPr>
          <w:rFonts w:ascii="宋体" w:hAnsi="宋体" w:cs="Times New Roman"/>
          <w:b/>
          <w:bCs/>
          <w:color w:val="auto"/>
          <w:sz w:val="72"/>
          <w:szCs w:val="20"/>
          <w:highlight w:val="none"/>
        </w:rPr>
      </w:pPr>
    </w:p>
    <w:p w14:paraId="1C61B520">
      <w:pPr>
        <w:shd w:val="clear"/>
        <w:spacing w:line="340" w:lineRule="exact"/>
        <w:ind w:firstLine="5645"/>
        <w:rPr>
          <w:rFonts w:ascii="宋体" w:hAnsi="宋体" w:cs="Times New Roman"/>
          <w:b/>
          <w:bCs/>
          <w:color w:val="auto"/>
          <w:sz w:val="72"/>
          <w:szCs w:val="20"/>
          <w:highlight w:val="none"/>
        </w:rPr>
      </w:pPr>
    </w:p>
    <w:p w14:paraId="56630792">
      <w:pPr>
        <w:shd w:val="clear"/>
        <w:spacing w:line="840" w:lineRule="exact"/>
        <w:ind w:firstLine="5645"/>
        <w:rPr>
          <w:rFonts w:ascii="宋体" w:hAnsi="宋体" w:cs="Times New Roman"/>
          <w:b/>
          <w:bCs/>
          <w:color w:val="auto"/>
          <w:sz w:val="72"/>
          <w:szCs w:val="20"/>
          <w:highlight w:val="none"/>
        </w:rPr>
      </w:pPr>
    </w:p>
    <w:p w14:paraId="11D0D0AB">
      <w:pPr>
        <w:shd w:val="clear"/>
        <w:spacing w:line="840" w:lineRule="exact"/>
        <w:ind w:firstLine="3188" w:firstLineChars="441"/>
        <w:rPr>
          <w:rFonts w:ascii="宋体" w:hAnsi="宋体" w:cs="Times New Roman"/>
          <w:b/>
          <w:bCs/>
          <w:color w:val="auto"/>
          <w:sz w:val="72"/>
          <w:szCs w:val="20"/>
          <w:highlight w:val="none"/>
        </w:rPr>
      </w:pPr>
      <w:r>
        <w:rPr>
          <w:rFonts w:hint="eastAsia" w:ascii="宋体" w:hAnsi="宋体" w:cs="Times New Roman"/>
          <w:b/>
          <w:bCs/>
          <w:color w:val="auto"/>
          <w:sz w:val="72"/>
          <w:szCs w:val="20"/>
          <w:highlight w:val="none"/>
        </w:rPr>
        <w:t>采购合同书</w:t>
      </w:r>
    </w:p>
    <w:p w14:paraId="2F63D513">
      <w:pPr>
        <w:shd w:val="clear"/>
        <w:spacing w:line="340" w:lineRule="exact"/>
        <w:ind w:firstLine="2519"/>
        <w:rPr>
          <w:rFonts w:ascii="宋体" w:hAnsi="宋体" w:cs="Times New Roman"/>
          <w:color w:val="auto"/>
          <w:szCs w:val="20"/>
          <w:highlight w:val="none"/>
        </w:rPr>
      </w:pPr>
    </w:p>
    <w:p w14:paraId="278BBD6E">
      <w:pPr>
        <w:shd w:val="clear"/>
        <w:spacing w:line="340" w:lineRule="exact"/>
        <w:ind w:firstLine="2519"/>
        <w:rPr>
          <w:rFonts w:ascii="宋体" w:hAnsi="宋体" w:cs="Times New Roman"/>
          <w:color w:val="auto"/>
          <w:szCs w:val="20"/>
          <w:highlight w:val="none"/>
        </w:rPr>
      </w:pPr>
    </w:p>
    <w:p w14:paraId="62ED32BE">
      <w:pPr>
        <w:shd w:val="clear"/>
        <w:spacing w:line="340" w:lineRule="exact"/>
        <w:ind w:firstLine="2519"/>
        <w:rPr>
          <w:rFonts w:ascii="宋体" w:hAnsi="宋体" w:cs="Times New Roman"/>
          <w:color w:val="auto"/>
          <w:szCs w:val="20"/>
          <w:highlight w:val="none"/>
        </w:rPr>
      </w:pPr>
    </w:p>
    <w:p w14:paraId="7FDB7FB5">
      <w:pPr>
        <w:shd w:val="clear"/>
        <w:spacing w:line="340" w:lineRule="exact"/>
        <w:ind w:firstLine="2519"/>
        <w:rPr>
          <w:rFonts w:ascii="宋体" w:hAnsi="宋体" w:cs="Times New Roman"/>
          <w:color w:val="auto"/>
          <w:szCs w:val="20"/>
          <w:highlight w:val="none"/>
        </w:rPr>
      </w:pPr>
    </w:p>
    <w:p w14:paraId="40917B59">
      <w:pPr>
        <w:shd w:val="clear"/>
        <w:spacing w:line="340" w:lineRule="exact"/>
        <w:ind w:firstLine="2519"/>
        <w:rPr>
          <w:rFonts w:ascii="宋体" w:hAnsi="宋体" w:cs="Times New Roman"/>
          <w:color w:val="auto"/>
          <w:szCs w:val="20"/>
          <w:highlight w:val="none"/>
        </w:rPr>
      </w:pPr>
    </w:p>
    <w:p w14:paraId="59CEF389">
      <w:pPr>
        <w:shd w:val="clear"/>
        <w:spacing w:line="340" w:lineRule="exact"/>
        <w:ind w:firstLine="2519"/>
        <w:rPr>
          <w:rFonts w:ascii="宋体" w:hAnsi="宋体" w:cs="Times New Roman"/>
          <w:color w:val="auto"/>
          <w:szCs w:val="20"/>
          <w:highlight w:val="none"/>
        </w:rPr>
      </w:pPr>
    </w:p>
    <w:p w14:paraId="4D81B9E0">
      <w:pPr>
        <w:shd w:val="clear"/>
        <w:spacing w:line="340" w:lineRule="exact"/>
        <w:ind w:firstLine="2519"/>
        <w:rPr>
          <w:rFonts w:ascii="宋体" w:hAnsi="宋体" w:cs="Times New Roman"/>
          <w:color w:val="auto"/>
          <w:szCs w:val="20"/>
          <w:highlight w:val="none"/>
        </w:rPr>
      </w:pPr>
    </w:p>
    <w:p w14:paraId="2369BB96">
      <w:pPr>
        <w:shd w:val="clear"/>
        <w:spacing w:line="340" w:lineRule="exact"/>
        <w:ind w:firstLine="2519"/>
        <w:rPr>
          <w:rFonts w:ascii="宋体" w:hAnsi="宋体" w:cs="Times New Roman"/>
          <w:color w:val="auto"/>
          <w:szCs w:val="20"/>
          <w:highlight w:val="none"/>
        </w:rPr>
      </w:pPr>
    </w:p>
    <w:p w14:paraId="6EFB23A6">
      <w:pPr>
        <w:shd w:val="clear"/>
        <w:spacing w:line="340" w:lineRule="exact"/>
        <w:ind w:firstLine="2519"/>
        <w:rPr>
          <w:rFonts w:ascii="宋体" w:hAnsi="宋体" w:cs="Times New Roman"/>
          <w:color w:val="auto"/>
          <w:szCs w:val="20"/>
          <w:highlight w:val="none"/>
        </w:rPr>
      </w:pPr>
    </w:p>
    <w:p w14:paraId="21C1FB5B">
      <w:pPr>
        <w:shd w:val="clear"/>
        <w:spacing w:line="340" w:lineRule="exact"/>
        <w:ind w:firstLine="2204"/>
        <w:rPr>
          <w:rFonts w:ascii="宋体" w:hAnsi="宋体" w:cs="Times New Roman"/>
          <w:color w:val="auto"/>
          <w:sz w:val="28"/>
          <w:szCs w:val="28"/>
          <w:highlight w:val="none"/>
        </w:rPr>
      </w:pPr>
    </w:p>
    <w:p w14:paraId="72A14E14">
      <w:pPr>
        <w:shd w:val="clear"/>
        <w:spacing w:line="280" w:lineRule="exact"/>
        <w:ind w:firstLine="2502" w:firstLineChars="890"/>
        <w:rPr>
          <w:rFonts w:ascii="宋体" w:hAnsi="宋体" w:cs="Times New Roman"/>
          <w:b/>
          <w:color w:val="auto"/>
          <w:sz w:val="28"/>
          <w:szCs w:val="28"/>
          <w:highlight w:val="none"/>
        </w:rPr>
      </w:pPr>
    </w:p>
    <w:p w14:paraId="5D4FA9E1">
      <w:pPr>
        <w:shd w:val="clear"/>
        <w:spacing w:line="360" w:lineRule="auto"/>
        <w:ind w:left="0" w:leftChars="0" w:firstLine="643" w:firstLineChars="200"/>
        <w:rPr>
          <w:rFonts w:hint="eastAsia" w:ascii="宋体" w:hAnsi="宋体" w:eastAsia="宋体" w:cs="Times New Roman"/>
          <w:b/>
          <w:color w:val="auto"/>
          <w:sz w:val="32"/>
          <w:szCs w:val="28"/>
          <w:highlight w:val="none"/>
          <w:lang w:eastAsia="zh-CN"/>
        </w:rPr>
      </w:pPr>
      <w:r>
        <w:rPr>
          <w:rFonts w:hint="eastAsia" w:ascii="宋体" w:hAnsi="宋体" w:cs="Times New Roman"/>
          <w:b/>
          <w:color w:val="auto"/>
          <w:sz w:val="32"/>
          <w:szCs w:val="28"/>
          <w:highlight w:val="none"/>
        </w:rPr>
        <w:t>合同名称：</w:t>
      </w:r>
      <w:r>
        <w:rPr>
          <w:rFonts w:hint="eastAsia" w:ascii="宋体" w:hAnsi="宋体" w:cs="Times New Roman"/>
          <w:b/>
          <w:color w:val="auto"/>
          <w:sz w:val="32"/>
          <w:szCs w:val="28"/>
          <w:highlight w:val="none"/>
          <w:lang w:eastAsia="zh-CN"/>
        </w:rPr>
        <w:t>广西壮族自治区妇幼保健院医疗辅助服务项目</w:t>
      </w:r>
    </w:p>
    <w:p w14:paraId="763D10CC">
      <w:pPr>
        <w:shd w:val="clear"/>
        <w:spacing w:line="360" w:lineRule="auto"/>
        <w:ind w:firstLine="643" w:firstLineChars="200"/>
        <w:rPr>
          <w:rFonts w:ascii="宋体" w:hAnsi="宋体" w:cs="Times New Roman"/>
          <w:b/>
          <w:color w:val="auto"/>
          <w:sz w:val="32"/>
          <w:szCs w:val="28"/>
          <w:highlight w:val="none"/>
        </w:rPr>
      </w:pPr>
      <w:r>
        <w:rPr>
          <w:rFonts w:hint="eastAsia" w:ascii="宋体" w:hAnsi="宋体" w:cs="Times New Roman"/>
          <w:b/>
          <w:color w:val="auto"/>
          <w:sz w:val="32"/>
          <w:szCs w:val="28"/>
          <w:highlight w:val="none"/>
        </w:rPr>
        <w:t>项目编号：</w:t>
      </w:r>
    </w:p>
    <w:p w14:paraId="52BBA46C">
      <w:pPr>
        <w:shd w:val="clear"/>
        <w:spacing w:line="360" w:lineRule="auto"/>
        <w:ind w:firstLine="643" w:firstLineChars="200"/>
        <w:rPr>
          <w:rFonts w:hint="eastAsia" w:ascii="宋体" w:hAnsi="宋体" w:cs="Times New Roman"/>
          <w:b/>
          <w:color w:val="auto"/>
          <w:sz w:val="32"/>
          <w:szCs w:val="28"/>
          <w:highlight w:val="none"/>
        </w:rPr>
      </w:pPr>
      <w:r>
        <w:rPr>
          <w:rFonts w:hint="eastAsia" w:ascii="宋体" w:hAnsi="宋体" w:cs="Times New Roman"/>
          <w:b/>
          <w:color w:val="auto"/>
          <w:sz w:val="32"/>
          <w:szCs w:val="28"/>
          <w:highlight w:val="none"/>
        </w:rPr>
        <w:t>合同编号：</w:t>
      </w:r>
    </w:p>
    <w:p w14:paraId="0B66AD56">
      <w:pPr>
        <w:shd w:val="clear"/>
        <w:spacing w:line="360" w:lineRule="auto"/>
        <w:ind w:firstLine="643" w:firstLineChars="200"/>
        <w:rPr>
          <w:rFonts w:ascii="宋体" w:hAnsi="宋体" w:cs="Times New Roman"/>
          <w:b/>
          <w:color w:val="auto"/>
          <w:sz w:val="32"/>
          <w:szCs w:val="28"/>
          <w:highlight w:val="none"/>
        </w:rPr>
      </w:pPr>
      <w:r>
        <w:rPr>
          <w:rFonts w:hint="eastAsia" w:ascii="宋体" w:hAnsi="宋体" w:cs="Times New Roman"/>
          <w:b/>
          <w:color w:val="auto"/>
          <w:sz w:val="32"/>
          <w:szCs w:val="28"/>
          <w:highlight w:val="none"/>
        </w:rPr>
        <w:t>需方（甲方）：广西壮族自治区妇幼保健院</w:t>
      </w:r>
    </w:p>
    <w:p w14:paraId="3FFDA638">
      <w:pPr>
        <w:shd w:val="clear"/>
        <w:spacing w:line="360" w:lineRule="auto"/>
        <w:ind w:firstLine="643" w:firstLineChars="200"/>
        <w:rPr>
          <w:rFonts w:ascii="宋体" w:hAnsi="宋体" w:cs="Times New Roman"/>
          <w:b/>
          <w:color w:val="auto"/>
          <w:sz w:val="32"/>
          <w:szCs w:val="28"/>
          <w:highlight w:val="none"/>
        </w:rPr>
      </w:pPr>
      <w:r>
        <w:rPr>
          <w:rFonts w:hint="eastAsia" w:ascii="宋体" w:hAnsi="宋体" w:cs="Times New Roman"/>
          <w:b/>
          <w:color w:val="auto"/>
          <w:sz w:val="32"/>
          <w:szCs w:val="28"/>
          <w:highlight w:val="none"/>
        </w:rPr>
        <w:t>供方（乙方）：</w:t>
      </w:r>
    </w:p>
    <w:p w14:paraId="4C544A11">
      <w:pPr>
        <w:shd w:val="clear"/>
        <w:spacing w:line="360" w:lineRule="auto"/>
        <w:ind w:firstLine="643" w:firstLineChars="200"/>
        <w:rPr>
          <w:rFonts w:ascii="宋体" w:hAnsi="宋体" w:cs="Times New Roman"/>
          <w:b/>
          <w:color w:val="auto"/>
          <w:sz w:val="32"/>
          <w:szCs w:val="28"/>
          <w:highlight w:val="none"/>
        </w:rPr>
      </w:pPr>
    </w:p>
    <w:p w14:paraId="6CB4FA58">
      <w:pPr>
        <w:shd w:val="clear"/>
        <w:spacing w:line="360" w:lineRule="auto"/>
        <w:ind w:firstLine="643" w:firstLineChars="200"/>
        <w:rPr>
          <w:rFonts w:ascii="宋体" w:hAnsi="宋体" w:cs="Times New Roman"/>
          <w:b/>
          <w:color w:val="auto"/>
          <w:sz w:val="32"/>
          <w:szCs w:val="28"/>
          <w:highlight w:val="none"/>
        </w:rPr>
      </w:pPr>
    </w:p>
    <w:p w14:paraId="199F7AA6">
      <w:pPr>
        <w:shd w:val="clear"/>
        <w:spacing w:line="360" w:lineRule="auto"/>
        <w:ind w:firstLine="643" w:firstLineChars="200"/>
        <w:rPr>
          <w:rFonts w:ascii="宋体" w:hAnsi="宋体" w:cs="Times New Roman"/>
          <w:b/>
          <w:color w:val="auto"/>
          <w:sz w:val="32"/>
          <w:szCs w:val="28"/>
          <w:highlight w:val="none"/>
        </w:rPr>
      </w:pPr>
      <w:r>
        <w:rPr>
          <w:rFonts w:hint="eastAsia" w:ascii="宋体" w:hAnsi="宋体" w:cs="Times New Roman"/>
          <w:b/>
          <w:color w:val="auto"/>
          <w:sz w:val="32"/>
          <w:szCs w:val="28"/>
          <w:highlight w:val="none"/>
        </w:rPr>
        <w:t>签 订 地 点：广西壮族自治区妇幼保健院</w:t>
      </w:r>
    </w:p>
    <w:p w14:paraId="7CE36DAD">
      <w:pPr>
        <w:shd w:val="clear"/>
        <w:spacing w:line="360" w:lineRule="auto"/>
        <w:ind w:firstLine="643" w:firstLineChars="200"/>
        <w:rPr>
          <w:rFonts w:ascii="宋体" w:hAnsi="宋体" w:cs="Times New Roman"/>
          <w:b/>
          <w:color w:val="auto"/>
          <w:sz w:val="32"/>
          <w:szCs w:val="28"/>
          <w:highlight w:val="none"/>
        </w:rPr>
      </w:pPr>
      <w:r>
        <w:rPr>
          <w:rFonts w:hint="eastAsia" w:ascii="宋体" w:hAnsi="宋体" w:cs="Times New Roman"/>
          <w:b/>
          <w:color w:val="auto"/>
          <w:sz w:val="32"/>
          <w:szCs w:val="28"/>
          <w:highlight w:val="none"/>
        </w:rPr>
        <w:t>签订合同时间：</w:t>
      </w:r>
      <w:r>
        <w:rPr>
          <w:rFonts w:hint="eastAsia" w:ascii="宋体" w:hAnsi="宋体" w:cs="Times New Roman"/>
          <w:b/>
          <w:color w:val="auto"/>
          <w:sz w:val="32"/>
          <w:szCs w:val="28"/>
          <w:highlight w:val="none"/>
          <w:lang w:val="en-US" w:eastAsia="zh-CN"/>
        </w:rPr>
        <w:t>2026</w:t>
      </w:r>
      <w:r>
        <w:rPr>
          <w:rFonts w:hint="eastAsia" w:ascii="宋体" w:hAnsi="宋体" w:cs="Times New Roman"/>
          <w:b/>
          <w:color w:val="auto"/>
          <w:sz w:val="32"/>
          <w:szCs w:val="28"/>
          <w:highlight w:val="none"/>
        </w:rPr>
        <w:t>年</w:t>
      </w:r>
      <w:r>
        <w:rPr>
          <w:rFonts w:hint="eastAsia" w:ascii="宋体" w:hAnsi="宋体" w:cs="Times New Roman"/>
          <w:b/>
          <w:color w:val="auto"/>
          <w:sz w:val="32"/>
          <w:szCs w:val="28"/>
          <w:highlight w:val="none"/>
          <w:lang w:val="en-US" w:eastAsia="zh-CN"/>
        </w:rPr>
        <w:t xml:space="preserve">  </w:t>
      </w:r>
      <w:r>
        <w:rPr>
          <w:rFonts w:hint="eastAsia" w:ascii="宋体" w:hAnsi="宋体" w:cs="Times New Roman"/>
          <w:b/>
          <w:color w:val="auto"/>
          <w:sz w:val="32"/>
          <w:szCs w:val="28"/>
          <w:highlight w:val="none"/>
        </w:rPr>
        <w:t xml:space="preserve">月 </w:t>
      </w:r>
      <w:r>
        <w:rPr>
          <w:rFonts w:ascii="宋体" w:hAnsi="宋体" w:cs="Times New Roman"/>
          <w:b/>
          <w:color w:val="auto"/>
          <w:sz w:val="32"/>
          <w:szCs w:val="28"/>
          <w:highlight w:val="none"/>
        </w:rPr>
        <w:t xml:space="preserve"> </w:t>
      </w:r>
      <w:r>
        <w:rPr>
          <w:rFonts w:hint="eastAsia" w:ascii="宋体" w:hAnsi="宋体" w:cs="Times New Roman"/>
          <w:b/>
          <w:color w:val="auto"/>
          <w:sz w:val="32"/>
          <w:szCs w:val="28"/>
          <w:highlight w:val="none"/>
        </w:rPr>
        <w:t xml:space="preserve"> </w:t>
      </w:r>
      <w:r>
        <w:rPr>
          <w:rFonts w:ascii="宋体" w:hAnsi="宋体" w:cs="Times New Roman"/>
          <w:b/>
          <w:color w:val="auto"/>
          <w:sz w:val="32"/>
          <w:szCs w:val="28"/>
          <w:highlight w:val="none"/>
        </w:rPr>
        <w:t xml:space="preserve"> </w:t>
      </w:r>
      <w:r>
        <w:rPr>
          <w:rFonts w:hint="eastAsia" w:ascii="宋体" w:hAnsi="宋体" w:cs="Times New Roman"/>
          <w:b/>
          <w:color w:val="auto"/>
          <w:sz w:val="32"/>
          <w:szCs w:val="28"/>
          <w:highlight w:val="none"/>
        </w:rPr>
        <w:t>日</w:t>
      </w:r>
    </w:p>
    <w:p w14:paraId="5A0AC88F">
      <w:pPr>
        <w:widowControl/>
        <w:shd w:val="clear"/>
        <w:ind w:firstLine="2509"/>
        <w:jc w:val="left"/>
        <w:rPr>
          <w:rFonts w:ascii="宋体" w:hAnsi="宋体" w:cs="Times New Roman"/>
          <w:b/>
          <w:bCs/>
          <w:color w:val="auto"/>
          <w:sz w:val="32"/>
          <w:szCs w:val="32"/>
          <w:highlight w:val="none"/>
        </w:rPr>
      </w:pPr>
      <w:r>
        <w:rPr>
          <w:rFonts w:ascii="宋体" w:hAnsi="宋体" w:cs="Times New Roman"/>
          <w:b/>
          <w:bCs/>
          <w:color w:val="auto"/>
          <w:sz w:val="32"/>
          <w:szCs w:val="32"/>
          <w:highlight w:val="none"/>
        </w:rPr>
        <w:br w:type="page"/>
      </w:r>
    </w:p>
    <w:p w14:paraId="5D61756F">
      <w:pPr>
        <w:keepNext/>
        <w:keepLines/>
        <w:pageBreakBefore w:val="0"/>
        <w:widowControl w:val="0"/>
        <w:shd w:val="clear"/>
        <w:kinsoku/>
        <w:wordWrap/>
        <w:overflowPunct/>
        <w:topLinePunct w:val="0"/>
        <w:autoSpaceDE/>
        <w:autoSpaceDN/>
        <w:bidi w:val="0"/>
        <w:adjustRightInd/>
        <w:snapToGrid/>
        <w:spacing w:before="240" w:after="240" w:line="440" w:lineRule="exact"/>
        <w:jc w:val="center"/>
        <w:textAlignment w:val="auto"/>
        <w:outlineLvl w:val="0"/>
        <w:rPr>
          <w:rFonts w:ascii="宋体" w:hAnsi="宋体" w:cs="Courier New"/>
          <w:b/>
          <w:color w:val="auto"/>
          <w:sz w:val="30"/>
          <w:szCs w:val="30"/>
          <w:highlight w:val="none"/>
        </w:rPr>
      </w:pPr>
      <w:r>
        <w:rPr>
          <w:rFonts w:hint="eastAsia" w:ascii="宋体" w:hAnsi="宋体" w:cs="Times New Roman"/>
          <w:b/>
          <w:bCs/>
          <w:color w:val="auto"/>
          <w:kern w:val="44"/>
          <w:sz w:val="30"/>
          <w:szCs w:val="30"/>
          <w:highlight w:val="none"/>
        </w:rPr>
        <w:t>合同文本</w:t>
      </w:r>
    </w:p>
    <w:p w14:paraId="70C02CB1">
      <w:pPr>
        <w:keepNext w:val="0"/>
        <w:keepLines w:val="0"/>
        <w:pageBreakBefore w:val="0"/>
        <w:shd w:val="clear"/>
        <w:kinsoku/>
        <w:wordWrap/>
        <w:overflowPunct/>
        <w:topLinePunct w:val="0"/>
        <w:bidi w:val="0"/>
        <w:adjustRightInd/>
        <w:snapToGrid/>
        <w:spacing w:line="400" w:lineRule="exact"/>
        <w:ind w:right="8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采购计划号：</w:t>
      </w:r>
      <w:r>
        <w:rPr>
          <w:rFonts w:hint="eastAsia" w:ascii="宋体" w:hAnsi="宋体" w:eastAsia="宋体" w:cs="宋体"/>
          <w:color w:val="auto"/>
          <w:sz w:val="21"/>
          <w:szCs w:val="21"/>
          <w:highlight w:val="none"/>
          <w:u w:val="single"/>
        </w:rPr>
        <w:t>广西政采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号</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合同编号：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1CBC003">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采购人（甲方）：</w:t>
      </w:r>
      <w:r>
        <w:rPr>
          <w:rFonts w:hint="eastAsia" w:ascii="宋体" w:hAnsi="宋体" w:eastAsia="宋体" w:cs="宋体"/>
          <w:color w:val="auto"/>
          <w:sz w:val="21"/>
          <w:szCs w:val="21"/>
          <w:highlight w:val="none"/>
          <w:u w:val="single"/>
        </w:rPr>
        <w:t>广西壮族自治区妇幼保健院</w:t>
      </w:r>
      <w:r>
        <w:rPr>
          <w:rFonts w:hint="eastAsia" w:ascii="宋体" w:hAnsi="宋体" w:eastAsia="宋体" w:cs="宋体"/>
          <w:color w:val="auto"/>
          <w:sz w:val="21"/>
          <w:szCs w:val="21"/>
          <w:highlight w:val="none"/>
        </w:rPr>
        <w:t xml:space="preserve">         </w:t>
      </w:r>
    </w:p>
    <w:p w14:paraId="07382D96">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供应商（乙方）：</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4D04E61D">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u w:val="single"/>
          <w:lang w:eastAsia="zh-CN"/>
        </w:rPr>
        <w:t>广西壮族自治区妇幼保健院医疗辅助服务项目（重）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70D8E4AE">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p>
    <w:p w14:paraId="2909ADEA">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签订地点：</w:t>
      </w:r>
      <w:r>
        <w:rPr>
          <w:rFonts w:hint="eastAsia" w:ascii="宋体" w:hAnsi="宋体" w:eastAsia="宋体" w:cs="宋体"/>
          <w:color w:val="auto"/>
          <w:sz w:val="21"/>
          <w:szCs w:val="21"/>
          <w:highlight w:val="none"/>
          <w:u w:val="single"/>
        </w:rPr>
        <w:t>广西壮族自治区妇幼保健院指定地点</w:t>
      </w:r>
      <w:r>
        <w:rPr>
          <w:rFonts w:hint="eastAsia" w:ascii="宋体" w:hAnsi="宋体" w:eastAsia="宋体" w:cs="宋体"/>
          <w:color w:val="auto"/>
          <w:sz w:val="21"/>
          <w:szCs w:val="21"/>
          <w:highlight w:val="none"/>
        </w:rPr>
        <w:t xml:space="preserve">        签订时间：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u w:val="single"/>
        </w:rPr>
        <w:t xml:space="preserve">年   月     日   </w:t>
      </w:r>
    </w:p>
    <w:p w14:paraId="6EBC7899">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本合同为中小企业预留合同：</w:t>
      </w:r>
      <w:r>
        <w:rPr>
          <w:rFonts w:hint="eastAsia" w:ascii="宋体" w:hAnsi="宋体" w:eastAsia="宋体" w:cs="宋体"/>
          <w:color w:val="auto"/>
          <w:sz w:val="21"/>
          <w:szCs w:val="21"/>
          <w:highlight w:val="none"/>
          <w:u w:val="single"/>
        </w:rPr>
        <w:t>（否）</w:t>
      </w:r>
      <w:r>
        <w:rPr>
          <w:rFonts w:hint="eastAsia" w:ascii="宋体" w:hAnsi="宋体" w:eastAsia="宋体" w:cs="宋体"/>
          <w:color w:val="auto"/>
          <w:sz w:val="21"/>
          <w:szCs w:val="21"/>
          <w:highlight w:val="none"/>
        </w:rPr>
        <w:t>。</w:t>
      </w:r>
    </w:p>
    <w:p w14:paraId="6975DB10">
      <w:pPr>
        <w:keepNext w:val="0"/>
        <w:keepLines w:val="0"/>
        <w:pageBreakBefore w:val="0"/>
        <w:shd w:val="clear"/>
        <w:kinsoku/>
        <w:wordWrap/>
        <w:overflowPunct/>
        <w:topLinePunct w:val="0"/>
        <w:bidi w:val="0"/>
        <w:adjustRightInd/>
        <w:snapToGrid/>
        <w:spacing w:line="400" w:lineRule="exact"/>
        <w:rPr>
          <w:rFonts w:hint="eastAsia" w:ascii="宋体" w:hAnsi="宋体" w:eastAsia="宋体" w:cs="宋体"/>
          <w:color w:val="auto"/>
          <w:sz w:val="21"/>
          <w:szCs w:val="21"/>
          <w:highlight w:val="none"/>
        </w:rPr>
      </w:pPr>
    </w:p>
    <w:p w14:paraId="7DB32449">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根据《中华人民共和国政府采购法》、《中华人民共和国民法典》等法律、法规规定，按照响应文件（招标文件）规定条款和中标（成交）供应商承诺，甲乙双方签订本合同。</w:t>
      </w:r>
      <w:r>
        <w:rPr>
          <w:rFonts w:hint="eastAsia" w:ascii="宋体" w:hAnsi="宋体" w:eastAsia="宋体" w:cs="宋体"/>
          <w:color w:val="auto"/>
          <w:sz w:val="21"/>
          <w:szCs w:val="21"/>
          <w:highlight w:val="none"/>
          <w:lang w:val="en-US" w:eastAsia="zh-CN"/>
        </w:rPr>
        <w:t xml:space="preserve"> </w:t>
      </w:r>
    </w:p>
    <w:p w14:paraId="3FA0E882">
      <w:pPr>
        <w:keepNext w:val="0"/>
        <w:keepLines w:val="0"/>
        <w:pageBreakBefore w:val="0"/>
        <w:numPr>
          <w:ilvl w:val="0"/>
          <w:numId w:val="0"/>
        </w:numPr>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kern w:val="2"/>
          <w:sz w:val="21"/>
          <w:szCs w:val="21"/>
          <w:highlight w:val="none"/>
          <w:lang w:val="en-US" w:eastAsia="zh-CN" w:bidi="ar-SA"/>
        </w:rPr>
        <w:t>第一条　</w:t>
      </w:r>
      <w:r>
        <w:rPr>
          <w:rFonts w:hint="eastAsia" w:ascii="宋体" w:hAnsi="宋体" w:eastAsia="宋体" w:cs="宋体"/>
          <w:b/>
          <w:color w:val="auto"/>
          <w:sz w:val="21"/>
          <w:szCs w:val="21"/>
          <w:highlight w:val="none"/>
        </w:rPr>
        <w:t>合同标的</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64"/>
        <w:gridCol w:w="660"/>
        <w:gridCol w:w="975"/>
        <w:gridCol w:w="1185"/>
        <w:gridCol w:w="1770"/>
        <w:gridCol w:w="3225"/>
      </w:tblGrid>
      <w:tr w14:paraId="6323D0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764" w:type="dxa"/>
            <w:tcBorders>
              <w:top w:val="single" w:color="auto" w:sz="4" w:space="0"/>
              <w:left w:val="single" w:color="auto" w:sz="4" w:space="0"/>
              <w:bottom w:val="single" w:color="auto" w:sz="4" w:space="0"/>
              <w:right w:val="single" w:color="auto" w:sz="4" w:space="0"/>
            </w:tcBorders>
            <w:noWrap w:val="0"/>
            <w:vAlign w:val="center"/>
          </w:tcPr>
          <w:p w14:paraId="3710F160">
            <w:pPr>
              <w:shd w:val="clea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服务名称</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4BCA4281">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岗位</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0F572BC">
            <w:pPr>
              <w:shd w:val="clear"/>
              <w:snapToGrid w:val="0"/>
              <w:spacing w:before="50" w:after="50" w:line="3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人数（人）①</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1939AD">
            <w:pPr>
              <w:shd w:val="clear"/>
              <w:snapToGrid w:val="0"/>
              <w:spacing w:before="50" w:after="50" w:line="3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月数②</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4DA41E22">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单价</w:t>
            </w:r>
          </w:p>
          <w:p w14:paraId="408FF583">
            <w:pPr>
              <w:shd w:val="clea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（元/人/月）③</w:t>
            </w:r>
          </w:p>
        </w:tc>
        <w:tc>
          <w:tcPr>
            <w:tcW w:w="3225" w:type="dxa"/>
            <w:tcBorders>
              <w:top w:val="single" w:color="auto" w:sz="4" w:space="0"/>
              <w:left w:val="single" w:color="auto" w:sz="4" w:space="0"/>
              <w:bottom w:val="single" w:color="auto" w:sz="4" w:space="0"/>
              <w:right w:val="single" w:color="auto" w:sz="4" w:space="0"/>
            </w:tcBorders>
            <w:noWrap w:val="0"/>
            <w:vAlign w:val="center"/>
          </w:tcPr>
          <w:p w14:paraId="6BF5DC10">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总价（元）</w:t>
            </w:r>
          </w:p>
          <w:p w14:paraId="141786DC">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④=①×②×③</w:t>
            </w:r>
          </w:p>
        </w:tc>
      </w:tr>
      <w:tr w14:paraId="71AA20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764" w:type="dxa"/>
            <w:tcBorders>
              <w:top w:val="single" w:color="auto" w:sz="4" w:space="0"/>
              <w:left w:val="single" w:color="auto" w:sz="4" w:space="0"/>
              <w:bottom w:val="single" w:color="auto" w:sz="4" w:space="0"/>
              <w:right w:val="single" w:color="auto" w:sz="4" w:space="0"/>
            </w:tcBorders>
            <w:noWrap w:val="0"/>
            <w:vAlign w:val="center"/>
          </w:tcPr>
          <w:p w14:paraId="49602F3F">
            <w:pPr>
              <w:shd w:val="clear"/>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广西壮族自治区妇幼保健院医疗辅助服务项目</w:t>
            </w:r>
          </w:p>
        </w:tc>
        <w:tc>
          <w:tcPr>
            <w:tcW w:w="660" w:type="dxa"/>
            <w:tcBorders>
              <w:top w:val="single" w:color="auto" w:sz="4" w:space="0"/>
              <w:left w:val="single" w:color="auto" w:sz="4" w:space="0"/>
              <w:bottom w:val="single" w:color="auto" w:sz="4" w:space="0"/>
              <w:right w:val="single" w:color="auto" w:sz="4" w:space="0"/>
            </w:tcBorders>
            <w:noWrap w:val="0"/>
            <w:vAlign w:val="center"/>
          </w:tcPr>
          <w:p w14:paraId="39EBD819">
            <w:pPr>
              <w:shd w:val="clear"/>
              <w:jc w:val="center"/>
              <w:rPr>
                <w:rFonts w:hint="eastAsia" w:ascii="宋体" w:hAnsi="宋体" w:eastAsia="宋体" w:cs="宋体"/>
                <w:color w:val="auto"/>
                <w:highlight w:val="none"/>
              </w:rPr>
            </w:pPr>
            <w:r>
              <w:rPr>
                <w:rFonts w:hint="eastAsia" w:ascii="宋体" w:hAnsi="宋体" w:eastAsia="宋体" w:cs="宋体"/>
                <w:color w:val="auto"/>
                <w:highlight w:val="none"/>
              </w:rPr>
              <w:t>医辅人员</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6D9CF14">
            <w:pPr>
              <w:shd w:val="clea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26</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6C803D9">
            <w:pPr>
              <w:shd w:val="clea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24个月</w:t>
            </w:r>
          </w:p>
        </w:tc>
        <w:tc>
          <w:tcPr>
            <w:tcW w:w="1770" w:type="dxa"/>
            <w:tcBorders>
              <w:top w:val="single" w:color="auto" w:sz="4" w:space="0"/>
              <w:left w:val="single" w:color="auto" w:sz="4" w:space="0"/>
              <w:bottom w:val="single" w:color="auto" w:sz="4" w:space="0"/>
              <w:right w:val="single" w:color="auto" w:sz="4" w:space="0"/>
            </w:tcBorders>
            <w:noWrap w:val="0"/>
            <w:vAlign w:val="center"/>
          </w:tcPr>
          <w:p w14:paraId="012417D9">
            <w:pPr>
              <w:shd w:val="clear"/>
              <w:jc w:val="center"/>
              <w:rPr>
                <w:rFonts w:hint="eastAsia" w:ascii="宋体" w:hAnsi="宋体" w:eastAsia="宋体" w:cs="宋体"/>
                <w:color w:val="auto"/>
                <w:highlight w:val="none"/>
              </w:rPr>
            </w:pPr>
          </w:p>
        </w:tc>
        <w:tc>
          <w:tcPr>
            <w:tcW w:w="3225" w:type="dxa"/>
            <w:tcBorders>
              <w:top w:val="single" w:color="auto" w:sz="4" w:space="0"/>
              <w:left w:val="single" w:color="auto" w:sz="4" w:space="0"/>
              <w:bottom w:val="single" w:color="auto" w:sz="4" w:space="0"/>
              <w:right w:val="single" w:color="auto" w:sz="4" w:space="0"/>
            </w:tcBorders>
            <w:noWrap w:val="0"/>
            <w:vAlign w:val="center"/>
          </w:tcPr>
          <w:p w14:paraId="1A9FCE49">
            <w:pPr>
              <w:shd w:val="clear"/>
              <w:jc w:val="center"/>
              <w:rPr>
                <w:rFonts w:hint="eastAsia" w:ascii="宋体" w:hAnsi="宋体" w:eastAsia="宋体" w:cs="宋体"/>
                <w:color w:val="auto"/>
                <w:highlight w:val="none"/>
              </w:rPr>
            </w:pPr>
          </w:p>
        </w:tc>
      </w:tr>
    </w:tbl>
    <w:p w14:paraId="78F65CEC">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color w:val="auto"/>
          <w:sz w:val="21"/>
          <w:szCs w:val="21"/>
          <w:highlight w:val="none"/>
          <w:lang w:val="en-US" w:eastAsia="zh-CN" w:bidi="ar-SA"/>
        </w:rPr>
        <w:t xml:space="preserve"> </w:t>
      </w:r>
      <w:r>
        <w:rPr>
          <w:rFonts w:hint="eastAsia" w:ascii="宋体" w:hAnsi="宋体" w:eastAsia="宋体" w:cs="宋体"/>
          <w:color w:val="auto"/>
          <w:kern w:val="2"/>
          <w:sz w:val="21"/>
          <w:szCs w:val="21"/>
          <w:highlight w:val="none"/>
          <w:lang w:val="en-US" w:eastAsia="zh-CN" w:bidi="ar-SA"/>
        </w:rPr>
        <w:t>服务费包含但不限于以下项目：</w:t>
      </w:r>
    </w:p>
    <w:p w14:paraId="2AA0284D">
      <w:pPr>
        <w:keepNext w:val="0"/>
        <w:keepLines w:val="0"/>
        <w:pageBreakBefore w:val="0"/>
        <w:widowControl w:val="0"/>
        <w:numPr>
          <w:ilvl w:val="0"/>
          <w:numId w:val="3"/>
        </w:numPr>
        <w:shd w:val="clear"/>
        <w:kinsoku/>
        <w:wordWrap/>
        <w:overflowPunct/>
        <w:topLinePunct w:val="0"/>
        <w:autoSpaceDE/>
        <w:autoSpaceDN/>
        <w:bidi w:val="0"/>
        <w:adjustRightInd/>
        <w:snapToGrid/>
        <w:spacing w:line="400" w:lineRule="exact"/>
        <w:ind w:firstLine="420" w:firstLineChars="200"/>
        <w:contextualSpacing/>
        <w:textAlignment w:val="auto"/>
        <w:outlineLvl w:val="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基本费用：包括医辅人员工资（不低于服务所在地最低工资标准）、社会保险费（包括养老、医疗、生育、工伤和失业保险）、个税、政策性上调服务所在地最低工资标准和社保差额部分等。</w:t>
      </w:r>
    </w:p>
    <w:p w14:paraId="353365F5">
      <w:pPr>
        <w:keepNext w:val="0"/>
        <w:keepLines w:val="0"/>
        <w:pageBreakBefore w:val="0"/>
        <w:widowControl w:val="0"/>
        <w:numPr>
          <w:ilvl w:val="0"/>
          <w:numId w:val="3"/>
        </w:numPr>
        <w:shd w:val="clear"/>
        <w:kinsoku/>
        <w:wordWrap/>
        <w:overflowPunct/>
        <w:topLinePunct w:val="0"/>
        <w:autoSpaceDE/>
        <w:autoSpaceDN/>
        <w:bidi w:val="0"/>
        <w:adjustRightInd/>
        <w:snapToGrid/>
        <w:spacing w:line="400" w:lineRule="exact"/>
        <w:ind w:firstLine="420" w:firstLineChars="200"/>
        <w:contextualSpacing/>
        <w:textAlignment w:val="auto"/>
        <w:outlineLvl w:val="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管理费（含乙方依法缴纳的各项税费）。</w:t>
      </w:r>
    </w:p>
    <w:p w14:paraId="123B2BAC">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u w:val="single"/>
        </w:rPr>
        <w:t>自签订合同之日起2年。</w:t>
      </w:r>
    </w:p>
    <w:p w14:paraId="0BB10180">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第二条　考核</w:t>
      </w:r>
    </w:p>
    <w:p w14:paraId="6ACF391E">
      <w:pPr>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2.1</w:t>
      </w:r>
      <w:r>
        <w:rPr>
          <w:rFonts w:hint="eastAsia" w:ascii="宋体" w:hAnsi="宋体" w:eastAsia="宋体" w:cs="宋体"/>
          <w:b/>
          <w:bCs/>
          <w:color w:val="auto"/>
          <w:sz w:val="21"/>
          <w:szCs w:val="21"/>
          <w:highlight w:val="none"/>
        </w:rPr>
        <w:t>对乙方的考核</w:t>
      </w:r>
    </w:p>
    <w:p w14:paraId="4743AC7E">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200" w:firstLine="420"/>
        <w:jc w:val="both"/>
        <w:textAlignment w:val="auto"/>
        <w:rPr>
          <w:rFonts w:hint="eastAsia" w:ascii="宋体" w:hAnsi="宋体" w:eastAsia="宋体" w:cs="宋体"/>
          <w:strike/>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2.1.1甲方制定考核标准，考核结果作为甲方支付乙方服务费的依据。合同期内，甲方可根据实际工作需要调整考核标准，乙方提出异议不影响调整后的考核标准先行执行，双方协商不成的，仍以甲方确定的考核标准为准。</w:t>
      </w:r>
    </w:p>
    <w:p w14:paraId="0F877C6B">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2.1.2</w:t>
      </w:r>
      <w:r>
        <w:rPr>
          <w:rFonts w:hint="eastAsia" w:ascii="宋体" w:hAnsi="宋体" w:eastAsia="宋体" w:cs="宋体"/>
          <w:color w:val="auto"/>
          <w:sz w:val="21"/>
          <w:szCs w:val="21"/>
          <w:highlight w:val="none"/>
        </w:rPr>
        <w:t>考核部门分工及权重。组织人事部考核占20%（详见附件</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），用工科室考核占80%(考核内容由用工科室制定)。</w:t>
      </w:r>
    </w:p>
    <w:p w14:paraId="7BC9E72D">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2.1.3</w:t>
      </w:r>
      <w:r>
        <w:rPr>
          <w:rFonts w:hint="eastAsia" w:ascii="宋体" w:hAnsi="宋体" w:eastAsia="宋体" w:cs="宋体"/>
          <w:color w:val="auto"/>
          <w:sz w:val="21"/>
          <w:szCs w:val="21"/>
          <w:highlight w:val="none"/>
        </w:rPr>
        <w:t>考核周期：每月进行考核。</w:t>
      </w:r>
    </w:p>
    <w:p w14:paraId="66ECE7F0">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2.1.4</w:t>
      </w:r>
      <w:r>
        <w:rPr>
          <w:rFonts w:hint="eastAsia" w:ascii="宋体" w:hAnsi="宋体" w:eastAsia="宋体" w:cs="宋体"/>
          <w:color w:val="auto"/>
          <w:sz w:val="21"/>
          <w:szCs w:val="21"/>
          <w:highlight w:val="none"/>
        </w:rPr>
        <w:t>考核结果与乙方管理费挂钩：满分100分，得分90分及以上为合格；低于90分的（不含90分），每降低1分则扣除当月乙方</w:t>
      </w:r>
      <w:r>
        <w:rPr>
          <w:rFonts w:hint="eastAsia" w:ascii="宋体" w:hAnsi="宋体" w:eastAsia="宋体" w:cs="宋体"/>
          <w:color w:val="auto"/>
          <w:sz w:val="21"/>
          <w:szCs w:val="21"/>
          <w:highlight w:val="none"/>
          <w:lang w:eastAsia="zh-CN"/>
        </w:rPr>
        <w:t>总服务费</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千分之二</w:t>
      </w:r>
      <w:r>
        <w:rPr>
          <w:rFonts w:hint="eastAsia" w:ascii="宋体" w:hAnsi="宋体" w:eastAsia="宋体" w:cs="宋体"/>
          <w:color w:val="auto"/>
          <w:sz w:val="21"/>
          <w:szCs w:val="21"/>
          <w:highlight w:val="none"/>
        </w:rPr>
        <w:t>。连续两个月考核得分低于90分的，或单次考核得分低于80分的，甲方有权单方解除本合同，并要求乙方按照合同总金额的5%支付违约金。</w:t>
      </w:r>
    </w:p>
    <w:p w14:paraId="788201A2">
      <w:pPr>
        <w:keepNext w:val="0"/>
        <w:keepLines w:val="0"/>
        <w:pageBreakBefore w:val="0"/>
        <w:widowControl w:val="0"/>
        <w:shd w:val="clea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2.2</w:t>
      </w:r>
      <w:r>
        <w:rPr>
          <w:rFonts w:hint="eastAsia" w:ascii="宋体" w:hAnsi="宋体" w:eastAsia="宋体" w:cs="宋体"/>
          <w:b/>
          <w:bCs/>
          <w:color w:val="auto"/>
          <w:sz w:val="21"/>
          <w:szCs w:val="21"/>
          <w:highlight w:val="none"/>
        </w:rPr>
        <w:t>对医辅人员的考核</w:t>
      </w:r>
    </w:p>
    <w:p w14:paraId="5A37B9BA">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2.2.1甲方用工科室根据医辅人员的工作内容按月对医辅人员进行考核(考核内容由用工科室制定)，并做好考勤登记（附件2），考勤、考核结果作为乙方每月发放医辅人员薪酬的依据。合同期内，甲方可根据实际工作需要调整考核标准，乙方提出异议不影响调整后的考核标准先行执行，双方协商不成的，仍以甲方确定的考核标准为准。</w:t>
      </w:r>
    </w:p>
    <w:p w14:paraId="225B4607">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2.2.2医辅人员月度考核不合格的，乙方应当按照甲方要求在5日内更换合格人员，逾期未更换的，每逾期1日，</w:t>
      </w:r>
      <w:r>
        <w:rPr>
          <w:rFonts w:hint="eastAsia" w:ascii="宋体" w:hAnsi="宋体" w:eastAsia="宋体" w:cs="宋体"/>
          <w:b w:val="0"/>
          <w:bCs w:val="0"/>
          <w:color w:val="auto"/>
          <w:kern w:val="2"/>
          <w:sz w:val="21"/>
          <w:szCs w:val="21"/>
          <w:highlight w:val="none"/>
          <w:lang w:val="en-US" w:eastAsia="zh-CN" w:bidi="ar-SA"/>
        </w:rPr>
        <w:t>甲方有权扣除该空缺岗位对应日服务费，并按乙方当月服务费总额的万分之五加收违约金。违约金直接从当月服务费中扣除。</w:t>
      </w:r>
    </w:p>
    <w:p w14:paraId="0F2B3E45">
      <w:pPr>
        <w:keepNext w:val="0"/>
        <w:keepLines w:val="0"/>
        <w:pageBreakBefore w:val="0"/>
        <w:shd w:val="clear"/>
        <w:kinsoku/>
        <w:wordWrap/>
        <w:overflowPunct/>
        <w:topLinePunct w:val="0"/>
        <w:bidi w:val="0"/>
        <w:adjustRightInd/>
        <w:snapToGrid/>
        <w:spacing w:line="400" w:lineRule="exact"/>
        <w:ind w:firstLine="422"/>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第三条</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lang w:eastAsia="zh-CN"/>
        </w:rPr>
        <w:t>服务费计算方式</w:t>
      </w:r>
    </w:p>
    <w:p w14:paraId="07BC5EB5">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3.1乙方每月服务费按实际出勤人数和天数据实结算。</w:t>
      </w:r>
    </w:p>
    <w:p w14:paraId="1596536D">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3.2乙方当月发生合同约定的考核扣款、违约金及其他应扣款项时，甲方在按实际出勤人数和天数据实结算基础上，扣减上述款项后支付服务费。</w:t>
      </w:r>
    </w:p>
    <w:p w14:paraId="4C5246AB">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3.3当新入职的医辅人员工作3天内（含第3天）辞职时，甲方不支付任何服务费；当新入职医辅人员工作满3天后按实际出勤天数计算费用，如当月新入职医辅人员与即将辞职医辅人员在同一岗位（或做同类工作）发生重叠工作时间，甲方只按一人岗位全勤计费。</w:t>
      </w:r>
    </w:p>
    <w:p w14:paraId="2BA74714">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3.4在全勤的情况下，</w:t>
      </w:r>
      <w:r>
        <w:rPr>
          <w:rFonts w:hint="eastAsia" w:ascii="宋体" w:hAnsi="宋体" w:eastAsia="宋体" w:cs="宋体"/>
          <w:bCs/>
          <w:color w:val="auto"/>
          <w:kern w:val="2"/>
          <w:sz w:val="21"/>
          <w:szCs w:val="21"/>
          <w:highlight w:val="none"/>
          <w:lang w:val="en-US" w:eastAsia="zh-CN" w:bidi="ar-SA"/>
        </w:rPr>
        <w:t>当月工作人数超出合同约定的医辅人员数时以合同约定人数计费，超出人数甲方不支付任何服务费。</w:t>
      </w:r>
    </w:p>
    <w:p w14:paraId="295D60D7">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四</w:t>
      </w:r>
      <w:r>
        <w:rPr>
          <w:rFonts w:hint="eastAsia" w:ascii="宋体" w:hAnsi="宋体" w:eastAsia="宋体" w:cs="宋体"/>
          <w:b/>
          <w:color w:val="auto"/>
          <w:sz w:val="21"/>
          <w:szCs w:val="21"/>
          <w:highlight w:val="none"/>
        </w:rPr>
        <w:t>条　甲乙双方职责</w:t>
      </w:r>
    </w:p>
    <w:p w14:paraId="40F845A0">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（一）甲方职责</w:t>
      </w:r>
    </w:p>
    <w:p w14:paraId="02374E92">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.1甲方有权要求乙方按照甲方的工作内容和要求执行服务项目，对乙方提供服务内容和质量进行考评和监督检查。甲方对乙方违反合同有关条款的行为提出书面意见，并要求乙方7日内予以改正。</w:t>
      </w:r>
    </w:p>
    <w:p w14:paraId="6D96ED48">
      <w:pPr>
        <w:keepNext w:val="0"/>
        <w:keepLines w:val="0"/>
        <w:pageBreakBefore w:val="0"/>
        <w:widowControl w:val="0"/>
        <w:numPr>
          <w:ilvl w:val="-1"/>
          <w:numId w:val="0"/>
        </w:numPr>
        <w:shd w:val="clear"/>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4.2为确保甲方医疗辅助服务质量及临床科室服务保障水平，合同履行期间需求岗位数量由甲方确定，服务乙方遵照执行。乙方可根据实际运营需要自行增配人员，增配部分甲方不另行支付服务费，由乙方自愿免费提供。</w:t>
      </w:r>
    </w:p>
    <w:p w14:paraId="118EE3DF">
      <w:pPr>
        <w:keepNext w:val="0"/>
        <w:keepLines w:val="0"/>
        <w:pageBreakBefore w:val="0"/>
        <w:widowControl w:val="0"/>
        <w:numPr>
          <w:ilvl w:val="0"/>
          <w:numId w:val="0"/>
        </w:numPr>
        <w:shd w:val="clear"/>
        <w:kinsoku/>
        <w:wordWrap/>
        <w:overflowPunct/>
        <w:topLinePunct w:val="0"/>
        <w:bidi w:val="0"/>
        <w:adjustRightInd/>
        <w:snapToGrid/>
        <w:spacing w:line="4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4.3甲方因院区搬迁、科室调整或其他工作原因需要进行医辅人员增减调整时，乙方须无条件配合甲方执行。</w:t>
      </w:r>
    </w:p>
    <w:p w14:paraId="13C9059F">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甲方有权要求乙方按照甲方现行的管理模式对医辅人员进行管理，甲方对医辅人员的工作安排可以提出意见和要求。甲方有权根据工作需要，要求乙方</w:t>
      </w:r>
      <w:r>
        <w:rPr>
          <w:rFonts w:hint="eastAsia" w:ascii="宋体" w:hAnsi="宋体" w:eastAsia="宋体" w:cs="宋体"/>
          <w:color w:val="auto"/>
          <w:sz w:val="21"/>
          <w:szCs w:val="21"/>
          <w:highlight w:val="none"/>
          <w:lang w:val="en-US" w:eastAsia="zh-CN"/>
        </w:rPr>
        <w:t>在5日内</w:t>
      </w:r>
      <w:r>
        <w:rPr>
          <w:rFonts w:hint="eastAsia" w:ascii="宋体" w:hAnsi="宋体" w:eastAsia="宋体" w:cs="宋体"/>
          <w:color w:val="auto"/>
          <w:sz w:val="21"/>
          <w:szCs w:val="21"/>
          <w:highlight w:val="none"/>
        </w:rPr>
        <w:t>撤换不符合岗位要求的医辅人员，乙方应当</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lang w:val="en-US" w:eastAsia="zh-CN"/>
        </w:rPr>
        <w:t>5日内</w:t>
      </w:r>
      <w:r>
        <w:rPr>
          <w:rFonts w:hint="eastAsia" w:ascii="宋体" w:hAnsi="宋体" w:eastAsia="宋体" w:cs="宋体"/>
          <w:color w:val="auto"/>
          <w:sz w:val="21"/>
          <w:szCs w:val="21"/>
          <w:highlight w:val="none"/>
        </w:rPr>
        <w:t>完成撤换并补充符合要求的人员到岗，</w:t>
      </w:r>
      <w:r>
        <w:rPr>
          <w:rFonts w:hint="eastAsia" w:ascii="宋体" w:hAnsi="宋体" w:eastAsia="宋体" w:cs="宋体"/>
          <w:color w:val="auto"/>
          <w:sz w:val="21"/>
          <w:szCs w:val="21"/>
          <w:highlight w:val="none"/>
          <w:lang w:eastAsia="zh-CN"/>
        </w:rPr>
        <w:t>乙方逾期未补充到岗的，每缺岗1日，</w:t>
      </w:r>
      <w:r>
        <w:rPr>
          <w:rFonts w:hint="eastAsia" w:ascii="宋体" w:hAnsi="宋体" w:eastAsia="宋体" w:cs="宋体"/>
          <w:b w:val="0"/>
          <w:bCs w:val="0"/>
          <w:color w:val="auto"/>
          <w:sz w:val="21"/>
          <w:szCs w:val="21"/>
          <w:highlight w:val="none"/>
          <w:lang w:val="en-US" w:eastAsia="zh-CN" w:bidi="ar-SA"/>
        </w:rPr>
        <w:t>甲方有权扣除该空缺岗位对应日服务费，并按乙方当月服务费总额的万分之五加收违约金。违约金直接从当月服务费中扣除。</w:t>
      </w:r>
    </w:p>
    <w:p w14:paraId="1B4BF024">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甲方用工科室负责对乙方招聘的医辅人员进行复试和考核，复试及考核结果合格的，乙方方可聘用。</w:t>
      </w:r>
    </w:p>
    <w:p w14:paraId="3E81E8F7">
      <w:pPr>
        <w:keepNext w:val="0"/>
        <w:keepLines w:val="0"/>
        <w:pageBreakBefore w:val="0"/>
        <w:widowControl w:val="0"/>
        <w:numPr>
          <w:ilvl w:val="0"/>
          <w:numId w:val="0"/>
        </w:numPr>
        <w:shd w:val="clear"/>
        <w:kinsoku/>
        <w:wordWrap/>
        <w:overflowPunct/>
        <w:topLinePunct w:val="0"/>
        <w:bidi w:val="0"/>
        <w:adjustRightInd/>
        <w:snapToGrid/>
        <w:spacing w:line="400" w:lineRule="exact"/>
        <w:ind w:left="0"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4.6</w:t>
      </w:r>
      <w:r>
        <w:rPr>
          <w:rFonts w:hint="eastAsia" w:ascii="宋体" w:hAnsi="宋体" w:eastAsia="宋体" w:cs="宋体"/>
          <w:b w:val="0"/>
          <w:bCs w:val="0"/>
          <w:color w:val="auto"/>
          <w:kern w:val="2"/>
          <w:sz w:val="21"/>
          <w:szCs w:val="21"/>
          <w:highlight w:val="none"/>
          <w:lang w:val="en-US" w:eastAsia="zh-CN" w:bidi="ar-SA"/>
        </w:rPr>
        <w:t>未经甲方同意，正常上班工作时间内，各科室医辅人员应各司其职，不得跨岗兼职。每发现一人次，按100元/天/人处罚。乙方应合理安排医辅人员休息和工作时间，确保各岗位服务保障到位。</w:t>
      </w:r>
    </w:p>
    <w:p w14:paraId="20578E35">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医辅人员休假须经甲方用工科室同意，用工科室每月前5个工作日完成考核，并将考勤情况交给乙方签字确认。医辅人员因婚丧假、病事假和工伤假、年休假、陪产假等原因造成岗位空缺的，甲方有权要求乙方在岗位空缺3日（含自然日）内</w:t>
      </w:r>
      <w:r>
        <w:rPr>
          <w:rFonts w:hint="eastAsia" w:ascii="宋体" w:hAnsi="宋体" w:eastAsia="宋体" w:cs="宋体"/>
          <w:color w:val="auto"/>
          <w:sz w:val="21"/>
          <w:szCs w:val="21"/>
          <w:highlight w:val="none"/>
          <w:lang w:eastAsia="zh-CN"/>
        </w:rPr>
        <w:t>安排</w:t>
      </w:r>
      <w:r>
        <w:rPr>
          <w:rFonts w:hint="eastAsia" w:ascii="宋体" w:hAnsi="宋体" w:eastAsia="宋体" w:cs="宋体"/>
          <w:color w:val="auto"/>
          <w:sz w:val="21"/>
          <w:szCs w:val="21"/>
          <w:highlight w:val="none"/>
        </w:rPr>
        <w:t>符合条件的医辅人员</w:t>
      </w:r>
      <w:r>
        <w:rPr>
          <w:rFonts w:hint="eastAsia" w:ascii="宋体" w:hAnsi="宋体" w:eastAsia="宋体" w:cs="宋体"/>
          <w:color w:val="auto"/>
          <w:sz w:val="21"/>
          <w:szCs w:val="21"/>
          <w:highlight w:val="none"/>
          <w:lang w:eastAsia="zh-CN"/>
        </w:rPr>
        <w:t>顶岗</w:t>
      </w:r>
      <w:r>
        <w:rPr>
          <w:rFonts w:hint="eastAsia" w:ascii="宋体" w:hAnsi="宋体" w:eastAsia="宋体" w:cs="宋体"/>
          <w:color w:val="auto"/>
          <w:sz w:val="21"/>
          <w:szCs w:val="21"/>
          <w:highlight w:val="none"/>
        </w:rPr>
        <w:t>。</w:t>
      </w:r>
    </w:p>
    <w:p w14:paraId="531907A9">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甲方有权审定乙方制定的涉及</w:t>
      </w:r>
      <w:r>
        <w:rPr>
          <w:rFonts w:hint="eastAsia" w:ascii="宋体" w:hAnsi="宋体" w:eastAsia="宋体" w:cs="宋体"/>
          <w:color w:val="auto"/>
          <w:sz w:val="21"/>
          <w:szCs w:val="21"/>
          <w:highlight w:val="none"/>
          <w:lang w:eastAsia="zh-CN"/>
        </w:rPr>
        <w:t>服务甲方</w:t>
      </w:r>
      <w:r>
        <w:rPr>
          <w:rFonts w:hint="eastAsia" w:ascii="宋体" w:hAnsi="宋体" w:eastAsia="宋体" w:cs="宋体"/>
          <w:color w:val="auto"/>
          <w:sz w:val="21"/>
          <w:szCs w:val="21"/>
          <w:highlight w:val="none"/>
        </w:rPr>
        <w:t>的各项管理制度，并视工作要求对乙方制度的执行进行监督检查。</w:t>
      </w:r>
    </w:p>
    <w:p w14:paraId="6DCBF1EB">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因乙方违反甲乙双方签订的合同，或乙方不能满足甲方项目正常服务需求，给甲方造成工作不便或不良影响的，甲方有权</w:t>
      </w:r>
      <w:r>
        <w:rPr>
          <w:rFonts w:hint="eastAsia" w:ascii="宋体" w:hAnsi="宋体" w:eastAsia="宋体" w:cs="宋体"/>
          <w:color w:val="auto"/>
          <w:sz w:val="21"/>
          <w:szCs w:val="21"/>
          <w:highlight w:val="none"/>
          <w:lang w:val="en-US" w:eastAsia="zh-CN"/>
        </w:rPr>
        <w:t>单方解除</w:t>
      </w:r>
      <w:r>
        <w:rPr>
          <w:rFonts w:hint="eastAsia" w:ascii="宋体" w:hAnsi="宋体" w:eastAsia="宋体" w:cs="宋体"/>
          <w:color w:val="auto"/>
          <w:sz w:val="21"/>
          <w:szCs w:val="21"/>
          <w:highlight w:val="none"/>
        </w:rPr>
        <w:t>合同，乙方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承担相应违约责任。</w:t>
      </w:r>
    </w:p>
    <w:p w14:paraId="0EAFD5B5">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甲方不得要求医辅人员从事违规、违章操作和危害公益的工作。如因违规、违章操作和危害公益行为给乙方或医辅人员造成损害，甲方应向乙方赔偿由此而产生的</w:t>
      </w:r>
      <w:r>
        <w:rPr>
          <w:rFonts w:hint="eastAsia" w:ascii="宋体" w:hAnsi="宋体" w:eastAsia="宋体" w:cs="宋体"/>
          <w:color w:val="auto"/>
          <w:sz w:val="21"/>
          <w:szCs w:val="21"/>
          <w:highlight w:val="none"/>
          <w:lang w:val="en-US" w:eastAsia="zh-CN"/>
        </w:rPr>
        <w:t>直接</w:t>
      </w:r>
      <w:r>
        <w:rPr>
          <w:rFonts w:hint="eastAsia" w:ascii="宋体" w:hAnsi="宋体" w:eastAsia="宋体" w:cs="宋体"/>
          <w:color w:val="auto"/>
          <w:sz w:val="21"/>
          <w:szCs w:val="21"/>
          <w:highlight w:val="none"/>
        </w:rPr>
        <w:t>经济损失。</w:t>
      </w:r>
    </w:p>
    <w:p w14:paraId="239A0AED">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医辅人员发生工伤事故时，甲方应协助乙方管理人员及时送伤者就医治疗，医疗费用由乙方承担。若甲方先行垫付</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费用，则乙方需在甲方垫付之日起3个工作日内一次性足额返还给甲方。未按要求时间返还的，甲方有权单方面从</w:t>
      </w:r>
      <w:r>
        <w:rPr>
          <w:rFonts w:hint="eastAsia" w:ascii="宋体" w:hAnsi="宋体" w:eastAsia="宋体" w:cs="宋体"/>
          <w:color w:val="auto"/>
          <w:sz w:val="21"/>
          <w:szCs w:val="21"/>
          <w:highlight w:val="none"/>
          <w:lang w:val="en-US" w:eastAsia="zh-CN"/>
        </w:rPr>
        <w:t>应付</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任何款项</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val="en-US" w:eastAsia="zh-CN"/>
        </w:rPr>
        <w:t>直接</w:t>
      </w:r>
      <w:r>
        <w:rPr>
          <w:rFonts w:hint="eastAsia" w:ascii="宋体" w:hAnsi="宋体" w:eastAsia="宋体" w:cs="宋体"/>
          <w:color w:val="auto"/>
          <w:sz w:val="21"/>
          <w:szCs w:val="21"/>
          <w:highlight w:val="none"/>
        </w:rPr>
        <w:t>扣除相应垫付费用及因此产生的合理费用。</w:t>
      </w:r>
    </w:p>
    <w:p w14:paraId="74EA3024">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甲方按照甲方规定提供乙方医辅人员工作服的洗涤服务。但不向乙方提供办公用地和交通工具停放点。</w:t>
      </w:r>
    </w:p>
    <w:p w14:paraId="79228332">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（二）乙方职责</w:t>
      </w:r>
    </w:p>
    <w:p w14:paraId="2D169FCF">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乙方应安排专职管理人员具体负责项目的各种日常事务和协调解决各类情况问题，确保项目顺利实施。</w:t>
      </w:r>
    </w:p>
    <w:p w14:paraId="06B0136A">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乙方应按照甲方用工岗位的工作内容（职责）及有关规定建立健全科学合理的岗前培训（甲方可以协助完成部分培训工作）和人员管理制度等。</w:t>
      </w:r>
    </w:p>
    <w:p w14:paraId="21548654">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当甲方有新增需求需要乙方增加人员时,乙方收到甲方人员招聘需求起</w:t>
      </w:r>
      <w:r>
        <w:rPr>
          <w:rFonts w:hint="eastAsia" w:ascii="宋体" w:hAnsi="宋体" w:eastAsia="宋体" w:cs="宋体"/>
          <w:color w:val="auto"/>
          <w:sz w:val="21"/>
          <w:szCs w:val="21"/>
          <w:highlight w:val="none"/>
          <w:lang w:val="en-US" w:eastAsia="zh-CN"/>
        </w:rPr>
        <w:t>10个工作日</w:t>
      </w:r>
      <w:r>
        <w:rPr>
          <w:rFonts w:hint="eastAsia" w:ascii="宋体" w:hAnsi="宋体" w:eastAsia="宋体" w:cs="宋体"/>
          <w:color w:val="auto"/>
          <w:sz w:val="21"/>
          <w:szCs w:val="21"/>
          <w:highlight w:val="none"/>
        </w:rPr>
        <w:t>内完成人员招聘工作，包括发布招聘启事、报名资格审核、面试、考核、体检（要求</w:t>
      </w:r>
      <w:r>
        <w:rPr>
          <w:rFonts w:hint="eastAsia" w:ascii="宋体" w:hAnsi="宋体" w:eastAsia="宋体" w:cs="宋体"/>
          <w:color w:val="auto"/>
          <w:sz w:val="21"/>
          <w:szCs w:val="21"/>
          <w:highlight w:val="none"/>
          <w:lang w:eastAsia="zh-CN"/>
        </w:rPr>
        <w:t>在甲方体检</w:t>
      </w:r>
      <w:r>
        <w:rPr>
          <w:rFonts w:hint="eastAsia" w:ascii="宋体" w:hAnsi="宋体" w:eastAsia="宋体" w:cs="宋体"/>
          <w:color w:val="auto"/>
          <w:sz w:val="21"/>
          <w:szCs w:val="21"/>
          <w:highlight w:val="none"/>
        </w:rPr>
        <w:t>）、试岗等。经甲方用工科室认可、组织人事部备案后方可上岗。乙方逾期未完成招聘并安排符合要求的人员上岗的，每逾期一日扣除乙方当月服务费</w:t>
      </w:r>
      <w:r>
        <w:rPr>
          <w:rFonts w:hint="eastAsia" w:ascii="宋体" w:hAnsi="宋体" w:eastAsia="宋体" w:cs="宋体"/>
          <w:color w:val="auto"/>
          <w:sz w:val="21"/>
          <w:szCs w:val="21"/>
          <w:highlight w:val="none"/>
          <w:lang w:eastAsia="zh-CN"/>
        </w:rPr>
        <w:t>总额</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val="en-US" w:eastAsia="zh-CN"/>
        </w:rPr>
        <w:t>万</w:t>
      </w:r>
      <w:r>
        <w:rPr>
          <w:rFonts w:hint="eastAsia" w:ascii="宋体" w:hAnsi="宋体" w:eastAsia="宋体" w:cs="宋体"/>
          <w:color w:val="auto"/>
          <w:sz w:val="21"/>
          <w:szCs w:val="21"/>
          <w:highlight w:val="none"/>
        </w:rPr>
        <w:t>分之五，逾期超过7日的，甲方有权另行委托第三方完成招聘，产生的全部费用由乙方承担，甲方有权从应付乙方的服务费中直接扣除该费用。</w:t>
      </w:r>
    </w:p>
    <w:p w14:paraId="7E03FFB7">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乙方按国家《劳动法》《劳动合同法》《社会保险法》等法律法规履行相关用工手续，与医辅人员签订劳动合同、缴纳社会保险和签订保密协议，并做好一系列人员管理工作。医辅人员属乙方工作人员，与甲方不存在任何形式上的劳动关系。因乙方原因导致的任何劳动争议、工伤、社保等法律责任，均由乙方独立承担，与甲方无关。医辅人员发生的劳动争议、治安和刑事案件以及法律法规规定的其他情形，由乙方承担责任义务或法律和经济责任。</w:t>
      </w:r>
    </w:p>
    <w:p w14:paraId="3807FB95">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乙方按月支付医辅人员工资待遇。乙方应在收到甲方支付服务费起3个工作日内向医辅人员支付相应劳动报酬，不得无故克扣、拖欠医辅人员工资或社会保险。                                                           </w:t>
      </w:r>
    </w:p>
    <w:p w14:paraId="7E3C4300">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医辅人员提出辞职的，乙方在同意解除其劳动合同前需提前30日通知甲方并征得甲方同意。乙方未提前30日通知甲方并征得甲方同意即同意医辅人员辞职，造成甲方岗位空缺的，</w:t>
      </w:r>
      <w:r>
        <w:rPr>
          <w:rFonts w:hint="eastAsia" w:ascii="宋体" w:hAnsi="宋体" w:eastAsia="宋体" w:cs="宋体"/>
          <w:b w:val="0"/>
          <w:bCs w:val="0"/>
          <w:color w:val="auto"/>
          <w:sz w:val="21"/>
          <w:szCs w:val="21"/>
          <w:highlight w:val="none"/>
          <w:lang w:val="en-US" w:eastAsia="zh-CN" w:bidi="ar-SA"/>
        </w:rPr>
        <w:t>每空缺一日扣除乙方当月服务费总额的万分之五，同时乙方应当在3日内补充符合要求的人员到岗，每逾期一日扣除乙方当月服务费总额的千分之一。</w:t>
      </w:r>
    </w:p>
    <w:p w14:paraId="66FAD34A">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乙方应保守甲方的商业秘密和保护患者隐私，不得以任何方式泄露。若因乙方或其医辅人员工作失职或故意透露甲方商业秘密或患者隐私的，由乙方及其医辅人员对甲方或患者的损失承担</w:t>
      </w:r>
      <w:r>
        <w:rPr>
          <w:rFonts w:hint="eastAsia" w:ascii="宋体" w:hAnsi="宋体" w:eastAsia="宋体" w:cs="宋体"/>
          <w:color w:val="auto"/>
          <w:sz w:val="21"/>
          <w:szCs w:val="21"/>
          <w:highlight w:val="none"/>
          <w:lang w:val="en-US" w:eastAsia="zh-CN"/>
        </w:rPr>
        <w:t>全部赔偿</w:t>
      </w:r>
      <w:r>
        <w:rPr>
          <w:rFonts w:hint="eastAsia" w:ascii="宋体" w:hAnsi="宋体" w:eastAsia="宋体" w:cs="宋体"/>
          <w:color w:val="auto"/>
          <w:sz w:val="21"/>
          <w:szCs w:val="21"/>
          <w:highlight w:val="none"/>
        </w:rPr>
        <w:t>责任。造成经济损失的，甲方可直接从</w:t>
      </w:r>
      <w:r>
        <w:rPr>
          <w:rFonts w:hint="eastAsia" w:ascii="宋体" w:hAnsi="宋体" w:eastAsia="宋体" w:cs="宋体"/>
          <w:color w:val="auto"/>
          <w:sz w:val="21"/>
          <w:szCs w:val="21"/>
          <w:highlight w:val="none"/>
          <w:lang w:val="en-US" w:eastAsia="zh-CN"/>
        </w:rPr>
        <w:t>应付</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任何款项</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val="en-US" w:eastAsia="zh-CN"/>
        </w:rPr>
        <w:t>直接</w:t>
      </w:r>
      <w:r>
        <w:rPr>
          <w:rFonts w:hint="eastAsia" w:ascii="宋体" w:hAnsi="宋体" w:eastAsia="宋体" w:cs="宋体"/>
          <w:color w:val="auto"/>
          <w:sz w:val="21"/>
          <w:szCs w:val="21"/>
          <w:highlight w:val="none"/>
        </w:rPr>
        <w:t>扣除。</w:t>
      </w:r>
    </w:p>
    <w:p w14:paraId="1F767CB6">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乙方必须加强对医辅人员安全生产（工作）教育，防止工伤事故的发生，如发生工伤事故，由乙方按《工伤保险条例》处理并承担医辅人员工伤或工亡的法律和经济补偿责任。</w:t>
      </w:r>
    </w:p>
    <w:p w14:paraId="04F7BC28">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依法解除或终止医辅人员劳动合同时由乙方承担经济补偿金；项目合同期内因甲方要求乙方规模性裁员所产生的经济补偿金，</w:t>
      </w:r>
      <w:r>
        <w:rPr>
          <w:rFonts w:hint="eastAsia" w:ascii="宋体" w:hAnsi="宋体" w:eastAsia="宋体" w:cs="宋体"/>
          <w:color w:val="auto"/>
          <w:sz w:val="21"/>
          <w:szCs w:val="21"/>
          <w:highlight w:val="none"/>
          <w:lang w:val="en-US" w:eastAsia="zh-CN"/>
        </w:rPr>
        <w:t>也全部由乙方承担</w:t>
      </w:r>
      <w:r>
        <w:rPr>
          <w:rFonts w:hint="eastAsia" w:ascii="宋体" w:hAnsi="宋体" w:eastAsia="宋体" w:cs="宋体"/>
          <w:color w:val="auto"/>
          <w:sz w:val="21"/>
          <w:szCs w:val="21"/>
          <w:highlight w:val="none"/>
        </w:rPr>
        <w:t>。</w:t>
      </w:r>
    </w:p>
    <w:p w14:paraId="13262BAF">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乙方负责核实、管理派驻到甲方医辅人员的职业注册资料，包括职业注册、延续注册、变更注册、重新注册、注销注册等。</w:t>
      </w:r>
    </w:p>
    <w:p w14:paraId="2981691C">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4.23乙方</w:t>
      </w:r>
      <w:r>
        <w:rPr>
          <w:rFonts w:hint="eastAsia" w:ascii="宋体" w:hAnsi="宋体" w:eastAsia="宋体" w:cs="宋体"/>
          <w:color w:val="auto"/>
          <w:sz w:val="21"/>
          <w:szCs w:val="21"/>
          <w:highlight w:val="none"/>
        </w:rPr>
        <w:t>需要支付的各类税费(含残疾人就业保障金等)由</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自行承担。</w:t>
      </w:r>
    </w:p>
    <w:p w14:paraId="53A56A61">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五</w:t>
      </w:r>
      <w:r>
        <w:rPr>
          <w:rFonts w:hint="eastAsia" w:ascii="宋体" w:hAnsi="宋体" w:eastAsia="宋体" w:cs="宋体"/>
          <w:b/>
          <w:color w:val="auto"/>
          <w:sz w:val="21"/>
          <w:szCs w:val="21"/>
          <w:highlight w:val="none"/>
        </w:rPr>
        <w:t>条　交付和验收</w:t>
      </w:r>
    </w:p>
    <w:p w14:paraId="075FAB9E">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.1服务期限：</w:t>
      </w:r>
      <w:r>
        <w:rPr>
          <w:rFonts w:hint="eastAsia" w:ascii="宋体" w:hAnsi="宋体" w:eastAsia="宋体" w:cs="宋体"/>
          <w:bCs/>
          <w:color w:val="auto"/>
          <w:kern w:val="0"/>
          <w:sz w:val="21"/>
          <w:szCs w:val="21"/>
          <w:highlight w:val="none"/>
          <w:u w:val="single"/>
        </w:rPr>
        <w:t>自签订合同之日起2年</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服务地点：</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指定地点</w:t>
      </w:r>
      <w:r>
        <w:rPr>
          <w:rFonts w:hint="eastAsia" w:ascii="宋体" w:hAnsi="宋体" w:eastAsia="宋体" w:cs="宋体"/>
          <w:color w:val="auto"/>
          <w:sz w:val="21"/>
          <w:szCs w:val="21"/>
          <w:highlight w:val="none"/>
        </w:rPr>
        <w:t>。</w:t>
      </w:r>
    </w:p>
    <w:p w14:paraId="56437974">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若采购人委托采购代理机构组织验收项目，其验收时间以该项目验收方案确定的验收时间为准，验收结果以该项目验收报告结论为准。在验收过程中发现乙方有违约问题，可暂缓资金结算，待违约问题解决后，方可办理资金结算事宜。若验收结论为不合格，甲方有权拒绝支付</w:t>
      </w:r>
      <w:r>
        <w:rPr>
          <w:rFonts w:hint="eastAsia" w:ascii="宋体" w:hAnsi="宋体" w:eastAsia="宋体" w:cs="宋体"/>
          <w:color w:val="auto"/>
          <w:sz w:val="21"/>
          <w:szCs w:val="21"/>
          <w:highlight w:val="none"/>
          <w:lang w:val="en-US" w:eastAsia="zh-CN"/>
        </w:rPr>
        <w:t>相应</w:t>
      </w:r>
      <w:r>
        <w:rPr>
          <w:rFonts w:hint="eastAsia" w:ascii="宋体" w:hAnsi="宋体" w:eastAsia="宋体" w:cs="宋体"/>
          <w:color w:val="auto"/>
          <w:sz w:val="21"/>
          <w:szCs w:val="21"/>
          <w:highlight w:val="none"/>
        </w:rPr>
        <w:t>服务费，乙方应当在甲方要求的期限内完成整改，整改后仍不合格的，甲方有权单方解除本合同，并要求乙方承担合同总金额</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%的违约金。</w:t>
      </w:r>
    </w:p>
    <w:p w14:paraId="6D1C96A0">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.3甲方对验收有异议的，在验收后5个工作日内以书面形式向乙方提出，乙方应自收到甲方书面异议后10日内及时予以解决。</w:t>
      </w:r>
    </w:p>
    <w:p w14:paraId="1CE3EDD2">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六</w:t>
      </w:r>
      <w:r>
        <w:rPr>
          <w:rFonts w:hint="eastAsia" w:ascii="宋体" w:hAnsi="宋体" w:eastAsia="宋体" w:cs="宋体"/>
          <w:b/>
          <w:color w:val="auto"/>
          <w:sz w:val="21"/>
          <w:szCs w:val="21"/>
          <w:highlight w:val="none"/>
        </w:rPr>
        <w:t>条　付款方式和履约保证金</w:t>
      </w:r>
    </w:p>
    <w:p w14:paraId="3FD2D2A2">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 资金性质：</w:t>
      </w:r>
      <w:r>
        <w:rPr>
          <w:rFonts w:hint="eastAsia" w:ascii="宋体" w:hAnsi="宋体" w:eastAsia="宋体" w:cs="宋体"/>
          <w:color w:val="auto"/>
          <w:kern w:val="0"/>
          <w:sz w:val="21"/>
          <w:szCs w:val="21"/>
          <w:highlight w:val="none"/>
          <w:u w:val="single"/>
        </w:rPr>
        <w:t>预算资金</w:t>
      </w:r>
      <w:r>
        <w:rPr>
          <w:rFonts w:hint="eastAsia" w:ascii="宋体" w:hAnsi="宋体" w:eastAsia="宋体" w:cs="宋体"/>
          <w:color w:val="auto"/>
          <w:sz w:val="21"/>
          <w:szCs w:val="21"/>
          <w:highlight w:val="none"/>
          <w:u w:val="single"/>
        </w:rPr>
        <w:t>。</w:t>
      </w:r>
    </w:p>
    <w:p w14:paraId="2ABA2709">
      <w:pPr>
        <w:keepNext w:val="0"/>
        <w:keepLines w:val="0"/>
        <w:pageBreakBefore w:val="0"/>
        <w:shd w:val="clear"/>
        <w:kinsoku/>
        <w:wordWrap/>
        <w:overflowPunct/>
        <w:topLinePunct w:val="0"/>
        <w:bidi w:val="0"/>
        <w:adjustRightInd/>
        <w:snapToGrid/>
        <w:spacing w:line="400" w:lineRule="exact"/>
        <w:ind w:right="33"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.2 付款方式（服务费支付方式）：</w:t>
      </w:r>
    </w:p>
    <w:p w14:paraId="369FDBAE">
      <w:pPr>
        <w:keepNext w:val="0"/>
        <w:keepLines w:val="0"/>
        <w:pageBreakBefore w:val="0"/>
        <w:widowControl w:val="0"/>
        <w:numPr>
          <w:ilvl w:val="0"/>
          <w:numId w:val="0"/>
        </w:numPr>
        <w:shd w:val="clear"/>
        <w:kinsoku/>
        <w:wordWrap/>
        <w:overflowPunct/>
        <w:topLinePunct w:val="0"/>
        <w:autoSpaceDE w:val="0"/>
        <w:autoSpaceDN w:val="0"/>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bidi="ar-SA"/>
        </w:rPr>
      </w:pPr>
      <w:bookmarkStart w:id="95" w:name="tip_risk_bookmark_20"/>
      <w:r>
        <w:rPr>
          <w:rFonts w:hint="eastAsia" w:ascii="宋体" w:hAnsi="宋体" w:eastAsia="宋体" w:cs="宋体"/>
          <w:b w:val="0"/>
          <w:bCs w:val="0"/>
          <w:color w:val="auto"/>
          <w:sz w:val="21"/>
          <w:szCs w:val="21"/>
          <w:highlight w:val="none"/>
          <w:lang w:val="en-US" w:eastAsia="zh-CN" w:bidi="ar-SA"/>
        </w:rPr>
        <w:t>6.2.1</w:t>
      </w:r>
      <w:r>
        <w:rPr>
          <w:rFonts w:hint="eastAsia" w:ascii="宋体" w:hAnsi="宋体" w:eastAsia="宋体" w:cs="宋体"/>
          <w:b w:val="0"/>
          <w:bCs w:val="0"/>
          <w:color w:val="auto"/>
          <w:sz w:val="21"/>
          <w:szCs w:val="21"/>
          <w:highlight w:val="none"/>
          <w:lang w:val="zh-CN" w:eastAsia="zh-CN" w:bidi="ar-SA"/>
        </w:rPr>
        <w:t>每月支付服务费前，乙方须向甲方提供上一个月甲方用工科室考核结果、医辅人员考勤表、考核表、花名册和社会保险缴纳情况等材料。</w:t>
      </w:r>
      <w:r>
        <w:rPr>
          <w:rFonts w:hint="eastAsia" w:ascii="宋体" w:hAnsi="宋体" w:eastAsia="宋体" w:cs="宋体"/>
          <w:b w:val="0"/>
          <w:bCs w:val="0"/>
          <w:color w:val="auto"/>
          <w:sz w:val="21"/>
          <w:szCs w:val="21"/>
          <w:highlight w:val="none"/>
          <w:lang w:val="en-US" w:eastAsia="zh-CN" w:bidi="ar-SA"/>
        </w:rPr>
        <w:t>乙方同时提供合法合规、真实有效的增值税发票。</w:t>
      </w:r>
    </w:p>
    <w:p w14:paraId="4C3A20C5">
      <w:pPr>
        <w:keepNext w:val="0"/>
        <w:keepLines w:val="0"/>
        <w:pageBreakBefore w:val="0"/>
        <w:shd w:val="clear"/>
        <w:kinsoku/>
        <w:wordWrap/>
        <w:overflowPunct/>
        <w:topLinePunct w:val="0"/>
        <w:bidi w:val="0"/>
        <w:adjustRightInd/>
        <w:snapToGrid/>
        <w:spacing w:line="400" w:lineRule="exact"/>
        <w:ind w:right="33" w:firstLine="420" w:firstLineChars="200"/>
        <w:rPr>
          <w:rFonts w:hint="eastAsia" w:ascii="宋体" w:hAnsi="宋体" w:eastAsia="宋体" w:cs="宋体"/>
          <w:color w:val="auto"/>
          <w:sz w:val="21"/>
          <w:szCs w:val="21"/>
          <w:highlight w:val="none"/>
        </w:rPr>
      </w:pPr>
      <w:bookmarkStart w:id="96" w:name="auto_fouce_21"/>
      <w:r>
        <w:rPr>
          <w:rFonts w:hint="eastAsia" w:ascii="宋体" w:hAnsi="宋体" w:eastAsia="宋体" w:cs="宋体"/>
          <w:b w:val="0"/>
          <w:bCs w:val="0"/>
          <w:color w:val="auto"/>
          <w:sz w:val="21"/>
          <w:szCs w:val="21"/>
          <w:highlight w:val="none"/>
          <w:lang w:val="en-US" w:eastAsia="zh-CN" w:bidi="ar-SA"/>
        </w:rPr>
        <w:t>6.2.2甲方每月在收到乙方提交的全部合规材料并审核无误后以转账方式向乙方支付上一个月服务费；若乙方提交材料存在虚假、遗漏或不符合要求的，甲方有权顺延付款直至材料补正合格。</w:t>
      </w:r>
      <w:bookmarkEnd w:id="95"/>
      <w:bookmarkEnd w:id="96"/>
    </w:p>
    <w:p w14:paraId="3ED88BC0">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lang w:val="en-US" w:eastAsia="zh-CN"/>
        </w:rPr>
        <w:t>6</w:t>
      </w:r>
      <w:r>
        <w:rPr>
          <w:rFonts w:hint="eastAsia" w:ascii="宋体" w:hAnsi="宋体" w:eastAsia="宋体" w:cs="宋体"/>
          <w:bCs/>
          <w:color w:val="auto"/>
          <w:kern w:val="0"/>
          <w:sz w:val="21"/>
          <w:szCs w:val="21"/>
          <w:highlight w:val="none"/>
        </w:rPr>
        <w:t>.3 履约保证金</w:t>
      </w:r>
    </w:p>
    <w:p w14:paraId="4A999887">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履约保证金金额：</w:t>
      </w:r>
    </w:p>
    <w:p w14:paraId="282DC296">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履约保证金提交方式：支票、汇票、本票、银行转账或者金融机构、担保机构出具的保函等非现金形式。</w:t>
      </w:r>
    </w:p>
    <w:p w14:paraId="227B0A20">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履约保证金指定账户：</w:t>
      </w:r>
    </w:p>
    <w:p w14:paraId="7BBDBE19">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开户名：广西壮族自治区妇幼保健院</w:t>
      </w:r>
    </w:p>
    <w:p w14:paraId="3B3E2650">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开户行：交通银行南宁市高新支行</w:t>
      </w:r>
    </w:p>
    <w:p w14:paraId="719ED636">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账  号：451060601010160018997</w:t>
      </w:r>
    </w:p>
    <w:p w14:paraId="1BB86E1D">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r>
        <w:rPr>
          <w:rFonts w:ascii="宋体" w:hAnsi="宋体"/>
          <w:color w:val="auto"/>
          <w:szCs w:val="21"/>
          <w:highlight w:val="none"/>
        </w:rPr>
        <w:t>备注：在签订合同之前，</w:t>
      </w:r>
      <w:r>
        <w:rPr>
          <w:rFonts w:hint="eastAsia" w:ascii="宋体" w:hAnsi="宋体" w:eastAsia="宋体" w:cs="宋体"/>
          <w:color w:val="auto"/>
          <w:szCs w:val="21"/>
          <w:highlight w:val="none"/>
        </w:rPr>
        <w:t>中标供应商需把履约保证金足额交到采购人指定账户。未提交履约保证金的，不予签订本合同。</w:t>
      </w:r>
      <w:r>
        <w:rPr>
          <w:rFonts w:hint="eastAsia" w:ascii="宋体" w:hAnsi="宋体" w:eastAsia="宋体" w:cs="宋体"/>
          <w:color w:val="auto"/>
          <w:szCs w:val="21"/>
          <w:highlight w:val="none"/>
          <w:lang w:val="en-US" w:eastAsia="zh-CN"/>
        </w:rPr>
        <w:t>服务期满后</w:t>
      </w:r>
      <w:r>
        <w:rPr>
          <w:rFonts w:hint="eastAsia" w:ascii="宋体" w:hAnsi="宋体" w:eastAsia="宋体" w:cs="宋体"/>
          <w:color w:val="auto"/>
          <w:szCs w:val="21"/>
          <w:highlight w:val="none"/>
        </w:rPr>
        <w:t>，采</w:t>
      </w:r>
      <w:r>
        <w:rPr>
          <w:rFonts w:ascii="宋体" w:hAnsi="宋体"/>
          <w:color w:val="auto"/>
          <w:szCs w:val="21"/>
          <w:highlight w:val="none"/>
        </w:rPr>
        <w:t>购人无息退还。</w:t>
      </w:r>
    </w:p>
    <w:p w14:paraId="3DAC5535">
      <w:pPr>
        <w:keepNext w:val="0"/>
        <w:keepLines w:val="0"/>
        <w:pageBreakBefore w:val="0"/>
        <w:widowControl/>
        <w:shd w:val="clear"/>
        <w:kinsoku/>
        <w:wordWrap/>
        <w:overflowPunct/>
        <w:topLinePunct w:val="0"/>
        <w:bidi w:val="0"/>
        <w:adjustRightInd/>
        <w:snapToGrid/>
        <w:spacing w:line="400" w:lineRule="exact"/>
        <w:ind w:firstLine="420"/>
        <w:rPr>
          <w:rFonts w:hint="eastAsia" w:ascii="宋体" w:hAnsi="宋体" w:eastAsia="宋体" w:cs="宋体"/>
          <w:bCs/>
          <w:color w:val="auto"/>
          <w:kern w:val="0"/>
          <w:sz w:val="21"/>
          <w:szCs w:val="21"/>
          <w:highlight w:val="none"/>
        </w:rPr>
      </w:pPr>
    </w:p>
    <w:p w14:paraId="540033C0">
      <w:pPr>
        <w:keepNext w:val="0"/>
        <w:keepLines w:val="0"/>
        <w:pageBreakBefore w:val="0"/>
        <w:shd w:val="clear"/>
        <w:kinsoku/>
        <w:wordWrap/>
        <w:overflowPunct/>
        <w:topLinePunct w:val="0"/>
        <w:bidi w:val="0"/>
        <w:adjustRightInd/>
        <w:snapToGrid/>
        <w:spacing w:line="400" w:lineRule="exact"/>
        <w:ind w:left="-61" w:firstLine="51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七</w:t>
      </w:r>
      <w:r>
        <w:rPr>
          <w:rFonts w:hint="eastAsia" w:ascii="宋体" w:hAnsi="宋体" w:eastAsia="宋体" w:cs="宋体"/>
          <w:b/>
          <w:color w:val="auto"/>
          <w:sz w:val="21"/>
          <w:szCs w:val="21"/>
          <w:highlight w:val="none"/>
        </w:rPr>
        <w:t>条  税费</w:t>
      </w:r>
    </w:p>
    <w:p w14:paraId="138EC97B">
      <w:pPr>
        <w:keepNext w:val="0"/>
        <w:keepLines w:val="0"/>
        <w:pageBreakBefore w:val="0"/>
        <w:shd w:val="clear"/>
        <w:kinsoku/>
        <w:wordWrap/>
        <w:overflowPunct/>
        <w:topLinePunct w:val="0"/>
        <w:bidi w:val="0"/>
        <w:adjustRightInd/>
        <w:snapToGrid/>
        <w:spacing w:line="400" w:lineRule="exact"/>
        <w:ind w:left="-61" w:firstLine="514"/>
        <w:rPr>
          <w:rFonts w:hint="eastAsia" w:ascii="宋体" w:hAnsi="宋体" w:eastAsia="宋体" w:cs="宋体"/>
          <w:b/>
          <w:color w:val="auto"/>
          <w:sz w:val="21"/>
          <w:szCs w:val="21"/>
          <w:highlight w:val="none"/>
        </w:rPr>
      </w:pPr>
      <w:r>
        <w:rPr>
          <w:rFonts w:hint="eastAsia" w:ascii="宋体" w:hAnsi="宋体" w:eastAsia="宋体" w:cs="宋体"/>
          <w:b w:val="0"/>
          <w:bCs w:val="0"/>
          <w:color w:val="auto"/>
          <w:sz w:val="21"/>
          <w:szCs w:val="21"/>
          <w:highlight w:val="none"/>
          <w:lang w:val="en-US" w:eastAsia="zh-CN" w:bidi="ar-SA"/>
        </w:rPr>
        <w:t>乙方需要支付的各类税费(含残疾人就业保障金等)由乙方自行承担。</w:t>
      </w:r>
    </w:p>
    <w:p w14:paraId="1E91682C">
      <w:pPr>
        <w:keepNext w:val="0"/>
        <w:keepLines w:val="0"/>
        <w:pageBreakBefore w:val="0"/>
        <w:shd w:val="clear"/>
        <w:kinsoku/>
        <w:wordWrap/>
        <w:overflowPunct/>
        <w:topLinePunct w:val="0"/>
        <w:bidi w:val="0"/>
        <w:adjustRightInd/>
        <w:snapToGrid/>
        <w:spacing w:line="400" w:lineRule="exact"/>
        <w:ind w:left="-61" w:firstLine="51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八</w:t>
      </w:r>
      <w:r>
        <w:rPr>
          <w:rFonts w:hint="eastAsia" w:ascii="宋体" w:hAnsi="宋体" w:eastAsia="宋体" w:cs="宋体"/>
          <w:b/>
          <w:color w:val="auto"/>
          <w:sz w:val="21"/>
          <w:szCs w:val="21"/>
          <w:highlight w:val="none"/>
        </w:rPr>
        <w:t>条　违约责任</w:t>
      </w:r>
    </w:p>
    <w:p w14:paraId="0470EBFB">
      <w:pPr>
        <w:keepNext w:val="0"/>
        <w:keepLines w:val="0"/>
        <w:pageBreakBefore w:val="0"/>
        <w:shd w:val="clear"/>
        <w:kinsoku/>
        <w:wordWrap/>
        <w:overflowPunct/>
        <w:topLinePunct w:val="0"/>
        <w:bidi w:val="0"/>
        <w:adjustRightInd/>
        <w:snapToGrid/>
        <w:spacing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须持有有效的《人力资源服务许可证》，并具备与医疗辅助服务相关的人员招聘、推荐及管理所需的法定资质。供应商应对其资质真实性、合法性负责。如因</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资质不符合要求或资质失效，给甲方造成损失的，</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应依法承担全部赔偿责任，且甲方有权解除合同并不予支付任何费用。</w:t>
      </w:r>
    </w:p>
    <w:p w14:paraId="67CD0B29">
      <w:pPr>
        <w:keepNext w:val="0"/>
        <w:keepLines w:val="0"/>
        <w:pageBreakBefore w:val="0"/>
        <w:shd w:val="clear"/>
        <w:kinsoku/>
        <w:wordWrap/>
        <w:overflowPunct/>
        <w:topLinePunct w:val="0"/>
        <w:bidi w:val="0"/>
        <w:adjustRightInd/>
        <w:snapToGrid/>
        <w:spacing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8.2</w:t>
      </w:r>
      <w:r>
        <w:rPr>
          <w:rFonts w:hint="eastAsia" w:ascii="宋体" w:hAnsi="宋体" w:eastAsia="宋体" w:cs="宋体"/>
          <w:color w:val="auto"/>
          <w:sz w:val="21"/>
          <w:szCs w:val="21"/>
          <w:highlight w:val="none"/>
        </w:rPr>
        <w:t>除不可抗力外，如果</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没有按照本合同约定的期限、地点和方式交付标的物，</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可要求</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支付违约金，违约金按每迟延交付标的物一日的应交付而未交付标的物价格的万分之五计算，最高限额为本合同总价的</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%；迟延超过</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个工作日的，</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有权在要求</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支付</w:t>
      </w:r>
      <w:r>
        <w:rPr>
          <w:rFonts w:hint="eastAsia" w:ascii="宋体" w:hAnsi="宋体" w:eastAsia="宋体" w:cs="宋体"/>
          <w:color w:val="auto"/>
          <w:sz w:val="21"/>
          <w:szCs w:val="21"/>
          <w:highlight w:val="none"/>
          <w:lang w:val="en-US" w:eastAsia="zh-CN"/>
        </w:rPr>
        <w:t>迟延履行合同</w:t>
      </w:r>
      <w:r>
        <w:rPr>
          <w:rFonts w:hint="eastAsia" w:ascii="宋体" w:hAnsi="宋体" w:eastAsia="宋体" w:cs="宋体"/>
          <w:color w:val="auto"/>
          <w:sz w:val="21"/>
          <w:szCs w:val="21"/>
          <w:highlight w:val="none"/>
        </w:rPr>
        <w:t>违约金的同时，书面通知</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解除本合同，</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无条件接受并按合同总金额的5%向</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支付解除合同而产生的违约金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并赔偿</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因此遭受的全部损失。；</w:t>
      </w:r>
    </w:p>
    <w:p w14:paraId="48DA4393">
      <w:pPr>
        <w:keepNext w:val="0"/>
        <w:keepLines w:val="0"/>
        <w:pageBreakBefore w:val="0"/>
        <w:shd w:val="clear"/>
        <w:kinsoku/>
        <w:wordWrap/>
        <w:overflowPunct/>
        <w:topLinePunct w:val="0"/>
        <w:bidi w:val="0"/>
        <w:adjustRightInd/>
        <w:snapToGrid/>
        <w:spacing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w:t>
      </w:r>
      <w:r>
        <w:rPr>
          <w:rFonts w:hint="eastAsia" w:ascii="宋体" w:hAnsi="宋体" w:eastAsia="宋体" w:cs="宋体"/>
          <w:color w:val="auto"/>
          <w:sz w:val="21"/>
          <w:szCs w:val="21"/>
          <w:highlight w:val="none"/>
          <w:lang w:val="en-US" w:eastAsia="zh-CN"/>
        </w:rPr>
        <w:t>守约方有权单方</w:t>
      </w:r>
      <w:r>
        <w:rPr>
          <w:rFonts w:hint="eastAsia" w:ascii="宋体" w:hAnsi="宋体" w:eastAsia="宋体" w:cs="宋体"/>
          <w:color w:val="auto"/>
          <w:sz w:val="21"/>
          <w:szCs w:val="21"/>
          <w:highlight w:val="none"/>
        </w:rPr>
        <w:t>书面通知违约方解除本合同。</w:t>
      </w:r>
    </w:p>
    <w:p w14:paraId="318862C5">
      <w:pPr>
        <w:keepNext w:val="0"/>
        <w:keepLines w:val="0"/>
        <w:pageBreakBefore w:val="0"/>
        <w:shd w:val="clear"/>
        <w:kinsoku/>
        <w:wordWrap/>
        <w:overflowPunct/>
        <w:topLinePunct w:val="0"/>
        <w:bidi w:val="0"/>
        <w:adjustRightInd/>
        <w:snapToGrid/>
        <w:spacing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乙方提供的服务如侵犯了第三方合法权益而引发的任何纠纷或者诉讼，均由乙方负责交涉并承担全部责任，</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赔偿因此给甲方造成的全部直接损失。</w:t>
      </w:r>
    </w:p>
    <w:p w14:paraId="7593ECEF">
      <w:pPr>
        <w:keepNext w:val="0"/>
        <w:keepLines w:val="0"/>
        <w:pageBreakBefore w:val="0"/>
        <w:shd w:val="clear"/>
        <w:kinsoku/>
        <w:wordWrap/>
        <w:overflowPunct/>
        <w:topLinePunct w:val="0"/>
        <w:bidi w:val="0"/>
        <w:adjustRightInd/>
        <w:snapToGrid/>
        <w:spacing w:line="400" w:lineRule="exact"/>
        <w:ind w:firstLine="411" w:firstLineChars="196"/>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8.5乙方违反本合同约定或法律规定的，应当赔偿给甲方造成的全部损失，包括但不限于直接损失、预期利益损失、甲方向第三人支付的违约金、赔偿金及甲方为维护自身权益而支出的诉讼费、律师费、公证费、保全费、诉讼保全保险费、鉴定费、评估费等全部费用。</w:t>
      </w:r>
    </w:p>
    <w:p w14:paraId="3EEADE97">
      <w:pPr>
        <w:keepNext w:val="0"/>
        <w:keepLines w:val="0"/>
        <w:pageBreakBefore w:val="0"/>
        <w:shd w:val="clear"/>
        <w:kinsoku/>
        <w:wordWrap/>
        <w:overflowPunct/>
        <w:topLinePunct w:val="0"/>
        <w:bidi w:val="0"/>
        <w:adjustRightInd/>
        <w:snapToGrid/>
        <w:spacing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如果出现政府采购监督管理部门在处理投诉事项期间，书面通知</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暂停采购活动的情形，或者询问或质疑事项可能影响中标结果的，导致</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中止履行合同的情形，均不视为</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违约。</w:t>
      </w:r>
    </w:p>
    <w:p w14:paraId="5BBC9499">
      <w:pPr>
        <w:keepNext w:val="0"/>
        <w:keepLines w:val="0"/>
        <w:pageBreakBefore w:val="0"/>
        <w:shd w:val="clear"/>
        <w:kinsoku/>
        <w:wordWrap/>
        <w:overflowPunct/>
        <w:topLinePunct w:val="0"/>
        <w:bidi w:val="0"/>
        <w:adjustRightInd/>
        <w:snapToGrid/>
        <w:spacing w:line="400" w:lineRule="exact"/>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九</w:t>
      </w:r>
      <w:r>
        <w:rPr>
          <w:rFonts w:hint="eastAsia" w:ascii="宋体" w:hAnsi="宋体" w:eastAsia="宋体" w:cs="宋体"/>
          <w:b/>
          <w:color w:val="auto"/>
          <w:sz w:val="21"/>
          <w:szCs w:val="21"/>
          <w:highlight w:val="none"/>
        </w:rPr>
        <w:t>条  不可抗力事件处理</w:t>
      </w:r>
    </w:p>
    <w:p w14:paraId="0E004008">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.1  在合同有效期内，任何一方因不可抗力事件导致不能履行合同，则合同履行期可延长，其延长期与不可抗力影响期相同。</w:t>
      </w:r>
    </w:p>
    <w:p w14:paraId="18F96CBD">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.2  不可抗力事件发生后，应立即通知对方，并寄送有关权威机构出具的证明。</w:t>
      </w:r>
    </w:p>
    <w:p w14:paraId="6413CB09">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.3  不可抗力事件延续一百二十天以上，双方应通过友好协商，确定是否继续履行合同。</w:t>
      </w:r>
    </w:p>
    <w:p w14:paraId="384BB227">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eastAsia="zh-CN"/>
        </w:rPr>
        <w:t>十</w:t>
      </w:r>
      <w:r>
        <w:rPr>
          <w:rFonts w:hint="eastAsia" w:ascii="宋体" w:hAnsi="宋体" w:eastAsia="宋体" w:cs="宋体"/>
          <w:b/>
          <w:color w:val="auto"/>
          <w:sz w:val="21"/>
          <w:szCs w:val="21"/>
          <w:highlight w:val="none"/>
        </w:rPr>
        <w:t>条  合同争议解决</w:t>
      </w:r>
    </w:p>
    <w:p w14:paraId="243960D3">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.1本合同履行过程中发生的任何争议，双方当事人均应通过友好协商的方式和解或者调解解决；不愿和解、调解或者和解、调解不成的，可以选择下列第（2）种方式进行解决：</w:t>
      </w:r>
    </w:p>
    <w:p w14:paraId="5AD46AE2">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（1）将争议提交南宁市仲裁委员会依申请仲裁时其现行有效的仲裁规则裁决；</w:t>
      </w:r>
    </w:p>
    <w:p w14:paraId="528AC84C">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 xml:space="preserve">所在地 </w:t>
      </w:r>
      <w:r>
        <w:rPr>
          <w:rFonts w:hint="eastAsia" w:ascii="宋体" w:hAnsi="宋体" w:eastAsia="宋体" w:cs="宋体"/>
          <w:color w:val="auto"/>
          <w:sz w:val="21"/>
          <w:szCs w:val="21"/>
          <w:highlight w:val="none"/>
        </w:rPr>
        <w:t>有管辖权的人民法院起诉。</w:t>
      </w:r>
    </w:p>
    <w:p w14:paraId="21670E13">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.2 诉讼期间，本合同继续履行。</w:t>
      </w:r>
    </w:p>
    <w:p w14:paraId="3366D82E">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条  合同生效及其它</w:t>
      </w:r>
    </w:p>
    <w:p w14:paraId="2A3DAC3E">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  合同经双方法定代表人或授权代表签字并加盖单位公章后生效。</w:t>
      </w:r>
    </w:p>
    <w:p w14:paraId="0DBC3876">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  合同执行中涉及采购资金和采购内容修改或补充的，须经财政部门审批，并签书面补充协议报财政部门备案，方可作为主合同不可分割的一部分。</w:t>
      </w:r>
    </w:p>
    <w:p w14:paraId="3E0378C0">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  本合同未尽事宜，遵照《民法典》有关条文执行。</w:t>
      </w:r>
    </w:p>
    <w:p w14:paraId="7E056D9B">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二</w:t>
      </w:r>
      <w:r>
        <w:rPr>
          <w:rFonts w:hint="eastAsia" w:ascii="宋体" w:hAnsi="宋体" w:eastAsia="宋体" w:cs="宋体"/>
          <w:b/>
          <w:color w:val="auto"/>
          <w:sz w:val="21"/>
          <w:szCs w:val="21"/>
          <w:highlight w:val="none"/>
        </w:rPr>
        <w:t>条　合同的变更、终止与转让</w:t>
      </w:r>
    </w:p>
    <w:p w14:paraId="65A05263">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  除《中华人民共和国政府采购法》第五十条规定的情形外，本合同一经签订，甲乙双方不得擅自变更、中止或终止。</w:t>
      </w:r>
    </w:p>
    <w:p w14:paraId="13584C8C">
      <w:pPr>
        <w:keepNext w:val="0"/>
        <w:keepLines w:val="0"/>
        <w:pageBreakBefore w:val="0"/>
        <w:shd w:val="clear"/>
        <w:kinsoku/>
        <w:wordWrap/>
        <w:overflowPunct/>
        <w:topLinePunct w:val="0"/>
        <w:bidi w:val="0"/>
        <w:adjustRightInd/>
        <w:snapToGrid/>
        <w:spacing w:line="400" w:lineRule="exact"/>
        <w:ind w:left="-61" w:firstLine="5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  乙方不得擅自转让其应履行的合同义务。</w:t>
      </w:r>
    </w:p>
    <w:p w14:paraId="503D4AF3">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三</w:t>
      </w:r>
      <w:r>
        <w:rPr>
          <w:rFonts w:hint="eastAsia" w:ascii="宋体" w:hAnsi="宋体" w:eastAsia="宋体" w:cs="宋体"/>
          <w:b/>
          <w:color w:val="auto"/>
          <w:sz w:val="21"/>
          <w:szCs w:val="21"/>
          <w:highlight w:val="none"/>
        </w:rPr>
        <w:t>条 通知和送达</w:t>
      </w:r>
    </w:p>
    <w:p w14:paraId="26CC81A8">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各方确认，本合同载明的各方地址为各方真实有效通讯地址，一方向对方发出的任何通知、信函和文件，以挂号信函或快递信函方式向对方地址邮寄有关通知、信函和文件的，自发出之日起第三日视为送达对方，挂号信函或快递信函的邮寄凭证即视为成功送达的有效凭证。一方地址变更的，应在变更后10日内书面通知对方，否则本合同载明的地址仍为真实有效通讯地址。若为提交的，自对方法定代表人、授权代表、委托代理人签收时或单位盖章时视为送达对方。</w:t>
      </w:r>
    </w:p>
    <w:p w14:paraId="2061B920">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.2上述送达地址和联系方式适用范围包括双方非诉时各类通知、合同等文件以及就合同发生纠纷时相关文件和法律文书的送达，同时包括在争议进入仲裁、民事诉讼程序后的一审、二审、再审和执行程序。</w:t>
      </w:r>
    </w:p>
    <w:p w14:paraId="00F7CF3C">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四</w:t>
      </w:r>
      <w:r>
        <w:rPr>
          <w:rFonts w:hint="eastAsia" w:ascii="宋体" w:hAnsi="宋体" w:eastAsia="宋体" w:cs="宋体"/>
          <w:b/>
          <w:color w:val="auto"/>
          <w:sz w:val="21"/>
          <w:szCs w:val="21"/>
          <w:highlight w:val="none"/>
        </w:rPr>
        <w:t>条　合同文本的组成</w:t>
      </w:r>
    </w:p>
    <w:p w14:paraId="2FA815DB">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14.1合同文本</w:t>
      </w:r>
    </w:p>
    <w:p w14:paraId="5FDE0DBA">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14.2采购需求</w:t>
      </w:r>
    </w:p>
    <w:p w14:paraId="14FC84DB">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14.3竞标报价表、投标报价明细表</w:t>
      </w:r>
    </w:p>
    <w:p w14:paraId="07A4966D">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14.4技术要求偏离表</w:t>
      </w:r>
    </w:p>
    <w:p w14:paraId="1DAC1F8B">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14.5商务要求偏离表</w:t>
      </w:r>
    </w:p>
    <w:p w14:paraId="0B2675FF">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14.6服务承诺及质量控制措施</w:t>
      </w:r>
    </w:p>
    <w:p w14:paraId="18BA9625">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14.7成交通知书</w:t>
      </w:r>
    </w:p>
    <w:p w14:paraId="13AE7D0D">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14.8采购公告、成交公告截图</w:t>
      </w:r>
    </w:p>
    <w:p w14:paraId="7F1659DB">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14.9中小企业声明函</w:t>
      </w:r>
    </w:p>
    <w:p w14:paraId="6657966E">
      <w:pPr>
        <w:keepNext w:val="0"/>
        <w:keepLines w:val="0"/>
        <w:pageBreakBefore w:val="0"/>
        <w:shd w:val="clear"/>
        <w:kinsoku/>
        <w:wordWrap/>
        <w:overflowPunct/>
        <w:topLinePunct w:val="0"/>
        <w:bidi w:val="0"/>
        <w:adjustRightInd/>
        <w:snapToGrid/>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14.10廉洁协定书</w:t>
      </w:r>
    </w:p>
    <w:p w14:paraId="41B23B61">
      <w:pPr>
        <w:keepNext w:val="0"/>
        <w:keepLines w:val="0"/>
        <w:pageBreakBefore w:val="0"/>
        <w:shd w:val="clear"/>
        <w:kinsoku/>
        <w:wordWrap/>
        <w:overflowPunct/>
        <w:topLinePunct w:val="0"/>
        <w:bidi w:val="0"/>
        <w:adjustRightInd/>
        <w:snapToGrid/>
        <w:spacing w:line="400" w:lineRule="exact"/>
        <w:ind w:firstLine="422" w:firstLineChars="200"/>
        <w:rPr>
          <w:rFonts w:hint="eastAsia" w:ascii="宋体" w:hAnsi="宋体" w:eastAsia="宋体" w:cs="宋体"/>
          <w:color w:val="auto"/>
          <w:spacing w:val="4"/>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五</w:t>
      </w:r>
      <w:r>
        <w:rPr>
          <w:rFonts w:hint="eastAsia" w:ascii="宋体" w:hAnsi="宋体" w:eastAsia="宋体" w:cs="宋体"/>
          <w:b/>
          <w:color w:val="auto"/>
          <w:sz w:val="21"/>
          <w:szCs w:val="21"/>
          <w:highlight w:val="none"/>
        </w:rPr>
        <w:t>条　</w:t>
      </w:r>
      <w:r>
        <w:rPr>
          <w:rFonts w:hint="eastAsia" w:ascii="宋体" w:hAnsi="宋体" w:eastAsia="宋体" w:cs="宋体"/>
          <w:color w:val="auto"/>
          <w:sz w:val="21"/>
          <w:szCs w:val="21"/>
          <w:highlight w:val="none"/>
        </w:rPr>
        <w:t>本合同一式八份，具有同等法律效力，广西区财政厅（政府采购监管部门）、采购代理机构各一份，甲方五份，乙方一份。</w:t>
      </w:r>
      <w:r>
        <w:rPr>
          <w:rFonts w:hint="eastAsia" w:ascii="宋体" w:hAnsi="宋体" w:eastAsia="宋体" w:cs="宋体"/>
          <w:color w:val="auto"/>
          <w:spacing w:val="4"/>
          <w:sz w:val="21"/>
          <w:szCs w:val="21"/>
          <w:highlight w:val="none"/>
        </w:rPr>
        <w:t>（可根据需要另增加）。</w:t>
      </w:r>
    </w:p>
    <w:p w14:paraId="5D8F7A7A">
      <w:pPr>
        <w:keepNext w:val="0"/>
        <w:keepLines w:val="0"/>
        <w:pageBreakBefore w:val="0"/>
        <w:shd w:val="clear"/>
        <w:kinsoku/>
        <w:wordWrap/>
        <w:overflowPunct/>
        <w:topLinePunct w:val="0"/>
        <w:bidi w:val="0"/>
        <w:adjustRightInd/>
        <w:snapToGrid/>
        <w:spacing w:line="400" w:lineRule="exact"/>
        <w:ind w:firstLine="43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本合同自签订之日起2个工作日内，应当在广西壮族自治区财政厅指定的媒体</w:t>
      </w:r>
      <w:r>
        <w:rPr>
          <w:rFonts w:hint="eastAsia" w:ascii="宋体" w:hAnsi="宋体" w:eastAsia="宋体" w:cs="宋体"/>
          <w:color w:val="auto"/>
          <w:sz w:val="21"/>
          <w:szCs w:val="21"/>
          <w:highlight w:val="none"/>
        </w:rPr>
        <w:t>进行合同公示公告。</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39"/>
        <w:gridCol w:w="4742"/>
      </w:tblGrid>
      <w:tr w14:paraId="5704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4339" w:type="dxa"/>
          </w:tcPr>
          <w:p w14:paraId="161F761F">
            <w:pPr>
              <w:keepNext w:val="0"/>
              <w:keepLines w:val="0"/>
              <w:pageBreakBefore w:val="0"/>
              <w:shd w:val="clear"/>
              <w:kinsoku/>
              <w:wordWrap/>
              <w:overflowPunct/>
              <w:topLinePunct w:val="0"/>
              <w:bidi w:val="0"/>
              <w:adjustRightInd/>
              <w:snapToGrid/>
              <w:spacing w:line="400" w:lineRule="exact"/>
              <w:ind w:right="-1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甲方（公章）：</w:t>
            </w:r>
          </w:p>
          <w:p w14:paraId="7671B965">
            <w:pPr>
              <w:keepNext w:val="0"/>
              <w:keepLines w:val="0"/>
              <w:pageBreakBefore w:val="0"/>
              <w:shd w:val="clear"/>
              <w:kinsoku/>
              <w:wordWrap/>
              <w:overflowPunct/>
              <w:topLinePunct w:val="0"/>
              <w:bidi w:val="0"/>
              <w:adjustRightInd/>
              <w:snapToGrid/>
              <w:spacing w:line="400" w:lineRule="exact"/>
              <w:ind w:right="-1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广西壮族自治区妇幼保健院</w:t>
            </w:r>
          </w:p>
        </w:tc>
        <w:tc>
          <w:tcPr>
            <w:tcW w:w="4742" w:type="dxa"/>
            <w:tcMar>
              <w:right w:w="0" w:type="dxa"/>
            </w:tcMar>
          </w:tcPr>
          <w:p w14:paraId="39CD5938">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乙方（公章）：</w:t>
            </w:r>
          </w:p>
          <w:p w14:paraId="23327613">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p>
        </w:tc>
      </w:tr>
      <w:tr w14:paraId="0780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073FC85D">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w:t>
            </w:r>
          </w:p>
        </w:tc>
        <w:tc>
          <w:tcPr>
            <w:tcW w:w="4742" w:type="dxa"/>
            <w:tcMar>
              <w:right w:w="0" w:type="dxa"/>
            </w:tcMar>
          </w:tcPr>
          <w:p w14:paraId="0E5B084D">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w:t>
            </w:r>
          </w:p>
        </w:tc>
      </w:tr>
      <w:tr w14:paraId="3948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3CD51072">
            <w:pPr>
              <w:keepNext w:val="0"/>
              <w:keepLines w:val="0"/>
              <w:pageBreakBefore w:val="0"/>
              <w:shd w:val="clear"/>
              <w:kinsoku/>
              <w:wordWrap/>
              <w:overflowPunct/>
              <w:topLinePunct w:val="0"/>
              <w:bidi w:val="0"/>
              <w:adjustRightInd/>
              <w:snapToGrid/>
              <w:spacing w:line="400" w:lineRule="exact"/>
              <w:ind w:right="-11"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（签字或签章）</w:t>
            </w:r>
          </w:p>
        </w:tc>
        <w:tc>
          <w:tcPr>
            <w:tcW w:w="4742" w:type="dxa"/>
            <w:tcMar>
              <w:right w:w="0" w:type="dxa"/>
            </w:tcMar>
          </w:tcPr>
          <w:p w14:paraId="66E4C87B">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（签字或签章）</w:t>
            </w:r>
          </w:p>
        </w:tc>
      </w:tr>
      <w:tr w14:paraId="6C7F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004634AC">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   址：</w:t>
            </w:r>
            <w:r>
              <w:rPr>
                <w:rFonts w:hint="eastAsia" w:ascii="宋体" w:hAnsi="宋体" w:eastAsia="宋体" w:cs="宋体"/>
                <w:color w:val="auto"/>
                <w:sz w:val="21"/>
                <w:szCs w:val="21"/>
                <w:highlight w:val="none"/>
              </w:rPr>
              <w:t>南宁市厢竹大道59号</w:t>
            </w:r>
          </w:p>
          <w:p w14:paraId="0B5831BA">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   话：0771-2860904</w:t>
            </w:r>
          </w:p>
        </w:tc>
        <w:tc>
          <w:tcPr>
            <w:tcW w:w="4742" w:type="dxa"/>
            <w:tcMar>
              <w:right w:w="0" w:type="dxa"/>
            </w:tcMar>
          </w:tcPr>
          <w:p w14:paraId="029021BC">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   址：</w:t>
            </w:r>
          </w:p>
          <w:p w14:paraId="11622511">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电   话： </w:t>
            </w:r>
          </w:p>
        </w:tc>
      </w:tr>
      <w:tr w14:paraId="294E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18844839">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纳税人识别号：</w:t>
            </w:r>
            <w:r>
              <w:rPr>
                <w:rFonts w:hint="eastAsia" w:ascii="宋体" w:hAnsi="宋体" w:eastAsia="宋体" w:cs="宋体"/>
                <w:color w:val="auto"/>
                <w:sz w:val="21"/>
                <w:szCs w:val="21"/>
                <w:highlight w:val="none"/>
              </w:rPr>
              <w:t>1245000049850124X7</w:t>
            </w:r>
            <w:r>
              <w:rPr>
                <w:rFonts w:hint="eastAsia" w:ascii="宋体" w:hAnsi="宋体" w:eastAsia="宋体" w:cs="宋体"/>
                <w:color w:val="auto"/>
                <w:kern w:val="0"/>
                <w:sz w:val="21"/>
                <w:szCs w:val="21"/>
                <w:highlight w:val="none"/>
              </w:rPr>
              <w:t xml:space="preserve">                 </w:t>
            </w:r>
          </w:p>
        </w:tc>
        <w:tc>
          <w:tcPr>
            <w:tcW w:w="4742" w:type="dxa"/>
            <w:tcMar>
              <w:right w:w="0" w:type="dxa"/>
            </w:tcMar>
          </w:tcPr>
          <w:p w14:paraId="0183E3BD">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纳税人识别号：</w:t>
            </w:r>
          </w:p>
        </w:tc>
      </w:tr>
      <w:tr w14:paraId="1A60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1772F117">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开户银行：</w:t>
            </w:r>
            <w:r>
              <w:rPr>
                <w:rFonts w:hint="eastAsia" w:ascii="宋体" w:hAnsi="宋体" w:eastAsia="宋体" w:cs="宋体"/>
                <w:color w:val="auto"/>
                <w:sz w:val="21"/>
                <w:szCs w:val="21"/>
                <w:highlight w:val="none"/>
              </w:rPr>
              <w:t>交通银行南宁市高新支行</w:t>
            </w:r>
          </w:p>
        </w:tc>
        <w:tc>
          <w:tcPr>
            <w:tcW w:w="4742" w:type="dxa"/>
            <w:tcMar>
              <w:right w:w="0" w:type="dxa"/>
            </w:tcMar>
          </w:tcPr>
          <w:p w14:paraId="7777C99F">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开户银行：</w:t>
            </w:r>
          </w:p>
        </w:tc>
      </w:tr>
      <w:tr w14:paraId="5A07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4D5330B6">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账   号：</w:t>
            </w:r>
            <w:r>
              <w:rPr>
                <w:rFonts w:hint="eastAsia" w:ascii="宋体" w:hAnsi="宋体" w:eastAsia="宋体" w:cs="宋体"/>
                <w:bCs/>
                <w:color w:val="auto"/>
                <w:sz w:val="21"/>
                <w:szCs w:val="21"/>
                <w:highlight w:val="none"/>
              </w:rPr>
              <w:t>451060601010160018997</w:t>
            </w:r>
          </w:p>
        </w:tc>
        <w:tc>
          <w:tcPr>
            <w:tcW w:w="4742" w:type="dxa"/>
            <w:tcMar>
              <w:right w:w="0" w:type="dxa"/>
            </w:tcMar>
          </w:tcPr>
          <w:p w14:paraId="42A9D388">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账   号：</w:t>
            </w:r>
          </w:p>
        </w:tc>
      </w:tr>
      <w:tr w14:paraId="41B5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339" w:type="dxa"/>
          </w:tcPr>
          <w:p w14:paraId="3BF1469A">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邮政编码：</w:t>
            </w:r>
            <w:r>
              <w:rPr>
                <w:rFonts w:hint="eastAsia" w:ascii="宋体" w:hAnsi="宋体" w:eastAsia="宋体" w:cs="宋体"/>
                <w:color w:val="auto"/>
                <w:sz w:val="21"/>
                <w:szCs w:val="21"/>
                <w:highlight w:val="none"/>
              </w:rPr>
              <w:t xml:space="preserve">530002                            </w:t>
            </w:r>
          </w:p>
        </w:tc>
        <w:tc>
          <w:tcPr>
            <w:tcW w:w="4742" w:type="dxa"/>
            <w:tcMar>
              <w:right w:w="0" w:type="dxa"/>
            </w:tcMar>
          </w:tcPr>
          <w:p w14:paraId="1003D76F">
            <w:pPr>
              <w:keepNext w:val="0"/>
              <w:keepLines w:val="0"/>
              <w:pageBreakBefore w:val="0"/>
              <w:shd w:val="clear"/>
              <w:kinsoku/>
              <w:wordWrap/>
              <w:overflowPunct/>
              <w:topLinePunct w:val="0"/>
              <w:bidi w:val="0"/>
              <w:adjustRightInd/>
              <w:snapToGrid/>
              <w:spacing w:line="400" w:lineRule="exact"/>
              <w:ind w:right="-11"/>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邮政编码：</w:t>
            </w:r>
          </w:p>
        </w:tc>
      </w:tr>
    </w:tbl>
    <w:p w14:paraId="0D900BD4">
      <w:pPr>
        <w:shd w:val="clear"/>
        <w:rPr>
          <w:rFonts w:ascii="宋体" w:hAnsi="宋体"/>
          <w:color w:val="auto"/>
          <w:sz w:val="22"/>
          <w:szCs w:val="24"/>
          <w:highlight w:val="none"/>
        </w:rPr>
      </w:pPr>
    </w:p>
    <w:p w14:paraId="5DFB0E91">
      <w:pPr>
        <w:widowControl/>
        <w:shd w:val="clear"/>
        <w:jc w:val="left"/>
        <w:rPr>
          <w:rFonts w:ascii="宋体" w:hAnsi="宋体"/>
          <w:color w:val="auto"/>
          <w:sz w:val="22"/>
          <w:szCs w:val="24"/>
          <w:highlight w:val="none"/>
        </w:rPr>
      </w:pPr>
    </w:p>
    <w:p w14:paraId="0735300E">
      <w:pPr>
        <w:widowControl/>
        <w:shd w:val="clear"/>
        <w:spacing w:line="240" w:lineRule="auto"/>
        <w:jc w:val="left"/>
        <w:rPr>
          <w:rFonts w:ascii="宋体" w:hAnsi="宋体" w:cs="仿宋"/>
          <w:color w:val="auto"/>
          <w:sz w:val="24"/>
          <w:szCs w:val="24"/>
          <w:highlight w:val="none"/>
        </w:rPr>
      </w:pPr>
    </w:p>
    <w:p w14:paraId="6758971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p>
    <w:p w14:paraId="212E691B">
      <w:pPr>
        <w:shd w:val="clear" w:color="auto"/>
        <w:spacing w:line="360" w:lineRule="exact"/>
        <w:jc w:val="center"/>
        <w:rPr>
          <w:rFonts w:hint="eastAsia" w:ascii="宋体" w:hAnsi="宋体" w:eastAsia="宋体" w:cs="宋体"/>
          <w:color w:val="auto"/>
          <w:kern w:val="1"/>
          <w:szCs w:val="21"/>
          <w:highlight w:val="none"/>
        </w:rPr>
      </w:pPr>
    </w:p>
    <w:p w14:paraId="2D16D43C">
      <w:pPr>
        <w:shd w:val="clear"/>
        <w:snapToGrid w:val="0"/>
        <w:spacing w:line="360" w:lineRule="exact"/>
        <w:jc w:val="center"/>
        <w:rPr>
          <w:rFonts w:hint="eastAsia" w:ascii="宋体" w:hAnsi="宋体" w:eastAsia="宋体" w:cs="宋体"/>
          <w:color w:val="auto"/>
          <w:szCs w:val="21"/>
          <w:highlight w:val="none"/>
        </w:rPr>
      </w:pPr>
    </w:p>
    <w:p w14:paraId="0551D636">
      <w:pPr>
        <w:shd w:val="clear"/>
        <w:snapToGrid w:val="0"/>
        <w:spacing w:line="360" w:lineRule="exact"/>
        <w:jc w:val="center"/>
        <w:rPr>
          <w:rFonts w:hint="eastAsia" w:ascii="宋体" w:hAnsi="宋体" w:eastAsia="宋体" w:cs="宋体"/>
          <w:b/>
          <w:color w:val="auto"/>
          <w:szCs w:val="21"/>
          <w:highlight w:val="none"/>
        </w:rPr>
      </w:pPr>
    </w:p>
    <w:p w14:paraId="15E1242B">
      <w:pPr>
        <w:shd w:val="clear"/>
        <w:rPr>
          <w:rFonts w:hint="eastAsia" w:ascii="宋体" w:hAnsi="宋体" w:eastAsia="宋体" w:cs="宋体"/>
          <w:color w:val="auto"/>
          <w:highlight w:val="none"/>
        </w:rPr>
      </w:pPr>
    </w:p>
    <w:p w14:paraId="16412F16">
      <w:pPr>
        <w:shd w:val="clear"/>
        <w:spacing w:line="40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p>
    <w:p w14:paraId="390804DC">
      <w:pPr>
        <w:shd w:val="clear"/>
        <w:spacing w:line="400" w:lineRule="exact"/>
        <w:jc w:val="center"/>
        <w:rPr>
          <w:rFonts w:hint="eastAsia" w:ascii="宋体" w:hAnsi="宋体" w:eastAsia="宋体" w:cs="宋体"/>
          <w:color w:val="auto"/>
          <w:sz w:val="32"/>
          <w:szCs w:val="32"/>
          <w:highlight w:val="none"/>
        </w:rPr>
      </w:pPr>
    </w:p>
    <w:p w14:paraId="079D4F6F">
      <w:pPr>
        <w:shd w:val="clear"/>
        <w:spacing w:line="400" w:lineRule="exact"/>
        <w:jc w:val="center"/>
        <w:rPr>
          <w:rFonts w:hint="eastAsia" w:ascii="宋体" w:hAnsi="宋体" w:eastAsia="宋体" w:cs="宋体"/>
          <w:color w:val="auto"/>
          <w:sz w:val="32"/>
          <w:szCs w:val="32"/>
          <w:highlight w:val="none"/>
        </w:rPr>
      </w:pPr>
    </w:p>
    <w:p w14:paraId="58AF851B">
      <w:pPr>
        <w:shd w:val="clear"/>
        <w:spacing w:line="400" w:lineRule="exact"/>
        <w:jc w:val="center"/>
        <w:rPr>
          <w:rFonts w:hint="eastAsia" w:ascii="宋体" w:hAnsi="宋体" w:eastAsia="宋体" w:cs="宋体"/>
          <w:color w:val="auto"/>
          <w:sz w:val="32"/>
          <w:szCs w:val="32"/>
          <w:highlight w:val="none"/>
        </w:rPr>
      </w:pPr>
    </w:p>
    <w:p w14:paraId="66B8679F">
      <w:pPr>
        <w:shd w:val="clear"/>
        <w:spacing w:line="400" w:lineRule="exact"/>
        <w:jc w:val="center"/>
        <w:rPr>
          <w:rFonts w:hint="eastAsia" w:ascii="宋体" w:hAnsi="宋体" w:eastAsia="宋体" w:cs="宋体"/>
          <w:color w:val="auto"/>
          <w:sz w:val="32"/>
          <w:szCs w:val="32"/>
          <w:highlight w:val="none"/>
        </w:rPr>
      </w:pPr>
    </w:p>
    <w:p w14:paraId="01594EA9">
      <w:pPr>
        <w:shd w:val="clear"/>
        <w:spacing w:line="400" w:lineRule="exact"/>
        <w:jc w:val="center"/>
        <w:rPr>
          <w:rFonts w:hint="eastAsia" w:ascii="宋体" w:hAnsi="宋体" w:eastAsia="宋体" w:cs="宋体"/>
          <w:color w:val="auto"/>
          <w:sz w:val="32"/>
          <w:szCs w:val="32"/>
          <w:highlight w:val="none"/>
        </w:rPr>
      </w:pPr>
    </w:p>
    <w:p w14:paraId="209480A5">
      <w:pPr>
        <w:shd w:val="clear"/>
        <w:spacing w:line="400" w:lineRule="exact"/>
        <w:jc w:val="center"/>
        <w:rPr>
          <w:rFonts w:hint="eastAsia" w:ascii="宋体" w:hAnsi="宋体" w:eastAsia="宋体" w:cs="宋体"/>
          <w:color w:val="auto"/>
          <w:sz w:val="32"/>
          <w:szCs w:val="32"/>
          <w:highlight w:val="none"/>
        </w:rPr>
      </w:pPr>
    </w:p>
    <w:p w14:paraId="153B1737">
      <w:pPr>
        <w:shd w:val="clear"/>
        <w:spacing w:line="400" w:lineRule="exact"/>
        <w:jc w:val="center"/>
        <w:rPr>
          <w:rFonts w:hint="eastAsia" w:ascii="宋体" w:hAnsi="宋体" w:eastAsia="宋体" w:cs="宋体"/>
          <w:color w:val="auto"/>
          <w:sz w:val="32"/>
          <w:szCs w:val="32"/>
          <w:highlight w:val="none"/>
        </w:rPr>
      </w:pPr>
    </w:p>
    <w:p w14:paraId="5EDA84CD">
      <w:pPr>
        <w:shd w:val="clear"/>
        <w:spacing w:line="400" w:lineRule="exact"/>
        <w:jc w:val="center"/>
        <w:rPr>
          <w:rFonts w:hint="eastAsia" w:ascii="宋体" w:hAnsi="宋体" w:eastAsia="宋体" w:cs="宋体"/>
          <w:color w:val="auto"/>
          <w:sz w:val="32"/>
          <w:szCs w:val="32"/>
          <w:highlight w:val="none"/>
        </w:rPr>
      </w:pPr>
    </w:p>
    <w:p w14:paraId="08B3F9B1">
      <w:pPr>
        <w:shd w:val="clear"/>
        <w:spacing w:line="400" w:lineRule="exact"/>
        <w:jc w:val="center"/>
        <w:rPr>
          <w:rFonts w:hint="eastAsia" w:ascii="宋体" w:hAnsi="宋体" w:eastAsia="宋体" w:cs="宋体"/>
          <w:color w:val="auto"/>
          <w:sz w:val="32"/>
          <w:szCs w:val="32"/>
          <w:highlight w:val="none"/>
        </w:rPr>
      </w:pPr>
    </w:p>
    <w:p w14:paraId="399733FB">
      <w:pPr>
        <w:shd w:val="clear"/>
        <w:spacing w:line="400" w:lineRule="exact"/>
        <w:jc w:val="center"/>
        <w:rPr>
          <w:rFonts w:hint="eastAsia" w:ascii="宋体" w:hAnsi="宋体" w:eastAsia="宋体" w:cs="宋体"/>
          <w:color w:val="auto"/>
          <w:sz w:val="32"/>
          <w:szCs w:val="32"/>
          <w:highlight w:val="none"/>
        </w:rPr>
      </w:pPr>
    </w:p>
    <w:p w14:paraId="5F915D0B">
      <w:pPr>
        <w:shd w:val="clear"/>
        <w:spacing w:line="400" w:lineRule="exact"/>
        <w:jc w:val="center"/>
        <w:rPr>
          <w:rFonts w:hint="eastAsia" w:ascii="宋体" w:hAnsi="宋体" w:eastAsia="宋体" w:cs="宋体"/>
          <w:color w:val="auto"/>
          <w:sz w:val="32"/>
          <w:szCs w:val="32"/>
          <w:highlight w:val="none"/>
        </w:rPr>
      </w:pPr>
    </w:p>
    <w:p w14:paraId="01E8236C">
      <w:pPr>
        <w:shd w:val="clear"/>
        <w:spacing w:line="400" w:lineRule="exact"/>
        <w:jc w:val="center"/>
        <w:rPr>
          <w:rFonts w:hint="eastAsia" w:ascii="宋体" w:hAnsi="宋体" w:eastAsia="宋体" w:cs="宋体"/>
          <w:color w:val="auto"/>
          <w:sz w:val="32"/>
          <w:szCs w:val="32"/>
          <w:highlight w:val="none"/>
        </w:rPr>
      </w:pPr>
    </w:p>
    <w:p w14:paraId="78C1DC0D">
      <w:pPr>
        <w:shd w:val="clear"/>
        <w:spacing w:line="400" w:lineRule="exact"/>
        <w:jc w:val="center"/>
        <w:rPr>
          <w:rFonts w:hint="eastAsia" w:ascii="宋体" w:hAnsi="宋体" w:eastAsia="宋体" w:cs="宋体"/>
          <w:color w:val="auto"/>
          <w:sz w:val="32"/>
          <w:szCs w:val="32"/>
          <w:highlight w:val="none"/>
        </w:rPr>
      </w:pPr>
    </w:p>
    <w:p w14:paraId="19633A71">
      <w:pPr>
        <w:shd w:val="clear"/>
        <w:spacing w:line="400" w:lineRule="exact"/>
        <w:jc w:val="center"/>
        <w:rPr>
          <w:rFonts w:hint="eastAsia" w:ascii="宋体" w:hAnsi="宋体" w:eastAsia="宋体" w:cs="宋体"/>
          <w:color w:val="auto"/>
          <w:sz w:val="32"/>
          <w:szCs w:val="32"/>
          <w:highlight w:val="none"/>
        </w:rPr>
      </w:pPr>
    </w:p>
    <w:p w14:paraId="4F93C1B4">
      <w:pPr>
        <w:pStyle w:val="47"/>
        <w:shd w:val="clear"/>
        <w:rPr>
          <w:rFonts w:hint="eastAsia" w:ascii="宋体" w:hAnsi="宋体" w:eastAsia="宋体" w:cs="宋体"/>
          <w:color w:val="auto"/>
          <w:sz w:val="44"/>
          <w:szCs w:val="44"/>
          <w:highlight w:val="none"/>
        </w:rPr>
      </w:pPr>
      <w:bookmarkStart w:id="97" w:name="_Toc476436436"/>
      <w:bookmarkStart w:id="98" w:name="_Toc476436177"/>
      <w:r>
        <w:rPr>
          <w:rFonts w:hint="eastAsia" w:ascii="宋体" w:hAnsi="宋体" w:eastAsia="宋体" w:cs="宋体"/>
          <w:color w:val="auto"/>
          <w:sz w:val="44"/>
          <w:szCs w:val="44"/>
          <w:highlight w:val="none"/>
        </w:rPr>
        <w:t>第六章　投标文件格式</w:t>
      </w:r>
      <w:bookmarkEnd w:id="97"/>
      <w:bookmarkEnd w:id="98"/>
    </w:p>
    <w:p w14:paraId="5ED7B33C">
      <w:pPr>
        <w:shd w:val="clear"/>
        <w:rPr>
          <w:rFonts w:hint="eastAsia" w:ascii="宋体" w:hAnsi="宋体" w:eastAsia="宋体" w:cs="宋体"/>
          <w:color w:val="auto"/>
          <w:highlight w:val="none"/>
        </w:rPr>
      </w:pPr>
    </w:p>
    <w:p w14:paraId="18D3B7DC">
      <w:pPr>
        <w:shd w:val="clear"/>
        <w:rPr>
          <w:rFonts w:hint="eastAsia" w:ascii="宋体" w:hAnsi="宋体" w:eastAsia="宋体" w:cs="宋体"/>
          <w:color w:val="auto"/>
          <w:highlight w:val="none"/>
        </w:rPr>
      </w:pPr>
      <w:bookmarkStart w:id="99" w:name="_Toc254970697"/>
      <w:bookmarkStart w:id="100" w:name="_Toc254970556"/>
    </w:p>
    <w:p w14:paraId="4304DC34">
      <w:pPr>
        <w:shd w:val="clear"/>
        <w:rPr>
          <w:rFonts w:hint="eastAsia" w:ascii="宋体" w:hAnsi="宋体" w:eastAsia="宋体" w:cs="宋体"/>
          <w:color w:val="auto"/>
          <w:highlight w:val="none"/>
        </w:rPr>
      </w:pPr>
    </w:p>
    <w:p w14:paraId="37B2BB3C">
      <w:pPr>
        <w:shd w:val="clear"/>
        <w:rPr>
          <w:rFonts w:hint="eastAsia" w:ascii="宋体" w:hAnsi="宋体" w:eastAsia="宋体" w:cs="宋体"/>
          <w:color w:val="auto"/>
          <w:highlight w:val="none"/>
        </w:rPr>
      </w:pPr>
    </w:p>
    <w:p w14:paraId="5A5FB40D">
      <w:pPr>
        <w:shd w:val="clear"/>
        <w:rPr>
          <w:rFonts w:hint="eastAsia" w:ascii="宋体" w:hAnsi="宋体" w:eastAsia="宋体" w:cs="宋体"/>
          <w:color w:val="auto"/>
          <w:highlight w:val="none"/>
        </w:rPr>
      </w:pPr>
    </w:p>
    <w:p w14:paraId="70758919">
      <w:pPr>
        <w:shd w:val="clear"/>
        <w:rPr>
          <w:rFonts w:hint="eastAsia" w:ascii="宋体" w:hAnsi="宋体" w:eastAsia="宋体" w:cs="宋体"/>
          <w:color w:val="auto"/>
          <w:highlight w:val="none"/>
        </w:rPr>
      </w:pPr>
    </w:p>
    <w:p w14:paraId="19B993F0">
      <w:pPr>
        <w:shd w:val="clear"/>
        <w:rPr>
          <w:rFonts w:hint="eastAsia" w:ascii="宋体" w:hAnsi="宋体" w:eastAsia="宋体" w:cs="宋体"/>
          <w:color w:val="auto"/>
          <w:highlight w:val="none"/>
        </w:rPr>
      </w:pPr>
    </w:p>
    <w:p w14:paraId="3D9B5124">
      <w:pPr>
        <w:shd w:val="clear"/>
        <w:rPr>
          <w:rFonts w:hint="eastAsia" w:ascii="宋体" w:hAnsi="宋体" w:eastAsia="宋体" w:cs="宋体"/>
          <w:color w:val="auto"/>
          <w:highlight w:val="none"/>
        </w:rPr>
      </w:pPr>
    </w:p>
    <w:p w14:paraId="16C2399C">
      <w:pPr>
        <w:shd w:val="clear"/>
        <w:rPr>
          <w:rFonts w:hint="eastAsia" w:ascii="宋体" w:hAnsi="宋体" w:eastAsia="宋体" w:cs="宋体"/>
          <w:color w:val="auto"/>
          <w:highlight w:val="none"/>
        </w:rPr>
      </w:pPr>
    </w:p>
    <w:p w14:paraId="098139D0">
      <w:pPr>
        <w:shd w:val="clear"/>
        <w:rPr>
          <w:rFonts w:hint="eastAsia" w:ascii="宋体" w:hAnsi="宋体" w:eastAsia="宋体" w:cs="宋体"/>
          <w:color w:val="auto"/>
          <w:highlight w:val="none"/>
        </w:rPr>
      </w:pPr>
    </w:p>
    <w:p w14:paraId="29333F37">
      <w:pPr>
        <w:shd w:val="clear"/>
        <w:rPr>
          <w:rFonts w:hint="eastAsia" w:ascii="宋体" w:hAnsi="宋体" w:eastAsia="宋体" w:cs="宋体"/>
          <w:color w:val="auto"/>
          <w:highlight w:val="none"/>
        </w:rPr>
      </w:pPr>
    </w:p>
    <w:p w14:paraId="2F416EAA">
      <w:pPr>
        <w:shd w:val="clear"/>
        <w:rPr>
          <w:rFonts w:hint="eastAsia" w:ascii="宋体" w:hAnsi="宋体" w:eastAsia="宋体" w:cs="宋体"/>
          <w:color w:val="auto"/>
          <w:highlight w:val="none"/>
        </w:rPr>
      </w:pPr>
    </w:p>
    <w:bookmarkEnd w:id="99"/>
    <w:bookmarkEnd w:id="100"/>
    <w:p w14:paraId="43C9D8D0">
      <w:pPr>
        <w:shd w:val="clear"/>
        <w:spacing w:line="720" w:lineRule="auto"/>
        <w:jc w:val="center"/>
        <w:rPr>
          <w:rFonts w:hint="eastAsia" w:ascii="宋体" w:hAnsi="宋体" w:eastAsia="宋体" w:cs="宋体"/>
          <w:color w:val="auto"/>
          <w:sz w:val="32"/>
          <w:szCs w:val="32"/>
          <w:highlight w:val="none"/>
        </w:rPr>
      </w:pPr>
      <w:r>
        <w:rPr>
          <w:rFonts w:hint="eastAsia" w:ascii="宋体" w:hAnsi="宋体" w:eastAsia="宋体" w:cs="宋体"/>
          <w:color w:val="auto"/>
          <w:highlight w:val="none"/>
        </w:rPr>
        <w:br w:type="page"/>
      </w:r>
      <w:r>
        <w:rPr>
          <w:rFonts w:hint="eastAsia" w:ascii="宋体" w:hAnsi="宋体" w:eastAsia="宋体" w:cs="宋体"/>
          <w:color w:val="auto"/>
          <w:sz w:val="32"/>
          <w:szCs w:val="32"/>
          <w:highlight w:val="none"/>
        </w:rPr>
        <w:t>投标文件格式</w:t>
      </w:r>
    </w:p>
    <w:p w14:paraId="52A9C710">
      <w:pPr>
        <w:shd w:val="clear"/>
        <w:spacing w:line="48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一、投标文件封面格式</w:t>
      </w:r>
    </w:p>
    <w:p w14:paraId="7522CD06">
      <w:pPr>
        <w:shd w:val="clear"/>
        <w:snapToGrid w:val="0"/>
        <w:spacing w:before="156" w:beforeLines="50" w:after="50" w:line="360" w:lineRule="exact"/>
        <w:rPr>
          <w:rFonts w:hint="eastAsia" w:ascii="宋体" w:hAnsi="宋体" w:eastAsia="宋体" w:cs="宋体"/>
          <w:color w:val="auto"/>
          <w:sz w:val="24"/>
          <w:highlight w:val="none"/>
        </w:rPr>
      </w:pPr>
    </w:p>
    <w:p w14:paraId="61D257FB">
      <w:pPr>
        <w:shd w:val="clear"/>
        <w:snapToGrid w:val="0"/>
        <w:spacing w:before="156" w:beforeLines="50" w:after="50" w:line="360" w:lineRule="exact"/>
        <w:rPr>
          <w:rFonts w:hint="eastAsia" w:ascii="宋体" w:hAnsi="宋体" w:eastAsia="宋体" w:cs="宋体"/>
          <w:bCs/>
          <w:color w:val="auto"/>
          <w:sz w:val="24"/>
          <w:highlight w:val="none"/>
        </w:rPr>
      </w:pPr>
      <w:r>
        <w:rPr>
          <w:rFonts w:hint="eastAsia" w:ascii="宋体" w:hAnsi="宋体" w:eastAsia="宋体" w:cs="宋体"/>
          <w:color w:val="auto"/>
          <w:sz w:val="24"/>
          <w:highlight w:val="none"/>
        </w:rPr>
        <w:t xml:space="preserve">                                                   </w:t>
      </w:r>
    </w:p>
    <w:p w14:paraId="10D5E762">
      <w:pPr>
        <w:shd w:val="clear"/>
        <w:snapToGrid w:val="0"/>
        <w:spacing w:before="156" w:beforeLines="50" w:after="50" w:line="36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投标文件</w:t>
      </w:r>
    </w:p>
    <w:p w14:paraId="327B8F09">
      <w:pPr>
        <w:shd w:val="clear"/>
        <w:snapToGrid w:val="0"/>
        <w:spacing w:before="156" w:beforeLines="50" w:after="50" w:line="360" w:lineRule="exact"/>
        <w:rPr>
          <w:rFonts w:hint="eastAsia" w:ascii="宋体" w:hAnsi="宋体" w:eastAsia="宋体" w:cs="宋体"/>
          <w:bCs/>
          <w:color w:val="auto"/>
          <w:sz w:val="24"/>
          <w:highlight w:val="none"/>
        </w:rPr>
      </w:pPr>
    </w:p>
    <w:p w14:paraId="1E536388">
      <w:pPr>
        <w:shd w:val="clear"/>
        <w:snapToGrid w:val="0"/>
        <w:spacing w:before="156" w:beforeLines="50" w:after="50" w:line="360" w:lineRule="exact"/>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采购项目名称： </w:t>
      </w:r>
    </w:p>
    <w:p w14:paraId="23F491A9">
      <w:pPr>
        <w:shd w:val="clear"/>
        <w:snapToGrid w:val="0"/>
        <w:spacing w:before="156" w:beforeLines="50" w:after="50" w:line="360" w:lineRule="exact"/>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采购项目编号： </w:t>
      </w:r>
    </w:p>
    <w:p w14:paraId="55902CCB">
      <w:pPr>
        <w:shd w:val="clear"/>
        <w:snapToGrid w:val="0"/>
        <w:spacing w:before="156" w:beforeLines="50" w:after="50" w:line="360" w:lineRule="exact"/>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所投分标（如有）：</w:t>
      </w:r>
    </w:p>
    <w:p w14:paraId="6539335F">
      <w:pPr>
        <w:shd w:val="clear"/>
        <w:snapToGrid w:val="0"/>
        <w:spacing w:before="156" w:beforeLines="50" w:after="50" w:line="360" w:lineRule="exact"/>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投标人名称：（盖章）</w:t>
      </w:r>
    </w:p>
    <w:p w14:paraId="6447E672">
      <w:pPr>
        <w:shd w:val="clear"/>
        <w:snapToGrid w:val="0"/>
        <w:spacing w:before="156" w:beforeLines="50" w:after="50" w:line="360" w:lineRule="exact"/>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投标人地址：</w:t>
      </w:r>
    </w:p>
    <w:p w14:paraId="5F270F08">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年  月  日</w:t>
      </w:r>
    </w:p>
    <w:p w14:paraId="56BE6E7F">
      <w:pPr>
        <w:shd w:val="clear"/>
        <w:spacing w:line="360" w:lineRule="exact"/>
        <w:rPr>
          <w:rFonts w:hint="eastAsia" w:ascii="宋体" w:hAnsi="宋体" w:eastAsia="宋体" w:cs="宋体"/>
          <w:color w:val="auto"/>
          <w:highlight w:val="none"/>
        </w:rPr>
      </w:pPr>
    </w:p>
    <w:p w14:paraId="022B4CF0">
      <w:pPr>
        <w:shd w:val="clear"/>
        <w:spacing w:line="360" w:lineRule="exact"/>
        <w:rPr>
          <w:rFonts w:hint="eastAsia" w:ascii="宋体" w:hAnsi="宋体" w:eastAsia="宋体" w:cs="宋体"/>
          <w:color w:val="auto"/>
          <w:highlight w:val="none"/>
        </w:rPr>
      </w:pPr>
      <w:bookmarkStart w:id="101" w:name="_Toc254970698"/>
      <w:bookmarkStart w:id="102" w:name="_Toc254970557"/>
      <w:r>
        <w:rPr>
          <w:rFonts w:hint="eastAsia" w:ascii="宋体" w:hAnsi="宋体" w:eastAsia="宋体" w:cs="宋体"/>
          <w:bCs/>
          <w:color w:val="auto"/>
          <w:szCs w:val="21"/>
          <w:highlight w:val="none"/>
        </w:rPr>
        <w:t>[注：</w:t>
      </w:r>
      <w:r>
        <w:rPr>
          <w:rFonts w:hint="eastAsia" w:ascii="宋体" w:hAnsi="宋体" w:eastAsia="宋体" w:cs="宋体"/>
          <w:color w:val="auto"/>
          <w:highlight w:val="none"/>
        </w:rPr>
        <w:t>投标文件由资格文件、商务技术文件、报价文件</w:t>
      </w:r>
      <w:r>
        <w:rPr>
          <w:rFonts w:hint="eastAsia" w:ascii="宋体" w:hAnsi="宋体" w:eastAsia="宋体" w:cs="宋体"/>
          <w:b/>
          <w:color w:val="auto"/>
          <w:szCs w:val="21"/>
          <w:highlight w:val="none"/>
        </w:rPr>
        <w:t>三部分</w:t>
      </w:r>
      <w:r>
        <w:rPr>
          <w:rFonts w:hint="eastAsia" w:ascii="宋体" w:hAnsi="宋体" w:eastAsia="宋体" w:cs="宋体"/>
          <w:color w:val="auto"/>
          <w:szCs w:val="21"/>
          <w:highlight w:val="none"/>
        </w:rPr>
        <w:t>组成</w:t>
      </w:r>
      <w:r>
        <w:rPr>
          <w:rFonts w:hint="eastAsia" w:ascii="宋体" w:hAnsi="宋体" w:eastAsia="宋体" w:cs="宋体"/>
          <w:bCs/>
          <w:color w:val="auto"/>
          <w:szCs w:val="21"/>
          <w:highlight w:val="none"/>
        </w:rPr>
        <w:t>]</w:t>
      </w:r>
    </w:p>
    <w:p w14:paraId="6F9E0965">
      <w:pPr>
        <w:shd w:val="clear"/>
        <w:spacing w:line="72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br w:type="page"/>
      </w:r>
      <w:r>
        <w:rPr>
          <w:rFonts w:hint="eastAsia" w:ascii="宋体" w:hAnsi="宋体" w:eastAsia="宋体" w:cs="宋体"/>
          <w:b/>
          <w:color w:val="auto"/>
          <w:highlight w:val="none"/>
        </w:rPr>
        <w:t>二、投标文件目录</w:t>
      </w:r>
    </w:p>
    <w:p w14:paraId="4D6B2184">
      <w:pPr>
        <w:shd w:val="clear"/>
        <w:snapToGrid w:val="0"/>
        <w:spacing w:before="156" w:beforeLines="50" w:line="36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1.资格文件：</w:t>
      </w:r>
    </w:p>
    <w:p w14:paraId="2FC9F3DE">
      <w:pPr>
        <w:shd w:val="clear"/>
        <w:snapToGrid w:val="0"/>
        <w:spacing w:line="36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（1）有效的主体资格证明文件</w:t>
      </w:r>
    </w:p>
    <w:p w14:paraId="16B36B05">
      <w:pPr>
        <w:shd w:val="clear"/>
        <w:snapToGrid w:val="0"/>
        <w:spacing w:line="360" w:lineRule="exact"/>
        <w:ind w:firstLine="411" w:firstLineChars="196"/>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 投标人有效的“主体资格证明文件”（如营业执照、事业单位法人证书、执业许可证、自然人身份证等）复印件，</w:t>
      </w:r>
      <w:r>
        <w:rPr>
          <w:rFonts w:hint="eastAsia" w:ascii="宋体" w:hAnsi="宋体" w:eastAsia="宋体" w:cs="宋体"/>
          <w:color w:val="auto"/>
          <w:szCs w:val="21"/>
          <w:highlight w:val="none"/>
        </w:rPr>
        <w:t>同时</w:t>
      </w:r>
      <w:r>
        <w:rPr>
          <w:rFonts w:hint="eastAsia" w:ascii="宋体" w:hAnsi="宋体" w:eastAsia="宋体" w:cs="宋体"/>
          <w:color w:val="auto"/>
          <w:highlight w:val="none"/>
        </w:rPr>
        <w:t>要加盖单位公章</w:t>
      </w:r>
      <w:r>
        <w:rPr>
          <w:rFonts w:hint="eastAsia" w:ascii="宋体" w:hAnsi="宋体" w:eastAsia="宋体" w:cs="宋体"/>
          <w:b/>
          <w:color w:val="auto"/>
          <w:highlight w:val="none"/>
          <w:lang w:eastAsia="zh-CN"/>
        </w:rPr>
        <w:t>[必须提供]</w:t>
      </w:r>
    </w:p>
    <w:p w14:paraId="52825073">
      <w:pPr>
        <w:shd w:val="clear"/>
        <w:snapToGrid w:val="0"/>
        <w:spacing w:line="36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（2）投标截止之日</w:t>
      </w:r>
      <w:r>
        <w:rPr>
          <w:rFonts w:hint="eastAsia" w:ascii="宋体" w:hAnsi="宋体" w:eastAsia="宋体" w:cs="宋体"/>
          <w:color w:val="auto"/>
          <w:szCs w:val="21"/>
          <w:highlight w:val="none"/>
          <w:lang w:eastAsia="zh-CN"/>
        </w:rPr>
        <w:t>前半年</w:t>
      </w:r>
      <w:r>
        <w:rPr>
          <w:rFonts w:hint="eastAsia" w:ascii="宋体" w:hAnsi="宋体" w:eastAsia="宋体" w:cs="宋体"/>
          <w:color w:val="auto"/>
          <w:szCs w:val="21"/>
          <w:highlight w:val="none"/>
        </w:rPr>
        <w:t>内投标人</w:t>
      </w:r>
      <w:r>
        <w:rPr>
          <w:rFonts w:hint="eastAsia" w:ascii="宋体" w:hAnsi="宋体" w:eastAsia="宋体" w:cs="宋体"/>
          <w:color w:val="auto"/>
          <w:szCs w:val="21"/>
          <w:highlight w:val="none"/>
          <w:lang w:eastAsia="zh-CN"/>
        </w:rPr>
        <w:t>任意一个月</w:t>
      </w:r>
      <w:r>
        <w:rPr>
          <w:rFonts w:hint="eastAsia" w:ascii="宋体" w:hAnsi="宋体" w:eastAsia="宋体" w:cs="宋体"/>
          <w:color w:val="auto"/>
          <w:szCs w:val="21"/>
          <w:highlight w:val="none"/>
        </w:rPr>
        <w:t>的依法缴纳税费或依法免缴税费的证明；无纳税记录的，应提供由投标人所在地的税务部门出具的《依法纳税或依法免税证明》</w:t>
      </w:r>
      <w:r>
        <w:rPr>
          <w:rFonts w:hint="eastAsia" w:ascii="宋体" w:hAnsi="宋体" w:eastAsia="宋体" w:cs="宋体"/>
          <w:b/>
          <w:color w:val="auto"/>
          <w:szCs w:val="21"/>
          <w:highlight w:val="none"/>
          <w:lang w:eastAsia="zh-CN"/>
        </w:rPr>
        <w:t>[必须提供，新成立单位按实际提供]</w:t>
      </w:r>
    </w:p>
    <w:p w14:paraId="749B3AFF">
      <w:pPr>
        <w:shd w:val="clear"/>
        <w:snapToGrid w:val="0"/>
        <w:spacing w:line="36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（3）投标截止之日</w:t>
      </w:r>
      <w:r>
        <w:rPr>
          <w:rFonts w:hint="eastAsia" w:ascii="宋体" w:hAnsi="宋体" w:eastAsia="宋体" w:cs="宋体"/>
          <w:color w:val="auto"/>
          <w:szCs w:val="21"/>
          <w:highlight w:val="none"/>
          <w:lang w:eastAsia="zh-CN"/>
        </w:rPr>
        <w:t>前半年</w:t>
      </w:r>
      <w:r>
        <w:rPr>
          <w:rFonts w:hint="eastAsia" w:ascii="宋体" w:hAnsi="宋体" w:eastAsia="宋体" w:cs="宋体"/>
          <w:color w:val="auto"/>
          <w:szCs w:val="21"/>
          <w:highlight w:val="none"/>
        </w:rPr>
        <w:t>内投标人</w:t>
      </w:r>
      <w:r>
        <w:rPr>
          <w:rFonts w:hint="eastAsia" w:ascii="宋体" w:hAnsi="宋体" w:eastAsia="宋体" w:cs="宋体"/>
          <w:color w:val="auto"/>
          <w:szCs w:val="21"/>
          <w:highlight w:val="none"/>
          <w:lang w:eastAsia="zh-CN"/>
        </w:rPr>
        <w:t>任意一个月</w:t>
      </w:r>
      <w:r>
        <w:rPr>
          <w:rFonts w:hint="eastAsia" w:ascii="宋体" w:hAnsi="宋体" w:eastAsia="宋体" w:cs="宋体"/>
          <w:color w:val="auto"/>
          <w:szCs w:val="21"/>
          <w:highlight w:val="none"/>
        </w:rPr>
        <w:t>的依法缴纳社保费的缴费凭证；无缴费记录的，应提供由投标人所在地社保等相关部门出具的《依法缴纳或依法免缴社保费证明》</w:t>
      </w:r>
      <w:r>
        <w:rPr>
          <w:rFonts w:hint="eastAsia" w:ascii="宋体" w:hAnsi="宋体" w:eastAsia="宋体" w:cs="宋体"/>
          <w:b/>
          <w:color w:val="auto"/>
          <w:szCs w:val="21"/>
          <w:highlight w:val="none"/>
          <w:lang w:eastAsia="zh-CN"/>
        </w:rPr>
        <w:t>[必须提供，新成立单位按实际提供]</w:t>
      </w:r>
    </w:p>
    <w:p w14:paraId="1061E836">
      <w:pPr>
        <w:shd w:val="clear"/>
        <w:snapToGrid w:val="0"/>
        <w:spacing w:line="360" w:lineRule="exact"/>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财务状况报告</w:t>
      </w:r>
      <w:r>
        <w:rPr>
          <w:rFonts w:hint="eastAsia" w:ascii="宋体" w:hAnsi="宋体" w:eastAsia="宋体" w:cs="宋体"/>
          <w:b/>
          <w:color w:val="auto"/>
          <w:szCs w:val="21"/>
          <w:highlight w:val="none"/>
          <w:lang w:eastAsia="zh-CN"/>
        </w:rPr>
        <w:t>[格式自拟，必须提供]</w:t>
      </w:r>
    </w:p>
    <w:p w14:paraId="4F92BD85">
      <w:pPr>
        <w:shd w:val="clear"/>
        <w:snapToGrid w:val="0"/>
        <w:spacing w:line="360" w:lineRule="exact"/>
        <w:ind w:firstLine="411" w:firstLineChars="196"/>
        <w:jc w:val="left"/>
        <w:rPr>
          <w:rFonts w:hint="eastAsia" w:ascii="宋体" w:hAnsi="宋体" w:eastAsia="宋体" w:cs="宋体"/>
          <w:b/>
          <w:color w:val="auto"/>
          <w:kern w:val="0"/>
          <w:szCs w:val="21"/>
          <w:highlight w:val="none"/>
          <w:lang w:eastAsia="zh-CN"/>
        </w:rPr>
      </w:pPr>
      <w:r>
        <w:rPr>
          <w:rFonts w:hint="eastAsia" w:ascii="宋体" w:hAnsi="宋体" w:eastAsia="宋体" w:cs="宋体"/>
          <w:color w:val="auto"/>
          <w:kern w:val="0"/>
          <w:szCs w:val="21"/>
          <w:highlight w:val="none"/>
        </w:rPr>
        <w:t>（5）</w:t>
      </w:r>
      <w:r>
        <w:rPr>
          <w:rFonts w:hint="eastAsia" w:ascii="宋体" w:hAnsi="宋体" w:eastAsia="宋体" w:cs="宋体"/>
          <w:color w:val="auto"/>
          <w:szCs w:val="21"/>
          <w:highlight w:val="none"/>
        </w:rPr>
        <w:t>具备履行合同所必需的设备和专业技术能力的证明材料</w:t>
      </w:r>
      <w:r>
        <w:rPr>
          <w:rFonts w:hint="eastAsia" w:ascii="宋体" w:hAnsi="宋体" w:eastAsia="宋体" w:cs="宋体"/>
          <w:b/>
          <w:color w:val="auto"/>
          <w:szCs w:val="21"/>
          <w:highlight w:val="none"/>
          <w:lang w:eastAsia="zh-CN"/>
        </w:rPr>
        <w:t>[内容、格式自拟，必须提供]</w:t>
      </w:r>
    </w:p>
    <w:p w14:paraId="783047E5">
      <w:pPr>
        <w:shd w:val="clear"/>
        <w:snapToGrid w:val="0"/>
        <w:spacing w:line="36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rPr>
        <w:t>（6）</w:t>
      </w:r>
      <w:r>
        <w:rPr>
          <w:rFonts w:hint="eastAsia" w:ascii="宋体" w:hAnsi="宋体" w:eastAsia="宋体" w:cs="宋体"/>
          <w:color w:val="auto"/>
          <w:szCs w:val="21"/>
          <w:highlight w:val="none"/>
        </w:rPr>
        <w:t>参加政府采购活动前三年内在经营活动中没有重大违法记录和不良信用记录的书面声明</w:t>
      </w:r>
      <w:r>
        <w:rPr>
          <w:rFonts w:hint="eastAsia" w:ascii="宋体" w:hAnsi="宋体" w:eastAsia="宋体" w:cs="宋体"/>
          <w:color w:val="auto"/>
          <w:szCs w:val="21"/>
          <w:highlight w:val="none"/>
          <w:lang w:eastAsia="zh-CN"/>
        </w:rPr>
        <w:t>[格式自拟，必须提供]</w:t>
      </w:r>
    </w:p>
    <w:p w14:paraId="5E8B19FF">
      <w:pPr>
        <w:shd w:val="clear"/>
        <w:snapToGrid w:val="0"/>
        <w:spacing w:line="36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注：采购人或采购代理机构在资格审查结束前对供应商进行信用查询</w:t>
      </w:r>
    </w:p>
    <w:p w14:paraId="15E595E2">
      <w:pPr>
        <w:shd w:val="clear"/>
        <w:snapToGrid w:val="0"/>
        <w:spacing w:line="36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查询渠道：“信用中国”网站(www.creditchina.gov.cn) 、中国政府采购网(www.ccgp.gov.cn)</w:t>
      </w:r>
    </w:p>
    <w:p w14:paraId="3BF38071">
      <w:pPr>
        <w:shd w:val="clear"/>
        <w:snapToGrid w:val="0"/>
        <w:spacing w:line="36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查询截止时间：资格审查结束前。</w:t>
      </w:r>
    </w:p>
    <w:p w14:paraId="49669040">
      <w:pPr>
        <w:shd w:val="clear"/>
        <w:snapToGrid w:val="0"/>
        <w:spacing w:line="36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查询记录和证据留存方式：在查询网站中直接打印查询记录，打印材料作为评审资料保存。</w:t>
      </w:r>
    </w:p>
    <w:p w14:paraId="0BBF45B3">
      <w:pPr>
        <w:shd w:val="clear"/>
        <w:snapToGrid w:val="0"/>
        <w:spacing w:line="360" w:lineRule="exact"/>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578A892B">
      <w:pPr>
        <w:shd w:val="clear"/>
        <w:snapToGrid w:val="0"/>
        <w:spacing w:line="36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（7）投标人直接控股、管理关系信息表</w:t>
      </w:r>
      <w:r>
        <w:rPr>
          <w:rFonts w:hint="eastAsia" w:ascii="宋体" w:hAnsi="宋体" w:eastAsia="宋体" w:cs="宋体"/>
          <w:b/>
          <w:bCs/>
          <w:color w:val="auto"/>
          <w:szCs w:val="21"/>
          <w:highlight w:val="none"/>
        </w:rPr>
        <w:t>[必须提供]</w:t>
      </w:r>
    </w:p>
    <w:p w14:paraId="1319099A">
      <w:pPr>
        <w:shd w:val="clear"/>
        <w:snapToGrid w:val="0"/>
        <w:spacing w:line="36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（8）投标人参加本项目无围标串标行为的承诺</w:t>
      </w:r>
      <w:r>
        <w:rPr>
          <w:rFonts w:hint="eastAsia" w:ascii="宋体" w:hAnsi="宋体" w:eastAsia="宋体" w:cs="宋体"/>
          <w:b/>
          <w:bCs/>
          <w:color w:val="auto"/>
          <w:szCs w:val="21"/>
          <w:highlight w:val="none"/>
        </w:rPr>
        <w:t>[必须提供]</w:t>
      </w:r>
    </w:p>
    <w:p w14:paraId="15D9FEE6">
      <w:pPr>
        <w:pStyle w:val="27"/>
        <w:shd w:val="clear"/>
        <w:snapToGrid w:val="0"/>
        <w:spacing w:line="370" w:lineRule="exact"/>
        <w:ind w:firstLine="422" w:firstLineChars="200"/>
        <w:jc w:val="left"/>
        <w:rPr>
          <w:rFonts w:hint="eastAsia" w:ascii="宋体" w:hAnsi="宋体" w:eastAsia="宋体" w:cs="宋体"/>
          <w:b/>
          <w:color w:val="auto"/>
          <w:highlight w:val="none"/>
          <w:lang w:eastAsia="zh-CN"/>
        </w:rPr>
      </w:pPr>
      <w:r>
        <w:rPr>
          <w:rFonts w:hint="eastAsia" w:ascii="宋体" w:hAnsi="宋体" w:eastAsia="宋体" w:cs="宋体"/>
          <w:b/>
          <w:color w:val="auto"/>
          <w:highlight w:val="none"/>
        </w:rPr>
        <w:t>2.商务技术文件：</w:t>
      </w:r>
    </w:p>
    <w:p w14:paraId="4749629A">
      <w:pPr>
        <w:shd w:val="clea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2.1商务文件：</w:t>
      </w:r>
    </w:p>
    <w:p w14:paraId="1C75FD3F">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（1）投标保证金的提交凭证</w:t>
      </w:r>
      <w:r>
        <w:rPr>
          <w:rFonts w:hint="eastAsia" w:ascii="宋体" w:hAnsi="宋体" w:eastAsia="宋体" w:cs="宋体"/>
          <w:b/>
          <w:color w:val="auto"/>
          <w:szCs w:val="21"/>
          <w:highlight w:val="none"/>
          <w:lang w:eastAsia="zh-CN"/>
        </w:rPr>
        <w:t>[必须提供]</w:t>
      </w:r>
    </w:p>
    <w:p w14:paraId="0669FB2A">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（2）投标声明书 (格式见第六章)</w:t>
      </w:r>
      <w:r>
        <w:rPr>
          <w:rFonts w:hint="eastAsia" w:ascii="宋体" w:hAnsi="宋体" w:eastAsia="宋体" w:cs="宋体"/>
          <w:b/>
          <w:color w:val="auto"/>
          <w:szCs w:val="21"/>
          <w:highlight w:val="none"/>
          <w:lang w:eastAsia="zh-CN"/>
        </w:rPr>
        <w:t>[必须提供]</w:t>
      </w:r>
    </w:p>
    <w:p w14:paraId="07CBD69A">
      <w:pPr>
        <w:shd w:val="clear"/>
        <w:snapToGrid w:val="0"/>
        <w:spacing w:line="37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（3）法定代表人(负责人)授权委托书和委托代理人身份证正、反面复印件（格式见第六章)</w:t>
      </w:r>
      <w:r>
        <w:rPr>
          <w:rFonts w:hint="eastAsia" w:ascii="宋体" w:hAnsi="宋体" w:eastAsia="宋体" w:cs="宋体"/>
          <w:b/>
          <w:color w:val="auto"/>
          <w:szCs w:val="21"/>
          <w:highlight w:val="none"/>
          <w:lang w:eastAsia="zh-CN"/>
        </w:rPr>
        <w:t>[委托时必须提供]</w:t>
      </w:r>
    </w:p>
    <w:p w14:paraId="5647DF61">
      <w:pPr>
        <w:shd w:val="clear"/>
        <w:snapToGrid w:val="0"/>
        <w:spacing w:line="37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（4）法定代表人(负责人)身份证明书（格式见附件)、法定代表人（负责人）有效身份证正反面复印件</w:t>
      </w:r>
      <w:r>
        <w:rPr>
          <w:rFonts w:hint="eastAsia" w:ascii="宋体" w:hAnsi="宋体" w:eastAsia="宋体" w:cs="宋体"/>
          <w:b/>
          <w:color w:val="auto"/>
          <w:szCs w:val="21"/>
          <w:highlight w:val="none"/>
          <w:lang w:eastAsia="zh-CN"/>
        </w:rPr>
        <w:t>[必须提供]</w:t>
      </w:r>
      <w:r>
        <w:rPr>
          <w:rFonts w:hint="eastAsia" w:ascii="宋体" w:hAnsi="宋体" w:eastAsia="宋体" w:cs="宋体"/>
          <w:color w:val="auto"/>
          <w:szCs w:val="21"/>
          <w:highlight w:val="none"/>
        </w:rPr>
        <w:t xml:space="preserve"> </w:t>
      </w:r>
    </w:p>
    <w:p w14:paraId="207F61F2">
      <w:pPr>
        <w:shd w:val="clear"/>
        <w:snapToGrid w:val="0"/>
        <w:spacing w:line="370" w:lineRule="exact"/>
        <w:ind w:firstLine="411" w:firstLineChars="196"/>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（5）商务响应表（格式见第六章）</w:t>
      </w:r>
      <w:r>
        <w:rPr>
          <w:rFonts w:hint="eastAsia" w:ascii="宋体" w:hAnsi="宋体" w:eastAsia="宋体" w:cs="宋体"/>
          <w:b/>
          <w:color w:val="auto"/>
          <w:szCs w:val="21"/>
          <w:highlight w:val="none"/>
          <w:lang w:eastAsia="zh-CN"/>
        </w:rPr>
        <w:t>[必须提供]</w:t>
      </w:r>
    </w:p>
    <w:p w14:paraId="5D7D5F2B">
      <w:pPr>
        <w:shd w:val="clear"/>
        <w:snapToGrid w:val="0"/>
        <w:spacing w:line="370" w:lineRule="exact"/>
        <w:ind w:firstLine="411" w:firstLineChars="196"/>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（6）招标项目采购需求中要求必须提供的材料等</w:t>
      </w:r>
      <w:r>
        <w:rPr>
          <w:rFonts w:hint="eastAsia" w:ascii="宋体" w:hAnsi="宋体" w:eastAsia="宋体" w:cs="宋体"/>
          <w:color w:val="auto"/>
          <w:highlight w:val="none"/>
        </w:rPr>
        <w:t>（招标项目采购需求中要求必须提供的材料，据实提供）</w:t>
      </w:r>
    </w:p>
    <w:p w14:paraId="60142C34">
      <w:pPr>
        <w:shd w:val="clear"/>
        <w:snapToGrid w:val="0"/>
        <w:spacing w:line="370" w:lineRule="exact"/>
        <w:ind w:firstLine="411" w:firstLineChars="196"/>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（7）具备法律、行政法规规定的其他条件的证明材料</w:t>
      </w:r>
      <w:r>
        <w:rPr>
          <w:rFonts w:hint="eastAsia" w:ascii="宋体" w:hAnsi="宋体" w:eastAsia="宋体" w:cs="宋体"/>
          <w:b/>
          <w:color w:val="auto"/>
          <w:szCs w:val="21"/>
          <w:highlight w:val="none"/>
          <w:lang w:eastAsia="zh-CN"/>
        </w:rPr>
        <w:t>[如有规定,则必须提供]</w:t>
      </w:r>
    </w:p>
    <w:p w14:paraId="78A21C27">
      <w:pPr>
        <w:shd w:val="clear"/>
        <w:snapToGrid w:val="0"/>
        <w:spacing w:line="370" w:lineRule="exact"/>
        <w:ind w:firstLine="413" w:firstLineChars="19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可作为投标人资信评分的资质证明材料（可选）  </w:t>
      </w:r>
    </w:p>
    <w:p w14:paraId="15BCA3D3">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（8）类似成功案例的业绩（投标人同类项目实施情况一览表、合同扫描件等，格式可自行调整）</w:t>
      </w:r>
    </w:p>
    <w:p w14:paraId="3B2DFBE2">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（9）其他特殊资质证书</w:t>
      </w:r>
    </w:p>
    <w:p w14:paraId="64BFCA93">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（10）投标人质量管理和质量保证体系等方面的认证证书</w:t>
      </w:r>
    </w:p>
    <w:p w14:paraId="5BAF14EA">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（11）投标人认为可以证明其能力或业绩的其他材料</w:t>
      </w:r>
    </w:p>
    <w:p w14:paraId="09DA9ECD">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（12）投标人关于服务升级以及本单位债务纠纷、违法违规记录等方面的情况（内容见投标声明书）</w:t>
      </w:r>
    </w:p>
    <w:p w14:paraId="28679975">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（13）投标人情况介绍</w:t>
      </w:r>
    </w:p>
    <w:p w14:paraId="2FF84333">
      <w:pPr>
        <w:shd w:val="clear"/>
        <w:tabs>
          <w:tab w:val="left" w:pos="5812"/>
        </w:tabs>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（14）中小企业声明函</w:t>
      </w:r>
      <w:r>
        <w:rPr>
          <w:rFonts w:hint="eastAsia" w:ascii="宋体" w:hAnsi="宋体" w:eastAsia="宋体" w:cs="宋体"/>
          <w:b/>
          <w:color w:val="auto"/>
          <w:szCs w:val="21"/>
          <w:highlight w:val="none"/>
          <w:lang w:eastAsia="zh-CN"/>
        </w:rPr>
        <w:t>[按最新相关政策执行，格式见第六章，如有请提供]</w:t>
      </w:r>
    </w:p>
    <w:p w14:paraId="06B25AF1">
      <w:pPr>
        <w:shd w:val="clear"/>
        <w:snapToGrid w:val="0"/>
        <w:spacing w:line="370" w:lineRule="exact"/>
        <w:ind w:firstLine="413" w:firstLineChars="19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2.2技术文件：</w:t>
      </w:r>
    </w:p>
    <w:p w14:paraId="093EBA3D">
      <w:pPr>
        <w:shd w:val="clear"/>
        <w:snapToGrid w:val="0"/>
        <w:spacing w:line="370" w:lineRule="exact"/>
        <w:ind w:firstLine="411" w:firstLineChars="196"/>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（1）服务响应表</w:t>
      </w:r>
      <w:r>
        <w:rPr>
          <w:rFonts w:hint="eastAsia" w:ascii="宋体" w:hAnsi="宋体" w:eastAsia="宋体" w:cs="宋体"/>
          <w:b/>
          <w:color w:val="auto"/>
          <w:szCs w:val="21"/>
          <w:highlight w:val="none"/>
          <w:lang w:eastAsia="zh-CN"/>
        </w:rPr>
        <w:t>[必须提供]</w:t>
      </w:r>
    </w:p>
    <w:p w14:paraId="415A5741">
      <w:pPr>
        <w:shd w:val="clear"/>
        <w:snapToGrid w:val="0"/>
        <w:spacing w:line="37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服务方案</w:t>
      </w:r>
      <w:r>
        <w:rPr>
          <w:rFonts w:hint="eastAsia" w:ascii="宋体" w:hAnsi="宋体" w:eastAsia="宋体" w:cs="宋体"/>
          <w:b/>
          <w:color w:val="auto"/>
          <w:szCs w:val="21"/>
          <w:highlight w:val="none"/>
          <w:lang w:eastAsia="zh-CN"/>
        </w:rPr>
        <w:t>[格式自拟，必须提供]</w:t>
      </w:r>
    </w:p>
    <w:p w14:paraId="1821615A">
      <w:pPr>
        <w:shd w:val="clear"/>
        <w:snapToGrid w:val="0"/>
        <w:spacing w:line="37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（3）投标人拥有主要服务设施的情况和现状（格式自拟）及项目实施人员一览表</w:t>
      </w:r>
    </w:p>
    <w:p w14:paraId="7F41EE20">
      <w:pPr>
        <w:shd w:val="clear"/>
        <w:snapToGrid w:val="0"/>
        <w:spacing w:line="37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（4）优惠条件：投标人承诺给予招标人的各种优惠条件</w:t>
      </w:r>
    </w:p>
    <w:p w14:paraId="4866DE4D">
      <w:pPr>
        <w:shd w:val="clear"/>
        <w:snapToGrid w:val="0"/>
        <w:spacing w:line="37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（5）投标人对本项目的合理化建议和改进措施</w:t>
      </w:r>
    </w:p>
    <w:p w14:paraId="69C5ED89">
      <w:pPr>
        <w:shd w:val="clear"/>
        <w:snapToGrid w:val="0"/>
        <w:spacing w:line="37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（6）投标人认为需要提供的其他材料</w:t>
      </w:r>
    </w:p>
    <w:p w14:paraId="486D9595">
      <w:pPr>
        <w:shd w:val="clear"/>
        <w:snapToGrid w:val="0"/>
        <w:spacing w:line="37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（7）招标项目采购需求中要求必须提供的材料</w:t>
      </w:r>
      <w:r>
        <w:rPr>
          <w:rFonts w:hint="eastAsia" w:ascii="宋体" w:hAnsi="宋体" w:eastAsia="宋体" w:cs="宋体"/>
          <w:color w:val="auto"/>
          <w:highlight w:val="none"/>
        </w:rPr>
        <w:t>（招标项目采购需求中要求必须提供的材料，据实提供）</w:t>
      </w:r>
    </w:p>
    <w:p w14:paraId="499DA283">
      <w:pPr>
        <w:shd w:val="clear"/>
        <w:snapToGrid w:val="0"/>
        <w:spacing w:line="370" w:lineRule="exact"/>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3.报价文件：</w:t>
      </w:r>
    </w:p>
    <w:p w14:paraId="24BA8DD5">
      <w:pPr>
        <w:shd w:val="clear"/>
        <w:snapToGrid w:val="0"/>
        <w:spacing w:line="37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（1）投标函（格式见第六章） </w:t>
      </w:r>
    </w:p>
    <w:p w14:paraId="6B36260E">
      <w:pPr>
        <w:shd w:val="clear"/>
        <w:snapToGrid w:val="0"/>
        <w:spacing w:line="37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（2）投标报价明细表（格式见第六章）</w:t>
      </w:r>
    </w:p>
    <w:p w14:paraId="612C2249">
      <w:pPr>
        <w:shd w:val="clear"/>
        <w:snapToGrid w:val="0"/>
        <w:spacing w:line="37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（3）投标人针对报价需要说明的其他文件和说明（格式自拟）</w:t>
      </w:r>
    </w:p>
    <w:p w14:paraId="00AF217A">
      <w:pPr>
        <w:shd w:val="clear"/>
        <w:snapToGrid w:val="0"/>
        <w:spacing w:line="37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（4）开标一览表（格式见第六章）。</w:t>
      </w:r>
    </w:p>
    <w:p w14:paraId="026D1362">
      <w:pPr>
        <w:shd w:val="clear"/>
        <w:tabs>
          <w:tab w:val="left" w:pos="3870"/>
          <w:tab w:val="left" w:pos="4085"/>
        </w:tabs>
        <w:snapToGrid w:val="0"/>
        <w:spacing w:line="37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注：法定代表人(负责人)授权委托书、投标声明书、投标函、开标一览表必须按照招标文件格式要求签署和加盖单位公章，否则作投标无效处理。</w:t>
      </w:r>
    </w:p>
    <w:p w14:paraId="217048E7">
      <w:pPr>
        <w:shd w:val="clear"/>
        <w:snapToGrid w:val="0"/>
        <w:spacing w:before="50" w:after="156" w:afterLines="50" w:line="360" w:lineRule="exact"/>
        <w:jc w:val="left"/>
        <w:outlineLvl w:val="0"/>
        <w:rPr>
          <w:rFonts w:hint="eastAsia" w:ascii="宋体" w:hAnsi="宋体" w:eastAsia="宋体" w:cs="宋体"/>
          <w:color w:val="auto"/>
          <w:szCs w:val="21"/>
          <w:highlight w:val="none"/>
        </w:rPr>
      </w:pPr>
    </w:p>
    <w:p w14:paraId="5FB8EAFE">
      <w:pPr>
        <w:shd w:val="clear"/>
        <w:snapToGrid w:val="0"/>
        <w:spacing w:before="50" w:after="156" w:afterLines="50" w:line="360" w:lineRule="exact"/>
        <w:jc w:val="center"/>
        <w:outlineLvl w:val="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Cs w:val="21"/>
          <w:highlight w:val="none"/>
        </w:rPr>
        <w:t>三、投标文件格式</w:t>
      </w:r>
    </w:p>
    <w:p w14:paraId="29A05217">
      <w:pPr>
        <w:shd w:val="clear"/>
        <w:snapToGrid w:val="0"/>
        <w:spacing w:before="50" w:after="156" w:afterLines="50" w:line="360" w:lineRule="exact"/>
        <w:jc w:val="left"/>
        <w:outlineLvl w:val="0"/>
        <w:rPr>
          <w:rFonts w:hint="eastAsia" w:ascii="宋体" w:hAnsi="宋体" w:eastAsia="宋体" w:cs="宋体"/>
          <w:b/>
          <w:bCs/>
          <w:color w:val="auto"/>
          <w:szCs w:val="21"/>
          <w:highlight w:val="none"/>
        </w:rPr>
      </w:pP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一）</w:t>
      </w:r>
      <w:r>
        <w:rPr>
          <w:rFonts w:hint="eastAsia" w:ascii="宋体" w:hAnsi="宋体" w:eastAsia="宋体" w:cs="宋体"/>
          <w:b/>
          <w:bCs/>
          <w:color w:val="auto"/>
          <w:szCs w:val="21"/>
          <w:highlight w:val="none"/>
        </w:rPr>
        <w:t>资格文件部分（格式）</w:t>
      </w:r>
    </w:p>
    <w:p w14:paraId="5B2AF055">
      <w:pPr>
        <w:shd w:val="clear"/>
        <w:snapToGrid w:val="0"/>
        <w:spacing w:line="360" w:lineRule="exact"/>
        <w:ind w:firstLine="210" w:firstLineChars="1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（1）有效的主体资格证明文件</w:t>
      </w:r>
    </w:p>
    <w:p w14:paraId="2281775B">
      <w:pPr>
        <w:shd w:val="clear"/>
        <w:snapToGrid w:val="0"/>
        <w:spacing w:line="360" w:lineRule="exact"/>
        <w:ind w:firstLine="211" w:firstLineChars="100"/>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投标人有效的“主体资格证明文件”（如营业执照、事业单位法人证书、执业许可证、自然人身份证等）复印件，同时要加盖单位公章</w:t>
      </w:r>
      <w:r>
        <w:rPr>
          <w:rFonts w:hint="eastAsia" w:ascii="宋体" w:hAnsi="宋体" w:eastAsia="宋体" w:cs="宋体"/>
          <w:b/>
          <w:color w:val="auto"/>
          <w:szCs w:val="21"/>
          <w:highlight w:val="none"/>
          <w:lang w:eastAsia="zh-CN"/>
        </w:rPr>
        <w:t>[必须提供]</w:t>
      </w:r>
    </w:p>
    <w:p w14:paraId="34FFF57C">
      <w:pPr>
        <w:shd w:val="clear"/>
        <w:snapToGrid w:val="0"/>
        <w:spacing w:line="360" w:lineRule="exact"/>
        <w:ind w:firstLine="210" w:firstLineChars="100"/>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（2）投标截止之日</w:t>
      </w:r>
      <w:r>
        <w:rPr>
          <w:rFonts w:hint="eastAsia" w:ascii="宋体" w:hAnsi="宋体" w:eastAsia="宋体" w:cs="宋体"/>
          <w:color w:val="auto"/>
          <w:szCs w:val="21"/>
          <w:highlight w:val="none"/>
          <w:lang w:eastAsia="zh-CN"/>
        </w:rPr>
        <w:t>前半年</w:t>
      </w:r>
      <w:r>
        <w:rPr>
          <w:rFonts w:hint="eastAsia" w:ascii="宋体" w:hAnsi="宋体" w:eastAsia="宋体" w:cs="宋体"/>
          <w:color w:val="auto"/>
          <w:szCs w:val="21"/>
          <w:highlight w:val="none"/>
        </w:rPr>
        <w:t>内投标人</w:t>
      </w:r>
      <w:r>
        <w:rPr>
          <w:rFonts w:hint="eastAsia" w:ascii="宋体" w:hAnsi="宋体" w:eastAsia="宋体" w:cs="宋体"/>
          <w:color w:val="auto"/>
          <w:szCs w:val="21"/>
          <w:highlight w:val="none"/>
          <w:lang w:eastAsia="zh-CN"/>
        </w:rPr>
        <w:t>任意一个月</w:t>
      </w:r>
      <w:r>
        <w:rPr>
          <w:rFonts w:hint="eastAsia" w:ascii="宋体" w:hAnsi="宋体" w:eastAsia="宋体" w:cs="宋体"/>
          <w:color w:val="auto"/>
          <w:szCs w:val="21"/>
          <w:highlight w:val="none"/>
        </w:rPr>
        <w:t>的依法缴纳税费或依法免缴税费的证明；无纳税记录的，应提供由投标人所在地的税务部门出具的《依法纳税或依法免税证明》</w:t>
      </w:r>
      <w:r>
        <w:rPr>
          <w:rFonts w:hint="eastAsia" w:ascii="宋体" w:hAnsi="宋体" w:eastAsia="宋体" w:cs="宋体"/>
          <w:b/>
          <w:color w:val="auto"/>
          <w:szCs w:val="21"/>
          <w:highlight w:val="none"/>
          <w:lang w:eastAsia="zh-CN"/>
        </w:rPr>
        <w:t>[必须提供，新成立单位按实际提供]</w:t>
      </w:r>
    </w:p>
    <w:p w14:paraId="77FBEFF7">
      <w:pPr>
        <w:shd w:val="clear"/>
        <w:snapToGrid w:val="0"/>
        <w:spacing w:line="360" w:lineRule="exact"/>
        <w:ind w:firstLine="210" w:firstLineChars="100"/>
        <w:jc w:val="left"/>
        <w:rPr>
          <w:rFonts w:hint="eastAsia" w:ascii="宋体" w:hAnsi="宋体" w:eastAsia="宋体" w:cs="宋体"/>
          <w:color w:val="auto"/>
          <w:szCs w:val="21"/>
          <w:highlight w:val="none"/>
        </w:rPr>
      </w:pPr>
    </w:p>
    <w:p w14:paraId="38754ADA">
      <w:pPr>
        <w:shd w:val="clear"/>
        <w:snapToGrid w:val="0"/>
        <w:spacing w:line="360" w:lineRule="exact"/>
        <w:ind w:firstLine="210" w:firstLineChars="100"/>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（3）投标截止之日</w:t>
      </w:r>
      <w:r>
        <w:rPr>
          <w:rFonts w:hint="eastAsia" w:ascii="宋体" w:hAnsi="宋体" w:eastAsia="宋体" w:cs="宋体"/>
          <w:color w:val="auto"/>
          <w:szCs w:val="21"/>
          <w:highlight w:val="none"/>
          <w:lang w:eastAsia="zh-CN"/>
        </w:rPr>
        <w:t>前半年</w:t>
      </w:r>
      <w:r>
        <w:rPr>
          <w:rFonts w:hint="eastAsia" w:ascii="宋体" w:hAnsi="宋体" w:eastAsia="宋体" w:cs="宋体"/>
          <w:color w:val="auto"/>
          <w:szCs w:val="21"/>
          <w:highlight w:val="none"/>
        </w:rPr>
        <w:t>内投标人</w:t>
      </w:r>
      <w:r>
        <w:rPr>
          <w:rFonts w:hint="eastAsia" w:ascii="宋体" w:hAnsi="宋体" w:eastAsia="宋体" w:cs="宋体"/>
          <w:color w:val="auto"/>
          <w:szCs w:val="21"/>
          <w:highlight w:val="none"/>
          <w:lang w:eastAsia="zh-CN"/>
        </w:rPr>
        <w:t>任意一个月</w:t>
      </w:r>
      <w:r>
        <w:rPr>
          <w:rFonts w:hint="eastAsia" w:ascii="宋体" w:hAnsi="宋体" w:eastAsia="宋体" w:cs="宋体"/>
          <w:color w:val="auto"/>
          <w:szCs w:val="21"/>
          <w:highlight w:val="none"/>
        </w:rPr>
        <w:t>的依法缴纳社保费的缴费凭证；无缴费记录的，应提供由投标人所在地社保等相关部门出具的《依法缴纳或依法免缴社保费证明》</w:t>
      </w:r>
      <w:r>
        <w:rPr>
          <w:rFonts w:hint="eastAsia" w:ascii="宋体" w:hAnsi="宋体" w:eastAsia="宋体" w:cs="宋体"/>
          <w:b/>
          <w:color w:val="auto"/>
          <w:szCs w:val="21"/>
          <w:highlight w:val="none"/>
          <w:lang w:eastAsia="zh-CN"/>
        </w:rPr>
        <w:t>[必须提供，新成立单位按实际提供]</w:t>
      </w:r>
    </w:p>
    <w:p w14:paraId="45B3FD88">
      <w:pPr>
        <w:shd w:val="clear"/>
        <w:snapToGrid w:val="0"/>
        <w:spacing w:line="360" w:lineRule="exact"/>
        <w:ind w:firstLine="210" w:firstLineChars="100"/>
        <w:jc w:val="left"/>
        <w:rPr>
          <w:rFonts w:hint="eastAsia" w:ascii="宋体" w:hAnsi="宋体" w:eastAsia="宋体" w:cs="宋体"/>
          <w:color w:val="auto"/>
          <w:szCs w:val="21"/>
          <w:highlight w:val="none"/>
        </w:rPr>
      </w:pPr>
    </w:p>
    <w:p w14:paraId="1D0DBF8B">
      <w:pPr>
        <w:shd w:val="clear"/>
        <w:snapToGrid w:val="0"/>
        <w:spacing w:line="360" w:lineRule="exact"/>
        <w:ind w:firstLine="210" w:firstLineChars="100"/>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财务状况报告</w:t>
      </w:r>
      <w:r>
        <w:rPr>
          <w:rFonts w:hint="eastAsia" w:ascii="宋体" w:hAnsi="宋体" w:eastAsia="宋体" w:cs="宋体"/>
          <w:b/>
          <w:color w:val="auto"/>
          <w:szCs w:val="21"/>
          <w:highlight w:val="none"/>
          <w:lang w:eastAsia="zh-CN"/>
        </w:rPr>
        <w:t>[格式自拟，必须提供]</w:t>
      </w:r>
    </w:p>
    <w:p w14:paraId="376EE914">
      <w:pPr>
        <w:shd w:val="clear"/>
        <w:snapToGrid w:val="0"/>
        <w:spacing w:line="360" w:lineRule="exact"/>
        <w:ind w:firstLine="211" w:firstLineChars="100"/>
        <w:jc w:val="left"/>
        <w:rPr>
          <w:rFonts w:hint="eastAsia" w:ascii="宋体" w:hAnsi="宋体" w:eastAsia="宋体" w:cs="宋体"/>
          <w:b/>
          <w:color w:val="auto"/>
          <w:szCs w:val="21"/>
          <w:highlight w:val="none"/>
        </w:rPr>
      </w:pPr>
    </w:p>
    <w:p w14:paraId="281B074B">
      <w:pPr>
        <w:shd w:val="clear"/>
        <w:snapToGrid w:val="0"/>
        <w:spacing w:line="360" w:lineRule="exact"/>
        <w:ind w:firstLine="210" w:firstLineChars="100"/>
        <w:jc w:val="lef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（5）具备履行合同所必需的设备和专业技术能力的证明材料</w:t>
      </w:r>
      <w:r>
        <w:rPr>
          <w:rFonts w:hint="eastAsia" w:ascii="宋体" w:hAnsi="宋体" w:eastAsia="宋体" w:cs="宋体"/>
          <w:b/>
          <w:color w:val="auto"/>
          <w:szCs w:val="21"/>
          <w:highlight w:val="none"/>
          <w:lang w:eastAsia="zh-CN"/>
        </w:rPr>
        <w:t>[内容、格式自拟，必须提供]</w:t>
      </w:r>
    </w:p>
    <w:p w14:paraId="2A96A4D4">
      <w:pPr>
        <w:shd w:val="clear"/>
        <w:snapToGrid w:val="0"/>
        <w:spacing w:line="360" w:lineRule="exact"/>
        <w:ind w:firstLine="211" w:firstLineChars="100"/>
        <w:jc w:val="left"/>
        <w:rPr>
          <w:rFonts w:hint="eastAsia" w:ascii="宋体" w:hAnsi="宋体" w:eastAsia="宋体" w:cs="宋体"/>
          <w:b/>
          <w:color w:val="auto"/>
          <w:szCs w:val="21"/>
          <w:highlight w:val="none"/>
        </w:rPr>
      </w:pPr>
    </w:p>
    <w:p w14:paraId="03BC7BB7">
      <w:pPr>
        <w:shd w:val="clear"/>
        <w:snapToGrid w:val="0"/>
        <w:spacing w:line="360" w:lineRule="exact"/>
        <w:ind w:firstLine="210" w:firstLineChars="1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（6）参加政府采购活动前三年内在经营活动中没有重大违法记录和不良信用记录的书面声明</w:t>
      </w:r>
      <w:r>
        <w:rPr>
          <w:rFonts w:hint="eastAsia" w:ascii="宋体" w:hAnsi="宋体" w:eastAsia="宋体" w:cs="宋体"/>
          <w:color w:val="auto"/>
          <w:szCs w:val="21"/>
          <w:highlight w:val="none"/>
          <w:lang w:eastAsia="zh-CN"/>
        </w:rPr>
        <w:t>[格式自拟，必须提供]</w:t>
      </w:r>
    </w:p>
    <w:p w14:paraId="7BB49BB0">
      <w:pPr>
        <w:shd w:val="clear"/>
        <w:snapToGrid w:val="0"/>
        <w:spacing w:line="360" w:lineRule="exact"/>
        <w:ind w:firstLine="210" w:firstLineChars="100"/>
        <w:jc w:val="left"/>
        <w:rPr>
          <w:rFonts w:hint="eastAsia" w:ascii="宋体" w:hAnsi="宋体" w:eastAsia="宋体" w:cs="宋体"/>
          <w:color w:val="auto"/>
          <w:szCs w:val="21"/>
          <w:highlight w:val="none"/>
        </w:rPr>
      </w:pPr>
    </w:p>
    <w:p w14:paraId="7AE256D4">
      <w:pPr>
        <w:shd w:val="clear"/>
        <w:snapToGrid w:val="0"/>
        <w:spacing w:line="360" w:lineRule="exact"/>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注：采购人或采购代理机构在资格审查结束前对供应商进行信用查询</w:t>
      </w:r>
    </w:p>
    <w:p w14:paraId="2A0B667B">
      <w:pPr>
        <w:shd w:val="clear"/>
        <w:snapToGrid w:val="0"/>
        <w:spacing w:line="360" w:lineRule="exact"/>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查询渠道：“信用中国”网站(www.creditchina.gov.cn) 、中国政府采购网(www.ccgp.gov.cn)</w:t>
      </w:r>
    </w:p>
    <w:p w14:paraId="755E4B5B">
      <w:pPr>
        <w:shd w:val="clear"/>
        <w:snapToGrid w:val="0"/>
        <w:spacing w:line="360" w:lineRule="exact"/>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查询截止时间：资格审查结束前。</w:t>
      </w:r>
    </w:p>
    <w:p w14:paraId="53B7B99B">
      <w:pPr>
        <w:shd w:val="clear"/>
        <w:snapToGrid w:val="0"/>
        <w:spacing w:line="360" w:lineRule="exact"/>
        <w:ind w:firstLine="211" w:firstLineChars="1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查询记录和证据留存方式：在查询网站中直接打印查询记录，打印材料作为评审资料保存。</w:t>
      </w:r>
    </w:p>
    <w:p w14:paraId="3AC6BBA7">
      <w:pPr>
        <w:shd w:val="clear"/>
        <w:snapToGrid w:val="0"/>
        <w:spacing w:line="360" w:lineRule="exact"/>
        <w:ind w:firstLine="211" w:firstLineChars="100"/>
        <w:jc w:val="lef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将拒绝其参与政府采购活动。</w:t>
      </w:r>
    </w:p>
    <w:p w14:paraId="31016F79">
      <w:pPr>
        <w:shd w:val="clear"/>
        <w:snapToGrid w:val="0"/>
        <w:spacing w:line="360" w:lineRule="exact"/>
        <w:ind w:firstLine="210" w:firstLineChars="100"/>
        <w:jc w:val="left"/>
        <w:rPr>
          <w:rFonts w:hint="eastAsia" w:ascii="宋体" w:hAnsi="宋体" w:eastAsia="宋体" w:cs="宋体"/>
          <w:color w:val="auto"/>
          <w:szCs w:val="21"/>
          <w:highlight w:val="none"/>
        </w:rPr>
      </w:pPr>
    </w:p>
    <w:p w14:paraId="267FAA2D">
      <w:pPr>
        <w:numPr>
          <w:ilvl w:val="0"/>
          <w:numId w:val="0"/>
        </w:numPr>
        <w:shd w:val="clear"/>
        <w:snapToGrid w:val="0"/>
        <w:spacing w:line="360" w:lineRule="exact"/>
        <w:ind w:firstLine="211" w:firstLineChars="100"/>
        <w:jc w:val="left"/>
        <w:rPr>
          <w:rFonts w:hint="eastAsia" w:ascii="宋体" w:hAnsi="宋体" w:eastAsia="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SA"/>
        </w:rPr>
        <w:t>（7）</w:t>
      </w:r>
      <w:r>
        <w:rPr>
          <w:rFonts w:hint="eastAsia" w:ascii="宋体" w:hAnsi="宋体" w:eastAsia="宋体" w:cs="宋体"/>
          <w:color w:val="auto"/>
          <w:szCs w:val="21"/>
          <w:highlight w:val="none"/>
        </w:rPr>
        <w:t>投标人直接控股、管理关系信息表</w:t>
      </w:r>
      <w:r>
        <w:rPr>
          <w:rFonts w:hint="eastAsia" w:ascii="宋体" w:hAnsi="宋体" w:eastAsia="宋体" w:cs="宋体"/>
          <w:b/>
          <w:bCs/>
          <w:color w:val="auto"/>
          <w:szCs w:val="21"/>
          <w:highlight w:val="none"/>
        </w:rPr>
        <w:t>[必须提供]</w:t>
      </w:r>
    </w:p>
    <w:p w14:paraId="189FF5B6">
      <w:pPr>
        <w:numPr>
          <w:ilvl w:val="0"/>
          <w:numId w:val="0"/>
        </w:numPr>
        <w:shd w:val="clear"/>
        <w:snapToGrid w:val="0"/>
        <w:spacing w:line="360" w:lineRule="exact"/>
        <w:jc w:val="left"/>
        <w:rPr>
          <w:rFonts w:hint="eastAsia" w:ascii="宋体" w:hAnsi="宋体" w:eastAsia="宋体" w:cs="宋体"/>
          <w:b/>
          <w:bCs/>
          <w:color w:val="auto"/>
          <w:szCs w:val="21"/>
          <w:highlight w:val="none"/>
        </w:rPr>
      </w:pPr>
    </w:p>
    <w:p w14:paraId="22AC8DD4">
      <w:pPr>
        <w:shd w:val="clear"/>
        <w:snapToGrid w:val="0"/>
        <w:spacing w:before="50" w:afterLines="50" w:line="360" w:lineRule="auto"/>
        <w:jc w:val="center"/>
        <w:rPr>
          <w:rFonts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投标人直接控股股东信息表</w:t>
      </w:r>
    </w:p>
    <w:tbl>
      <w:tblPr>
        <w:tblStyle w:val="50"/>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3AA95AC">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E250812">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CE6D6E">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4028ED">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35478C8">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15DAE2B">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1AB7598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63A0E0">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3ADE30">
            <w:pPr>
              <w:shd w:val="clear"/>
              <w:spacing w:line="360" w:lineRule="auto"/>
              <w:jc w:val="center"/>
              <w:rPr>
                <w:rFonts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97825F">
            <w:pPr>
              <w:shd w:val="clear"/>
              <w:spacing w:line="360" w:lineRule="auto"/>
              <w:jc w:val="center"/>
              <w:rPr>
                <w:rFonts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021A420">
            <w:pPr>
              <w:shd w:val="clear"/>
              <w:spacing w:line="360" w:lineRule="auto"/>
              <w:jc w:val="center"/>
              <w:rPr>
                <w:rFonts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44EA26">
            <w:pPr>
              <w:shd w:val="clear"/>
              <w:spacing w:line="360" w:lineRule="auto"/>
              <w:jc w:val="center"/>
              <w:rPr>
                <w:rFonts w:ascii="宋体" w:hAnsi="宋体" w:eastAsia="宋体" w:cs="宋体"/>
                <w:color w:val="auto"/>
                <w:kern w:val="0"/>
                <w:sz w:val="21"/>
                <w:szCs w:val="21"/>
                <w:highlight w:val="none"/>
              </w:rPr>
            </w:pPr>
          </w:p>
        </w:tc>
      </w:tr>
      <w:tr w14:paraId="40C6E96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4F74854">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935DB4">
            <w:pPr>
              <w:shd w:val="clear"/>
              <w:spacing w:line="360" w:lineRule="auto"/>
              <w:jc w:val="center"/>
              <w:rPr>
                <w:rFonts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6CE08F">
            <w:pPr>
              <w:shd w:val="clear"/>
              <w:spacing w:line="360" w:lineRule="auto"/>
              <w:jc w:val="center"/>
              <w:rPr>
                <w:rFonts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23C561">
            <w:pPr>
              <w:shd w:val="clear"/>
              <w:spacing w:line="360" w:lineRule="auto"/>
              <w:jc w:val="center"/>
              <w:rPr>
                <w:rFonts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8271E4">
            <w:pPr>
              <w:shd w:val="clear"/>
              <w:spacing w:line="360" w:lineRule="auto"/>
              <w:jc w:val="center"/>
              <w:rPr>
                <w:rFonts w:ascii="宋体" w:hAnsi="宋体" w:eastAsia="宋体" w:cs="宋体"/>
                <w:color w:val="auto"/>
                <w:kern w:val="0"/>
                <w:sz w:val="21"/>
                <w:szCs w:val="21"/>
                <w:highlight w:val="none"/>
              </w:rPr>
            </w:pPr>
          </w:p>
        </w:tc>
      </w:tr>
      <w:tr w14:paraId="405216B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C8FF70">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C833BC">
            <w:pPr>
              <w:shd w:val="clear"/>
              <w:spacing w:line="360" w:lineRule="auto"/>
              <w:jc w:val="center"/>
              <w:rPr>
                <w:rFonts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F72540">
            <w:pPr>
              <w:shd w:val="clear"/>
              <w:spacing w:line="360" w:lineRule="auto"/>
              <w:jc w:val="center"/>
              <w:rPr>
                <w:rFonts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8CDA6C">
            <w:pPr>
              <w:shd w:val="clear"/>
              <w:spacing w:line="360" w:lineRule="auto"/>
              <w:jc w:val="center"/>
              <w:rPr>
                <w:rFonts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D131A3">
            <w:pPr>
              <w:shd w:val="clear"/>
              <w:spacing w:line="360" w:lineRule="auto"/>
              <w:jc w:val="center"/>
              <w:rPr>
                <w:rFonts w:ascii="宋体" w:hAnsi="宋体" w:eastAsia="宋体" w:cs="宋体"/>
                <w:color w:val="auto"/>
                <w:kern w:val="0"/>
                <w:sz w:val="21"/>
                <w:szCs w:val="21"/>
                <w:highlight w:val="none"/>
              </w:rPr>
            </w:pPr>
          </w:p>
        </w:tc>
      </w:tr>
      <w:tr w14:paraId="0B8C692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FFB1A7">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59B55B">
            <w:pPr>
              <w:shd w:val="clear"/>
              <w:spacing w:line="360" w:lineRule="auto"/>
              <w:jc w:val="center"/>
              <w:rPr>
                <w:rFonts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81366F">
            <w:pPr>
              <w:shd w:val="clear"/>
              <w:spacing w:line="360" w:lineRule="auto"/>
              <w:jc w:val="center"/>
              <w:rPr>
                <w:rFonts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E55F72">
            <w:pPr>
              <w:shd w:val="clear"/>
              <w:spacing w:line="360" w:lineRule="auto"/>
              <w:jc w:val="center"/>
              <w:rPr>
                <w:rFonts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0D9DBB">
            <w:pPr>
              <w:shd w:val="clear"/>
              <w:spacing w:line="360" w:lineRule="auto"/>
              <w:jc w:val="center"/>
              <w:rPr>
                <w:rFonts w:ascii="宋体" w:hAnsi="宋体" w:eastAsia="宋体" w:cs="宋体"/>
                <w:color w:val="auto"/>
                <w:kern w:val="0"/>
                <w:sz w:val="21"/>
                <w:szCs w:val="21"/>
                <w:highlight w:val="none"/>
              </w:rPr>
            </w:pPr>
          </w:p>
        </w:tc>
      </w:tr>
    </w:tbl>
    <w:p w14:paraId="6DDEFAA4">
      <w:pPr>
        <w:keepNext w:val="0"/>
        <w:keepLines w:val="0"/>
        <w:pageBreakBefore w:val="0"/>
        <w:widowControl w:val="0"/>
        <w:shd w:val="clear"/>
        <w:kinsoku/>
        <w:wordWrap/>
        <w:overflowPunct/>
        <w:topLinePunct w:val="0"/>
        <w:autoSpaceDE/>
        <w:autoSpaceDN/>
        <w:bidi w:val="0"/>
        <w:adjustRightInd/>
        <w:snapToGrid w:val="0"/>
        <w:spacing w:line="500" w:lineRule="exact"/>
        <w:jc w:val="lef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8BDEF5E">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AACDB8A">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1D9A8CDB">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3.供应商不存在直接控股股东的，则填“无”。</w:t>
      </w:r>
    </w:p>
    <w:p w14:paraId="24ACDF61">
      <w:pPr>
        <w:keepNext w:val="0"/>
        <w:keepLines w:val="0"/>
        <w:pageBreakBefore w:val="0"/>
        <w:widowControl w:val="0"/>
        <w:shd w:val="clear"/>
        <w:kinsoku/>
        <w:wordWrap/>
        <w:overflowPunct/>
        <w:topLinePunct w:val="0"/>
        <w:autoSpaceDE/>
        <w:autoSpaceDN/>
        <w:bidi w:val="0"/>
        <w:adjustRightInd/>
        <w:snapToGrid w:val="0"/>
        <w:spacing w:line="500" w:lineRule="exact"/>
        <w:jc w:val="left"/>
        <w:textAlignment w:val="auto"/>
        <w:rPr>
          <w:rFonts w:ascii="宋体" w:hAnsi="宋体" w:eastAsia="宋体" w:cs="宋体"/>
          <w:color w:val="auto"/>
          <w:sz w:val="21"/>
          <w:szCs w:val="21"/>
          <w:highlight w:val="none"/>
        </w:rPr>
      </w:pPr>
    </w:p>
    <w:p w14:paraId="5C5B2ACB">
      <w:pPr>
        <w:keepNext w:val="0"/>
        <w:keepLines w:val="0"/>
        <w:pageBreakBefore w:val="0"/>
        <w:widowControl w:val="0"/>
        <w:shd w:val="clear"/>
        <w:kinsoku/>
        <w:wordWrap/>
        <w:overflowPunct/>
        <w:topLinePunct w:val="0"/>
        <w:autoSpaceDE/>
        <w:autoSpaceDN/>
        <w:bidi w:val="0"/>
        <w:adjustRightInd/>
        <w:snapToGrid w:val="0"/>
        <w:spacing w:line="500" w:lineRule="exact"/>
        <w:jc w:val="left"/>
        <w:textAlignment w:val="auto"/>
        <w:rPr>
          <w:rFonts w:ascii="宋体" w:hAnsi="宋体" w:eastAsia="宋体" w:cs="宋体"/>
          <w:color w:val="auto"/>
          <w:sz w:val="21"/>
          <w:szCs w:val="21"/>
          <w:highlight w:val="none"/>
        </w:rPr>
      </w:pPr>
    </w:p>
    <w:p w14:paraId="1B4275D6">
      <w:pPr>
        <w:keepNext w:val="0"/>
        <w:keepLines w:val="0"/>
        <w:pageBreakBefore w:val="0"/>
        <w:widowControl w:val="0"/>
        <w:shd w:val="clear"/>
        <w:kinsoku/>
        <w:wordWrap/>
        <w:overflowPunct/>
        <w:topLinePunct w:val="0"/>
        <w:autoSpaceDE/>
        <w:autoSpaceDN/>
        <w:bidi w:val="0"/>
        <w:adjustRightInd/>
        <w:snapToGrid w:val="0"/>
        <w:spacing w:line="500" w:lineRule="exact"/>
        <w:ind w:firstLine="4410" w:firstLineChars="2100"/>
        <w:textAlignment w:val="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投标人名称(电子签章)：</w:t>
      </w:r>
    </w:p>
    <w:p w14:paraId="18723059">
      <w:pPr>
        <w:keepNext w:val="0"/>
        <w:keepLines w:val="0"/>
        <w:pageBreakBefore w:val="0"/>
        <w:widowControl w:val="0"/>
        <w:shd w:val="clear"/>
        <w:kinsoku/>
        <w:wordWrap/>
        <w:overflowPunct/>
        <w:topLinePunct w:val="0"/>
        <w:autoSpaceDE/>
        <w:autoSpaceDN/>
        <w:bidi w:val="0"/>
        <w:adjustRightInd/>
        <w:snapToGrid w:val="0"/>
        <w:spacing w:line="500" w:lineRule="exact"/>
        <w:ind w:firstLine="4515" w:firstLineChars="215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7A36A30B">
      <w:pPr>
        <w:keepNext w:val="0"/>
        <w:keepLines w:val="0"/>
        <w:pageBreakBefore w:val="0"/>
        <w:widowControl w:val="0"/>
        <w:shd w:val="clear"/>
        <w:kinsoku/>
        <w:wordWrap/>
        <w:overflowPunct/>
        <w:topLinePunct w:val="0"/>
        <w:autoSpaceDE/>
        <w:autoSpaceDN/>
        <w:bidi w:val="0"/>
        <w:adjustRightInd/>
        <w:snapToGrid w:val="0"/>
        <w:spacing w:line="500" w:lineRule="exact"/>
        <w:ind w:firstLine="4515" w:firstLineChars="2150"/>
        <w:textAlignment w:val="auto"/>
        <w:rPr>
          <w:rFonts w:hint="eastAsia" w:ascii="宋体" w:hAnsi="宋体" w:eastAsia="宋体" w:cs="宋体"/>
          <w:color w:val="auto"/>
          <w:kern w:val="0"/>
          <w:sz w:val="21"/>
          <w:szCs w:val="21"/>
          <w:highlight w:val="none"/>
          <w:lang w:val="zh-CN"/>
        </w:rPr>
      </w:pPr>
    </w:p>
    <w:p w14:paraId="1C9C0941">
      <w:pPr>
        <w:shd w:val="clear"/>
        <w:snapToGrid w:val="0"/>
        <w:spacing w:line="360" w:lineRule="exact"/>
        <w:ind w:firstLine="210" w:firstLineChars="100"/>
        <w:jc w:val="left"/>
        <w:rPr>
          <w:rFonts w:hint="eastAsia" w:ascii="宋体" w:hAnsi="宋体" w:eastAsia="宋体" w:cs="宋体"/>
          <w:color w:val="auto"/>
          <w:szCs w:val="21"/>
          <w:highlight w:val="none"/>
        </w:rPr>
      </w:pPr>
    </w:p>
    <w:p w14:paraId="663C2040">
      <w:pPr>
        <w:shd w:val="clear"/>
        <w:snapToGrid w:val="0"/>
        <w:spacing w:line="360" w:lineRule="auto"/>
        <w:jc w:val="center"/>
        <w:rPr>
          <w:rFonts w:ascii="宋体" w:hAnsi="宋体" w:eastAsia="宋体" w:cs="宋体"/>
          <w:color w:val="auto"/>
          <w:sz w:val="28"/>
          <w:szCs w:val="28"/>
          <w:highlight w:val="none"/>
        </w:rPr>
      </w:pPr>
      <w:r>
        <w:rPr>
          <w:rFonts w:hint="eastAsia" w:ascii="宋体" w:hAnsi="宋体" w:eastAsia="宋体" w:cs="宋体"/>
          <w:b/>
          <w:color w:val="auto"/>
          <w:sz w:val="28"/>
          <w:szCs w:val="28"/>
          <w:highlight w:val="none"/>
        </w:rPr>
        <w:t>投标人直接管理关系信息表</w:t>
      </w:r>
    </w:p>
    <w:tbl>
      <w:tblPr>
        <w:tblStyle w:val="5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61F137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EED03CE">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AFDD94B">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4A842EF">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84AC441">
            <w:pPr>
              <w:shd w:val="clear"/>
              <w:spacing w:line="360" w:lineRule="auto"/>
              <w:jc w:val="center"/>
              <w:rPr>
                <w:rFonts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417F234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E6F93EB">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7E5C0A">
            <w:pPr>
              <w:shd w:val="clear"/>
              <w:spacing w:line="360" w:lineRule="auto"/>
              <w:jc w:val="center"/>
              <w:rPr>
                <w:rFonts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860597">
            <w:pPr>
              <w:shd w:val="clear"/>
              <w:spacing w:line="360" w:lineRule="auto"/>
              <w:jc w:val="center"/>
              <w:rPr>
                <w:rFonts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FA4968">
            <w:pPr>
              <w:shd w:val="clear"/>
              <w:spacing w:line="360" w:lineRule="auto"/>
              <w:jc w:val="center"/>
              <w:rPr>
                <w:rFonts w:ascii="宋体" w:hAnsi="宋体" w:eastAsia="宋体" w:cs="宋体"/>
                <w:color w:val="auto"/>
                <w:kern w:val="0"/>
                <w:sz w:val="21"/>
                <w:szCs w:val="21"/>
                <w:highlight w:val="none"/>
              </w:rPr>
            </w:pPr>
          </w:p>
        </w:tc>
      </w:tr>
      <w:tr w14:paraId="1CD7336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87DADE">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ED045A">
            <w:pPr>
              <w:shd w:val="clear"/>
              <w:spacing w:line="360" w:lineRule="auto"/>
              <w:jc w:val="center"/>
              <w:rPr>
                <w:rFonts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23D7B3">
            <w:pPr>
              <w:shd w:val="clear"/>
              <w:spacing w:line="360" w:lineRule="auto"/>
              <w:jc w:val="center"/>
              <w:rPr>
                <w:rFonts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834DECB">
            <w:pPr>
              <w:shd w:val="clear"/>
              <w:spacing w:line="360" w:lineRule="auto"/>
              <w:jc w:val="center"/>
              <w:rPr>
                <w:rFonts w:ascii="宋体" w:hAnsi="宋体" w:eastAsia="宋体" w:cs="宋体"/>
                <w:color w:val="auto"/>
                <w:kern w:val="0"/>
                <w:sz w:val="21"/>
                <w:szCs w:val="21"/>
                <w:highlight w:val="none"/>
              </w:rPr>
            </w:pPr>
          </w:p>
        </w:tc>
      </w:tr>
      <w:tr w14:paraId="7FAF8CD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1A696">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E031C9">
            <w:pPr>
              <w:shd w:val="clear"/>
              <w:spacing w:line="360" w:lineRule="auto"/>
              <w:jc w:val="center"/>
              <w:rPr>
                <w:rFonts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9A6005">
            <w:pPr>
              <w:shd w:val="clear"/>
              <w:spacing w:line="360" w:lineRule="auto"/>
              <w:jc w:val="center"/>
              <w:rPr>
                <w:rFonts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DE2B23">
            <w:pPr>
              <w:shd w:val="clear"/>
              <w:spacing w:line="360" w:lineRule="auto"/>
              <w:jc w:val="center"/>
              <w:rPr>
                <w:rFonts w:ascii="宋体" w:hAnsi="宋体" w:eastAsia="宋体" w:cs="宋体"/>
                <w:color w:val="auto"/>
                <w:kern w:val="0"/>
                <w:sz w:val="21"/>
                <w:szCs w:val="21"/>
                <w:highlight w:val="none"/>
              </w:rPr>
            </w:pPr>
          </w:p>
        </w:tc>
      </w:tr>
      <w:tr w14:paraId="5FEDF66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7827D9">
            <w:pPr>
              <w:shd w:val="clear"/>
              <w:spacing w:line="360" w:lineRule="auto"/>
              <w:jc w:val="center"/>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64A898">
            <w:pPr>
              <w:shd w:val="clear"/>
              <w:spacing w:line="360" w:lineRule="auto"/>
              <w:jc w:val="center"/>
              <w:rPr>
                <w:rFonts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DC092B">
            <w:pPr>
              <w:shd w:val="clear"/>
              <w:spacing w:line="360" w:lineRule="auto"/>
              <w:jc w:val="center"/>
              <w:rPr>
                <w:rFonts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5AD0F3">
            <w:pPr>
              <w:shd w:val="clear"/>
              <w:spacing w:line="360" w:lineRule="auto"/>
              <w:jc w:val="center"/>
              <w:rPr>
                <w:rFonts w:ascii="宋体" w:hAnsi="宋体" w:eastAsia="宋体" w:cs="宋体"/>
                <w:color w:val="auto"/>
                <w:kern w:val="0"/>
                <w:sz w:val="21"/>
                <w:szCs w:val="21"/>
                <w:highlight w:val="none"/>
              </w:rPr>
            </w:pPr>
          </w:p>
        </w:tc>
      </w:tr>
    </w:tbl>
    <w:p w14:paraId="2B290244">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5E165E24">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1D950CE4">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2.本表所指的管理关系仅限于直接管理关系，不包括间接的管理关系。</w:t>
      </w:r>
    </w:p>
    <w:p w14:paraId="085F6E22">
      <w:pPr>
        <w:keepNext w:val="0"/>
        <w:keepLines w:val="0"/>
        <w:pageBreakBefore w:val="0"/>
        <w:widowControl w:val="0"/>
        <w:shd w:val="clear"/>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75C4443D">
      <w:pPr>
        <w:shd w:val="clear"/>
        <w:snapToGrid w:val="0"/>
        <w:spacing w:line="360" w:lineRule="auto"/>
        <w:jc w:val="left"/>
        <w:rPr>
          <w:rFonts w:ascii="宋体" w:hAnsi="宋体" w:eastAsia="宋体" w:cs="宋体"/>
          <w:color w:val="auto"/>
          <w:sz w:val="21"/>
          <w:szCs w:val="21"/>
          <w:highlight w:val="none"/>
        </w:rPr>
      </w:pPr>
    </w:p>
    <w:p w14:paraId="00654222">
      <w:pPr>
        <w:shd w:val="clear"/>
        <w:snapToGrid w:val="0"/>
        <w:spacing w:line="360" w:lineRule="auto"/>
        <w:jc w:val="left"/>
        <w:rPr>
          <w:rFonts w:ascii="宋体" w:hAnsi="宋体" w:eastAsia="宋体" w:cs="宋体"/>
          <w:color w:val="auto"/>
          <w:sz w:val="21"/>
          <w:szCs w:val="21"/>
          <w:highlight w:val="none"/>
        </w:rPr>
      </w:pPr>
    </w:p>
    <w:p w14:paraId="738FE639">
      <w:pPr>
        <w:keepNext w:val="0"/>
        <w:keepLines w:val="0"/>
        <w:pageBreakBefore w:val="0"/>
        <w:widowControl w:val="0"/>
        <w:shd w:val="clear"/>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投标人名称(电子签章)：</w:t>
      </w:r>
    </w:p>
    <w:p w14:paraId="51C58AE9">
      <w:pPr>
        <w:keepNext w:val="0"/>
        <w:keepLines w:val="0"/>
        <w:pageBreakBefore w:val="0"/>
        <w:widowControl w:val="0"/>
        <w:shd w:val="clear"/>
        <w:kinsoku/>
        <w:wordWrap/>
        <w:overflowPunct/>
        <w:topLinePunct w:val="0"/>
        <w:autoSpaceDE/>
        <w:autoSpaceDN/>
        <w:bidi w:val="0"/>
        <w:adjustRightInd/>
        <w:snapToGrid w:val="0"/>
        <w:spacing w:line="500" w:lineRule="exact"/>
        <w:ind w:firstLine="4410" w:firstLineChars="210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  年  月   日</w:t>
      </w:r>
    </w:p>
    <w:p w14:paraId="5B64C728">
      <w:pPr>
        <w:shd w:val="clear"/>
        <w:snapToGrid w:val="0"/>
        <w:spacing w:line="360" w:lineRule="exact"/>
        <w:ind w:firstLine="210" w:firstLineChars="100"/>
        <w:jc w:val="left"/>
        <w:rPr>
          <w:rFonts w:hint="eastAsia" w:ascii="宋体" w:hAnsi="宋体" w:eastAsia="宋体" w:cs="宋体"/>
          <w:color w:val="auto"/>
          <w:szCs w:val="21"/>
          <w:highlight w:val="none"/>
        </w:rPr>
      </w:pPr>
    </w:p>
    <w:p w14:paraId="1B1BC4F0">
      <w:pPr>
        <w:numPr>
          <w:ilvl w:val="0"/>
          <w:numId w:val="0"/>
        </w:numPr>
        <w:shd w:val="clear"/>
        <w:snapToGrid w:val="0"/>
        <w:spacing w:line="360" w:lineRule="exact"/>
        <w:ind w:firstLine="211" w:firstLineChars="100"/>
        <w:jc w:val="left"/>
        <w:rPr>
          <w:rFonts w:hint="eastAsia" w:ascii="宋体" w:hAnsi="宋体" w:eastAsia="宋体" w:cs="宋体"/>
          <w:b/>
          <w:bCs/>
          <w:color w:val="auto"/>
          <w:szCs w:val="21"/>
          <w:highlight w:val="none"/>
        </w:rPr>
      </w:pPr>
      <w:r>
        <w:rPr>
          <w:rFonts w:hint="eastAsia" w:ascii="宋体" w:hAnsi="宋体" w:eastAsia="宋体" w:cs="宋体"/>
          <w:b/>
          <w:bCs/>
          <w:color w:val="auto"/>
          <w:kern w:val="2"/>
          <w:sz w:val="21"/>
          <w:szCs w:val="21"/>
          <w:highlight w:val="none"/>
          <w:lang w:val="en-US" w:eastAsia="zh-CN" w:bidi="ar-SA"/>
        </w:rPr>
        <w:t>（8）</w:t>
      </w:r>
      <w:r>
        <w:rPr>
          <w:rFonts w:hint="eastAsia" w:ascii="宋体" w:hAnsi="宋体" w:eastAsia="宋体" w:cs="宋体"/>
          <w:color w:val="auto"/>
          <w:szCs w:val="21"/>
          <w:highlight w:val="none"/>
        </w:rPr>
        <w:t>投标人参加本项目无围标串标行为的承诺</w:t>
      </w:r>
      <w:r>
        <w:rPr>
          <w:rFonts w:hint="eastAsia" w:ascii="宋体" w:hAnsi="宋体" w:eastAsia="宋体" w:cs="宋体"/>
          <w:b/>
          <w:bCs/>
          <w:color w:val="auto"/>
          <w:szCs w:val="21"/>
          <w:highlight w:val="none"/>
        </w:rPr>
        <w:t>[必须提供]</w:t>
      </w:r>
    </w:p>
    <w:p w14:paraId="1706C987">
      <w:pPr>
        <w:numPr>
          <w:ilvl w:val="0"/>
          <w:numId w:val="0"/>
        </w:numPr>
        <w:shd w:val="clear"/>
        <w:snapToGrid w:val="0"/>
        <w:spacing w:line="360" w:lineRule="exact"/>
        <w:jc w:val="left"/>
        <w:rPr>
          <w:rFonts w:hint="eastAsia" w:ascii="宋体" w:hAnsi="宋体" w:eastAsia="宋体" w:cs="宋体"/>
          <w:b/>
          <w:bCs/>
          <w:color w:val="auto"/>
          <w:szCs w:val="21"/>
          <w:highlight w:val="none"/>
        </w:rPr>
      </w:pPr>
    </w:p>
    <w:p w14:paraId="6F04DC68">
      <w:pPr>
        <w:shd w:val="clear"/>
        <w:snapToGrid w:val="0"/>
        <w:spacing w:before="50" w:after="50"/>
        <w:jc w:val="center"/>
        <w:rPr>
          <w:rFonts w:hint="eastAsia" w:ascii="宋体" w:hAnsi="宋体" w:eastAsia="宋体" w:cs="宋体"/>
          <w:b/>
          <w:color w:val="auto"/>
          <w:sz w:val="28"/>
          <w:szCs w:val="22"/>
          <w:highlight w:val="none"/>
        </w:rPr>
      </w:pPr>
      <w:r>
        <w:rPr>
          <w:rFonts w:hint="eastAsia" w:ascii="宋体" w:hAnsi="宋体" w:eastAsia="宋体" w:cs="宋体"/>
          <w:b/>
          <w:color w:val="auto"/>
          <w:sz w:val="28"/>
          <w:szCs w:val="22"/>
          <w:highlight w:val="none"/>
        </w:rPr>
        <w:t>参加本项目无围标串标行为的承诺函</w:t>
      </w:r>
    </w:p>
    <w:p w14:paraId="1719F5EE">
      <w:pPr>
        <w:pStyle w:val="49"/>
        <w:shd w:val="clear"/>
        <w:rPr>
          <w:rFonts w:ascii="Times New Roman" w:hAnsi="Times New Roman" w:cs="Times New Roman"/>
          <w:color w:val="auto"/>
          <w:sz w:val="21"/>
          <w:szCs w:val="21"/>
          <w:highlight w:val="none"/>
        </w:rPr>
      </w:pPr>
    </w:p>
    <w:p w14:paraId="5C16308C">
      <w:pPr>
        <w:shd w:val="clear"/>
        <w:spacing w:line="440" w:lineRule="exact"/>
        <w:contextualSpacing/>
        <w:jc w:val="left"/>
        <w:rPr>
          <w:rFonts w:ascii="宋体" w:hAnsi="宋体" w:eastAsia="宋体" w:cs="宋体"/>
          <w:b/>
          <w:color w:val="auto"/>
          <w:sz w:val="21"/>
          <w:szCs w:val="21"/>
          <w:highlight w:val="none"/>
        </w:rPr>
      </w:pPr>
      <w:bookmarkStart w:id="103" w:name="OLE_LINK45"/>
      <w:bookmarkStart w:id="104" w:name="OLE_LINK44"/>
      <w:r>
        <w:rPr>
          <w:rFonts w:hint="eastAsia" w:ascii="宋体" w:hAnsi="宋体" w:eastAsia="宋体" w:cs="宋体"/>
          <w:b/>
          <w:color w:val="auto"/>
          <w:sz w:val="21"/>
          <w:szCs w:val="21"/>
          <w:highlight w:val="none"/>
        </w:rPr>
        <w:t>一、我方承诺无下列相互串通投标的情形：</w:t>
      </w:r>
    </w:p>
    <w:p w14:paraId="7C571CC5">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1.不同投标人的投标文件由同一单位或者个人编制；或者不同投标人报名的IP地址一致的；或者编制标书硬件设备CPU编号、硬盘编号、网卡地址一致的情况；</w:t>
      </w:r>
    </w:p>
    <w:p w14:paraId="4508962D">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2.不同投标人委托同一单位或者个人办理投标事宜；</w:t>
      </w:r>
    </w:p>
    <w:p w14:paraId="08B143D4">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3.不同的投标人的投标文件载明的项目管理员为同一个人；</w:t>
      </w:r>
    </w:p>
    <w:p w14:paraId="3B0EED9A">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4.不同投标人的投标文件异常一致或者投标报价呈规律性差异；</w:t>
      </w:r>
    </w:p>
    <w:p w14:paraId="6D9E3953">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5.不同投标人的投标文件相互混装；</w:t>
      </w:r>
    </w:p>
    <w:p w14:paraId="643DE58E">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6.不同投标人的投标保证金从同一单位或者个人账户转出。</w:t>
      </w:r>
    </w:p>
    <w:p w14:paraId="05D49CA1">
      <w:pPr>
        <w:shd w:val="clear"/>
        <w:spacing w:line="440" w:lineRule="exact"/>
        <w:contextualSpacing/>
        <w:jc w:val="left"/>
        <w:rPr>
          <w:rFonts w:ascii="宋体" w:hAnsi="宋体" w:eastAsia="宋体" w:cs="宋体"/>
          <w:color w:val="auto"/>
          <w:sz w:val="21"/>
          <w:szCs w:val="21"/>
          <w:highlight w:val="none"/>
        </w:rPr>
      </w:pPr>
      <w:r>
        <w:rPr>
          <w:rFonts w:hint="eastAsia" w:ascii="宋体" w:hAnsi="宋体" w:eastAsia="宋体" w:cs="宋体"/>
          <w:b/>
          <w:color w:val="auto"/>
          <w:sz w:val="21"/>
          <w:szCs w:val="21"/>
          <w:highlight w:val="none"/>
        </w:rPr>
        <w:t>二、我方承诺无下列恶意串通的情形：</w:t>
      </w:r>
    </w:p>
    <w:p w14:paraId="5628EBAC">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1.投标人直接或者间接从采购人或者采购代理机构处获得其他投标人的相关信息并修改其投标文件或者响应文件；</w:t>
      </w:r>
    </w:p>
    <w:p w14:paraId="5EE439D9">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2.投标人按照采购人或者采购代理机构的授意撤换、修改投标文件或者响应文件；</w:t>
      </w:r>
    </w:p>
    <w:p w14:paraId="22B08D57">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3.投标人之间协商报价、技术方案等投标文件或者响应文件的实质性内容；</w:t>
      </w:r>
    </w:p>
    <w:p w14:paraId="3A6776AB">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4.属于同一集团、协会、商会等组织成员的投标人按照该组织要求协同参加政府采购活动；</w:t>
      </w:r>
    </w:p>
    <w:p w14:paraId="68566E87">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70E83140">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6.投标人之间商定部分投标人放弃参加政府采购活动或者放弃中标；</w:t>
      </w:r>
    </w:p>
    <w:p w14:paraId="72866F7F">
      <w:pPr>
        <w:shd w:val="clear"/>
        <w:spacing w:line="440" w:lineRule="exact"/>
        <w:ind w:firstLine="411" w:firstLineChars="196"/>
        <w:contextualSpacing/>
        <w:jc w:val="lef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7.投标人与采购人或者采购代理机构之间、投标人相互之间，为谋求特定投标人中标或者排斥其他投标人的其他串通行为。</w:t>
      </w:r>
    </w:p>
    <w:p w14:paraId="0A1490B6">
      <w:pPr>
        <w:shd w:val="clear"/>
        <w:spacing w:line="440" w:lineRule="exact"/>
        <w:ind w:firstLine="413" w:firstLineChars="196"/>
        <w:contextualSpacing/>
        <w:jc w:val="left"/>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以上情形一经核查属实，接受政府采购监管部门对我方认定存在围标串标行为，我方愿意承担一切后果，并不再寻求任何旨在减轻或者免除法律责任的辩解。</w:t>
      </w:r>
      <w:bookmarkEnd w:id="103"/>
      <w:bookmarkEnd w:id="104"/>
    </w:p>
    <w:p w14:paraId="05046A7D">
      <w:pPr>
        <w:widowControl w:val="0"/>
        <w:shd w:val="clear"/>
        <w:spacing w:line="440" w:lineRule="exact"/>
        <w:ind w:firstLine="5985" w:firstLineChars="2850"/>
        <w:contextualSpacing/>
        <w:jc w:val="both"/>
        <w:rPr>
          <w:rFonts w:ascii="宋体" w:hAnsi="宋体" w:eastAsia="宋体" w:cs="宋体"/>
          <w:color w:val="auto"/>
          <w:kern w:val="2"/>
          <w:sz w:val="21"/>
          <w:szCs w:val="21"/>
          <w:highlight w:val="none"/>
          <w:lang w:val="en-US" w:eastAsia="zh-CN" w:bidi="ar-SA"/>
        </w:rPr>
      </w:pPr>
    </w:p>
    <w:p w14:paraId="5B0290B4">
      <w:pPr>
        <w:shd w:val="clear"/>
        <w:spacing w:line="360" w:lineRule="auto"/>
        <w:ind w:firstLine="420" w:firstLineChars="200"/>
        <w:contextualSpacing/>
        <w:rPr>
          <w:rFonts w:ascii="宋体" w:hAnsi="宋体" w:eastAsia="宋体" w:cs="宋体"/>
          <w:color w:val="auto"/>
          <w:sz w:val="21"/>
          <w:szCs w:val="21"/>
          <w:highlight w:val="none"/>
          <w:u w:val="single"/>
        </w:rPr>
      </w:pPr>
      <w:r>
        <w:rPr>
          <w:rFonts w:hint="eastAsia" w:ascii="Times New Roman" w:hAnsi="宋体" w:eastAsia="宋体" w:cs="宋体"/>
          <w:color w:val="auto"/>
          <w:sz w:val="21"/>
          <w:szCs w:val="21"/>
          <w:highlight w:val="none"/>
        </w:rPr>
        <w:t>投标人名称（电子签章）：</w:t>
      </w:r>
    </w:p>
    <w:p w14:paraId="64816207">
      <w:pPr>
        <w:shd w:val="clear"/>
        <w:spacing w:line="360" w:lineRule="auto"/>
        <w:ind w:firstLine="420" w:firstLineChars="200"/>
        <w:contextualSpacing/>
        <w:rPr>
          <w:rFonts w:ascii="Times New Roman" w:hAnsi="宋体" w:eastAsia="宋体" w:cs="宋体"/>
          <w:color w:val="auto"/>
          <w:sz w:val="21"/>
          <w:szCs w:val="21"/>
          <w:highlight w:val="none"/>
        </w:rPr>
      </w:pPr>
      <w:r>
        <w:rPr>
          <w:rFonts w:hint="eastAsia" w:ascii="Times New Roman" w:hAnsi="宋体" w:eastAsia="宋体" w:cs="宋体"/>
          <w:color w:val="auto"/>
          <w:sz w:val="21"/>
          <w:szCs w:val="21"/>
          <w:highlight w:val="none"/>
        </w:rPr>
        <w:t>日期：</w:t>
      </w:r>
      <w:r>
        <w:rPr>
          <w:rFonts w:hint="eastAsia" w:ascii="Times New Roman" w:hAnsi="宋体" w:eastAsia="宋体" w:cs="宋体"/>
          <w:color w:val="auto"/>
          <w:sz w:val="21"/>
          <w:szCs w:val="21"/>
          <w:highlight w:val="none"/>
          <w:lang w:val="en-US" w:eastAsia="zh-CN"/>
        </w:rPr>
        <w:t xml:space="preserve">  </w:t>
      </w:r>
      <w:r>
        <w:rPr>
          <w:rFonts w:hint="eastAsia" w:ascii="Times New Roman" w:hAnsi="宋体" w:eastAsia="宋体" w:cs="宋体"/>
          <w:color w:val="auto"/>
          <w:sz w:val="21"/>
          <w:szCs w:val="21"/>
          <w:highlight w:val="none"/>
        </w:rPr>
        <w:t>年</w:t>
      </w:r>
      <w:r>
        <w:rPr>
          <w:rFonts w:hint="eastAsia" w:ascii="Times New Roman" w:hAnsi="宋体" w:eastAsia="宋体" w:cs="宋体"/>
          <w:color w:val="auto"/>
          <w:sz w:val="21"/>
          <w:szCs w:val="21"/>
          <w:highlight w:val="none"/>
          <w:lang w:val="en-US" w:eastAsia="zh-CN"/>
        </w:rPr>
        <w:t xml:space="preserve">  </w:t>
      </w:r>
      <w:r>
        <w:rPr>
          <w:rFonts w:hint="eastAsia" w:ascii="Times New Roman" w:hAnsi="宋体" w:eastAsia="宋体" w:cs="宋体"/>
          <w:color w:val="auto"/>
          <w:sz w:val="21"/>
          <w:szCs w:val="21"/>
          <w:highlight w:val="none"/>
        </w:rPr>
        <w:t>月</w:t>
      </w:r>
      <w:r>
        <w:rPr>
          <w:rFonts w:hint="eastAsia" w:ascii="Times New Roman" w:hAnsi="宋体" w:eastAsia="宋体" w:cs="宋体"/>
          <w:color w:val="auto"/>
          <w:sz w:val="21"/>
          <w:szCs w:val="21"/>
          <w:highlight w:val="none"/>
          <w:lang w:val="en-US" w:eastAsia="zh-CN"/>
        </w:rPr>
        <w:t xml:space="preserve">   </w:t>
      </w:r>
      <w:r>
        <w:rPr>
          <w:rFonts w:hint="eastAsia" w:ascii="Times New Roman" w:hAnsi="宋体" w:eastAsia="宋体" w:cs="宋体"/>
          <w:color w:val="auto"/>
          <w:sz w:val="21"/>
          <w:szCs w:val="21"/>
          <w:highlight w:val="none"/>
        </w:rPr>
        <w:t>日</w:t>
      </w:r>
    </w:p>
    <w:p w14:paraId="324E83E7">
      <w:pPr>
        <w:shd w:val="clear"/>
        <w:snapToGrid w:val="0"/>
        <w:spacing w:before="50" w:after="156" w:afterLines="50" w:line="360" w:lineRule="exact"/>
        <w:jc w:val="left"/>
        <w:outlineLvl w:val="0"/>
        <w:rPr>
          <w:rFonts w:hint="eastAsia" w:ascii="宋体" w:hAnsi="宋体" w:eastAsia="宋体" w:cs="宋体"/>
          <w:color w:val="auto"/>
          <w:szCs w:val="21"/>
          <w:highlight w:val="none"/>
        </w:rPr>
      </w:pPr>
    </w:p>
    <w:p w14:paraId="7814AE21">
      <w:pPr>
        <w:shd w:val="clear"/>
        <w:spacing w:line="360" w:lineRule="exact"/>
        <w:rPr>
          <w:rFonts w:hint="eastAsia" w:ascii="宋体" w:hAnsi="宋体" w:eastAsia="宋体" w:cs="宋体"/>
          <w:b/>
          <w:color w:val="auto"/>
          <w:highlight w:val="none"/>
        </w:rPr>
      </w:pPr>
      <w:r>
        <w:rPr>
          <w:rFonts w:hint="eastAsia" w:ascii="宋体" w:hAnsi="宋体" w:eastAsia="宋体" w:cs="宋体"/>
          <w:b/>
          <w:color w:val="auto"/>
          <w:highlight w:val="none"/>
        </w:rPr>
        <w:br w:type="page"/>
      </w:r>
      <w:r>
        <w:rPr>
          <w:rFonts w:hint="eastAsia" w:ascii="宋体" w:hAnsi="宋体" w:cs="宋体"/>
          <w:b/>
          <w:color w:val="auto"/>
          <w:highlight w:val="none"/>
          <w:lang w:eastAsia="zh-CN"/>
        </w:rPr>
        <w:t>（</w:t>
      </w:r>
      <w:r>
        <w:rPr>
          <w:rFonts w:hint="eastAsia" w:ascii="宋体" w:hAnsi="宋体" w:eastAsia="宋体" w:cs="宋体"/>
          <w:b/>
          <w:color w:val="auto"/>
          <w:highlight w:val="none"/>
        </w:rPr>
        <w:t>二）商务技术文件部分（格式）</w:t>
      </w:r>
    </w:p>
    <w:p w14:paraId="6D0F8D85">
      <w:pPr>
        <w:shd w:val="clear"/>
        <w:spacing w:line="360" w:lineRule="exact"/>
        <w:rPr>
          <w:rFonts w:hint="eastAsia" w:ascii="宋体" w:hAnsi="宋体" w:eastAsia="宋体" w:cs="宋体"/>
          <w:b/>
          <w:color w:val="auto"/>
          <w:highlight w:val="none"/>
        </w:rPr>
      </w:pPr>
      <w:r>
        <w:rPr>
          <w:rFonts w:hint="eastAsia" w:ascii="宋体" w:hAnsi="宋体" w:eastAsia="宋体" w:cs="宋体"/>
          <w:b/>
          <w:color w:val="auto"/>
          <w:highlight w:val="none"/>
        </w:rPr>
        <w:t>1.商务文件：</w:t>
      </w:r>
    </w:p>
    <w:p w14:paraId="4D0C1811">
      <w:pPr>
        <w:shd w:val="clear"/>
        <w:spacing w:line="360" w:lineRule="exact"/>
        <w:rPr>
          <w:rFonts w:hint="eastAsia" w:ascii="宋体" w:hAnsi="宋体" w:eastAsia="宋体" w:cs="宋体"/>
          <w:b/>
          <w:color w:val="auto"/>
          <w:highlight w:val="none"/>
        </w:rPr>
      </w:pPr>
    </w:p>
    <w:p w14:paraId="3E893025">
      <w:pPr>
        <w:shd w:val="clear"/>
        <w:spacing w:line="36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    （1）</w:t>
      </w:r>
      <w:r>
        <w:rPr>
          <w:rFonts w:hint="eastAsia" w:ascii="宋体" w:hAnsi="宋体" w:eastAsia="宋体" w:cs="宋体"/>
          <w:color w:val="auto"/>
          <w:szCs w:val="21"/>
          <w:highlight w:val="none"/>
        </w:rPr>
        <w:t>投标保证金的提交凭证</w:t>
      </w:r>
      <w:r>
        <w:rPr>
          <w:rFonts w:hint="eastAsia" w:ascii="宋体" w:hAnsi="宋体" w:eastAsia="宋体" w:cs="宋体"/>
          <w:b/>
          <w:color w:val="auto"/>
          <w:kern w:val="0"/>
          <w:szCs w:val="21"/>
          <w:highlight w:val="none"/>
          <w:lang w:eastAsia="zh-CN"/>
        </w:rPr>
        <w:t>[必须提供]</w:t>
      </w:r>
    </w:p>
    <w:p w14:paraId="3B7EBBAA">
      <w:pPr>
        <w:shd w:val="clear"/>
        <w:spacing w:line="360" w:lineRule="exact"/>
        <w:rPr>
          <w:rFonts w:hint="eastAsia" w:ascii="宋体" w:hAnsi="宋体" w:eastAsia="宋体" w:cs="宋体"/>
          <w:color w:val="auto"/>
          <w:highlight w:val="none"/>
        </w:rPr>
      </w:pPr>
    </w:p>
    <w:p w14:paraId="73D45AA9">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（2）投标声明书格式：</w:t>
      </w:r>
    </w:p>
    <w:p w14:paraId="1CCDEBF6">
      <w:pPr>
        <w:shd w:val="clear"/>
        <w:snapToGrid w:val="0"/>
        <w:spacing w:before="156" w:beforeLines="50" w:after="50" w:line="36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投标声明书</w:t>
      </w:r>
    </w:p>
    <w:p w14:paraId="737D9CAC">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广西国力招标有限公司 </w:t>
      </w:r>
    </w:p>
    <w:p w14:paraId="64BA5559">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（投标人名称）系中华人民共和国合法企业，经营地址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32FF1846">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（投标人名称）的法定代表人（负责人），我方愿意参加贵方组织的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项目的投标，为便于贵方公正、择优地确定中标人及其服务，我方就本次投标有关事项郑重声明如下：</w:t>
      </w:r>
    </w:p>
    <w:p w14:paraId="2046A6DE">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1.我方向贵方提交的所有投标文件、资料都是准确的和真实的。</w:t>
      </w:r>
    </w:p>
    <w:p w14:paraId="60693E2D">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2.我方不是采购人的附属机构；在获知本项目采购信息后，与采购人聘请的为此项目提供咨询服务的公司及其附属机构没有任何联系。</w:t>
      </w:r>
    </w:p>
    <w:p w14:paraId="0B4C3F64">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3.我方此次向贵方提供的服务名称为：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4B0642E">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4.我方诚意提请贵方关注：近期有关该服务等方面的重大决策和事项有：</w:t>
      </w:r>
    </w:p>
    <w:p w14:paraId="466A733F">
      <w:pPr>
        <w:shd w:val="clea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w:t>
      </w:r>
      <w:r>
        <w:rPr>
          <w:rFonts w:hint="eastAsia" w:ascii="宋体" w:hAnsi="宋体" w:eastAsia="宋体" w:cs="宋体"/>
          <w:color w:val="auto"/>
          <w:highlight w:val="none"/>
          <w:u w:val="single"/>
        </w:rPr>
        <w:t>　　　　　　　　　　　　　　　　　　　　　　　　　</w:t>
      </w:r>
    </w:p>
    <w:p w14:paraId="394E0F67">
      <w:pPr>
        <w:shd w:val="clea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w:t>
      </w:r>
      <w:r>
        <w:rPr>
          <w:rFonts w:hint="eastAsia" w:ascii="宋体" w:hAnsi="宋体" w:eastAsia="宋体" w:cs="宋体"/>
          <w:color w:val="auto"/>
          <w:highlight w:val="none"/>
          <w:u w:val="single"/>
        </w:rPr>
        <w:t>　　　　　　　　　　　　　　　　　　　　　　　　　</w:t>
      </w:r>
    </w:p>
    <w:p w14:paraId="511D46EE">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5.我方参加政府采购活动前三年内在经营活动中重大违法记录情况：</w:t>
      </w:r>
    </w:p>
    <w:p w14:paraId="3A3DE371">
      <w:pPr>
        <w:shd w:val="clea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w:t>
      </w:r>
      <w:r>
        <w:rPr>
          <w:rFonts w:hint="eastAsia" w:ascii="宋体" w:hAnsi="宋体" w:eastAsia="宋体" w:cs="宋体"/>
          <w:color w:val="auto"/>
          <w:highlight w:val="none"/>
          <w:u w:val="single"/>
        </w:rPr>
        <w:t>　　　　　　　　　　　　　　　　　　　　　　　　　</w:t>
      </w:r>
    </w:p>
    <w:p w14:paraId="3E09C92A">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6.以上事项如有虚假或隐瞒，我方愿意承担一切后果。</w:t>
      </w:r>
    </w:p>
    <w:p w14:paraId="769D255F">
      <w:pPr>
        <w:shd w:val="clear"/>
        <w:spacing w:line="400" w:lineRule="exact"/>
        <w:rPr>
          <w:rFonts w:hint="eastAsia" w:ascii="宋体" w:hAnsi="宋体" w:eastAsia="宋体" w:cs="宋体"/>
          <w:color w:val="auto"/>
          <w:highlight w:val="none"/>
        </w:rPr>
      </w:pPr>
    </w:p>
    <w:p w14:paraId="03F15CD9">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法定代表人（负责人）签字或盖章：</w:t>
      </w:r>
      <w:r>
        <w:rPr>
          <w:rFonts w:hint="eastAsia" w:ascii="宋体" w:hAnsi="宋体" w:eastAsia="宋体" w:cs="宋体"/>
          <w:color w:val="auto"/>
          <w:highlight w:val="none"/>
          <w:u w:val="single"/>
        </w:rPr>
        <w:t xml:space="preserve">             </w:t>
      </w:r>
    </w:p>
    <w:p w14:paraId="3EDD8334">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1752108A">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年    月    日</w:t>
      </w:r>
    </w:p>
    <w:p w14:paraId="5A3B42BE">
      <w:pPr>
        <w:shd w:val="clear"/>
        <w:spacing w:line="400" w:lineRule="exact"/>
        <w:rPr>
          <w:rFonts w:hint="eastAsia" w:ascii="宋体" w:hAnsi="宋体" w:eastAsia="宋体" w:cs="宋体"/>
          <w:b/>
          <w:color w:val="auto"/>
          <w:highlight w:val="none"/>
        </w:rPr>
      </w:pPr>
    </w:p>
    <w:p w14:paraId="35E5FF18">
      <w:pPr>
        <w:shd w:val="clear"/>
        <w:spacing w:line="400" w:lineRule="exact"/>
        <w:rPr>
          <w:rFonts w:hint="eastAsia" w:ascii="宋体" w:hAnsi="宋体" w:eastAsia="宋体" w:cs="宋体"/>
          <w:b/>
          <w:color w:val="auto"/>
          <w:highlight w:val="none"/>
        </w:rPr>
      </w:pPr>
      <w:r>
        <w:rPr>
          <w:rFonts w:hint="eastAsia" w:ascii="宋体" w:hAnsi="宋体" w:eastAsia="宋体" w:cs="宋体"/>
          <w:b/>
          <w:color w:val="auto"/>
          <w:highlight w:val="none"/>
        </w:rPr>
        <w:t>重大违法记录，是指供应商因违法经营受到刑事处罚或者责令停产停业、吊销许可证或者执照、较大数额罚款等行政处罚。</w:t>
      </w:r>
    </w:p>
    <w:p w14:paraId="6E0FACB6">
      <w:pPr>
        <w:shd w:val="clear"/>
        <w:snapToGrid w:val="0"/>
        <w:spacing w:before="50" w:after="156" w:afterLines="50" w:line="340" w:lineRule="exact"/>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 法定代表人(负责人)授权委托书格式：</w:t>
      </w:r>
    </w:p>
    <w:p w14:paraId="3F1E81EF">
      <w:pPr>
        <w:shd w:val="clear"/>
        <w:snapToGrid w:val="0"/>
        <w:spacing w:before="156" w:beforeLines="50" w:after="50" w:line="34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法定代表人(负责人)授权委托书</w:t>
      </w:r>
    </w:p>
    <w:p w14:paraId="461B4C10">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广西国力招标有限公司 </w:t>
      </w:r>
    </w:p>
    <w:p w14:paraId="76F3B944">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（投标人名称）的法定代表人（负责人），现授权委托本单位在职职工</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（姓名）以我方的名义参加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项目的投标活动，并代表我方全权办理针对上述项目的投标、开标、评标、签约等具体事务和签署相关文件。</w:t>
      </w:r>
    </w:p>
    <w:p w14:paraId="2C5C4ABB">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我方对被授权人的签名事项负全部责任。</w:t>
      </w:r>
    </w:p>
    <w:p w14:paraId="487EE53F">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在撤销授权的书面通知以前，本授权书一直有效。</w:t>
      </w:r>
      <w:r>
        <w:rPr>
          <w:rFonts w:hint="eastAsia" w:ascii="宋体" w:hAnsi="宋体" w:eastAsia="宋体" w:cs="宋体"/>
          <w:color w:val="auto"/>
          <w:highlight w:val="none"/>
        </w:rPr>
        <w:t>被授权人在授权书有效期内签署的所有文件不因授权的撤销而失效。</w:t>
      </w:r>
    </w:p>
    <w:p w14:paraId="751A0C6B">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被授权人无转委托权，特此委托。</w:t>
      </w:r>
    </w:p>
    <w:p w14:paraId="08AFF096">
      <w:pPr>
        <w:shd w:val="clear"/>
        <w:spacing w:line="400" w:lineRule="exact"/>
        <w:rPr>
          <w:rFonts w:hint="eastAsia" w:ascii="宋体" w:hAnsi="宋体" w:eastAsia="宋体" w:cs="宋体"/>
          <w:color w:val="auto"/>
          <w:highlight w:val="none"/>
        </w:rPr>
      </w:pPr>
    </w:p>
    <w:p w14:paraId="5070795A">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被授权人签字或盖章：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法定代表人（负责人）签字或盖章：</w:t>
      </w:r>
      <w:r>
        <w:rPr>
          <w:rFonts w:hint="eastAsia" w:ascii="宋体" w:hAnsi="宋体" w:eastAsia="宋体" w:cs="宋体"/>
          <w:color w:val="auto"/>
          <w:highlight w:val="none"/>
          <w:u w:val="single"/>
        </w:rPr>
        <w:t xml:space="preserve">            </w:t>
      </w:r>
    </w:p>
    <w:p w14:paraId="4E62852E">
      <w:pPr>
        <w:shd w:val="clea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所在部门职务：</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职务：</w:t>
      </w:r>
      <w:r>
        <w:rPr>
          <w:rFonts w:hint="eastAsia" w:ascii="宋体" w:hAnsi="宋体" w:eastAsia="宋体" w:cs="宋体"/>
          <w:color w:val="auto"/>
          <w:highlight w:val="none"/>
          <w:u w:val="single"/>
        </w:rPr>
        <w:t xml:space="preserve">               </w:t>
      </w:r>
    </w:p>
    <w:p w14:paraId="1E5387A7">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被授权人身份证号码：</w:t>
      </w:r>
      <w:r>
        <w:rPr>
          <w:rFonts w:hint="eastAsia" w:ascii="宋体" w:hAnsi="宋体" w:eastAsia="宋体" w:cs="宋体"/>
          <w:color w:val="auto"/>
          <w:highlight w:val="none"/>
          <w:u w:val="single"/>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5"/>
      </w:tblGrid>
      <w:tr w14:paraId="6BFF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5" w:type="dxa"/>
            <w:noWrap w:val="0"/>
            <w:vAlign w:val="top"/>
          </w:tcPr>
          <w:p w14:paraId="058DBBEB">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贴附“委托代理人有效身份证复印件”（正反两面）</w:t>
            </w:r>
          </w:p>
        </w:tc>
      </w:tr>
    </w:tbl>
    <w:p w14:paraId="57594BE8">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p>
    <w:p w14:paraId="3CED5C93">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年    月    日</w:t>
      </w:r>
    </w:p>
    <w:p w14:paraId="4F096077">
      <w:pPr>
        <w:shd w:val="clear"/>
        <w:snapToGrid w:val="0"/>
        <w:spacing w:before="50" w:after="156" w:afterLines="50"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（4）法定代表人（负责人）身份证明书</w:t>
      </w:r>
    </w:p>
    <w:p w14:paraId="3A077041">
      <w:pPr>
        <w:shd w:val="clear"/>
        <w:spacing w:before="312" w:beforeLines="100" w:after="156" w:afterLines="50" w:line="400" w:lineRule="exact"/>
        <w:ind w:left="540"/>
        <w:jc w:val="center"/>
        <w:rPr>
          <w:rFonts w:hint="eastAsia" w:ascii="宋体" w:hAnsi="宋体" w:eastAsia="宋体" w:cs="宋体"/>
          <w:color w:val="auto"/>
          <w:sz w:val="28"/>
          <w:szCs w:val="28"/>
          <w:highlight w:val="none"/>
        </w:rPr>
      </w:pPr>
      <w:r>
        <w:rPr>
          <w:rFonts w:hint="eastAsia" w:ascii="宋体" w:hAnsi="宋体" w:eastAsia="宋体" w:cs="宋体"/>
          <w:b/>
          <w:color w:val="auto"/>
          <w:sz w:val="32"/>
          <w:szCs w:val="32"/>
          <w:highlight w:val="none"/>
        </w:rPr>
        <w:t>法定代表人（负责人）身份证明书</w:t>
      </w:r>
    </w:p>
    <w:p w14:paraId="033BCE58">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 标 人：</w:t>
      </w:r>
      <w:r>
        <w:rPr>
          <w:rFonts w:hint="eastAsia" w:ascii="宋体" w:hAnsi="宋体" w:eastAsia="宋体" w:cs="宋体"/>
          <w:color w:val="auto"/>
          <w:sz w:val="21"/>
          <w:szCs w:val="21"/>
          <w:highlight w:val="none"/>
          <w:u w:val="single"/>
        </w:rPr>
        <w:t xml:space="preserve">                                                        </w:t>
      </w:r>
    </w:p>
    <w:p w14:paraId="0C3F5C44">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单位性质：</w:t>
      </w:r>
      <w:r>
        <w:rPr>
          <w:rFonts w:hint="eastAsia" w:ascii="宋体" w:hAnsi="宋体" w:eastAsia="宋体" w:cs="宋体"/>
          <w:color w:val="auto"/>
          <w:sz w:val="21"/>
          <w:szCs w:val="21"/>
          <w:highlight w:val="none"/>
          <w:u w:val="single"/>
        </w:rPr>
        <w:t xml:space="preserve">                                                        </w:t>
      </w:r>
    </w:p>
    <w:p w14:paraId="798A4D44">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0CA7A0BD">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0695870C">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经营期限：</w:t>
      </w:r>
      <w:r>
        <w:rPr>
          <w:rFonts w:hint="eastAsia" w:ascii="宋体" w:hAnsi="宋体" w:eastAsia="宋体" w:cs="宋体"/>
          <w:color w:val="auto"/>
          <w:sz w:val="21"/>
          <w:szCs w:val="21"/>
          <w:highlight w:val="none"/>
          <w:u w:val="single"/>
        </w:rPr>
        <w:t xml:space="preserve">                                                        </w:t>
      </w:r>
    </w:p>
    <w:p w14:paraId="65CBE0DA">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5ABDC0F3">
      <w:pPr>
        <w:shd w:val="clear"/>
        <w:spacing w:line="400" w:lineRule="exact"/>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6B5912CC">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1B9BD2D4">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（投标人名称）的法定代表人（负责人）。</w:t>
      </w:r>
    </w:p>
    <w:p w14:paraId="1E48589B">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56309D94">
      <w:pPr>
        <w:shd w:val="clear"/>
        <w:spacing w:line="400" w:lineRule="exact"/>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附件：法定代表人（负责人）有效身份证正反面复印件</w:t>
      </w:r>
    </w:p>
    <w:p w14:paraId="3EAA0AB5">
      <w:pPr>
        <w:shd w:val="clear"/>
        <w:wordWrap w:val="0"/>
        <w:spacing w:line="400" w:lineRule="exact"/>
        <w:ind w:left="5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投标人名称（盖章）</w:t>
      </w:r>
      <w:r>
        <w:rPr>
          <w:rFonts w:hint="eastAsia" w:ascii="宋体" w:hAnsi="宋体" w:eastAsia="宋体" w:cs="宋体"/>
          <w:color w:val="auto"/>
          <w:sz w:val="21"/>
          <w:szCs w:val="21"/>
          <w:highlight w:val="none"/>
          <w:u w:val="single"/>
        </w:rPr>
        <w:t xml:space="preserve">                          </w:t>
      </w:r>
    </w:p>
    <w:p w14:paraId="441E6FD5">
      <w:pPr>
        <w:shd w:val="clear"/>
        <w:snapToGrid w:val="0"/>
        <w:spacing w:before="156" w:beforeLines="50" w:after="50" w:line="400" w:lineRule="exact"/>
        <w:ind w:left="5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7A34D6E">
      <w:pPr>
        <w:shd w:val="clear"/>
        <w:snapToGrid w:val="0"/>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（5）商务响应表格式：</w:t>
      </w:r>
      <w:bookmarkEnd w:id="101"/>
      <w:bookmarkEnd w:id="102"/>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14:paraId="2D833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14:paraId="5DBFD109">
            <w:pPr>
              <w:shd w:val="clear"/>
              <w:snapToGrid w:val="0"/>
              <w:spacing w:before="156"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3857E1CD">
            <w:pPr>
              <w:shd w:val="clear"/>
              <w:snapToGrid w:val="0"/>
              <w:spacing w:before="156"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23FD230">
            <w:pPr>
              <w:shd w:val="clear"/>
              <w:snapToGrid w:val="0"/>
              <w:spacing w:before="156"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14:paraId="166B9873">
            <w:pPr>
              <w:shd w:val="clear"/>
              <w:snapToGrid w:val="0"/>
              <w:spacing w:before="156" w:beforeLines="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投标人的承诺或说明</w:t>
            </w:r>
          </w:p>
        </w:tc>
      </w:tr>
      <w:tr w14:paraId="5250EB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46481276">
            <w:pPr>
              <w:shd w:val="clear"/>
              <w:tabs>
                <w:tab w:val="left" w:pos="180"/>
                <w:tab w:val="left" w:pos="1620"/>
              </w:tabs>
              <w:spacing w:line="400" w:lineRule="exact"/>
              <w:jc w:val="center"/>
              <w:rPr>
                <w:rFonts w:hint="eastAsia" w:ascii="宋体" w:hAnsi="宋体" w:eastAsia="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A451897">
            <w:pPr>
              <w:shd w:val="clear"/>
              <w:rPr>
                <w:rFonts w:hint="eastAsia" w:ascii="宋体" w:hAnsi="宋体" w:eastAsia="宋体" w:cs="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C334570">
            <w:pPr>
              <w:shd w:val="clear"/>
              <w:jc w:val="center"/>
              <w:rPr>
                <w:rFonts w:hint="eastAsia" w:ascii="宋体" w:hAnsi="宋体" w:eastAsia="宋体" w:cs="宋体"/>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2BE698F9">
            <w:pPr>
              <w:shd w:val="clear"/>
              <w:rPr>
                <w:rFonts w:hint="eastAsia" w:ascii="宋体" w:hAnsi="宋体" w:eastAsia="宋体" w:cs="宋体"/>
                <w:color w:val="auto"/>
                <w:highlight w:val="none"/>
              </w:rPr>
            </w:pPr>
          </w:p>
        </w:tc>
      </w:tr>
      <w:tr w14:paraId="0766E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760040B5">
            <w:pPr>
              <w:shd w:val="clear"/>
              <w:tabs>
                <w:tab w:val="left" w:pos="180"/>
                <w:tab w:val="left" w:pos="1620"/>
              </w:tabs>
              <w:spacing w:line="400" w:lineRule="exact"/>
              <w:jc w:val="center"/>
              <w:rPr>
                <w:rFonts w:hint="eastAsia" w:ascii="宋体" w:hAnsi="宋体" w:eastAsia="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565CD15">
            <w:pPr>
              <w:shd w:val="clear"/>
              <w:rPr>
                <w:rFonts w:hint="eastAsia" w:ascii="宋体" w:hAnsi="宋体" w:eastAsia="宋体" w:cs="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61532E1">
            <w:pPr>
              <w:shd w:val="clear"/>
              <w:jc w:val="center"/>
              <w:rPr>
                <w:rFonts w:hint="eastAsia" w:ascii="宋体" w:hAnsi="宋体" w:eastAsia="宋体" w:cs="宋体"/>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1F83E07C">
            <w:pPr>
              <w:shd w:val="clear"/>
              <w:rPr>
                <w:rFonts w:hint="eastAsia" w:ascii="宋体" w:hAnsi="宋体" w:eastAsia="宋体" w:cs="宋体"/>
                <w:color w:val="auto"/>
                <w:highlight w:val="none"/>
              </w:rPr>
            </w:pPr>
          </w:p>
        </w:tc>
      </w:tr>
      <w:tr w14:paraId="4702C4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4AF991F2">
            <w:pPr>
              <w:shd w:val="clear"/>
              <w:spacing w:line="400" w:lineRule="exact"/>
              <w:jc w:val="center"/>
              <w:rPr>
                <w:rFonts w:hint="eastAsia" w:ascii="宋体" w:hAnsi="宋体" w:eastAsia="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D8C5551">
            <w:pPr>
              <w:shd w:val="clear"/>
              <w:rPr>
                <w:rFonts w:hint="eastAsia" w:ascii="宋体" w:hAnsi="宋体" w:eastAsia="宋体" w:cs="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8B4C65E">
            <w:pPr>
              <w:shd w:val="clear"/>
              <w:jc w:val="center"/>
              <w:rPr>
                <w:rFonts w:hint="eastAsia" w:ascii="宋体" w:hAnsi="宋体" w:eastAsia="宋体" w:cs="宋体"/>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0E277AB1">
            <w:pPr>
              <w:shd w:val="clear"/>
              <w:rPr>
                <w:rFonts w:hint="eastAsia" w:ascii="宋体" w:hAnsi="宋体" w:eastAsia="宋体" w:cs="宋体"/>
                <w:color w:val="auto"/>
                <w:highlight w:val="none"/>
              </w:rPr>
            </w:pPr>
          </w:p>
        </w:tc>
      </w:tr>
      <w:tr w14:paraId="6DC7F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73F69E79">
            <w:pPr>
              <w:shd w:val="clear"/>
              <w:spacing w:line="400" w:lineRule="exact"/>
              <w:jc w:val="center"/>
              <w:rPr>
                <w:rFonts w:hint="eastAsia" w:ascii="宋体" w:hAnsi="宋体" w:eastAsia="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4058FAB1">
            <w:pPr>
              <w:shd w:val="clear"/>
              <w:rPr>
                <w:rFonts w:hint="eastAsia" w:ascii="宋体" w:hAnsi="宋体" w:eastAsia="宋体" w:cs="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BA1C2A9">
            <w:pPr>
              <w:shd w:val="clear"/>
              <w:jc w:val="center"/>
              <w:rPr>
                <w:rFonts w:hint="eastAsia" w:ascii="宋体" w:hAnsi="宋体" w:eastAsia="宋体" w:cs="宋体"/>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14FBD807">
            <w:pPr>
              <w:shd w:val="clear"/>
              <w:rPr>
                <w:rFonts w:hint="eastAsia" w:ascii="宋体" w:hAnsi="宋体" w:eastAsia="宋体" w:cs="宋体"/>
                <w:color w:val="auto"/>
                <w:highlight w:val="none"/>
              </w:rPr>
            </w:pPr>
          </w:p>
        </w:tc>
      </w:tr>
      <w:tr w14:paraId="2F3BD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14:paraId="751E205D">
            <w:pPr>
              <w:shd w:val="clear"/>
              <w:tabs>
                <w:tab w:val="left" w:pos="180"/>
                <w:tab w:val="left" w:pos="1620"/>
              </w:tabs>
              <w:spacing w:line="400" w:lineRule="exact"/>
              <w:jc w:val="center"/>
              <w:rPr>
                <w:rFonts w:hint="eastAsia" w:ascii="宋体" w:hAnsi="宋体" w:eastAsia="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1D1B3581">
            <w:pPr>
              <w:shd w:val="clear"/>
              <w:rPr>
                <w:rFonts w:hint="eastAsia" w:ascii="宋体" w:hAnsi="宋体" w:eastAsia="宋体" w:cs="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4A85F9">
            <w:pPr>
              <w:shd w:val="clear"/>
              <w:jc w:val="center"/>
              <w:rPr>
                <w:rFonts w:hint="eastAsia" w:ascii="宋体" w:hAnsi="宋体" w:eastAsia="宋体" w:cs="宋体"/>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2E83A145">
            <w:pPr>
              <w:shd w:val="clear"/>
              <w:rPr>
                <w:rFonts w:hint="eastAsia" w:ascii="宋体" w:hAnsi="宋体" w:eastAsia="宋体" w:cs="宋体"/>
                <w:color w:val="auto"/>
                <w:highlight w:val="none"/>
              </w:rPr>
            </w:pPr>
          </w:p>
        </w:tc>
      </w:tr>
      <w:tr w14:paraId="274C64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center"/>
          </w:tcPr>
          <w:p w14:paraId="7FC12447">
            <w:pPr>
              <w:shd w:val="clea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3A2A5E14">
            <w:pPr>
              <w:shd w:val="clear"/>
              <w:rPr>
                <w:rFonts w:hint="eastAsia" w:ascii="宋体" w:hAnsi="宋体" w:eastAsia="宋体" w:cs="宋体"/>
                <w:color w:val="auto"/>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E13BFE8">
            <w:pPr>
              <w:shd w:val="clear"/>
              <w:jc w:val="center"/>
              <w:rPr>
                <w:rFonts w:hint="eastAsia" w:ascii="宋体" w:hAnsi="宋体" w:eastAsia="宋体" w:cs="宋体"/>
                <w:color w:val="auto"/>
                <w:highlight w:val="none"/>
              </w:rPr>
            </w:pPr>
          </w:p>
        </w:tc>
        <w:tc>
          <w:tcPr>
            <w:tcW w:w="2880" w:type="dxa"/>
            <w:tcBorders>
              <w:top w:val="single" w:color="auto" w:sz="4" w:space="0"/>
              <w:left w:val="single" w:color="auto" w:sz="4" w:space="0"/>
              <w:bottom w:val="single" w:color="auto" w:sz="4" w:space="0"/>
              <w:right w:val="single" w:color="auto" w:sz="4" w:space="0"/>
            </w:tcBorders>
            <w:noWrap w:val="0"/>
            <w:vAlign w:val="top"/>
          </w:tcPr>
          <w:p w14:paraId="246BB5AF">
            <w:pPr>
              <w:shd w:val="clear"/>
              <w:rPr>
                <w:rFonts w:hint="eastAsia" w:ascii="宋体" w:hAnsi="宋体" w:eastAsia="宋体" w:cs="宋体"/>
                <w:color w:val="auto"/>
                <w:highlight w:val="none"/>
              </w:rPr>
            </w:pPr>
          </w:p>
        </w:tc>
      </w:tr>
    </w:tbl>
    <w:p w14:paraId="2BAC8900">
      <w:pPr>
        <w:shd w:val="clear"/>
        <w:snapToGrid w:val="0"/>
        <w:spacing w:before="50" w:after="50" w:line="360" w:lineRule="exact"/>
        <w:ind w:firstLine="210" w:firstLineChars="100"/>
        <w:rPr>
          <w:rFonts w:hint="eastAsia" w:ascii="宋体" w:hAnsi="宋体" w:eastAsia="宋体" w:cs="宋体"/>
          <w:color w:val="auto"/>
          <w:szCs w:val="21"/>
          <w:highlight w:val="none"/>
        </w:rPr>
      </w:pPr>
    </w:p>
    <w:p w14:paraId="718895F4">
      <w:pPr>
        <w:shd w:val="clear"/>
        <w:snapToGrid w:val="0"/>
        <w:spacing w:before="50" w:after="50" w:line="360" w:lineRule="exact"/>
        <w:ind w:firstLine="210" w:firstLineChars="100"/>
        <w:rPr>
          <w:rFonts w:hint="eastAsia" w:ascii="宋体" w:hAnsi="宋体" w:eastAsia="宋体" w:cs="宋体"/>
          <w:color w:val="auto"/>
          <w:spacing w:val="20"/>
          <w:szCs w:val="21"/>
          <w:highlight w:val="none"/>
          <w:u w:val="single"/>
        </w:rPr>
      </w:pPr>
      <w:r>
        <w:rPr>
          <w:rFonts w:hint="eastAsia" w:ascii="宋体" w:hAnsi="宋体" w:eastAsia="宋体" w:cs="宋体"/>
          <w:color w:val="auto"/>
          <w:szCs w:val="21"/>
          <w:highlight w:val="none"/>
        </w:rPr>
        <w:t>法定代表人（负责人）或委托代理人签字或盖章</w:t>
      </w:r>
      <w:r>
        <w:rPr>
          <w:rFonts w:hint="eastAsia" w:ascii="宋体" w:hAnsi="宋体" w:eastAsia="宋体" w:cs="宋体"/>
          <w:color w:val="auto"/>
          <w:spacing w:val="20"/>
          <w:szCs w:val="21"/>
          <w:highlight w:val="none"/>
        </w:rPr>
        <w:t>：</w:t>
      </w:r>
      <w:r>
        <w:rPr>
          <w:rFonts w:hint="eastAsia" w:ascii="宋体" w:hAnsi="宋体" w:eastAsia="宋体" w:cs="宋体"/>
          <w:color w:val="auto"/>
          <w:spacing w:val="20"/>
          <w:szCs w:val="21"/>
          <w:highlight w:val="none"/>
          <w:u w:val="single"/>
        </w:rPr>
        <w:t xml:space="preserve">           </w:t>
      </w:r>
    </w:p>
    <w:p w14:paraId="47B4EC26">
      <w:pPr>
        <w:shd w:val="clear"/>
        <w:snapToGrid w:val="0"/>
        <w:spacing w:before="50" w:after="50" w:line="360" w:lineRule="exact"/>
        <w:ind w:firstLine="210" w:firstLineChars="100"/>
        <w:rPr>
          <w:rFonts w:hint="eastAsia" w:ascii="宋体" w:hAnsi="宋体" w:eastAsia="宋体" w:cs="宋体"/>
          <w:b/>
          <w:color w:val="auto"/>
          <w:szCs w:val="21"/>
          <w:highlight w:val="none"/>
        </w:rPr>
      </w:pPr>
      <w:r>
        <w:rPr>
          <w:rFonts w:hint="eastAsia" w:ascii="宋体" w:hAnsi="宋体" w:eastAsia="宋体" w:cs="宋体"/>
          <w:color w:val="auto"/>
          <w:highlight w:val="none"/>
        </w:rPr>
        <w:t>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spacing w:val="20"/>
          <w:szCs w:val="21"/>
          <w:highlight w:val="none"/>
        </w:rPr>
        <w:t>：</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日 期：</w:t>
      </w:r>
      <w:r>
        <w:rPr>
          <w:rFonts w:hint="eastAsia" w:ascii="宋体" w:hAnsi="宋体" w:eastAsia="宋体" w:cs="宋体"/>
          <w:color w:val="auto"/>
          <w:spacing w:val="20"/>
          <w:szCs w:val="21"/>
          <w:highlight w:val="none"/>
          <w:u w:val="single"/>
        </w:rPr>
        <w:t xml:space="preserve">          </w:t>
      </w:r>
    </w:p>
    <w:p w14:paraId="43C52D75">
      <w:pPr>
        <w:shd w:val="clear"/>
        <w:spacing w:line="360" w:lineRule="exact"/>
        <w:rPr>
          <w:rFonts w:hint="eastAsia" w:ascii="宋体" w:hAnsi="宋体" w:eastAsia="宋体" w:cs="宋体"/>
          <w:color w:val="auto"/>
          <w:highlight w:val="none"/>
        </w:rPr>
      </w:pPr>
    </w:p>
    <w:p w14:paraId="784D6F0F">
      <w:pPr>
        <w:shd w:val="clear"/>
        <w:spacing w:line="360" w:lineRule="exact"/>
        <w:rPr>
          <w:rFonts w:hint="eastAsia" w:ascii="宋体" w:hAnsi="宋体" w:eastAsia="宋体" w:cs="宋体"/>
          <w:color w:val="auto"/>
          <w:highlight w:val="none"/>
        </w:rPr>
      </w:pPr>
    </w:p>
    <w:p w14:paraId="499F66C4">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（6）招标项目采购需求中要求必须提供的材料等（招标项目采购需求中要求必须提供的材料，据实提供）</w:t>
      </w:r>
    </w:p>
    <w:p w14:paraId="5185A341">
      <w:pPr>
        <w:shd w:val="clear"/>
        <w:rPr>
          <w:rFonts w:hint="eastAsia" w:ascii="宋体" w:hAnsi="宋体" w:eastAsia="宋体" w:cs="宋体"/>
          <w:color w:val="auto"/>
          <w:highlight w:val="none"/>
        </w:rPr>
      </w:pPr>
    </w:p>
    <w:p w14:paraId="14D8A703">
      <w:pPr>
        <w:shd w:val="clear"/>
        <w:rPr>
          <w:rFonts w:hint="eastAsia" w:ascii="宋体" w:hAnsi="宋体" w:eastAsia="宋体" w:cs="宋体"/>
          <w:color w:val="auto"/>
          <w:highlight w:val="none"/>
        </w:rPr>
      </w:pPr>
    </w:p>
    <w:p w14:paraId="3403E857">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    （7）具备法律、行政法规规定的其他条件的证明材料（格式自拟）</w:t>
      </w:r>
    </w:p>
    <w:p w14:paraId="70B13F1C">
      <w:pPr>
        <w:shd w:val="clear"/>
        <w:rPr>
          <w:rFonts w:hint="eastAsia" w:ascii="宋体" w:hAnsi="宋体" w:eastAsia="宋体" w:cs="宋体"/>
          <w:color w:val="auto"/>
          <w:highlight w:val="none"/>
        </w:rPr>
      </w:pPr>
    </w:p>
    <w:p w14:paraId="149A9CD1">
      <w:pPr>
        <w:shd w:val="clear"/>
        <w:rPr>
          <w:rFonts w:hint="eastAsia" w:ascii="宋体" w:hAnsi="宋体" w:eastAsia="宋体" w:cs="宋体"/>
          <w:color w:val="auto"/>
          <w:highlight w:val="none"/>
        </w:rPr>
      </w:pPr>
    </w:p>
    <w:p w14:paraId="4C0654DD">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CDCB01A">
      <w:pPr>
        <w:shd w:val="clear"/>
        <w:spacing w:line="360" w:lineRule="exact"/>
        <w:rPr>
          <w:rFonts w:hint="eastAsia" w:ascii="宋体" w:hAnsi="宋体" w:eastAsia="宋体" w:cs="宋体"/>
          <w:color w:val="auto"/>
          <w:szCs w:val="21"/>
          <w:highlight w:val="none"/>
          <w:lang w:eastAsia="zh-CN"/>
        </w:rPr>
      </w:pPr>
      <w:r>
        <w:rPr>
          <w:rFonts w:hint="eastAsia" w:ascii="宋体" w:hAnsi="宋体" w:eastAsia="宋体" w:cs="宋体"/>
          <w:color w:val="auto"/>
          <w:highlight w:val="none"/>
        </w:rPr>
        <w:br w:type="page"/>
      </w:r>
      <w:r>
        <w:rPr>
          <w:rFonts w:hint="eastAsia" w:ascii="宋体" w:hAnsi="宋体" w:eastAsia="宋体" w:cs="宋体"/>
          <w:color w:val="auto"/>
          <w:highlight w:val="none"/>
        </w:rPr>
        <w:t>（8）</w:t>
      </w:r>
      <w:r>
        <w:rPr>
          <w:rFonts w:hint="eastAsia" w:ascii="宋体" w:hAnsi="宋体" w:eastAsia="宋体" w:cs="宋体"/>
          <w:color w:val="auto"/>
          <w:szCs w:val="21"/>
          <w:highlight w:val="none"/>
        </w:rPr>
        <w:t>类似成功案例的业绩（投标人同类项目实施情况一览表、合同扫描件等，格式可自行调整）</w:t>
      </w:r>
    </w:p>
    <w:p w14:paraId="47577B66">
      <w:pPr>
        <w:shd w:val="clear"/>
        <w:spacing w:line="360" w:lineRule="exact"/>
        <w:rPr>
          <w:rFonts w:hint="eastAsia" w:ascii="宋体" w:hAnsi="宋体" w:eastAsia="宋体" w:cs="宋体"/>
          <w:color w:val="auto"/>
          <w:highlight w:val="none"/>
        </w:rPr>
      </w:pP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5"/>
        <w:gridCol w:w="1985"/>
        <w:gridCol w:w="1701"/>
        <w:gridCol w:w="1134"/>
        <w:gridCol w:w="1559"/>
        <w:gridCol w:w="1806"/>
      </w:tblGrid>
      <w:tr w14:paraId="64310A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center"/>
          </w:tcPr>
          <w:p w14:paraId="7FAC49B0">
            <w:pPr>
              <w:shd w:val="clea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54BFDAA0">
            <w:pPr>
              <w:shd w:val="clea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采购单位名称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4912C43">
            <w:pPr>
              <w:shd w:val="clea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服务或项目名称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AC5404D">
            <w:pPr>
              <w:shd w:val="clea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6C0437A">
            <w:pPr>
              <w:shd w:val="clea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合同金额</w:t>
            </w:r>
          </w:p>
        </w:tc>
        <w:tc>
          <w:tcPr>
            <w:tcW w:w="1806" w:type="dxa"/>
            <w:tcBorders>
              <w:top w:val="single" w:color="auto" w:sz="4" w:space="0"/>
              <w:left w:val="single" w:color="auto" w:sz="4" w:space="0"/>
              <w:right w:val="single" w:color="auto" w:sz="4" w:space="0"/>
            </w:tcBorders>
            <w:noWrap w:val="0"/>
            <w:vAlign w:val="center"/>
          </w:tcPr>
          <w:p w14:paraId="2E7469F0">
            <w:pPr>
              <w:shd w:val="clear"/>
              <w:snapToGrid w:val="0"/>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采购单位联系人及联系电话</w:t>
            </w:r>
          </w:p>
        </w:tc>
      </w:tr>
      <w:tr w14:paraId="302DE3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7ABC85BE">
            <w:pPr>
              <w:shd w:val="clear"/>
              <w:snapToGrid w:val="0"/>
              <w:spacing w:line="360" w:lineRule="exact"/>
              <w:jc w:val="lef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6ABDCF2D">
            <w:pPr>
              <w:shd w:val="clear"/>
              <w:snapToGrid w:val="0"/>
              <w:spacing w:line="360" w:lineRule="exact"/>
              <w:jc w:val="lef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ECF4957">
            <w:pPr>
              <w:shd w:val="clear"/>
              <w:snapToGrid w:val="0"/>
              <w:spacing w:line="360" w:lineRule="exact"/>
              <w:jc w:val="left"/>
              <w:rPr>
                <w:rFonts w:hint="eastAsia" w:ascii="宋体" w:hAnsi="宋体" w:eastAsia="宋体" w:cs="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64A07D5">
            <w:pPr>
              <w:shd w:val="clear"/>
              <w:snapToGrid w:val="0"/>
              <w:spacing w:line="360" w:lineRule="exact"/>
              <w:jc w:val="lef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27793E1">
            <w:pPr>
              <w:shd w:val="clear"/>
              <w:snapToGrid w:val="0"/>
              <w:spacing w:line="360" w:lineRule="exact"/>
              <w:jc w:val="left"/>
              <w:rPr>
                <w:rFonts w:hint="eastAsia" w:ascii="宋体" w:hAnsi="宋体" w:eastAsia="宋体" w:cs="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6EF944C5">
            <w:pPr>
              <w:shd w:val="clear"/>
              <w:snapToGrid w:val="0"/>
              <w:spacing w:line="360" w:lineRule="exact"/>
              <w:jc w:val="left"/>
              <w:rPr>
                <w:rFonts w:hint="eastAsia" w:ascii="宋体" w:hAnsi="宋体" w:eastAsia="宋体" w:cs="宋体"/>
                <w:color w:val="auto"/>
                <w:szCs w:val="21"/>
                <w:highlight w:val="none"/>
              </w:rPr>
            </w:pPr>
          </w:p>
        </w:tc>
      </w:tr>
      <w:tr w14:paraId="1749A0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08A353E1">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5553CEFB">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B5086C9">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FD61353">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752990F">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199C9F51">
            <w:pPr>
              <w:shd w:val="clear"/>
              <w:snapToGrid w:val="0"/>
              <w:spacing w:before="50" w:after="156" w:afterLines="50" w:line="360" w:lineRule="exact"/>
              <w:jc w:val="left"/>
              <w:rPr>
                <w:rFonts w:hint="eastAsia" w:ascii="宋体" w:hAnsi="宋体" w:eastAsia="宋体" w:cs="宋体"/>
                <w:color w:val="auto"/>
                <w:szCs w:val="21"/>
                <w:highlight w:val="none"/>
              </w:rPr>
            </w:pPr>
          </w:p>
        </w:tc>
      </w:tr>
      <w:tr w14:paraId="01395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278F88B8">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524F61A2">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894DFFA">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AC5D87F">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6DA9C76">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2EB780FF">
            <w:pPr>
              <w:shd w:val="clear"/>
              <w:snapToGrid w:val="0"/>
              <w:spacing w:before="50" w:after="156" w:afterLines="50" w:line="360" w:lineRule="exact"/>
              <w:jc w:val="left"/>
              <w:rPr>
                <w:rFonts w:hint="eastAsia" w:ascii="宋体" w:hAnsi="宋体" w:eastAsia="宋体" w:cs="宋体"/>
                <w:color w:val="auto"/>
                <w:szCs w:val="21"/>
                <w:highlight w:val="none"/>
              </w:rPr>
            </w:pPr>
          </w:p>
        </w:tc>
      </w:tr>
      <w:tr w14:paraId="48096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10B29184">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0E9D7F70">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A7B73B3">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0E81F2E">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E1A2549">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48E9ED9E">
            <w:pPr>
              <w:shd w:val="clear"/>
              <w:snapToGrid w:val="0"/>
              <w:spacing w:before="50" w:after="156" w:afterLines="50" w:line="360" w:lineRule="exact"/>
              <w:jc w:val="left"/>
              <w:rPr>
                <w:rFonts w:hint="eastAsia" w:ascii="宋体" w:hAnsi="宋体" w:eastAsia="宋体" w:cs="宋体"/>
                <w:color w:val="auto"/>
                <w:szCs w:val="21"/>
                <w:highlight w:val="none"/>
              </w:rPr>
            </w:pPr>
          </w:p>
        </w:tc>
      </w:tr>
      <w:tr w14:paraId="05C9D1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15" w:type="dxa"/>
            <w:tcBorders>
              <w:top w:val="single" w:color="auto" w:sz="4" w:space="0"/>
              <w:left w:val="single" w:color="auto" w:sz="4" w:space="0"/>
              <w:bottom w:val="single" w:color="auto" w:sz="4" w:space="0"/>
              <w:right w:val="single" w:color="auto" w:sz="4" w:space="0"/>
            </w:tcBorders>
            <w:noWrap w:val="0"/>
            <w:vAlign w:val="top"/>
          </w:tcPr>
          <w:p w14:paraId="5713B685">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top"/>
          </w:tcPr>
          <w:p w14:paraId="30DA1344">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753FA6F">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D991A0A">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ED3CD0A">
            <w:pPr>
              <w:shd w:val="clear"/>
              <w:snapToGrid w:val="0"/>
              <w:spacing w:before="50" w:after="156" w:afterLines="50" w:line="360" w:lineRule="exact"/>
              <w:jc w:val="left"/>
              <w:rPr>
                <w:rFonts w:hint="eastAsia" w:ascii="宋体" w:hAnsi="宋体" w:eastAsia="宋体" w:cs="宋体"/>
                <w:color w:val="auto"/>
                <w:szCs w:val="21"/>
                <w:highlight w:val="none"/>
              </w:rPr>
            </w:pPr>
          </w:p>
        </w:tc>
        <w:tc>
          <w:tcPr>
            <w:tcW w:w="1806" w:type="dxa"/>
            <w:tcBorders>
              <w:top w:val="single" w:color="auto" w:sz="4" w:space="0"/>
              <w:left w:val="single" w:color="auto" w:sz="4" w:space="0"/>
              <w:bottom w:val="single" w:color="auto" w:sz="4" w:space="0"/>
              <w:right w:val="single" w:color="auto" w:sz="4" w:space="0"/>
            </w:tcBorders>
            <w:noWrap w:val="0"/>
            <w:vAlign w:val="top"/>
          </w:tcPr>
          <w:p w14:paraId="735D5D91">
            <w:pPr>
              <w:shd w:val="clear"/>
              <w:snapToGrid w:val="0"/>
              <w:spacing w:before="50" w:after="156" w:afterLines="50" w:line="360" w:lineRule="exact"/>
              <w:jc w:val="left"/>
              <w:rPr>
                <w:rFonts w:hint="eastAsia" w:ascii="宋体" w:hAnsi="宋体" w:eastAsia="宋体" w:cs="宋体"/>
                <w:color w:val="auto"/>
                <w:szCs w:val="21"/>
                <w:highlight w:val="none"/>
              </w:rPr>
            </w:pPr>
          </w:p>
        </w:tc>
      </w:tr>
    </w:tbl>
    <w:p w14:paraId="1E8EFF50">
      <w:pPr>
        <w:pStyle w:val="15"/>
        <w:shd w:val="clear"/>
        <w:snapToGrid w:val="0"/>
        <w:spacing w:line="360" w:lineRule="exact"/>
        <w:rPr>
          <w:rFonts w:hint="eastAsia" w:ascii="宋体" w:hAnsi="宋体" w:eastAsia="宋体" w:cs="宋体"/>
          <w:color w:val="auto"/>
          <w:sz w:val="21"/>
          <w:szCs w:val="21"/>
          <w:highlight w:val="none"/>
        </w:rPr>
      </w:pPr>
    </w:p>
    <w:p w14:paraId="758B6129">
      <w:pPr>
        <w:pStyle w:val="15"/>
        <w:shd w:val="clear"/>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法定代表人(负责人)签字或盖章：</w:t>
      </w:r>
      <w:r>
        <w:rPr>
          <w:rFonts w:hint="eastAsia" w:ascii="宋体" w:hAnsi="宋体" w:eastAsia="宋体" w:cs="宋体"/>
          <w:color w:val="auto"/>
          <w:sz w:val="21"/>
          <w:szCs w:val="21"/>
          <w:highlight w:val="none"/>
          <w:u w:val="single"/>
        </w:rPr>
        <w:t>　　　    　　</w:t>
      </w:r>
    </w:p>
    <w:p w14:paraId="09BE800E">
      <w:pPr>
        <w:shd w:val="clear"/>
        <w:snapToGrid w:val="0"/>
        <w:spacing w:before="50"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highlight w:val="none"/>
        </w:rPr>
        <w:t>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    月  日</w:t>
      </w:r>
    </w:p>
    <w:p w14:paraId="4F6E490C">
      <w:pPr>
        <w:shd w:val="clear"/>
        <w:rPr>
          <w:rFonts w:hint="eastAsia" w:ascii="宋体" w:hAnsi="宋体" w:eastAsia="宋体" w:cs="宋体"/>
          <w:color w:val="auto"/>
          <w:highlight w:val="none"/>
        </w:rPr>
      </w:pPr>
    </w:p>
    <w:p w14:paraId="4C5C1EDD">
      <w:pPr>
        <w:shd w:val="clear"/>
        <w:rPr>
          <w:rFonts w:hint="eastAsia" w:ascii="宋体" w:hAnsi="宋体" w:eastAsia="宋体" w:cs="宋体"/>
          <w:color w:val="auto"/>
          <w:highlight w:val="none"/>
        </w:rPr>
      </w:pPr>
    </w:p>
    <w:p w14:paraId="7746E08E">
      <w:pPr>
        <w:shd w:val="clear"/>
        <w:spacing w:line="300" w:lineRule="exact"/>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rPr>
        <w:t>（9）其他特殊资质证书</w:t>
      </w:r>
    </w:p>
    <w:p w14:paraId="00A2975D">
      <w:pPr>
        <w:shd w:val="clear"/>
        <w:spacing w:line="300" w:lineRule="exact"/>
        <w:ind w:firstLine="420"/>
        <w:rPr>
          <w:rFonts w:hint="eastAsia" w:ascii="宋体" w:hAnsi="宋体" w:eastAsia="宋体" w:cs="宋体"/>
          <w:color w:val="auto"/>
          <w:highlight w:val="none"/>
        </w:rPr>
      </w:pPr>
    </w:p>
    <w:p w14:paraId="3180F81F">
      <w:pPr>
        <w:shd w:val="clear"/>
        <w:spacing w:line="300" w:lineRule="exact"/>
        <w:rPr>
          <w:rFonts w:hint="eastAsia" w:ascii="宋体" w:hAnsi="宋体" w:eastAsia="宋体" w:cs="宋体"/>
          <w:color w:val="auto"/>
          <w:highlight w:val="none"/>
        </w:rPr>
      </w:pPr>
    </w:p>
    <w:p w14:paraId="4041D0EF">
      <w:pPr>
        <w:shd w:val="clear"/>
        <w:spacing w:line="300" w:lineRule="exact"/>
        <w:ind w:firstLine="405"/>
        <w:rPr>
          <w:rFonts w:hint="eastAsia" w:ascii="宋体" w:hAnsi="宋体" w:eastAsia="宋体" w:cs="宋体"/>
          <w:color w:val="auto"/>
          <w:highlight w:val="none"/>
        </w:rPr>
      </w:pPr>
      <w:r>
        <w:rPr>
          <w:rFonts w:hint="eastAsia" w:ascii="宋体" w:hAnsi="宋体" w:eastAsia="宋体" w:cs="宋体"/>
          <w:color w:val="auto"/>
          <w:highlight w:val="none"/>
        </w:rPr>
        <w:t>（10）投标人质量管理和质量保证体系等方面的认证证书</w:t>
      </w:r>
    </w:p>
    <w:p w14:paraId="7D27E0EC">
      <w:pPr>
        <w:shd w:val="clear"/>
        <w:spacing w:line="300" w:lineRule="exact"/>
        <w:ind w:firstLine="405"/>
        <w:rPr>
          <w:rFonts w:hint="eastAsia" w:ascii="宋体" w:hAnsi="宋体" w:eastAsia="宋体" w:cs="宋体"/>
          <w:color w:val="auto"/>
          <w:highlight w:val="none"/>
        </w:rPr>
      </w:pPr>
    </w:p>
    <w:p w14:paraId="0E523AAF">
      <w:pPr>
        <w:shd w:val="clear"/>
        <w:spacing w:line="300" w:lineRule="exact"/>
        <w:rPr>
          <w:rFonts w:hint="eastAsia" w:ascii="宋体" w:hAnsi="宋体" w:eastAsia="宋体" w:cs="宋体"/>
          <w:color w:val="auto"/>
          <w:highlight w:val="none"/>
        </w:rPr>
      </w:pPr>
    </w:p>
    <w:p w14:paraId="1F130207">
      <w:pPr>
        <w:shd w:val="clear"/>
        <w:spacing w:line="300" w:lineRule="exact"/>
        <w:ind w:firstLine="405"/>
        <w:rPr>
          <w:rFonts w:hint="eastAsia" w:ascii="宋体" w:hAnsi="宋体" w:eastAsia="宋体" w:cs="宋体"/>
          <w:color w:val="auto"/>
          <w:highlight w:val="none"/>
        </w:rPr>
      </w:pPr>
      <w:r>
        <w:rPr>
          <w:rFonts w:hint="eastAsia" w:ascii="宋体" w:hAnsi="宋体" w:eastAsia="宋体" w:cs="宋体"/>
          <w:color w:val="auto"/>
          <w:highlight w:val="none"/>
        </w:rPr>
        <w:t>（11）投标人认为可以证明其能力或业绩的其他材料（格式自拟）</w:t>
      </w:r>
    </w:p>
    <w:p w14:paraId="13F8A2E8">
      <w:pPr>
        <w:shd w:val="clear"/>
        <w:spacing w:line="300" w:lineRule="exact"/>
        <w:ind w:firstLine="405"/>
        <w:rPr>
          <w:rFonts w:hint="eastAsia" w:ascii="宋体" w:hAnsi="宋体" w:eastAsia="宋体" w:cs="宋体"/>
          <w:color w:val="auto"/>
          <w:highlight w:val="none"/>
        </w:rPr>
      </w:pPr>
    </w:p>
    <w:p w14:paraId="5FF0FE50">
      <w:pPr>
        <w:shd w:val="clear"/>
        <w:spacing w:line="300" w:lineRule="exact"/>
        <w:rPr>
          <w:rFonts w:hint="eastAsia" w:ascii="宋体" w:hAnsi="宋体" w:eastAsia="宋体" w:cs="宋体"/>
          <w:color w:val="auto"/>
          <w:highlight w:val="none"/>
        </w:rPr>
      </w:pPr>
    </w:p>
    <w:p w14:paraId="1BEC2C7F">
      <w:pPr>
        <w:shd w:val="clear"/>
        <w:spacing w:line="300" w:lineRule="exact"/>
        <w:ind w:firstLine="435"/>
        <w:rPr>
          <w:rFonts w:hint="eastAsia" w:ascii="宋体" w:hAnsi="宋体" w:eastAsia="宋体" w:cs="宋体"/>
          <w:color w:val="auto"/>
          <w:szCs w:val="21"/>
          <w:highlight w:val="none"/>
        </w:rPr>
      </w:pPr>
      <w:r>
        <w:rPr>
          <w:rFonts w:hint="eastAsia" w:ascii="宋体" w:hAnsi="宋体" w:eastAsia="宋体" w:cs="宋体"/>
          <w:color w:val="auto"/>
          <w:highlight w:val="none"/>
        </w:rPr>
        <w:t>（12）</w:t>
      </w:r>
      <w:r>
        <w:rPr>
          <w:rFonts w:hint="eastAsia" w:ascii="宋体" w:hAnsi="宋体" w:eastAsia="宋体" w:cs="宋体"/>
          <w:color w:val="auto"/>
          <w:szCs w:val="21"/>
          <w:highlight w:val="none"/>
        </w:rPr>
        <w:t>投标人关于服务升级以及本单位债务纠纷、违法违规记录等方面的情况（内容见投标声明书）</w:t>
      </w:r>
    </w:p>
    <w:p w14:paraId="462D1036">
      <w:pPr>
        <w:shd w:val="clear"/>
        <w:spacing w:line="300" w:lineRule="exact"/>
        <w:ind w:firstLine="435"/>
        <w:rPr>
          <w:rFonts w:hint="eastAsia" w:ascii="宋体" w:hAnsi="宋体" w:eastAsia="宋体" w:cs="宋体"/>
          <w:color w:val="auto"/>
          <w:highlight w:val="none"/>
        </w:rPr>
      </w:pPr>
    </w:p>
    <w:p w14:paraId="03369933">
      <w:pPr>
        <w:shd w:val="clear"/>
        <w:snapToGrid w:val="0"/>
        <w:spacing w:line="300" w:lineRule="exact"/>
        <w:ind w:firstLine="411" w:firstLineChars="196"/>
        <w:jc w:val="left"/>
        <w:rPr>
          <w:rFonts w:hint="eastAsia" w:ascii="宋体" w:hAnsi="宋体" w:eastAsia="宋体" w:cs="宋体"/>
          <w:color w:val="auto"/>
          <w:szCs w:val="21"/>
          <w:highlight w:val="none"/>
        </w:rPr>
      </w:pPr>
    </w:p>
    <w:p w14:paraId="6CDB256C">
      <w:pPr>
        <w:shd w:val="clear"/>
        <w:spacing w:line="30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（13）投标人情况介绍（主要服务、技术力量、企业规模、经营业绩等，格式自拟）</w:t>
      </w:r>
    </w:p>
    <w:p w14:paraId="40AA5EB1">
      <w:pPr>
        <w:shd w:val="clear"/>
        <w:spacing w:line="300" w:lineRule="exact"/>
        <w:ind w:firstLine="435"/>
        <w:rPr>
          <w:rFonts w:hint="eastAsia" w:ascii="宋体" w:hAnsi="宋体" w:eastAsia="宋体" w:cs="宋体"/>
          <w:color w:val="auto"/>
          <w:highlight w:val="none"/>
        </w:rPr>
      </w:pPr>
    </w:p>
    <w:p w14:paraId="4AF523AA">
      <w:pPr>
        <w:shd w:val="clear"/>
        <w:spacing w:line="300" w:lineRule="exact"/>
        <w:ind w:firstLine="435"/>
        <w:rPr>
          <w:rFonts w:hint="eastAsia" w:ascii="宋体" w:hAnsi="宋体" w:eastAsia="宋体" w:cs="宋体"/>
          <w:color w:val="auto"/>
          <w:highlight w:val="none"/>
        </w:rPr>
      </w:pPr>
    </w:p>
    <w:p w14:paraId="2ADFFA8B">
      <w:pPr>
        <w:shd w:val="clear"/>
        <w:snapToGrid w:val="0"/>
        <w:spacing w:line="30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（14）投标人认为需要提供的其他材料。</w:t>
      </w:r>
    </w:p>
    <w:p w14:paraId="2CE952C7">
      <w:pPr>
        <w:shd w:val="clear"/>
        <w:snapToGrid w:val="0"/>
        <w:spacing w:line="30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（15）中小企业声明函。</w:t>
      </w:r>
    </w:p>
    <w:p w14:paraId="7A0141CE">
      <w:pPr>
        <w:pStyle w:val="27"/>
        <w:shd w:val="clear"/>
        <w:spacing w:line="440" w:lineRule="exact"/>
        <w:jc w:val="cente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中小企业声明函（</w:t>
      </w:r>
      <w:r>
        <w:rPr>
          <w:rFonts w:hint="eastAsia" w:ascii="宋体" w:hAnsi="宋体" w:eastAsia="宋体" w:cs="宋体"/>
          <w:b/>
          <w:bCs/>
          <w:color w:val="auto"/>
          <w:sz w:val="30"/>
          <w:szCs w:val="30"/>
          <w:highlight w:val="none"/>
          <w:lang w:eastAsia="zh-CN"/>
        </w:rPr>
        <w:t>服务</w:t>
      </w:r>
      <w:r>
        <w:rPr>
          <w:rFonts w:hint="eastAsia" w:ascii="宋体" w:hAnsi="宋体" w:eastAsia="宋体" w:cs="宋体"/>
          <w:b/>
          <w:bCs/>
          <w:color w:val="auto"/>
          <w:sz w:val="30"/>
          <w:szCs w:val="30"/>
          <w:highlight w:val="none"/>
        </w:rPr>
        <w:t>）</w:t>
      </w:r>
    </w:p>
    <w:p w14:paraId="265E62DF">
      <w:pPr>
        <w:shd w:val="clear"/>
        <w:spacing w:line="440" w:lineRule="exact"/>
        <w:rPr>
          <w:rFonts w:hint="eastAsia" w:ascii="宋体" w:hAnsi="宋体" w:eastAsia="宋体" w:cs="宋体"/>
          <w:color w:val="auto"/>
          <w:highlight w:val="none"/>
        </w:rPr>
      </w:pPr>
    </w:p>
    <w:p w14:paraId="0860DEDA">
      <w:pPr>
        <w:pStyle w:val="27"/>
        <w:shd w:val="clear"/>
        <w:spacing w:line="440" w:lineRule="exact"/>
        <w:ind w:firstLine="525" w:firstLineChars="25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本公司（联合体）郑重声明，根据《政府采购促进中小企业发展管理办法》（财库﹝2020﹞46 号）的规定，本公司（联合体）参加</w:t>
      </w:r>
      <w:r>
        <w:rPr>
          <w:rFonts w:hint="eastAsia" w:ascii="宋体" w:hAnsi="宋体" w:eastAsia="宋体" w:cs="宋体"/>
          <w:color w:val="auto"/>
          <w:highlight w:val="none"/>
          <w:u w:val="single"/>
          <w:lang w:val="en-US" w:eastAsia="zh-CN"/>
        </w:rPr>
        <w:t>广西壮族自治区妇幼保健院</w:t>
      </w:r>
      <w:r>
        <w:rPr>
          <w:rFonts w:hint="eastAsia" w:ascii="宋体" w:hAnsi="宋体" w:eastAsia="宋体" w:cs="宋体"/>
          <w:color w:val="auto"/>
          <w:highlight w:val="none"/>
          <w:lang w:val="en-US" w:eastAsia="zh-CN"/>
        </w:rPr>
        <w:t>的</w:t>
      </w:r>
      <w:r>
        <w:rPr>
          <w:rFonts w:hint="eastAsia" w:hAnsi="宋体" w:cs="宋体"/>
          <w:color w:val="auto"/>
          <w:highlight w:val="none"/>
          <w:u w:val="single"/>
          <w:lang w:val="en-US" w:eastAsia="zh-CN"/>
        </w:rPr>
        <w:t>广西壮族自治区妇幼保健院医疗辅助服务项目（重）</w:t>
      </w:r>
      <w:r>
        <w:rPr>
          <w:rFonts w:hint="eastAsia" w:ascii="宋体" w:hAnsi="宋体" w:eastAsia="宋体" w:cs="宋体"/>
          <w:color w:val="auto"/>
          <w:highlight w:val="none"/>
          <w:lang w:val="en-US" w:eastAsia="zh-CN"/>
        </w:rPr>
        <w:t>采购活动，服务全部由符合政策要求的中小企业承接。相关企业（含联合体中的中小企业、签订分包意向协议的中小企业）的具体情况如下：</w:t>
      </w:r>
    </w:p>
    <w:p w14:paraId="5E0039D5">
      <w:pPr>
        <w:pStyle w:val="27"/>
        <w:shd w:val="clear"/>
        <w:spacing w:line="4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hAnsi="宋体" w:cs="宋体"/>
          <w:color w:val="auto"/>
          <w:highlight w:val="none"/>
          <w:u w:val="single"/>
          <w:lang w:val="en-US" w:eastAsia="zh-CN"/>
        </w:rPr>
        <w:t>广西壮族自治区妇幼保健院医疗辅助服务项目</w:t>
      </w:r>
      <w:r>
        <w:rPr>
          <w:rFonts w:hint="eastAsia" w:ascii="宋体" w:hAnsi="宋体" w:eastAsia="宋体" w:cs="宋体"/>
          <w:color w:val="auto"/>
          <w:highlight w:val="none"/>
          <w:lang w:val="en-US" w:eastAsia="zh-CN"/>
        </w:rPr>
        <w:t>，属于</w:t>
      </w:r>
      <w:r>
        <w:rPr>
          <w:rFonts w:hint="eastAsia" w:ascii="宋体" w:hAnsi="宋体" w:eastAsia="宋体" w:cs="宋体"/>
          <w:color w:val="auto"/>
          <w:highlight w:val="none"/>
          <w:u w:val="single"/>
          <w:lang w:val="en-US" w:eastAsia="zh-CN"/>
        </w:rPr>
        <w:t>租赁和商务服务业</w:t>
      </w:r>
      <w:r>
        <w:rPr>
          <w:rFonts w:hint="eastAsia" w:ascii="宋体" w:hAnsi="宋体" w:eastAsia="宋体" w:cs="宋体"/>
          <w:color w:val="auto"/>
          <w:highlight w:val="none"/>
          <w:lang w:val="en-US" w:eastAsia="zh-CN"/>
        </w:rPr>
        <w:t>；承接企业为</w:t>
      </w:r>
      <w:r>
        <w:rPr>
          <w:rFonts w:hint="eastAsia" w:ascii="宋体" w:hAnsi="宋体" w:eastAsia="宋体" w:cs="宋体"/>
          <w:color w:val="auto"/>
          <w:highlight w:val="none"/>
          <w:u w:val="single"/>
          <w:lang w:val="en-US" w:eastAsia="zh-CN"/>
        </w:rPr>
        <w:t>（企业名称）</w:t>
      </w:r>
      <w:r>
        <w:rPr>
          <w:rFonts w:hint="eastAsia" w:ascii="宋体" w:hAnsi="宋体" w:eastAsia="宋体" w:cs="宋体"/>
          <w:color w:val="auto"/>
          <w:highlight w:val="none"/>
          <w:lang w:val="en-US" w:eastAsia="zh-CN"/>
        </w:rPr>
        <w:t>，从业人员</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人，营业收入为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万元，资产总额为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万元，属于</w:t>
      </w:r>
      <w:r>
        <w:rPr>
          <w:rFonts w:hint="eastAsia" w:ascii="宋体" w:hAnsi="宋体" w:eastAsia="宋体" w:cs="宋体"/>
          <w:color w:val="auto"/>
          <w:highlight w:val="none"/>
          <w:u w:val="single"/>
          <w:lang w:val="en-US" w:eastAsia="zh-CN"/>
        </w:rPr>
        <w:t>（中型企业、小型企业、微型企业）</w:t>
      </w:r>
      <w:r>
        <w:rPr>
          <w:rFonts w:hint="eastAsia" w:ascii="宋体" w:hAnsi="宋体" w:eastAsia="宋体" w:cs="宋体"/>
          <w:color w:val="auto"/>
          <w:highlight w:val="none"/>
          <w:lang w:val="en-US" w:eastAsia="zh-CN"/>
        </w:rPr>
        <w:t xml:space="preserve">； </w:t>
      </w:r>
    </w:p>
    <w:p w14:paraId="14695AC2">
      <w:pPr>
        <w:pStyle w:val="27"/>
        <w:shd w:val="clear"/>
        <w:spacing w:line="4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u w:val="single"/>
          <w:lang w:val="en-US" w:eastAsia="zh-CN"/>
        </w:rPr>
        <w:t xml:space="preserve">（标的名称） </w:t>
      </w:r>
      <w:r>
        <w:rPr>
          <w:rFonts w:hint="eastAsia" w:ascii="宋体" w:hAnsi="宋体" w:eastAsia="宋体" w:cs="宋体"/>
          <w:color w:val="auto"/>
          <w:highlight w:val="none"/>
          <w:lang w:val="en-US" w:eastAsia="zh-CN"/>
        </w:rPr>
        <w:t>，属于</w:t>
      </w:r>
      <w:r>
        <w:rPr>
          <w:rFonts w:hint="eastAsia" w:ascii="宋体" w:hAnsi="宋体" w:eastAsia="宋体" w:cs="宋体"/>
          <w:color w:val="auto"/>
          <w:highlight w:val="none"/>
          <w:u w:val="single"/>
          <w:lang w:val="en-US" w:eastAsia="zh-CN"/>
        </w:rPr>
        <w:t>（采购文件中明确的所属行业）</w:t>
      </w:r>
      <w:r>
        <w:rPr>
          <w:rFonts w:hint="eastAsia" w:ascii="宋体" w:hAnsi="宋体" w:eastAsia="宋体" w:cs="宋体"/>
          <w:color w:val="auto"/>
          <w:highlight w:val="none"/>
          <w:lang w:val="en-US" w:eastAsia="zh-CN"/>
        </w:rPr>
        <w:t>；承接企业为（企业名称），从业人员</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人，营业收入为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万元，资产总额为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万元，属于</w:t>
      </w:r>
      <w:r>
        <w:rPr>
          <w:rFonts w:hint="eastAsia" w:ascii="宋体" w:hAnsi="宋体" w:eastAsia="宋体" w:cs="宋体"/>
          <w:color w:val="auto"/>
          <w:highlight w:val="none"/>
          <w:u w:val="single"/>
          <w:lang w:val="en-US" w:eastAsia="zh-CN"/>
        </w:rPr>
        <w:t>（中型企业、小型企业、微型企业）</w:t>
      </w:r>
      <w:r>
        <w:rPr>
          <w:rFonts w:hint="eastAsia" w:ascii="宋体" w:hAnsi="宋体" w:eastAsia="宋体" w:cs="宋体"/>
          <w:color w:val="auto"/>
          <w:highlight w:val="none"/>
          <w:lang w:val="en-US" w:eastAsia="zh-CN"/>
        </w:rPr>
        <w:t>；</w:t>
      </w:r>
    </w:p>
    <w:p w14:paraId="3A782997">
      <w:pPr>
        <w:pStyle w:val="27"/>
        <w:shd w:val="clear"/>
        <w:spacing w:line="4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p w14:paraId="4574625C">
      <w:pPr>
        <w:pStyle w:val="27"/>
        <w:shd w:val="clear"/>
        <w:spacing w:line="4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以上企业，不属于大企业的分支机构，不存在控股股东为大企业的情形，也不存在与大企业的负责人为同一人的情形。</w:t>
      </w:r>
    </w:p>
    <w:p w14:paraId="503111C4">
      <w:pPr>
        <w:pStyle w:val="27"/>
        <w:shd w:val="clear"/>
        <w:spacing w:line="4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本企业对上述声明内容的真实性负责。如有虚假，将依法承担相应责任。</w:t>
      </w:r>
    </w:p>
    <w:p w14:paraId="4E02E8FF">
      <w:pPr>
        <w:pStyle w:val="27"/>
        <w:shd w:val="clear"/>
        <w:spacing w:line="440" w:lineRule="exact"/>
        <w:ind w:firstLine="420" w:firstLineChars="200"/>
        <w:jc w:val="left"/>
        <w:rPr>
          <w:rFonts w:hint="eastAsia" w:ascii="宋体" w:hAnsi="宋体" w:eastAsia="宋体" w:cs="宋体"/>
          <w:color w:val="auto"/>
          <w:highlight w:val="none"/>
          <w:lang w:val="en-US" w:eastAsia="zh-CN"/>
        </w:rPr>
      </w:pPr>
    </w:p>
    <w:p w14:paraId="0D27BF2C">
      <w:pPr>
        <w:pStyle w:val="27"/>
        <w:shd w:val="clear"/>
        <w:spacing w:line="440" w:lineRule="exact"/>
        <w:ind w:firstLine="4620" w:firstLineChars="2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企业名称（盖章）：</w:t>
      </w:r>
    </w:p>
    <w:p w14:paraId="56FFAB92">
      <w:pPr>
        <w:pStyle w:val="27"/>
        <w:shd w:val="clear"/>
        <w:spacing w:line="440" w:lineRule="exact"/>
        <w:ind w:firstLine="4620" w:firstLineChars="2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日 期：</w:t>
      </w:r>
    </w:p>
    <w:p w14:paraId="0EDCFC82">
      <w:pPr>
        <w:shd w:val="clear"/>
        <w:snapToGrid w:val="0"/>
        <w:spacing w:line="380" w:lineRule="exact"/>
        <w:ind w:firstLine="411" w:firstLineChars="196"/>
        <w:jc w:val="left"/>
        <w:rPr>
          <w:rFonts w:hint="eastAsia" w:ascii="宋体" w:hAnsi="宋体" w:eastAsia="宋体" w:cs="宋体"/>
          <w:color w:val="auto"/>
          <w:szCs w:val="21"/>
          <w:highlight w:val="none"/>
        </w:rPr>
      </w:pPr>
    </w:p>
    <w:p w14:paraId="6F4CFF13">
      <w:pPr>
        <w:shd w:val="clear"/>
        <w:snapToGrid w:val="0"/>
        <w:spacing w:line="340" w:lineRule="exact"/>
        <w:ind w:firstLine="352" w:firstLineChars="196"/>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注：1、从业人员、营业收入、资产总额填报上一年度数据，无上一年度数据的新成立企业可不填报。</w:t>
      </w:r>
    </w:p>
    <w:p w14:paraId="0A9CF908">
      <w:pPr>
        <w:shd w:val="clear"/>
        <w:snapToGrid w:val="0"/>
        <w:spacing w:line="340" w:lineRule="exact"/>
        <w:ind w:firstLine="712" w:firstLineChars="396"/>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2、请根据自己的真实情况出具《中小企业声明函》。依法享受中小企业优惠政策的，采购人或者采购代理机构在公告中标结果时，同时公告其《中小企业声明函》，接受社会监督。</w:t>
      </w:r>
    </w:p>
    <w:p w14:paraId="35741950">
      <w:pPr>
        <w:shd w:val="clear"/>
        <w:snapToGrid w:val="0"/>
        <w:spacing w:line="340" w:lineRule="exact"/>
        <w:ind w:firstLine="712" w:firstLineChars="396"/>
        <w:jc w:val="left"/>
        <w:rPr>
          <w:rFonts w:hint="eastAsia" w:ascii="宋体" w:hAnsi="宋体" w:eastAsia="宋体" w:cs="宋体"/>
          <w:color w:val="auto"/>
          <w:szCs w:val="21"/>
          <w:highlight w:val="none"/>
        </w:rPr>
      </w:pPr>
      <w:r>
        <w:rPr>
          <w:rFonts w:hint="eastAsia" w:ascii="宋体" w:hAnsi="宋体" w:eastAsia="宋体" w:cs="宋体"/>
          <w:color w:val="auto"/>
          <w:sz w:val="18"/>
          <w:szCs w:val="18"/>
          <w:highlight w:val="none"/>
        </w:rPr>
        <w:t>3、在政府采购活动中，供应商提供的货物、工程或者服务符合下列情形的，享受《政府采购促进中小企业发展管理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政府采购促进中小企业发展管理办法》规定的中小企业扶持政策。以联合体形式参加政府采购活动，联合体各方均为中小企业的，联合体视同中小企业。其中，联合体各方均为小微企业的，联合体视同小微企业。</w:t>
      </w:r>
    </w:p>
    <w:p w14:paraId="50DC62E7">
      <w:pPr>
        <w:shd w:val="clear"/>
        <w:spacing w:line="528" w:lineRule="exact"/>
        <w:ind w:left="1871" w:leftChars="891" w:firstLine="525" w:firstLineChars="250"/>
        <w:rPr>
          <w:rFonts w:hint="eastAsia" w:ascii="宋体" w:hAnsi="宋体" w:eastAsia="宋体" w:cs="宋体"/>
          <w:color w:val="auto"/>
          <w:sz w:val="18"/>
          <w:szCs w:val="18"/>
          <w:highlight w:val="none"/>
        </w:rPr>
      </w:pPr>
      <w:r>
        <w:rPr>
          <w:rFonts w:hint="eastAsia" w:ascii="宋体" w:hAnsi="宋体" w:eastAsia="宋体" w:cs="宋体"/>
          <w:color w:val="auto"/>
          <w:highlight w:val="none"/>
        </w:rPr>
        <w:br w:type="page"/>
      </w:r>
    </w:p>
    <w:p w14:paraId="11673946">
      <w:pPr>
        <w:shd w:val="clear"/>
        <w:spacing w:line="528" w:lineRule="exact"/>
        <w:ind w:left="0" w:leftChars="0" w:firstLine="0" w:firstLineChars="0"/>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50"/>
        <w:tblW w:w="4996" w:type="pct"/>
        <w:jc w:val="center"/>
        <w:tblLayout w:type="autofit"/>
        <w:tblCellMar>
          <w:top w:w="0" w:type="dxa"/>
          <w:left w:w="108" w:type="dxa"/>
          <w:bottom w:w="0" w:type="dxa"/>
          <w:right w:w="108" w:type="dxa"/>
        </w:tblCellMar>
      </w:tblPr>
      <w:tblGrid>
        <w:gridCol w:w="2119"/>
        <w:gridCol w:w="1724"/>
        <w:gridCol w:w="1139"/>
        <w:gridCol w:w="2019"/>
        <w:gridCol w:w="1794"/>
        <w:gridCol w:w="1153"/>
      </w:tblGrid>
      <w:tr w14:paraId="3E5FBB32">
        <w:tblPrEx>
          <w:tblCellMar>
            <w:top w:w="0" w:type="dxa"/>
            <w:left w:w="108" w:type="dxa"/>
            <w:bottom w:w="0" w:type="dxa"/>
            <w:right w:w="108" w:type="dxa"/>
          </w:tblCellMar>
        </w:tblPrEx>
        <w:trPr>
          <w:trHeight w:val="369" w:hRule="atLeast"/>
          <w:jc w:val="center"/>
        </w:trPr>
        <w:tc>
          <w:tcPr>
            <w:tcW w:w="1065" w:type="pct"/>
            <w:tcBorders>
              <w:top w:val="single" w:color="auto" w:sz="4" w:space="0"/>
              <w:left w:val="single" w:color="auto" w:sz="4" w:space="0"/>
              <w:bottom w:val="single" w:color="auto" w:sz="4" w:space="0"/>
              <w:right w:val="single" w:color="auto" w:sz="4" w:space="0"/>
            </w:tcBorders>
            <w:noWrap w:val="0"/>
            <w:vAlign w:val="center"/>
          </w:tcPr>
          <w:p w14:paraId="2901B6D4">
            <w:pPr>
              <w:widowControl/>
              <w:shd w:val="clea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866" w:type="pct"/>
            <w:tcBorders>
              <w:top w:val="single" w:color="auto" w:sz="4" w:space="0"/>
              <w:left w:val="nil"/>
              <w:bottom w:val="single" w:color="auto" w:sz="4" w:space="0"/>
              <w:right w:val="single" w:color="auto" w:sz="4" w:space="0"/>
            </w:tcBorders>
            <w:noWrap w:val="0"/>
            <w:vAlign w:val="center"/>
          </w:tcPr>
          <w:p w14:paraId="149764A7">
            <w:pPr>
              <w:widowControl/>
              <w:shd w:val="clea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572" w:type="pct"/>
            <w:tcBorders>
              <w:top w:val="single" w:color="auto" w:sz="4" w:space="0"/>
              <w:left w:val="nil"/>
              <w:bottom w:val="single" w:color="auto" w:sz="4" w:space="0"/>
              <w:right w:val="single" w:color="auto" w:sz="4" w:space="0"/>
            </w:tcBorders>
            <w:noWrap w:val="0"/>
            <w:vAlign w:val="center"/>
          </w:tcPr>
          <w:p w14:paraId="335E1860">
            <w:pPr>
              <w:widowControl/>
              <w:shd w:val="clea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1014" w:type="pct"/>
            <w:tcBorders>
              <w:top w:val="single" w:color="auto" w:sz="4" w:space="0"/>
              <w:left w:val="nil"/>
              <w:bottom w:val="single" w:color="auto" w:sz="4" w:space="0"/>
              <w:right w:val="single" w:color="auto" w:sz="4" w:space="0"/>
            </w:tcBorders>
            <w:noWrap w:val="0"/>
            <w:vAlign w:val="center"/>
          </w:tcPr>
          <w:p w14:paraId="5EC4B739">
            <w:pPr>
              <w:widowControl/>
              <w:shd w:val="clea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901" w:type="pct"/>
            <w:tcBorders>
              <w:top w:val="single" w:color="auto" w:sz="4" w:space="0"/>
              <w:left w:val="nil"/>
              <w:bottom w:val="single" w:color="auto" w:sz="4" w:space="0"/>
              <w:right w:val="single" w:color="auto" w:sz="4" w:space="0"/>
            </w:tcBorders>
            <w:noWrap w:val="0"/>
            <w:vAlign w:val="center"/>
          </w:tcPr>
          <w:p w14:paraId="71AC27B1">
            <w:pPr>
              <w:widowControl/>
              <w:shd w:val="clea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579" w:type="pct"/>
            <w:tcBorders>
              <w:top w:val="single" w:color="auto" w:sz="4" w:space="0"/>
              <w:left w:val="nil"/>
              <w:bottom w:val="single" w:color="auto" w:sz="4" w:space="0"/>
              <w:right w:val="single" w:color="auto" w:sz="4" w:space="0"/>
            </w:tcBorders>
            <w:noWrap w:val="0"/>
            <w:vAlign w:val="center"/>
          </w:tcPr>
          <w:p w14:paraId="4C552EEE">
            <w:pPr>
              <w:widowControl/>
              <w:shd w:val="clear"/>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2A557453">
        <w:tblPrEx>
          <w:tblCellMar>
            <w:top w:w="0" w:type="dxa"/>
            <w:left w:w="108" w:type="dxa"/>
            <w:bottom w:w="0" w:type="dxa"/>
            <w:right w:w="108" w:type="dxa"/>
          </w:tblCellMar>
        </w:tblPrEx>
        <w:trPr>
          <w:trHeight w:val="369" w:hRule="atLeast"/>
          <w:jc w:val="center"/>
        </w:trPr>
        <w:tc>
          <w:tcPr>
            <w:tcW w:w="1065" w:type="pct"/>
            <w:vMerge w:val="restart"/>
            <w:tcBorders>
              <w:top w:val="nil"/>
              <w:left w:val="single" w:color="auto" w:sz="4" w:space="0"/>
              <w:bottom w:val="single" w:color="auto" w:sz="4" w:space="0"/>
              <w:right w:val="single" w:color="auto" w:sz="4" w:space="0"/>
            </w:tcBorders>
            <w:noWrap w:val="0"/>
            <w:vAlign w:val="center"/>
          </w:tcPr>
          <w:p w14:paraId="0BA38ACB">
            <w:pPr>
              <w:widowControl/>
              <w:shd w:val="clear"/>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866" w:type="pct"/>
            <w:tcBorders>
              <w:top w:val="nil"/>
              <w:left w:val="nil"/>
              <w:bottom w:val="single" w:color="auto" w:sz="4" w:space="0"/>
              <w:right w:val="single" w:color="auto" w:sz="4" w:space="0"/>
            </w:tcBorders>
            <w:noWrap w:val="0"/>
            <w:vAlign w:val="center"/>
          </w:tcPr>
          <w:p w14:paraId="1F651EE9">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572" w:type="pct"/>
            <w:tcBorders>
              <w:top w:val="nil"/>
              <w:left w:val="nil"/>
              <w:bottom w:val="single" w:color="auto" w:sz="4" w:space="0"/>
              <w:right w:val="single" w:color="auto" w:sz="4" w:space="0"/>
            </w:tcBorders>
            <w:noWrap w:val="0"/>
            <w:vAlign w:val="center"/>
          </w:tcPr>
          <w:p w14:paraId="48B9CCEB">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014" w:type="pct"/>
            <w:tcBorders>
              <w:top w:val="nil"/>
              <w:left w:val="nil"/>
              <w:bottom w:val="single" w:color="auto" w:sz="4" w:space="0"/>
              <w:right w:val="single" w:color="auto" w:sz="4" w:space="0"/>
            </w:tcBorders>
            <w:noWrap w:val="0"/>
            <w:vAlign w:val="center"/>
          </w:tcPr>
          <w:p w14:paraId="34E956A9">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01" w:type="pct"/>
            <w:tcBorders>
              <w:top w:val="nil"/>
              <w:left w:val="nil"/>
              <w:bottom w:val="single" w:color="auto" w:sz="4" w:space="0"/>
              <w:right w:val="single" w:color="auto" w:sz="4" w:space="0"/>
            </w:tcBorders>
            <w:noWrap w:val="0"/>
            <w:vAlign w:val="center"/>
          </w:tcPr>
          <w:p w14:paraId="649AA28C">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79" w:type="pct"/>
            <w:tcBorders>
              <w:top w:val="nil"/>
              <w:left w:val="nil"/>
              <w:bottom w:val="single" w:color="auto" w:sz="4" w:space="0"/>
              <w:right w:val="single" w:color="auto" w:sz="4" w:space="0"/>
            </w:tcBorders>
            <w:noWrap w:val="0"/>
            <w:vAlign w:val="center"/>
          </w:tcPr>
          <w:p w14:paraId="61D8CCD0">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98BA2E6">
        <w:tblPrEx>
          <w:tblCellMar>
            <w:top w:w="0" w:type="dxa"/>
            <w:left w:w="108" w:type="dxa"/>
            <w:bottom w:w="0" w:type="dxa"/>
            <w:right w:w="108" w:type="dxa"/>
          </w:tblCellMar>
        </w:tblPrEx>
        <w:trPr>
          <w:trHeight w:val="369" w:hRule="atLeast"/>
          <w:jc w:val="center"/>
        </w:trPr>
        <w:tc>
          <w:tcPr>
            <w:tcW w:w="1065" w:type="pct"/>
            <w:vMerge w:val="continue"/>
            <w:tcBorders>
              <w:top w:val="nil"/>
              <w:left w:val="single" w:color="auto" w:sz="4" w:space="0"/>
              <w:bottom w:val="single" w:color="auto" w:sz="4" w:space="0"/>
              <w:right w:val="single" w:color="auto" w:sz="4" w:space="0"/>
            </w:tcBorders>
            <w:noWrap w:val="0"/>
            <w:vAlign w:val="center"/>
          </w:tcPr>
          <w:p w14:paraId="764E68DC">
            <w:pPr>
              <w:widowControl/>
              <w:shd w:val="clear"/>
              <w:jc w:val="center"/>
              <w:rPr>
                <w:rFonts w:hint="eastAsia" w:ascii="宋体" w:hAnsi="宋体" w:eastAsia="宋体" w:cs="宋体"/>
                <w:b/>
                <w:bCs/>
                <w:color w:val="auto"/>
                <w:kern w:val="0"/>
                <w:sz w:val="21"/>
                <w:szCs w:val="21"/>
                <w:highlight w:val="none"/>
              </w:rPr>
            </w:pPr>
          </w:p>
        </w:tc>
        <w:tc>
          <w:tcPr>
            <w:tcW w:w="866" w:type="pct"/>
            <w:tcBorders>
              <w:top w:val="nil"/>
              <w:left w:val="nil"/>
              <w:bottom w:val="single" w:color="auto" w:sz="4" w:space="0"/>
              <w:right w:val="single" w:color="auto" w:sz="4" w:space="0"/>
            </w:tcBorders>
            <w:noWrap w:val="0"/>
            <w:vAlign w:val="center"/>
          </w:tcPr>
          <w:p w14:paraId="3623B2EE">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572" w:type="pct"/>
            <w:tcBorders>
              <w:top w:val="nil"/>
              <w:left w:val="nil"/>
              <w:bottom w:val="single" w:color="auto" w:sz="4" w:space="0"/>
              <w:right w:val="single" w:color="auto" w:sz="4" w:space="0"/>
            </w:tcBorders>
            <w:noWrap w:val="0"/>
            <w:vAlign w:val="center"/>
          </w:tcPr>
          <w:p w14:paraId="6C072BE9">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014" w:type="pct"/>
            <w:tcBorders>
              <w:top w:val="nil"/>
              <w:left w:val="nil"/>
              <w:bottom w:val="single" w:color="auto" w:sz="4" w:space="0"/>
              <w:right w:val="single" w:color="auto" w:sz="4" w:space="0"/>
            </w:tcBorders>
            <w:noWrap w:val="0"/>
            <w:vAlign w:val="center"/>
          </w:tcPr>
          <w:p w14:paraId="3E95C8FB">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901" w:type="pct"/>
            <w:tcBorders>
              <w:top w:val="nil"/>
              <w:left w:val="nil"/>
              <w:bottom w:val="single" w:color="auto" w:sz="4" w:space="0"/>
              <w:right w:val="single" w:color="auto" w:sz="4" w:space="0"/>
            </w:tcBorders>
            <w:noWrap w:val="0"/>
            <w:vAlign w:val="center"/>
          </w:tcPr>
          <w:p w14:paraId="01B1FD4F">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579" w:type="pct"/>
            <w:tcBorders>
              <w:top w:val="nil"/>
              <w:left w:val="nil"/>
              <w:bottom w:val="single" w:color="auto" w:sz="4" w:space="0"/>
              <w:right w:val="single" w:color="auto" w:sz="4" w:space="0"/>
            </w:tcBorders>
            <w:noWrap w:val="0"/>
            <w:vAlign w:val="center"/>
          </w:tcPr>
          <w:p w14:paraId="0C515044">
            <w:pPr>
              <w:widowControl/>
              <w:shd w:val="clea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bl>
    <w:p w14:paraId="2B5B3909">
      <w:pPr>
        <w:shd w:val="clear"/>
        <w:snapToGrid w:val="0"/>
        <w:spacing w:line="380" w:lineRule="exact"/>
        <w:ind w:firstLine="411" w:firstLineChars="196"/>
        <w:jc w:val="left"/>
        <w:rPr>
          <w:rFonts w:hint="eastAsia" w:ascii="宋体" w:hAnsi="宋体" w:eastAsia="宋体" w:cs="宋体"/>
          <w:color w:val="auto"/>
          <w:sz w:val="18"/>
          <w:szCs w:val="18"/>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59427FCE">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br w:type="page"/>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本国产品适用政府采购政策相关资料</w:t>
      </w:r>
      <w:r>
        <w:rPr>
          <w:rFonts w:hint="eastAsia" w:ascii="宋体" w:hAnsi="宋体" w:eastAsia="宋体" w:cs="宋体"/>
          <w:color w:val="auto"/>
          <w:highlight w:val="none"/>
          <w:lang w:eastAsia="zh-CN"/>
        </w:rPr>
        <w:t>。</w:t>
      </w:r>
    </w:p>
    <w:p w14:paraId="0988B9B4">
      <w:pPr>
        <w:keepNext w:val="0"/>
        <w:keepLines w:val="0"/>
        <w:pageBreakBefore w:val="0"/>
        <w:widowControl w:val="0"/>
        <w:shd w:val="clear"/>
        <w:kinsoku/>
        <w:wordWrap/>
        <w:overflowPunct/>
        <w:topLinePunct w:val="0"/>
        <w:autoSpaceDE/>
        <w:autoSpaceDN/>
        <w:bidi w:val="0"/>
        <w:adjustRightInd/>
        <w:snapToGrid/>
        <w:spacing w:before="313" w:beforeLines="100" w:after="313" w:afterLines="100" w:line="40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关于符合本国产品标准的声明函</w:t>
      </w:r>
    </w:p>
    <w:p w14:paraId="0D4A9F68">
      <w:pPr>
        <w:keepNext w:val="0"/>
        <w:keepLines w:val="0"/>
        <w:pageBreakBefore w:val="0"/>
        <w:widowControl w:val="0"/>
        <w:shd w:val="clear"/>
        <w:kinsoku/>
        <w:wordWrap/>
        <w:overflowPunct/>
        <w:topLinePunct w:val="0"/>
        <w:autoSpaceDE/>
        <w:autoSpaceDN/>
        <w:bidi w:val="0"/>
        <w:adjustRightInd/>
        <w:snapToGrid/>
        <w:spacing w:before="313" w:beforeLines="100" w:after="313" w:afterLines="100" w:line="400" w:lineRule="exact"/>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w:t>
      </w:r>
      <w:r>
        <w:rPr>
          <w:rFonts w:hint="eastAsia" w:ascii="宋体" w:hAnsi="宋体" w:eastAsia="宋体" w:cs="宋体"/>
          <w:b/>
          <w:bCs/>
          <w:color w:val="auto"/>
          <w:sz w:val="28"/>
          <w:szCs w:val="28"/>
          <w:highlight w:val="none"/>
          <w:u w:val="single"/>
        </w:rPr>
        <w:t>本项目属于服务采购项目，不适用</w:t>
      </w:r>
      <w:r>
        <w:rPr>
          <w:rFonts w:hint="eastAsia" w:ascii="宋体" w:hAnsi="宋体" w:eastAsia="宋体" w:cs="宋体"/>
          <w:b/>
          <w:bCs/>
          <w:color w:val="auto"/>
          <w:sz w:val="28"/>
          <w:szCs w:val="28"/>
          <w:highlight w:val="none"/>
          <w:u w:val="single"/>
          <w:lang w:val="en-US" w:eastAsia="zh-CN"/>
        </w:rPr>
        <w:t>此内容</w:t>
      </w:r>
      <w:r>
        <w:rPr>
          <w:rFonts w:hint="eastAsia" w:ascii="宋体" w:hAnsi="宋体" w:eastAsia="宋体" w:cs="宋体"/>
          <w:b/>
          <w:bCs/>
          <w:color w:val="auto"/>
          <w:sz w:val="28"/>
          <w:szCs w:val="28"/>
          <w:highlight w:val="none"/>
          <w:lang w:eastAsia="zh-CN"/>
        </w:rPr>
        <w:t>）</w:t>
      </w:r>
    </w:p>
    <w:p w14:paraId="5056449F">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3C827F30">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w:t>
      </w:r>
      <w:r>
        <w:rPr>
          <w:rFonts w:hint="eastAsia" w:ascii="宋体" w:hAnsi="宋体" w:eastAsia="宋体" w:cs="宋体"/>
          <w:color w:val="auto"/>
          <w:kern w:val="0"/>
          <w:sz w:val="21"/>
          <w:szCs w:val="21"/>
          <w:highlight w:val="none"/>
          <w:u w:val="single"/>
          <w:shd w:val="clear" w:color="auto" w:fill="FFFFFF"/>
          <w:lang w:val="en-US" w:eastAsia="zh-CN" w:bidi="ar-SA"/>
        </w:rPr>
        <w:t xml:space="preserve"> </w:t>
      </w:r>
      <w:r>
        <w:rPr>
          <w:rFonts w:hint="eastAsia" w:ascii="宋体" w:hAnsi="宋体" w:eastAsia="宋体" w:cs="宋体"/>
          <w:color w:val="auto"/>
          <w:kern w:val="2"/>
          <w:sz w:val="21"/>
          <w:szCs w:val="21"/>
          <w:highlight w:val="none"/>
          <w:u w:val="single"/>
          <w:shd w:val="clear" w:color="auto" w:fill="FFFFFF"/>
          <w:lang w:val="en-US" w:eastAsia="zh-CN" w:bidi="ar-SA"/>
        </w:rPr>
        <w:t xml:space="preserve"> （产品名称1）</w:t>
      </w:r>
      <w:r>
        <w:rPr>
          <w:rFonts w:hint="eastAsia" w:ascii="宋体" w:hAnsi="宋体" w:eastAsia="宋体" w:cs="宋体"/>
          <w:color w:val="auto"/>
          <w:kern w:val="2"/>
          <w:sz w:val="21"/>
          <w:szCs w:val="21"/>
          <w:highlight w:val="none"/>
          <w:u w:val="single"/>
          <w:shd w:val="clear" w:color="auto" w:fill="FFFFFF"/>
          <w:vertAlign w:val="superscript"/>
          <w:lang w:val="en-US" w:eastAsia="zh-CN" w:bidi="ar-SA"/>
        </w:rPr>
        <w:t xml:space="preserve">1 </w:t>
      </w:r>
      <w:r>
        <w:rPr>
          <w:rFonts w:hint="eastAsia" w:ascii="宋体" w:hAnsi="宋体" w:eastAsia="宋体" w:cs="宋体"/>
          <w:color w:val="auto"/>
          <w:kern w:val="0"/>
          <w:sz w:val="21"/>
          <w:szCs w:val="21"/>
          <w:highlight w:val="none"/>
          <w:shd w:val="clear" w:color="auto" w:fill="FFFFFF"/>
          <w:lang w:val="en-US" w:eastAsia="zh-CN" w:bidi="ar-SA"/>
        </w:rPr>
        <w:t>，生产厂为</w:t>
      </w:r>
      <w:r>
        <w:rPr>
          <w:rFonts w:hint="eastAsia" w:ascii="宋体" w:hAnsi="宋体" w:eastAsia="宋体" w:cs="宋体"/>
          <w:color w:val="auto"/>
          <w:kern w:val="0"/>
          <w:sz w:val="21"/>
          <w:szCs w:val="21"/>
          <w:highlight w:val="none"/>
          <w:u w:val="single"/>
          <w:shd w:val="clear" w:color="auto" w:fill="FFFFFF"/>
          <w:lang w:val="en-US" w:eastAsia="zh-CN" w:bidi="ar-SA"/>
        </w:rPr>
        <w:t xml:space="preserve"> </w:t>
      </w:r>
      <w:r>
        <w:rPr>
          <w:rFonts w:hint="eastAsia" w:ascii="宋体" w:hAnsi="宋体" w:eastAsia="宋体" w:cs="宋体"/>
          <w:color w:val="auto"/>
          <w:kern w:val="2"/>
          <w:sz w:val="21"/>
          <w:szCs w:val="21"/>
          <w:highlight w:val="none"/>
          <w:u w:val="single"/>
          <w:shd w:val="clear" w:color="auto" w:fill="FFFFFF"/>
          <w:lang w:val="en-US" w:eastAsia="zh-CN" w:bidi="ar-SA"/>
        </w:rPr>
        <w:t>（厂名）</w:t>
      </w:r>
      <w:r>
        <w:rPr>
          <w:rFonts w:hint="eastAsia" w:ascii="宋体" w:hAnsi="宋体" w:eastAsia="宋体" w:cs="宋体"/>
          <w:color w:val="auto"/>
          <w:kern w:val="2"/>
          <w:sz w:val="21"/>
          <w:szCs w:val="21"/>
          <w:highlight w:val="none"/>
          <w:u w:val="single"/>
          <w:shd w:val="clear" w:color="auto" w:fill="FFFFFF"/>
          <w:vertAlign w:val="superscript"/>
          <w:lang w:val="en-US" w:eastAsia="zh-CN" w:bidi="ar-SA"/>
        </w:rPr>
        <w:t xml:space="preserve">2 </w:t>
      </w:r>
      <w:r>
        <w:rPr>
          <w:rFonts w:hint="eastAsia" w:ascii="宋体" w:hAnsi="宋体" w:eastAsia="宋体" w:cs="宋体"/>
          <w:color w:val="auto"/>
          <w:kern w:val="0"/>
          <w:sz w:val="21"/>
          <w:szCs w:val="21"/>
          <w:highlight w:val="none"/>
          <w:shd w:val="clear" w:color="auto" w:fill="FFFFFF"/>
          <w:lang w:val="en-US" w:eastAsia="zh-CN" w:bidi="ar-SA"/>
        </w:rPr>
        <w:t>，厂址为</w:t>
      </w:r>
      <w:r>
        <w:rPr>
          <w:rFonts w:hint="eastAsia" w:ascii="宋体" w:hAnsi="宋体" w:eastAsia="宋体" w:cs="宋体"/>
          <w:color w:val="auto"/>
          <w:kern w:val="0"/>
          <w:sz w:val="21"/>
          <w:szCs w:val="21"/>
          <w:highlight w:val="none"/>
          <w:u w:val="single"/>
          <w:shd w:val="clear" w:color="auto" w:fill="FFFFFF"/>
          <w:lang w:val="en-US" w:eastAsia="zh-CN" w:bidi="ar-SA"/>
        </w:rPr>
        <w:t xml:space="preserve"> </w:t>
      </w:r>
      <w:r>
        <w:rPr>
          <w:rFonts w:hint="eastAsia" w:ascii="宋体" w:hAnsi="宋体" w:eastAsia="宋体" w:cs="宋体"/>
          <w:color w:val="auto"/>
          <w:kern w:val="2"/>
          <w:sz w:val="21"/>
          <w:szCs w:val="21"/>
          <w:highlight w:val="none"/>
          <w:u w:val="single"/>
          <w:shd w:val="clear" w:color="auto" w:fill="FFFFFF"/>
          <w:lang w:val="en-US" w:eastAsia="zh-CN" w:bidi="ar-SA"/>
        </w:rPr>
        <w:t xml:space="preserve">（生产厂址） </w:t>
      </w:r>
      <w:r>
        <w:rPr>
          <w:rFonts w:hint="eastAsia" w:ascii="宋体" w:hAnsi="宋体" w:eastAsia="宋体" w:cs="宋体"/>
          <w:color w:val="auto"/>
          <w:kern w:val="0"/>
          <w:sz w:val="21"/>
          <w:szCs w:val="21"/>
          <w:highlight w:val="none"/>
          <w:shd w:val="clear" w:color="auto" w:fill="FFFFFF"/>
          <w:lang w:val="en-US" w:eastAsia="zh-CN" w:bidi="ar-SA"/>
        </w:rPr>
        <w:t>。</w:t>
      </w:r>
      <w:r>
        <w:rPr>
          <w:rFonts w:hint="eastAsia" w:ascii="宋体" w:hAnsi="宋体" w:eastAsia="宋体" w:cs="宋体"/>
          <w:color w:val="auto"/>
          <w:kern w:val="0"/>
          <w:sz w:val="21"/>
          <w:szCs w:val="21"/>
          <w:highlight w:val="none"/>
          <w:u w:val="single"/>
          <w:shd w:val="clear" w:color="auto" w:fill="FFFFFF"/>
          <w:lang w:val="en-US" w:eastAsia="zh-CN" w:bidi="ar-SA"/>
        </w:rPr>
        <w:t xml:space="preserve"> </w:t>
      </w:r>
      <w:r>
        <w:rPr>
          <w:rFonts w:hint="eastAsia" w:ascii="宋体" w:hAnsi="宋体" w:eastAsia="宋体" w:cs="宋体"/>
          <w:color w:val="auto"/>
          <w:kern w:val="2"/>
          <w:sz w:val="21"/>
          <w:szCs w:val="21"/>
          <w:highlight w:val="none"/>
          <w:u w:val="single"/>
          <w:shd w:val="clear" w:color="auto" w:fill="FFFFFF"/>
          <w:lang w:val="en-US" w:eastAsia="zh-CN" w:bidi="ar-SA"/>
        </w:rPr>
        <w:t xml:space="preserve">（产品名称1） </w:t>
      </w:r>
      <w:r>
        <w:rPr>
          <w:rFonts w:hint="eastAsia" w:ascii="宋体" w:hAnsi="宋体" w:eastAsia="宋体" w:cs="宋体"/>
          <w:color w:val="auto"/>
          <w:kern w:val="0"/>
          <w:sz w:val="21"/>
          <w:szCs w:val="21"/>
          <w:highlight w:val="none"/>
          <w:shd w:val="clear" w:color="auto" w:fill="FFFFFF"/>
          <w:lang w:val="en-US" w:eastAsia="zh-CN" w:bidi="ar-SA"/>
        </w:rPr>
        <w:t>的中国境内生产的组件成本占比≥</w:t>
      </w:r>
      <w:r>
        <w:rPr>
          <w:rFonts w:hint="eastAsia" w:ascii="宋体" w:hAnsi="宋体" w:eastAsia="宋体" w:cs="宋体"/>
          <w:color w:val="auto"/>
          <w:kern w:val="2"/>
          <w:sz w:val="21"/>
          <w:szCs w:val="21"/>
          <w:highlight w:val="none"/>
          <w:u w:val="single"/>
          <w:shd w:val="clear" w:color="auto" w:fill="FFFFFF"/>
          <w:lang w:val="en-US" w:eastAsia="zh-CN" w:bidi="ar-SA"/>
        </w:rPr>
        <w:t>（规定比例）</w:t>
      </w:r>
      <w:r>
        <w:rPr>
          <w:rFonts w:hint="eastAsia" w:ascii="宋体" w:hAnsi="宋体" w:eastAsia="宋体" w:cs="宋体"/>
          <w:color w:val="auto"/>
          <w:kern w:val="2"/>
          <w:sz w:val="21"/>
          <w:szCs w:val="21"/>
          <w:highlight w:val="none"/>
          <w:u w:val="single"/>
          <w:shd w:val="clear" w:color="auto" w:fill="FFFFFF"/>
          <w:vertAlign w:val="superscript"/>
          <w:lang w:val="en-US" w:eastAsia="zh-CN" w:bidi="ar-SA"/>
        </w:rPr>
        <w:t>3</w:t>
      </w:r>
      <w:r>
        <w:rPr>
          <w:rFonts w:hint="eastAsia" w:ascii="宋体" w:hAnsi="宋体" w:eastAsia="宋体" w:cs="宋体"/>
          <w:color w:val="auto"/>
          <w:kern w:val="0"/>
          <w:sz w:val="21"/>
          <w:szCs w:val="21"/>
          <w:highlight w:val="none"/>
          <w:shd w:val="clear" w:color="auto" w:fill="FFFFFF"/>
          <w:lang w:val="en-US" w:eastAsia="zh-CN" w:bidi="ar-SA"/>
        </w:rPr>
        <w:t>。</w:t>
      </w:r>
      <w:r>
        <w:rPr>
          <w:rFonts w:hint="eastAsia" w:ascii="宋体" w:hAnsi="宋体" w:eastAsia="宋体" w:cs="宋体"/>
          <w:color w:val="auto"/>
          <w:kern w:val="2"/>
          <w:sz w:val="21"/>
          <w:szCs w:val="21"/>
          <w:highlight w:val="none"/>
          <w:u w:val="single"/>
          <w:shd w:val="clear" w:color="auto" w:fill="FFFFFF"/>
          <w:lang w:val="en-US" w:eastAsia="zh-CN" w:bidi="ar-SA"/>
        </w:rPr>
        <w:t>（产品名称1）</w:t>
      </w:r>
      <w:r>
        <w:rPr>
          <w:rFonts w:hint="eastAsia" w:ascii="宋体" w:hAnsi="宋体" w:eastAsia="宋体" w:cs="宋体"/>
          <w:color w:val="auto"/>
          <w:kern w:val="0"/>
          <w:sz w:val="21"/>
          <w:szCs w:val="21"/>
          <w:highlight w:val="none"/>
          <w:shd w:val="clear" w:color="auto" w:fill="FFFFFF"/>
          <w:lang w:val="en-US" w:eastAsia="zh-CN" w:bidi="ar-SA"/>
        </w:rPr>
        <w:t>的</w:t>
      </w:r>
      <w:r>
        <w:rPr>
          <w:rFonts w:hint="eastAsia" w:ascii="宋体" w:hAnsi="宋体" w:eastAsia="宋体" w:cs="宋体"/>
          <w:color w:val="auto"/>
          <w:kern w:val="2"/>
          <w:sz w:val="21"/>
          <w:szCs w:val="21"/>
          <w:highlight w:val="none"/>
          <w:u w:val="single"/>
          <w:shd w:val="clear" w:color="auto" w:fill="FFFFFF"/>
          <w:lang w:val="en-US" w:eastAsia="zh-CN" w:bidi="ar-SA"/>
        </w:rPr>
        <w:t>（关键组件）</w:t>
      </w:r>
      <w:r>
        <w:rPr>
          <w:rFonts w:hint="eastAsia" w:ascii="宋体" w:hAnsi="宋体" w:eastAsia="宋体" w:cs="宋体"/>
          <w:color w:val="auto"/>
          <w:kern w:val="2"/>
          <w:sz w:val="21"/>
          <w:szCs w:val="21"/>
          <w:highlight w:val="none"/>
          <w:u w:val="single"/>
          <w:shd w:val="clear" w:color="auto" w:fill="FFFFFF"/>
          <w:vertAlign w:val="superscript"/>
          <w:lang w:val="en-US" w:eastAsia="zh-CN" w:bidi="ar-SA"/>
        </w:rPr>
        <w:t>4</w:t>
      </w:r>
      <w:r>
        <w:rPr>
          <w:rFonts w:hint="eastAsia" w:ascii="宋体" w:hAnsi="宋体" w:eastAsia="宋体" w:cs="宋体"/>
          <w:color w:val="auto"/>
          <w:kern w:val="0"/>
          <w:sz w:val="21"/>
          <w:szCs w:val="21"/>
          <w:highlight w:val="none"/>
          <w:shd w:val="clear" w:color="auto" w:fill="FFFFFF"/>
          <w:lang w:val="en-US" w:eastAsia="zh-CN" w:bidi="ar-SA"/>
        </w:rPr>
        <w:t>在中国境内生产。</w:t>
      </w:r>
      <w:r>
        <w:rPr>
          <w:rFonts w:hint="eastAsia" w:ascii="宋体" w:hAnsi="宋体" w:eastAsia="宋体" w:cs="宋体"/>
          <w:color w:val="auto"/>
          <w:kern w:val="2"/>
          <w:sz w:val="21"/>
          <w:szCs w:val="21"/>
          <w:highlight w:val="none"/>
          <w:u w:val="single"/>
          <w:shd w:val="clear" w:color="auto" w:fill="FFFFFF"/>
          <w:lang w:val="en-US" w:eastAsia="zh-CN" w:bidi="ar-SA"/>
        </w:rPr>
        <w:t>（产品名称1）</w:t>
      </w:r>
      <w:r>
        <w:rPr>
          <w:rFonts w:hint="eastAsia" w:ascii="宋体" w:hAnsi="宋体" w:eastAsia="宋体" w:cs="宋体"/>
          <w:color w:val="auto"/>
          <w:kern w:val="0"/>
          <w:sz w:val="21"/>
          <w:szCs w:val="21"/>
          <w:highlight w:val="none"/>
          <w:shd w:val="clear" w:color="auto" w:fill="FFFFFF"/>
          <w:lang w:val="en-US" w:eastAsia="zh-CN" w:bidi="ar-SA"/>
        </w:rPr>
        <w:t>的</w:t>
      </w:r>
      <w:r>
        <w:rPr>
          <w:rFonts w:hint="eastAsia" w:ascii="宋体" w:hAnsi="宋体" w:eastAsia="宋体" w:cs="宋体"/>
          <w:color w:val="auto"/>
          <w:kern w:val="2"/>
          <w:sz w:val="21"/>
          <w:szCs w:val="21"/>
          <w:highlight w:val="none"/>
          <w:u w:val="single"/>
          <w:shd w:val="clear" w:color="auto" w:fill="FFFFFF"/>
          <w:lang w:val="en-US" w:eastAsia="zh-CN" w:bidi="ar-SA"/>
        </w:rPr>
        <w:t>（关键工序）</w:t>
      </w:r>
      <w:r>
        <w:rPr>
          <w:rFonts w:hint="eastAsia" w:ascii="宋体" w:hAnsi="宋体" w:eastAsia="宋体" w:cs="宋体"/>
          <w:color w:val="auto"/>
          <w:kern w:val="2"/>
          <w:sz w:val="21"/>
          <w:szCs w:val="21"/>
          <w:highlight w:val="none"/>
          <w:u w:val="single"/>
          <w:shd w:val="clear" w:color="auto" w:fill="FFFFFF"/>
          <w:vertAlign w:val="superscript"/>
          <w:lang w:val="en-US" w:eastAsia="zh-CN" w:bidi="ar-SA"/>
        </w:rPr>
        <w:t>5</w:t>
      </w:r>
      <w:r>
        <w:rPr>
          <w:rFonts w:hint="eastAsia" w:ascii="宋体" w:hAnsi="宋体" w:eastAsia="宋体" w:cs="宋体"/>
          <w:color w:val="auto"/>
          <w:kern w:val="0"/>
          <w:sz w:val="21"/>
          <w:szCs w:val="21"/>
          <w:highlight w:val="none"/>
          <w:shd w:val="clear" w:color="auto" w:fill="FFFFFF"/>
          <w:lang w:val="en-US" w:eastAsia="zh-CN" w:bidi="ar-SA"/>
        </w:rPr>
        <w:t>在中国境内完成。</w:t>
      </w:r>
    </w:p>
    <w:p w14:paraId="302DAA1F">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w:t>
      </w:r>
      <w:r>
        <w:rPr>
          <w:rFonts w:hint="eastAsia" w:ascii="宋体" w:hAnsi="宋体" w:eastAsia="宋体" w:cs="宋体"/>
          <w:color w:val="auto"/>
          <w:kern w:val="2"/>
          <w:sz w:val="21"/>
          <w:szCs w:val="21"/>
          <w:highlight w:val="none"/>
          <w:u w:val="single"/>
          <w:shd w:val="clear" w:color="auto" w:fill="FFFFFF"/>
          <w:lang w:val="en-US" w:eastAsia="zh-CN" w:bidi="ar-SA"/>
        </w:rPr>
        <w:t xml:space="preserve"> （产品名称2） </w:t>
      </w:r>
      <w:r>
        <w:rPr>
          <w:rFonts w:hint="eastAsia" w:ascii="宋体" w:hAnsi="宋体" w:eastAsia="宋体" w:cs="宋体"/>
          <w:color w:val="auto"/>
          <w:kern w:val="0"/>
          <w:sz w:val="21"/>
          <w:szCs w:val="21"/>
          <w:highlight w:val="none"/>
          <w:shd w:val="clear" w:color="auto" w:fill="FFFFFF"/>
          <w:lang w:val="en-US" w:eastAsia="zh-CN" w:bidi="ar-SA"/>
        </w:rPr>
        <w:t>，生产厂为</w:t>
      </w:r>
      <w:r>
        <w:rPr>
          <w:rFonts w:hint="eastAsia" w:ascii="宋体" w:hAnsi="宋体" w:eastAsia="宋体" w:cs="宋体"/>
          <w:color w:val="auto"/>
          <w:kern w:val="2"/>
          <w:sz w:val="21"/>
          <w:szCs w:val="21"/>
          <w:highlight w:val="none"/>
          <w:u w:val="single"/>
          <w:shd w:val="clear" w:color="auto" w:fill="FFFFFF"/>
          <w:lang w:val="en-US" w:eastAsia="zh-CN" w:bidi="ar-SA"/>
        </w:rPr>
        <w:t>（厂名）</w:t>
      </w:r>
      <w:r>
        <w:rPr>
          <w:rFonts w:hint="eastAsia" w:ascii="宋体" w:hAnsi="宋体" w:eastAsia="宋体" w:cs="宋体"/>
          <w:color w:val="auto"/>
          <w:kern w:val="0"/>
          <w:sz w:val="21"/>
          <w:szCs w:val="21"/>
          <w:highlight w:val="none"/>
          <w:shd w:val="clear" w:color="auto" w:fill="FFFFFF"/>
          <w:lang w:val="en-US" w:eastAsia="zh-CN" w:bidi="ar-SA"/>
        </w:rPr>
        <w:t>，厂址为</w:t>
      </w:r>
      <w:r>
        <w:rPr>
          <w:rFonts w:hint="eastAsia" w:ascii="宋体" w:hAnsi="宋体" w:eastAsia="宋体" w:cs="宋体"/>
          <w:color w:val="auto"/>
          <w:kern w:val="2"/>
          <w:sz w:val="21"/>
          <w:szCs w:val="21"/>
          <w:highlight w:val="none"/>
          <w:u w:val="single"/>
          <w:shd w:val="clear" w:color="auto" w:fill="FFFFFF"/>
          <w:lang w:val="en-US" w:eastAsia="zh-CN" w:bidi="ar-SA"/>
        </w:rPr>
        <w:t>（生产厂址）</w:t>
      </w:r>
      <w:r>
        <w:rPr>
          <w:rFonts w:hint="eastAsia" w:ascii="宋体" w:hAnsi="宋体" w:eastAsia="宋体" w:cs="宋体"/>
          <w:color w:val="auto"/>
          <w:kern w:val="0"/>
          <w:sz w:val="21"/>
          <w:szCs w:val="21"/>
          <w:highlight w:val="none"/>
          <w:shd w:val="clear" w:color="auto" w:fill="FFFFFF"/>
          <w:lang w:val="en-US" w:eastAsia="zh-CN" w:bidi="ar-SA"/>
        </w:rPr>
        <w:t>。</w:t>
      </w:r>
      <w:r>
        <w:rPr>
          <w:rFonts w:hint="eastAsia" w:ascii="宋体" w:hAnsi="宋体" w:eastAsia="宋体" w:cs="宋体"/>
          <w:color w:val="auto"/>
          <w:kern w:val="2"/>
          <w:sz w:val="21"/>
          <w:szCs w:val="21"/>
          <w:highlight w:val="none"/>
          <w:u w:val="singl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的中国境内生产的组件成本占比≥</w:t>
      </w:r>
      <w:r>
        <w:rPr>
          <w:rFonts w:hint="eastAsia" w:ascii="宋体" w:hAnsi="宋体" w:eastAsia="宋体" w:cs="宋体"/>
          <w:color w:val="auto"/>
          <w:kern w:val="2"/>
          <w:sz w:val="21"/>
          <w:szCs w:val="21"/>
          <w:highlight w:val="none"/>
          <w:u w:val="single"/>
          <w:shd w:val="clear" w:color="auto" w:fill="FFFFFF"/>
          <w:lang w:val="en-US" w:eastAsia="zh-CN" w:bidi="ar-SA"/>
        </w:rPr>
        <w:t>（规定比例）</w:t>
      </w:r>
      <w:r>
        <w:rPr>
          <w:rFonts w:hint="eastAsia" w:ascii="宋体" w:hAnsi="宋体" w:eastAsia="宋体" w:cs="宋体"/>
          <w:color w:val="auto"/>
          <w:kern w:val="0"/>
          <w:sz w:val="21"/>
          <w:szCs w:val="21"/>
          <w:highlight w:val="none"/>
          <w:shd w:val="clear" w:color="auto" w:fill="FFFFFF"/>
          <w:lang w:val="en-US" w:eastAsia="zh-CN" w:bidi="ar-SA"/>
        </w:rPr>
        <w:t>。</w:t>
      </w:r>
      <w:r>
        <w:rPr>
          <w:rFonts w:hint="eastAsia" w:ascii="宋体" w:hAnsi="宋体" w:eastAsia="宋体" w:cs="宋体"/>
          <w:color w:val="auto"/>
          <w:kern w:val="2"/>
          <w:sz w:val="21"/>
          <w:szCs w:val="21"/>
          <w:highlight w:val="none"/>
          <w:u w:val="singl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的</w:t>
      </w:r>
      <w:r>
        <w:rPr>
          <w:rFonts w:hint="eastAsia" w:ascii="宋体" w:hAnsi="宋体" w:eastAsia="宋体" w:cs="宋体"/>
          <w:color w:val="auto"/>
          <w:kern w:val="2"/>
          <w:sz w:val="21"/>
          <w:szCs w:val="21"/>
          <w:highlight w:val="none"/>
          <w:u w:val="single"/>
          <w:shd w:val="clear" w:color="auto" w:fill="FFFFFF"/>
          <w:lang w:val="en-US" w:eastAsia="zh-CN" w:bidi="ar-SA"/>
        </w:rPr>
        <w:t>（关键组件）</w:t>
      </w:r>
      <w:r>
        <w:rPr>
          <w:rFonts w:hint="eastAsia" w:ascii="宋体" w:hAnsi="宋体" w:eastAsia="宋体" w:cs="宋体"/>
          <w:color w:val="auto"/>
          <w:kern w:val="0"/>
          <w:sz w:val="21"/>
          <w:szCs w:val="21"/>
          <w:highlight w:val="none"/>
          <w:shd w:val="clear" w:color="auto" w:fill="FFFFFF"/>
          <w:lang w:val="en-US" w:eastAsia="zh-CN" w:bidi="ar-SA"/>
        </w:rPr>
        <w:t>在中国境内生产。</w:t>
      </w:r>
      <w:r>
        <w:rPr>
          <w:rFonts w:hint="eastAsia" w:ascii="宋体" w:hAnsi="宋体" w:eastAsia="宋体" w:cs="宋体"/>
          <w:color w:val="auto"/>
          <w:kern w:val="2"/>
          <w:sz w:val="21"/>
          <w:szCs w:val="21"/>
          <w:highlight w:val="none"/>
          <w:u w:val="single"/>
          <w:shd w:val="clear" w:color="auto" w:fill="FFFFFF"/>
          <w:lang w:val="en-US" w:eastAsia="zh-CN" w:bidi="ar-SA"/>
        </w:rPr>
        <w:t>（产品名称2）</w:t>
      </w:r>
      <w:r>
        <w:rPr>
          <w:rFonts w:hint="eastAsia" w:ascii="宋体" w:hAnsi="宋体" w:eastAsia="宋体" w:cs="宋体"/>
          <w:color w:val="auto"/>
          <w:kern w:val="0"/>
          <w:sz w:val="21"/>
          <w:szCs w:val="21"/>
          <w:highlight w:val="none"/>
          <w:shd w:val="clear" w:color="auto" w:fill="FFFFFF"/>
          <w:lang w:val="en-US" w:eastAsia="zh-CN" w:bidi="ar-SA"/>
        </w:rPr>
        <w:t>的</w:t>
      </w:r>
      <w:r>
        <w:rPr>
          <w:rFonts w:hint="eastAsia" w:ascii="宋体" w:hAnsi="宋体" w:eastAsia="宋体" w:cs="宋体"/>
          <w:color w:val="auto"/>
          <w:kern w:val="2"/>
          <w:sz w:val="21"/>
          <w:szCs w:val="21"/>
          <w:highlight w:val="none"/>
          <w:u w:val="single"/>
          <w:shd w:val="clear" w:color="auto" w:fill="FFFFFF"/>
          <w:lang w:val="en-US" w:eastAsia="zh-CN" w:bidi="ar-SA"/>
        </w:rPr>
        <w:t>（关键工序）</w:t>
      </w:r>
      <w:r>
        <w:rPr>
          <w:rFonts w:hint="eastAsia" w:ascii="宋体" w:hAnsi="宋体" w:eastAsia="宋体" w:cs="宋体"/>
          <w:color w:val="auto"/>
          <w:kern w:val="0"/>
          <w:sz w:val="21"/>
          <w:szCs w:val="21"/>
          <w:highlight w:val="none"/>
          <w:shd w:val="clear" w:color="auto" w:fill="FFFFFF"/>
          <w:lang w:val="en-US" w:eastAsia="zh-CN" w:bidi="ar-SA"/>
        </w:rPr>
        <w:t>在中国境内完成。</w:t>
      </w:r>
    </w:p>
    <w:p w14:paraId="160408FD">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w:t>
      </w:r>
    </w:p>
    <w:p w14:paraId="3E98B54A">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本公司（单位）对上述声明内容的真实性负责。如有虚假，愿承担相应法律责任。</w:t>
      </w:r>
    </w:p>
    <w:p w14:paraId="76FCBEA0">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shd w:val="clear" w:color="auto" w:fill="FFFFFF"/>
          <w:lang w:val="en-US" w:eastAsia="zh-CN" w:bidi="ar-SA"/>
        </w:rPr>
      </w:pPr>
    </w:p>
    <w:p w14:paraId="57D42808">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公司（单位）名称（盖章）：      </w:t>
      </w:r>
    </w:p>
    <w:p w14:paraId="0EB74C48">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日期：　　年   月   日    </w:t>
      </w:r>
    </w:p>
    <w:p w14:paraId="67EE7F3A">
      <w:pPr>
        <w:keepNext w:val="0"/>
        <w:keepLines w:val="0"/>
        <w:pageBreakBefore w:val="0"/>
        <w:shd w:val="clea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Cs w:val="21"/>
          <w:highlight w:val="none"/>
        </w:rPr>
      </w:pPr>
    </w:p>
    <w:p w14:paraId="121307E6">
      <w:pPr>
        <w:keepNext w:val="0"/>
        <w:keepLines w:val="0"/>
        <w:pageBreakBefore w:val="0"/>
        <w:shd w:val="clea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Cs w:val="21"/>
          <w:highlight w:val="none"/>
        </w:rPr>
      </w:pPr>
    </w:p>
    <w:p w14:paraId="749CFDE6">
      <w:pPr>
        <w:keepNext w:val="0"/>
        <w:keepLines w:val="0"/>
        <w:pageBreakBefore w:val="0"/>
        <w:shd w:val="clea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关于符合本国产品标准的声明函说明： </w:t>
      </w:r>
    </w:p>
    <w:p w14:paraId="7622E073">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1.产品如有型号，请在“产品名称”栏一并填写。</w:t>
      </w:r>
    </w:p>
    <w:p w14:paraId="2C938184">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2.生产厂名与厂址应与生产厂营业执照载明的相关信息保持一致。</w:t>
      </w:r>
    </w:p>
    <w:p w14:paraId="08981D46">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3.该产品的中国境内生产的组件成本占比相关要求实施前，“规定比例”栏可不填，下同。</w:t>
      </w:r>
    </w:p>
    <w:p w14:paraId="4AE91D68">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4.该产品的关键组件要求实施前，“关键组件”栏可不填，下同。</w:t>
      </w:r>
    </w:p>
    <w:p w14:paraId="213BF34F">
      <w:pPr>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440" w:lineRule="exact"/>
        <w:ind w:firstLine="42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shd w:val="clear" w:color="auto" w:fill="FFFFFF"/>
          <w:lang w:val="en-US" w:eastAsia="zh-CN" w:bidi="ar-SA"/>
        </w:rPr>
        <w:t>5.该产品的关键工序要求实施前，“关键工序”栏可不填，下同。</w:t>
      </w:r>
    </w:p>
    <w:p w14:paraId="17FAE712">
      <w:pPr>
        <w:keepNext w:val="0"/>
        <w:keepLines w:val="0"/>
        <w:pageBreakBefore w:val="0"/>
        <w:widowControl w:val="0"/>
        <w:shd w:val="clear"/>
        <w:kinsoku/>
        <w:wordWrap/>
        <w:overflowPunct/>
        <w:topLinePunct w:val="0"/>
        <w:autoSpaceDE/>
        <w:autoSpaceDN/>
        <w:bidi w:val="0"/>
        <w:adjustRightInd/>
        <w:snapToGrid/>
        <w:spacing w:before="313" w:beforeLines="100" w:after="313" w:afterLines="100" w:line="52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bCs/>
          <w:color w:val="auto"/>
          <w:sz w:val="28"/>
          <w:szCs w:val="28"/>
          <w:highlight w:val="none"/>
        </w:rPr>
        <w:t>关于本国产品比例的承诺函（如适用）</w:t>
      </w:r>
    </w:p>
    <w:p w14:paraId="54F5BD1D">
      <w:pPr>
        <w:keepNext w:val="0"/>
        <w:keepLines w:val="0"/>
        <w:pageBreakBefore w:val="0"/>
        <w:widowControl w:val="0"/>
        <w:shd w:val="clear"/>
        <w:kinsoku/>
        <w:wordWrap/>
        <w:overflowPunct/>
        <w:topLinePunct w:val="0"/>
        <w:autoSpaceDE/>
        <w:autoSpaceDN/>
        <w:bidi w:val="0"/>
        <w:adjustRightInd/>
        <w:snapToGrid/>
        <w:spacing w:before="313" w:beforeLines="100" w:after="313" w:afterLines="100" w:line="520" w:lineRule="exact"/>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本项目属于服务采购项目，不适用</w:t>
      </w:r>
      <w:r>
        <w:rPr>
          <w:rFonts w:hint="eastAsia" w:ascii="宋体" w:hAnsi="宋体" w:eastAsia="宋体" w:cs="宋体"/>
          <w:b/>
          <w:bCs/>
          <w:color w:val="auto"/>
          <w:sz w:val="28"/>
          <w:szCs w:val="28"/>
          <w:highlight w:val="none"/>
          <w:u w:val="single"/>
          <w:lang w:val="en-US" w:eastAsia="zh-CN"/>
        </w:rPr>
        <w:t>此内容</w:t>
      </w:r>
      <w:r>
        <w:rPr>
          <w:rFonts w:hint="eastAsia" w:ascii="宋体" w:hAnsi="宋体" w:eastAsia="宋体" w:cs="宋体"/>
          <w:b/>
          <w:bCs/>
          <w:color w:val="auto"/>
          <w:sz w:val="28"/>
          <w:szCs w:val="28"/>
          <w:highlight w:val="none"/>
        </w:rPr>
        <w:t>）</w:t>
      </w:r>
    </w:p>
    <w:p w14:paraId="57772E90">
      <w:pPr>
        <w:keepNext w:val="0"/>
        <w:keepLines w:val="0"/>
        <w:pageBreakBefore w:val="0"/>
        <w:widowControl w:val="0"/>
        <w:shd w:val="clea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 80%以上。</w:t>
      </w:r>
    </w:p>
    <w:p w14:paraId="69864AED">
      <w:pPr>
        <w:keepNext w:val="0"/>
        <w:keepLines w:val="0"/>
        <w:pageBreakBefore w:val="0"/>
        <w:widowControl w:val="0"/>
        <w:shd w:val="clea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本公司(单位)对上述承诺内容的真实性负责。如有虚假，愿承担相应法律责任。</w:t>
      </w:r>
    </w:p>
    <w:p w14:paraId="02CA9F85">
      <w:pPr>
        <w:widowControl/>
        <w:shd w:val="clear" w:color="auto"/>
        <w:spacing w:before="0" w:beforeAutospacing="0" w:after="0" w:afterAutospacing="0" w:line="480" w:lineRule="exact"/>
        <w:jc w:val="left"/>
        <w:rPr>
          <w:rFonts w:hint="eastAsia" w:ascii="宋体" w:hAnsi="宋体" w:eastAsia="宋体" w:cs="宋体"/>
          <w:color w:val="auto"/>
          <w:kern w:val="0"/>
          <w:sz w:val="21"/>
          <w:szCs w:val="21"/>
          <w:highlight w:val="none"/>
          <w:shd w:val="clear" w:color="auto" w:fill="FFFFFF"/>
          <w:lang w:val="en-US" w:eastAsia="zh-CN" w:bidi="ar-SA"/>
        </w:rPr>
      </w:pPr>
    </w:p>
    <w:p w14:paraId="753B0287">
      <w:pPr>
        <w:keepNext w:val="0"/>
        <w:keepLines w:val="0"/>
        <w:pageBreakBefore w:val="0"/>
        <w:widowControl w:val="0"/>
        <w:shd w:val="clea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0"/>
          <w:szCs w:val="21"/>
          <w:highlight w:val="none"/>
          <w:shd w:val="clear" w:color="auto" w:fill="FFFFFF"/>
          <w:lang w:val="en-US" w:eastAsia="zh-CN"/>
        </w:rPr>
      </w:pPr>
      <w:r>
        <w:rPr>
          <w:rFonts w:hint="eastAsia" w:ascii="宋体" w:hAnsi="宋体" w:eastAsia="宋体" w:cs="宋体"/>
          <w:color w:val="auto"/>
          <w:kern w:val="0"/>
          <w:szCs w:val="21"/>
          <w:highlight w:val="none"/>
          <w:shd w:val="clear" w:color="auto" w:fill="FFFFFF"/>
          <w:lang w:val="en-US" w:eastAsia="zh-CN"/>
        </w:rPr>
        <w:t>公司（单位）名称（盖章）：      </w:t>
      </w:r>
    </w:p>
    <w:p w14:paraId="5E6387AD">
      <w:pPr>
        <w:keepNext w:val="0"/>
        <w:keepLines w:val="0"/>
        <w:pageBreakBefore w:val="0"/>
        <w:widowControl w:val="0"/>
        <w:shd w:val="clea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0"/>
          <w:szCs w:val="21"/>
          <w:highlight w:val="none"/>
          <w:shd w:val="clear" w:color="auto" w:fill="FFFFFF"/>
        </w:rPr>
      </w:pPr>
      <w:r>
        <w:rPr>
          <w:rFonts w:hint="eastAsia" w:ascii="宋体" w:hAnsi="宋体" w:eastAsia="宋体" w:cs="宋体"/>
          <w:color w:val="auto"/>
          <w:kern w:val="0"/>
          <w:szCs w:val="21"/>
          <w:highlight w:val="none"/>
          <w:shd w:val="clear" w:color="auto" w:fill="FFFFFF"/>
        </w:rPr>
        <w:t>日期：　　　年</w:t>
      </w:r>
      <w:r>
        <w:rPr>
          <w:rFonts w:hint="eastAsia" w:ascii="宋体" w:hAnsi="宋体" w:eastAsia="宋体" w:cs="宋体"/>
          <w:color w:val="auto"/>
          <w:kern w:val="0"/>
          <w:szCs w:val="21"/>
          <w:highlight w:val="none"/>
          <w:shd w:val="clear" w:color="auto" w:fill="FFFFFF"/>
          <w:lang w:val="en-US" w:eastAsia="zh-CN"/>
        </w:rPr>
        <w:t xml:space="preserve">   </w:t>
      </w:r>
      <w:r>
        <w:rPr>
          <w:rFonts w:hint="eastAsia" w:ascii="宋体" w:hAnsi="宋体" w:eastAsia="宋体" w:cs="宋体"/>
          <w:color w:val="auto"/>
          <w:kern w:val="0"/>
          <w:szCs w:val="21"/>
          <w:highlight w:val="none"/>
          <w:shd w:val="clear" w:color="auto" w:fill="FFFFFF"/>
        </w:rPr>
        <w:t>月</w:t>
      </w:r>
      <w:r>
        <w:rPr>
          <w:rFonts w:hint="eastAsia" w:ascii="宋体" w:hAnsi="宋体" w:eastAsia="宋体" w:cs="宋体"/>
          <w:color w:val="auto"/>
          <w:kern w:val="0"/>
          <w:szCs w:val="21"/>
          <w:highlight w:val="none"/>
          <w:shd w:val="clear" w:color="auto" w:fill="FFFFFF"/>
          <w:lang w:val="en-US" w:eastAsia="zh-CN"/>
        </w:rPr>
        <w:t xml:space="preserve">   </w:t>
      </w:r>
      <w:r>
        <w:rPr>
          <w:rFonts w:hint="eastAsia" w:ascii="宋体" w:hAnsi="宋体" w:eastAsia="宋体" w:cs="宋体"/>
          <w:color w:val="auto"/>
          <w:kern w:val="0"/>
          <w:szCs w:val="21"/>
          <w:highlight w:val="none"/>
          <w:shd w:val="clear" w:color="auto" w:fill="FFFFFF"/>
        </w:rPr>
        <w:t>日   </w:t>
      </w:r>
    </w:p>
    <w:p w14:paraId="43321D38">
      <w:pPr>
        <w:keepNext w:val="0"/>
        <w:keepLines w:val="0"/>
        <w:pageBreakBefore w:val="0"/>
        <w:widowControl w:val="0"/>
        <w:shd w:val="clea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
          <w:color w:val="auto"/>
          <w:highlight w:val="none"/>
        </w:rPr>
      </w:pPr>
      <w:r>
        <w:rPr>
          <w:rFonts w:hint="eastAsia" w:ascii="宋体" w:hAnsi="宋体" w:eastAsia="宋体" w:cs="宋体"/>
          <w:color w:val="auto"/>
          <w:kern w:val="0"/>
          <w:szCs w:val="21"/>
          <w:highlight w:val="none"/>
          <w:shd w:val="clear" w:color="auto" w:fill="FFFFFF"/>
        </w:rPr>
        <w:t>注：当采购项目或采购包中含有多种产品，符合有关政策的，供应商还应当提供本承诺函。</w:t>
      </w:r>
      <w:r>
        <w:rPr>
          <w:rFonts w:hint="eastAsia" w:ascii="宋体" w:hAnsi="宋体" w:eastAsia="宋体" w:cs="宋体"/>
          <w:color w:val="auto"/>
          <w:kern w:val="0"/>
          <w:szCs w:val="21"/>
          <w:highlight w:val="none"/>
          <w:shd w:val="clear" w:color="auto" w:fill="FFFFFF"/>
        </w:rPr>
        <w:br w:type="page"/>
      </w:r>
      <w:r>
        <w:rPr>
          <w:rFonts w:hint="eastAsia" w:ascii="宋体" w:hAnsi="宋体" w:eastAsia="宋体" w:cs="宋体"/>
          <w:b/>
          <w:color w:val="auto"/>
          <w:highlight w:val="none"/>
        </w:rPr>
        <w:t>2.技术文件部分（格式）</w:t>
      </w:r>
    </w:p>
    <w:p w14:paraId="130466C2">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（1）服务响应表格式： </w:t>
      </w:r>
    </w:p>
    <w:tbl>
      <w:tblPr>
        <w:tblStyle w:val="5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14:paraId="2C14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1" w:type="dxa"/>
            <w:tcBorders>
              <w:top w:val="single" w:color="auto" w:sz="4" w:space="0"/>
              <w:left w:val="single" w:color="auto" w:sz="4" w:space="0"/>
              <w:bottom w:val="single" w:color="auto" w:sz="4" w:space="0"/>
              <w:right w:val="single" w:color="auto" w:sz="4" w:space="0"/>
            </w:tcBorders>
            <w:noWrap w:val="0"/>
            <w:vAlign w:val="center"/>
          </w:tcPr>
          <w:p w14:paraId="463409CA">
            <w:pPr>
              <w:pStyle w:val="27"/>
              <w:shd w:val="clea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31499B50">
            <w:pPr>
              <w:pStyle w:val="27"/>
              <w:shd w:val="clea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14:paraId="5EE6D4AE">
            <w:pPr>
              <w:pStyle w:val="27"/>
              <w:shd w:val="clea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32CBB3DB">
            <w:pPr>
              <w:pStyle w:val="27"/>
              <w:shd w:val="clear"/>
              <w:spacing w:line="4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偏离说明</w:t>
            </w:r>
          </w:p>
        </w:tc>
      </w:tr>
      <w:tr w14:paraId="42FF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4FD099F9">
            <w:pPr>
              <w:pStyle w:val="27"/>
              <w:shd w:val="clear"/>
              <w:spacing w:line="600" w:lineRule="exact"/>
              <w:ind w:left="5250"/>
              <w:jc w:val="center"/>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498F2FF9">
            <w:pPr>
              <w:pStyle w:val="27"/>
              <w:shd w:val="clear"/>
              <w:spacing w:line="600" w:lineRule="exact"/>
              <w:ind w:left="5250"/>
              <w:jc w:val="center"/>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04D46A31">
            <w:pPr>
              <w:pStyle w:val="27"/>
              <w:shd w:val="clear"/>
              <w:spacing w:line="600" w:lineRule="exact"/>
              <w:ind w:left="5250"/>
              <w:jc w:val="center"/>
              <w:rPr>
                <w:rFonts w:hint="eastAsia" w:ascii="宋体" w:hAnsi="宋体" w:eastAsia="宋体" w:cs="宋体"/>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3B9F7030">
            <w:pPr>
              <w:pStyle w:val="27"/>
              <w:shd w:val="clear"/>
              <w:spacing w:line="600" w:lineRule="exact"/>
              <w:ind w:left="5250"/>
              <w:jc w:val="center"/>
              <w:rPr>
                <w:rFonts w:hint="eastAsia" w:ascii="宋体" w:hAnsi="宋体" w:eastAsia="宋体" w:cs="宋体"/>
                <w:color w:val="auto"/>
                <w:highlight w:val="none"/>
                <w:lang w:val="en-US" w:eastAsia="zh-CN"/>
              </w:rPr>
            </w:pPr>
          </w:p>
        </w:tc>
      </w:tr>
      <w:tr w14:paraId="3424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756B66F0">
            <w:pPr>
              <w:pStyle w:val="27"/>
              <w:shd w:val="clear"/>
              <w:spacing w:line="600" w:lineRule="exact"/>
              <w:ind w:left="5250"/>
              <w:jc w:val="center"/>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600AB62D">
            <w:pPr>
              <w:pStyle w:val="27"/>
              <w:shd w:val="clear"/>
              <w:spacing w:line="600" w:lineRule="exact"/>
              <w:ind w:left="5250"/>
              <w:jc w:val="center"/>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14:paraId="306958A0">
            <w:pPr>
              <w:pStyle w:val="27"/>
              <w:shd w:val="clear"/>
              <w:spacing w:line="600" w:lineRule="exact"/>
              <w:ind w:left="5250"/>
              <w:jc w:val="center"/>
              <w:rPr>
                <w:rFonts w:hint="eastAsia" w:ascii="宋体" w:hAnsi="宋体" w:eastAsia="宋体" w:cs="宋体"/>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0F7EE0D6">
            <w:pPr>
              <w:pStyle w:val="27"/>
              <w:shd w:val="clear"/>
              <w:spacing w:line="600" w:lineRule="exact"/>
              <w:ind w:left="5250"/>
              <w:jc w:val="center"/>
              <w:rPr>
                <w:rFonts w:hint="eastAsia" w:ascii="宋体" w:hAnsi="宋体" w:eastAsia="宋体" w:cs="宋体"/>
                <w:color w:val="auto"/>
                <w:highlight w:val="none"/>
                <w:lang w:val="en-US" w:eastAsia="zh-CN"/>
              </w:rPr>
            </w:pPr>
          </w:p>
        </w:tc>
      </w:tr>
      <w:tr w14:paraId="437F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C04D323">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4C6F5695">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2586721">
            <w:pPr>
              <w:pStyle w:val="27"/>
              <w:shd w:val="clear"/>
              <w:spacing w:line="600" w:lineRule="exact"/>
              <w:ind w:left="5250"/>
              <w:rPr>
                <w:rFonts w:hint="eastAsia" w:ascii="宋体" w:hAnsi="宋体" w:eastAsia="宋体" w:cs="宋体"/>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2226D841">
            <w:pPr>
              <w:pStyle w:val="27"/>
              <w:shd w:val="clear"/>
              <w:spacing w:line="600" w:lineRule="exact"/>
              <w:ind w:left="5250"/>
              <w:rPr>
                <w:rFonts w:hint="eastAsia" w:ascii="宋体" w:hAnsi="宋体" w:eastAsia="宋体" w:cs="宋体"/>
                <w:color w:val="auto"/>
                <w:highlight w:val="none"/>
                <w:lang w:val="en-US" w:eastAsia="zh-CN"/>
              </w:rPr>
            </w:pPr>
          </w:p>
        </w:tc>
      </w:tr>
      <w:tr w14:paraId="44A3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552535A2">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33215AF">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7770FD06">
            <w:pPr>
              <w:pStyle w:val="27"/>
              <w:shd w:val="clear"/>
              <w:spacing w:line="600" w:lineRule="exact"/>
              <w:ind w:left="5250"/>
              <w:rPr>
                <w:rFonts w:hint="eastAsia" w:ascii="宋体" w:hAnsi="宋体" w:eastAsia="宋体" w:cs="宋体"/>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09E116A3">
            <w:pPr>
              <w:pStyle w:val="27"/>
              <w:shd w:val="clear"/>
              <w:spacing w:line="600" w:lineRule="exact"/>
              <w:ind w:left="5250"/>
              <w:rPr>
                <w:rFonts w:hint="eastAsia" w:ascii="宋体" w:hAnsi="宋体" w:eastAsia="宋体" w:cs="宋体"/>
                <w:color w:val="auto"/>
                <w:highlight w:val="none"/>
                <w:lang w:val="en-US" w:eastAsia="zh-CN"/>
              </w:rPr>
            </w:pPr>
          </w:p>
        </w:tc>
      </w:tr>
      <w:tr w14:paraId="3CBB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7C32ACD1">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5E9B22D">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3ED60D53">
            <w:pPr>
              <w:pStyle w:val="27"/>
              <w:shd w:val="clear"/>
              <w:spacing w:line="600" w:lineRule="exact"/>
              <w:ind w:left="5250"/>
              <w:rPr>
                <w:rFonts w:hint="eastAsia" w:ascii="宋体" w:hAnsi="宋体" w:eastAsia="宋体" w:cs="宋体"/>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342841B0">
            <w:pPr>
              <w:pStyle w:val="27"/>
              <w:shd w:val="clear"/>
              <w:spacing w:line="600" w:lineRule="exact"/>
              <w:ind w:left="5250"/>
              <w:rPr>
                <w:rFonts w:hint="eastAsia" w:ascii="宋体" w:hAnsi="宋体" w:eastAsia="宋体" w:cs="宋体"/>
                <w:color w:val="auto"/>
                <w:highlight w:val="none"/>
                <w:lang w:val="en-US" w:eastAsia="zh-CN"/>
              </w:rPr>
            </w:pPr>
          </w:p>
        </w:tc>
      </w:tr>
      <w:tr w14:paraId="24B5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dxa"/>
            <w:tcBorders>
              <w:top w:val="single" w:color="auto" w:sz="4" w:space="0"/>
              <w:left w:val="single" w:color="auto" w:sz="4" w:space="0"/>
              <w:bottom w:val="single" w:color="auto" w:sz="4" w:space="0"/>
              <w:right w:val="single" w:color="auto" w:sz="4" w:space="0"/>
            </w:tcBorders>
            <w:noWrap w:val="0"/>
            <w:vAlign w:val="top"/>
          </w:tcPr>
          <w:p w14:paraId="0A8307FC">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51D1897E">
            <w:pPr>
              <w:pStyle w:val="27"/>
              <w:shd w:val="clear"/>
              <w:spacing w:line="600" w:lineRule="exact"/>
              <w:ind w:left="5250"/>
              <w:rPr>
                <w:rFonts w:hint="eastAsia" w:ascii="宋体" w:hAnsi="宋体" w:eastAsia="宋体" w:cs="宋体"/>
                <w:color w:val="auto"/>
                <w:highlight w:val="none"/>
                <w:lang w:val="en-US" w:eastAsia="zh-CN"/>
              </w:rPr>
            </w:pPr>
          </w:p>
        </w:tc>
        <w:tc>
          <w:tcPr>
            <w:tcW w:w="3600" w:type="dxa"/>
            <w:tcBorders>
              <w:top w:val="single" w:color="auto" w:sz="4" w:space="0"/>
              <w:left w:val="single" w:color="auto" w:sz="4" w:space="0"/>
              <w:bottom w:val="single" w:color="auto" w:sz="4" w:space="0"/>
              <w:right w:val="single" w:color="auto" w:sz="4" w:space="0"/>
            </w:tcBorders>
            <w:noWrap w:val="0"/>
            <w:vAlign w:val="top"/>
          </w:tcPr>
          <w:p w14:paraId="014AF0C5">
            <w:pPr>
              <w:pStyle w:val="27"/>
              <w:shd w:val="clear"/>
              <w:spacing w:line="600" w:lineRule="exact"/>
              <w:ind w:left="5250"/>
              <w:rPr>
                <w:rFonts w:hint="eastAsia" w:ascii="宋体" w:hAnsi="宋体" w:eastAsia="宋体" w:cs="宋体"/>
                <w:color w:val="auto"/>
                <w:highlight w:val="none"/>
                <w:lang w:val="en-US" w:eastAsia="zh-CN"/>
              </w:rPr>
            </w:pPr>
          </w:p>
        </w:tc>
        <w:tc>
          <w:tcPr>
            <w:tcW w:w="1573" w:type="dxa"/>
            <w:tcBorders>
              <w:top w:val="single" w:color="auto" w:sz="4" w:space="0"/>
              <w:left w:val="single" w:color="auto" w:sz="4" w:space="0"/>
              <w:bottom w:val="single" w:color="auto" w:sz="4" w:space="0"/>
              <w:right w:val="single" w:color="auto" w:sz="4" w:space="0"/>
            </w:tcBorders>
            <w:noWrap w:val="0"/>
            <w:vAlign w:val="top"/>
          </w:tcPr>
          <w:p w14:paraId="2995CE7D">
            <w:pPr>
              <w:pStyle w:val="27"/>
              <w:shd w:val="clear"/>
              <w:spacing w:line="600" w:lineRule="exact"/>
              <w:ind w:left="5250"/>
              <w:rPr>
                <w:rFonts w:hint="eastAsia" w:ascii="宋体" w:hAnsi="宋体" w:eastAsia="宋体" w:cs="宋体"/>
                <w:color w:val="auto"/>
                <w:highlight w:val="none"/>
                <w:lang w:val="en-US" w:eastAsia="zh-CN"/>
              </w:rPr>
            </w:pPr>
          </w:p>
        </w:tc>
      </w:tr>
    </w:tbl>
    <w:p w14:paraId="111270E6">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6FD7343">
      <w:pPr>
        <w:shd w:val="clear"/>
        <w:spacing w:line="360" w:lineRule="exact"/>
        <w:rPr>
          <w:rFonts w:hint="eastAsia" w:ascii="宋体" w:hAnsi="宋体" w:eastAsia="宋体" w:cs="宋体"/>
          <w:b/>
          <w:color w:val="auto"/>
          <w:highlight w:val="none"/>
        </w:rPr>
      </w:pPr>
      <w:r>
        <w:rPr>
          <w:rFonts w:hint="eastAsia" w:ascii="宋体" w:hAnsi="宋体" w:eastAsia="宋体" w:cs="宋体"/>
          <w:b/>
          <w:color w:val="auto"/>
          <w:highlight w:val="none"/>
        </w:rPr>
        <w:t>注：投标人应根据提供的服务、对照招标文件要求在服务响应表中详细列明招标要求及投标提供的服务的响应情况，并填写“</w:t>
      </w:r>
      <w:r>
        <w:rPr>
          <w:rFonts w:hint="eastAsia" w:ascii="宋体" w:hAnsi="宋体" w:eastAsia="宋体" w:cs="宋体"/>
          <w:b/>
          <w:color w:val="auto"/>
          <w:sz w:val="24"/>
          <w:highlight w:val="none"/>
        </w:rPr>
        <w:t>偏离说明”</w:t>
      </w:r>
      <w:r>
        <w:rPr>
          <w:rFonts w:hint="eastAsia" w:ascii="宋体" w:hAnsi="宋体" w:eastAsia="宋体" w:cs="宋体"/>
          <w:b/>
          <w:color w:val="auto"/>
          <w:highlight w:val="none"/>
        </w:rPr>
        <w:t>。“</w:t>
      </w:r>
      <w:r>
        <w:rPr>
          <w:rFonts w:hint="eastAsia" w:ascii="宋体" w:hAnsi="宋体" w:eastAsia="宋体" w:cs="宋体"/>
          <w:b/>
          <w:color w:val="auto"/>
          <w:sz w:val="24"/>
          <w:highlight w:val="none"/>
        </w:rPr>
        <w:t>偏离说明</w:t>
      </w:r>
      <w:r>
        <w:rPr>
          <w:rFonts w:hint="eastAsia" w:ascii="宋体" w:hAnsi="宋体" w:eastAsia="宋体" w:cs="宋体"/>
          <w:b/>
          <w:color w:val="auto"/>
          <w:highlight w:val="none"/>
        </w:rPr>
        <w:t>”栏注明“正偏离”、“负偏离”或“无偏离”。投标所提供的服务与招标要求相同的为无偏离，投标所提供的服务高于招标要求的为正偏离，低于招标要求的为负偏离。</w:t>
      </w:r>
    </w:p>
    <w:p w14:paraId="7B6557B0">
      <w:pPr>
        <w:shd w:val="clear"/>
        <w:rPr>
          <w:rFonts w:hint="eastAsia" w:ascii="宋体" w:hAnsi="宋体" w:eastAsia="宋体" w:cs="宋体"/>
          <w:color w:val="auto"/>
          <w:highlight w:val="none"/>
        </w:rPr>
      </w:pPr>
    </w:p>
    <w:p w14:paraId="2052469F">
      <w:pPr>
        <w:shd w:val="clea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法定代表人（负责人）或委托代理人签字或盖章：</w:t>
      </w:r>
      <w:r>
        <w:rPr>
          <w:rFonts w:hint="eastAsia" w:ascii="宋体" w:hAnsi="宋体" w:eastAsia="宋体" w:cs="宋体"/>
          <w:color w:val="auto"/>
          <w:highlight w:val="none"/>
          <w:u w:val="single"/>
        </w:rPr>
        <w:t xml:space="preserve">                 </w:t>
      </w:r>
    </w:p>
    <w:p w14:paraId="4FCBE5D4">
      <w:pPr>
        <w:shd w:val="clear"/>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p w14:paraId="0E907221">
      <w:pPr>
        <w:shd w:val="clear"/>
        <w:rPr>
          <w:rFonts w:hint="eastAsia" w:ascii="宋体" w:hAnsi="宋体" w:eastAsia="宋体" w:cs="宋体"/>
          <w:color w:val="auto"/>
          <w:highlight w:val="none"/>
        </w:rPr>
      </w:pPr>
    </w:p>
    <w:p w14:paraId="4B0AC1D4">
      <w:pPr>
        <w:shd w:val="clear"/>
        <w:spacing w:line="40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highlight w:val="none"/>
        </w:rPr>
        <w:t xml:space="preserve">    </w:t>
      </w:r>
    </w:p>
    <w:p w14:paraId="7169AAD5">
      <w:pPr>
        <w:shd w:val="clear"/>
        <w:spacing w:line="36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    （2）服务方案</w:t>
      </w:r>
      <w:r>
        <w:rPr>
          <w:rFonts w:hint="eastAsia" w:ascii="宋体" w:hAnsi="宋体" w:eastAsia="宋体" w:cs="宋体"/>
          <w:b/>
          <w:color w:val="auto"/>
          <w:szCs w:val="21"/>
          <w:highlight w:val="none"/>
          <w:lang w:eastAsia="zh-CN"/>
        </w:rPr>
        <w:t>[格式自拟，必须提供]</w:t>
      </w:r>
    </w:p>
    <w:p w14:paraId="3D6F82E2">
      <w:pPr>
        <w:shd w:val="clear"/>
        <w:rPr>
          <w:rFonts w:hint="eastAsia" w:ascii="宋体" w:hAnsi="宋体" w:eastAsia="宋体" w:cs="宋体"/>
          <w:color w:val="auto"/>
          <w:highlight w:val="none"/>
        </w:rPr>
      </w:pPr>
    </w:p>
    <w:p w14:paraId="26BC1EAA">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（3）投标人拥有主要服务设施的情况和现状（格式自拟）及项目实施人员一览表</w:t>
      </w:r>
    </w:p>
    <w:p w14:paraId="26DA845D">
      <w:pPr>
        <w:shd w:val="clear"/>
        <w:spacing w:line="36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项目实施人员（主要从业人员及其技术资格）一览表</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14:paraId="4FB94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center"/>
          </w:tcPr>
          <w:p w14:paraId="34D87BA9">
            <w:pPr>
              <w:shd w:val="clear"/>
              <w:snapToGrid w:val="0"/>
              <w:spacing w:before="156" w:beforeLines="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CB8881D">
            <w:pPr>
              <w:shd w:val="clear"/>
              <w:snapToGrid w:val="0"/>
              <w:spacing w:before="156" w:beforeLines="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18BF045">
            <w:pPr>
              <w:shd w:val="clear"/>
              <w:snapToGrid w:val="0"/>
              <w:spacing w:before="156" w:beforeLines="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3364A50">
            <w:pPr>
              <w:shd w:val="clear"/>
              <w:snapToGrid w:val="0"/>
              <w:spacing w:before="156" w:beforeLines="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证书编号</w:t>
            </w:r>
          </w:p>
        </w:tc>
        <w:tc>
          <w:tcPr>
            <w:tcW w:w="2084" w:type="dxa"/>
            <w:tcBorders>
              <w:top w:val="single" w:color="auto" w:sz="4" w:space="0"/>
              <w:left w:val="single" w:color="auto" w:sz="4" w:space="0"/>
              <w:bottom w:val="single" w:color="auto" w:sz="4" w:space="0"/>
              <w:right w:val="single" w:color="auto" w:sz="4" w:space="0"/>
            </w:tcBorders>
            <w:noWrap w:val="0"/>
            <w:vAlign w:val="center"/>
          </w:tcPr>
          <w:p w14:paraId="2A422537">
            <w:pPr>
              <w:shd w:val="clear"/>
              <w:snapToGrid w:val="0"/>
              <w:spacing w:before="156" w:beforeLines="50" w:after="50" w:line="2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参加本单位</w:t>
            </w:r>
          </w:p>
          <w:p w14:paraId="675EA4F4">
            <w:pPr>
              <w:shd w:val="clear"/>
              <w:snapToGrid w:val="0"/>
              <w:spacing w:before="156" w:beforeLines="50" w:after="50" w:line="2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8F98B09">
            <w:pPr>
              <w:shd w:val="clear"/>
              <w:snapToGrid w:val="0"/>
              <w:spacing w:before="156" w:beforeLines="50" w:after="50" w:line="36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劳动合同编号</w:t>
            </w:r>
          </w:p>
        </w:tc>
      </w:tr>
      <w:tr w14:paraId="2AD56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37F71882">
            <w:pPr>
              <w:shd w:val="clear"/>
              <w:snapToGrid w:val="0"/>
              <w:spacing w:before="156" w:beforeLines="50" w:after="50" w:line="360" w:lineRule="exact"/>
              <w:rPr>
                <w:rFonts w:hint="eastAsia" w:ascii="宋体" w:hAnsi="宋体" w:eastAsia="宋体" w:cs="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2BEC07E8">
            <w:pPr>
              <w:shd w:val="clear"/>
              <w:snapToGrid w:val="0"/>
              <w:spacing w:before="156" w:beforeLines="50" w:after="50" w:line="360" w:lineRule="exact"/>
              <w:rPr>
                <w:rFonts w:hint="eastAsia" w:ascii="宋体" w:hAnsi="宋体" w:eastAsia="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2C698745">
            <w:pPr>
              <w:shd w:val="clear"/>
              <w:snapToGrid w:val="0"/>
              <w:spacing w:before="156" w:beforeLines="50" w:after="50" w:line="360" w:lineRule="exact"/>
              <w:rPr>
                <w:rFonts w:hint="eastAsia" w:ascii="宋体" w:hAnsi="宋体" w:eastAsia="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E63B00E">
            <w:pPr>
              <w:shd w:val="clear"/>
              <w:snapToGrid w:val="0"/>
              <w:spacing w:before="156" w:beforeLines="50" w:after="50" w:line="360" w:lineRule="exact"/>
              <w:rPr>
                <w:rFonts w:hint="eastAsia" w:ascii="宋体" w:hAnsi="宋体" w:eastAsia="宋体" w:cs="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0670B8DE">
            <w:pPr>
              <w:shd w:val="clear"/>
              <w:snapToGrid w:val="0"/>
              <w:spacing w:before="156" w:beforeLines="50" w:after="50" w:line="360" w:lineRule="exact"/>
              <w:rPr>
                <w:rFonts w:hint="eastAsia" w:ascii="宋体" w:hAnsi="宋体" w:eastAsia="宋体" w:cs="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7C90F293">
            <w:pPr>
              <w:shd w:val="clear"/>
              <w:snapToGrid w:val="0"/>
              <w:spacing w:before="156" w:beforeLines="50" w:after="50" w:line="360" w:lineRule="exact"/>
              <w:rPr>
                <w:rFonts w:hint="eastAsia" w:ascii="宋体" w:hAnsi="宋体" w:eastAsia="宋体" w:cs="宋体"/>
                <w:color w:val="auto"/>
                <w:szCs w:val="21"/>
                <w:highlight w:val="none"/>
              </w:rPr>
            </w:pPr>
          </w:p>
        </w:tc>
      </w:tr>
      <w:tr w14:paraId="7E327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748191C4">
            <w:pPr>
              <w:shd w:val="clear"/>
              <w:snapToGrid w:val="0"/>
              <w:spacing w:before="156" w:beforeLines="50" w:after="50" w:line="360" w:lineRule="exact"/>
              <w:rPr>
                <w:rFonts w:hint="eastAsia" w:ascii="宋体" w:hAnsi="宋体" w:eastAsia="宋体" w:cs="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33ED6C3A">
            <w:pPr>
              <w:shd w:val="clear"/>
              <w:snapToGrid w:val="0"/>
              <w:spacing w:before="156" w:beforeLines="50" w:after="50" w:line="360" w:lineRule="exact"/>
              <w:rPr>
                <w:rFonts w:hint="eastAsia" w:ascii="宋体" w:hAnsi="宋体" w:eastAsia="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6D0A2FC6">
            <w:pPr>
              <w:shd w:val="clear"/>
              <w:snapToGrid w:val="0"/>
              <w:spacing w:before="156" w:beforeLines="50" w:after="50" w:line="360" w:lineRule="exact"/>
              <w:rPr>
                <w:rFonts w:hint="eastAsia" w:ascii="宋体" w:hAnsi="宋体" w:eastAsia="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11DF19F5">
            <w:pPr>
              <w:shd w:val="clear"/>
              <w:snapToGrid w:val="0"/>
              <w:spacing w:before="156" w:beforeLines="50" w:after="50" w:line="360" w:lineRule="exact"/>
              <w:rPr>
                <w:rFonts w:hint="eastAsia" w:ascii="宋体" w:hAnsi="宋体" w:eastAsia="宋体" w:cs="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6FA7A3EE">
            <w:pPr>
              <w:shd w:val="clear"/>
              <w:snapToGrid w:val="0"/>
              <w:spacing w:before="156" w:beforeLines="50" w:after="50" w:line="360" w:lineRule="exact"/>
              <w:rPr>
                <w:rFonts w:hint="eastAsia" w:ascii="宋体" w:hAnsi="宋体" w:eastAsia="宋体" w:cs="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68DFD2C">
            <w:pPr>
              <w:shd w:val="clear"/>
              <w:snapToGrid w:val="0"/>
              <w:spacing w:before="156" w:beforeLines="50" w:after="50" w:line="360" w:lineRule="exact"/>
              <w:rPr>
                <w:rFonts w:hint="eastAsia" w:ascii="宋体" w:hAnsi="宋体" w:eastAsia="宋体" w:cs="宋体"/>
                <w:color w:val="auto"/>
                <w:szCs w:val="21"/>
                <w:highlight w:val="none"/>
              </w:rPr>
            </w:pPr>
          </w:p>
        </w:tc>
      </w:tr>
      <w:tr w14:paraId="42582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71" w:type="dxa"/>
            <w:tcBorders>
              <w:top w:val="single" w:color="auto" w:sz="4" w:space="0"/>
              <w:left w:val="single" w:color="auto" w:sz="4" w:space="0"/>
              <w:bottom w:val="single" w:color="auto" w:sz="4" w:space="0"/>
              <w:right w:val="single" w:color="auto" w:sz="4" w:space="0"/>
            </w:tcBorders>
            <w:noWrap w:val="0"/>
            <w:vAlign w:val="top"/>
          </w:tcPr>
          <w:p w14:paraId="70F0C916">
            <w:pPr>
              <w:shd w:val="clear"/>
              <w:snapToGrid w:val="0"/>
              <w:spacing w:before="156" w:beforeLines="50" w:after="50" w:line="360" w:lineRule="exact"/>
              <w:rPr>
                <w:rFonts w:hint="eastAsia" w:ascii="宋体" w:hAnsi="宋体" w:eastAsia="宋体" w:cs="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FCC2CC4">
            <w:pPr>
              <w:shd w:val="clear"/>
              <w:snapToGrid w:val="0"/>
              <w:spacing w:before="156" w:beforeLines="50" w:after="50" w:line="360" w:lineRule="exact"/>
              <w:rPr>
                <w:rFonts w:hint="eastAsia" w:ascii="宋体" w:hAnsi="宋体" w:eastAsia="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6D7E4232">
            <w:pPr>
              <w:pStyle w:val="29"/>
              <w:shd w:val="clear"/>
              <w:snapToGrid w:val="0"/>
              <w:spacing w:before="156" w:beforeLines="50" w:after="50" w:line="360" w:lineRule="exact"/>
              <w:ind w:left="5250"/>
              <w:rPr>
                <w:rFonts w:hint="eastAsia" w:ascii="宋体" w:hAnsi="宋体" w:eastAsia="宋体" w:cs="宋体"/>
                <w:color w:val="auto"/>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32F420A">
            <w:pPr>
              <w:shd w:val="clear"/>
              <w:snapToGrid w:val="0"/>
              <w:spacing w:before="156" w:beforeLines="50" w:after="50" w:line="360" w:lineRule="exact"/>
              <w:rPr>
                <w:rFonts w:hint="eastAsia" w:ascii="宋体" w:hAnsi="宋体" w:eastAsia="宋体" w:cs="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14:paraId="03D05BF8">
            <w:pPr>
              <w:shd w:val="clear"/>
              <w:snapToGrid w:val="0"/>
              <w:spacing w:before="156" w:beforeLines="50" w:after="50" w:line="360" w:lineRule="exact"/>
              <w:rPr>
                <w:rFonts w:hint="eastAsia" w:ascii="宋体" w:hAnsi="宋体" w:eastAsia="宋体" w:cs="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226616A1">
            <w:pPr>
              <w:shd w:val="clear"/>
              <w:snapToGrid w:val="0"/>
              <w:spacing w:before="156" w:beforeLines="50" w:after="50" w:line="360" w:lineRule="exact"/>
              <w:rPr>
                <w:rFonts w:hint="eastAsia" w:ascii="宋体" w:hAnsi="宋体" w:eastAsia="宋体" w:cs="宋体"/>
                <w:color w:val="auto"/>
                <w:szCs w:val="21"/>
                <w:highlight w:val="none"/>
              </w:rPr>
            </w:pPr>
          </w:p>
        </w:tc>
      </w:tr>
    </w:tbl>
    <w:p w14:paraId="03706D00">
      <w:pPr>
        <w:shd w:val="clear"/>
        <w:snapToGrid w:val="0"/>
        <w:spacing w:before="50" w:after="50"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zCs w:val="21"/>
          <w:highlight w:val="none"/>
        </w:rPr>
        <w:t>法定代表人（负责人）或委托代理人签字或盖章</w:t>
      </w:r>
      <w:r>
        <w:rPr>
          <w:rFonts w:hint="eastAsia" w:ascii="宋体" w:hAnsi="宋体" w:eastAsia="宋体" w:cs="宋体"/>
          <w:color w:val="auto"/>
          <w:spacing w:val="20"/>
          <w:szCs w:val="21"/>
          <w:highlight w:val="none"/>
        </w:rPr>
        <w:t>：</w:t>
      </w:r>
      <w:r>
        <w:rPr>
          <w:rFonts w:hint="eastAsia" w:ascii="宋体" w:hAnsi="宋体" w:eastAsia="宋体" w:cs="宋体"/>
          <w:color w:val="auto"/>
          <w:spacing w:val="20"/>
          <w:szCs w:val="21"/>
          <w:highlight w:val="none"/>
          <w:u w:val="single"/>
        </w:rPr>
        <w:t xml:space="preserve">        </w:t>
      </w:r>
    </w:p>
    <w:p w14:paraId="0EAB9665">
      <w:pPr>
        <w:shd w:val="clear"/>
        <w:snapToGrid w:val="0"/>
        <w:spacing w:before="50" w:after="50" w:line="36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spacing w:val="20"/>
          <w:szCs w:val="21"/>
          <w:highlight w:val="none"/>
        </w:rPr>
        <w:t>：</w:t>
      </w:r>
      <w:r>
        <w:rPr>
          <w:rFonts w:hint="eastAsia" w:ascii="宋体" w:hAnsi="宋体" w:eastAsia="宋体" w:cs="宋体"/>
          <w:color w:val="auto"/>
          <w:spacing w:val="20"/>
          <w:szCs w:val="21"/>
          <w:highlight w:val="none"/>
          <w:u w:val="single"/>
        </w:rPr>
        <w:t xml:space="preserve">            </w:t>
      </w:r>
      <w:r>
        <w:rPr>
          <w:rFonts w:hint="eastAsia" w:ascii="宋体" w:hAnsi="宋体" w:eastAsia="宋体" w:cs="宋体"/>
          <w:color w:val="auto"/>
          <w:spacing w:val="20"/>
          <w:szCs w:val="21"/>
          <w:highlight w:val="none"/>
        </w:rPr>
        <w:t xml:space="preserve">            日 期：</w:t>
      </w:r>
      <w:r>
        <w:rPr>
          <w:rFonts w:hint="eastAsia" w:ascii="宋体" w:hAnsi="宋体" w:eastAsia="宋体" w:cs="宋体"/>
          <w:color w:val="auto"/>
          <w:spacing w:val="20"/>
          <w:szCs w:val="21"/>
          <w:highlight w:val="none"/>
          <w:u w:val="single"/>
        </w:rPr>
        <w:t xml:space="preserve">            </w:t>
      </w:r>
    </w:p>
    <w:p w14:paraId="0EA31A52">
      <w:pPr>
        <w:shd w:val="clear"/>
        <w:rPr>
          <w:rFonts w:hint="eastAsia" w:ascii="宋体" w:hAnsi="宋体" w:eastAsia="宋体" w:cs="宋体"/>
          <w:color w:val="auto"/>
          <w:highlight w:val="none"/>
        </w:rPr>
      </w:pPr>
    </w:p>
    <w:p w14:paraId="5D1C7F63">
      <w:pPr>
        <w:shd w:val="clear"/>
        <w:rPr>
          <w:rFonts w:hint="eastAsia" w:ascii="宋体" w:hAnsi="宋体" w:eastAsia="宋体" w:cs="宋体"/>
          <w:color w:val="auto"/>
          <w:highlight w:val="none"/>
        </w:rPr>
      </w:pPr>
    </w:p>
    <w:p w14:paraId="58E9B727">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（4）优惠条件：投标人承诺给予招标人的各种优惠条件</w:t>
      </w:r>
    </w:p>
    <w:p w14:paraId="53933AE8">
      <w:pPr>
        <w:shd w:val="clear"/>
        <w:rPr>
          <w:rFonts w:hint="eastAsia" w:ascii="宋体" w:hAnsi="宋体" w:eastAsia="宋体" w:cs="宋体"/>
          <w:color w:val="auto"/>
          <w:highlight w:val="none"/>
        </w:rPr>
      </w:pPr>
    </w:p>
    <w:p w14:paraId="729C22A7">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    （5）投标人对本项目的合理化建议和改进措施（格式自拟）</w:t>
      </w:r>
    </w:p>
    <w:p w14:paraId="5BF9973F">
      <w:pPr>
        <w:shd w:val="clear"/>
        <w:rPr>
          <w:rFonts w:hint="eastAsia" w:ascii="宋体" w:hAnsi="宋体" w:eastAsia="宋体" w:cs="宋体"/>
          <w:color w:val="auto"/>
          <w:highlight w:val="none"/>
        </w:rPr>
      </w:pPr>
    </w:p>
    <w:p w14:paraId="37A86F22">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    （6）投标人认为需要提供的其他材料（格式自拟）</w:t>
      </w:r>
    </w:p>
    <w:p w14:paraId="4EDCBCCF">
      <w:pPr>
        <w:shd w:val="clear"/>
        <w:rPr>
          <w:rFonts w:hint="eastAsia" w:ascii="宋体" w:hAnsi="宋体" w:eastAsia="宋体" w:cs="宋体"/>
          <w:color w:val="auto"/>
          <w:highlight w:val="none"/>
        </w:rPr>
      </w:pPr>
    </w:p>
    <w:p w14:paraId="13042FCD">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（7）招标项目采购需求中要求必须提供的材料（招标项目采购需求中要求必须提供的材料，据实提供）</w:t>
      </w:r>
    </w:p>
    <w:p w14:paraId="1AD36288">
      <w:pPr>
        <w:shd w:val="clear"/>
        <w:spacing w:line="720" w:lineRule="auto"/>
        <w:rPr>
          <w:rFonts w:hint="eastAsia" w:ascii="宋体" w:hAnsi="宋体" w:eastAsia="宋体" w:cs="宋体"/>
          <w:b/>
          <w:color w:val="auto"/>
          <w:highlight w:val="none"/>
        </w:rPr>
      </w:pPr>
      <w:r>
        <w:rPr>
          <w:rFonts w:hint="eastAsia" w:ascii="宋体" w:hAnsi="宋体" w:eastAsia="宋体" w:cs="宋体"/>
          <w:color w:val="auto"/>
          <w:highlight w:val="none"/>
        </w:rPr>
        <w:br w:type="page"/>
      </w:r>
      <w:r>
        <w:rPr>
          <w:rFonts w:hint="eastAsia" w:ascii="宋体" w:hAnsi="宋体" w:eastAsia="宋体" w:cs="宋体"/>
          <w:b/>
          <w:color w:val="auto"/>
          <w:highlight w:val="none"/>
        </w:rPr>
        <w:t>三）报价文件部分 （格式）</w:t>
      </w:r>
    </w:p>
    <w:p w14:paraId="20FDACCC">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    （1）投标函格式</w:t>
      </w:r>
    </w:p>
    <w:p w14:paraId="3A30A81E">
      <w:pPr>
        <w:shd w:val="clear"/>
        <w:snapToGrid w:val="0"/>
        <w:spacing w:before="156" w:beforeLines="50" w:after="50" w:line="36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 标 函</w:t>
      </w:r>
    </w:p>
    <w:p w14:paraId="6AEE6884">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 xml:space="preserve">广西国力招标有限公司 </w:t>
      </w:r>
    </w:p>
    <w:p w14:paraId="6C385C35">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项目的招标公告（项目编号：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（全名）经正式授权并代表投标人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（投标人名称）上传并提交加密的电子投标文件一份。</w:t>
      </w:r>
    </w:p>
    <w:p w14:paraId="5C4EEB85">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据此函，签字代表宣布同意如下：</w:t>
      </w:r>
    </w:p>
    <w:p w14:paraId="780F15D9">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1.投标人已详细审查全部“招标文件”，包括修改文件（如有的话）以及全部参考资料和有关附件，已经了解我方对于招标文件、采购过程、采购结果有依法进行询问、质疑、投诉的权利及相关渠道和要求。</w:t>
      </w:r>
    </w:p>
    <w:p w14:paraId="5237101A">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2.投标人在投标之前已经与贵方进行了充分的沟通，完全理解并接受招标文件的各项规定和要求，对招标文件的合理性、合法性不再有异议。</w:t>
      </w:r>
    </w:p>
    <w:p w14:paraId="0D86498B">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3.本投标有效期自提交投标文件截止之日起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w:t>
      </w:r>
    </w:p>
    <w:p w14:paraId="5793F7DF">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4.如中标，本投标文件至本项目合同履行完毕止均保持有效，本投标人将按“招标文件”及政府采购法律、法规的规定履行合同责任和义务。</w:t>
      </w:r>
    </w:p>
    <w:p w14:paraId="40B9EDB4">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5.投标人同意按照贵方要求提供与投标有关的一切数据或资料。</w:t>
      </w:r>
    </w:p>
    <w:p w14:paraId="526FB1C9">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6.与本投标有关的一切正式往来信函请寄：</w:t>
      </w:r>
    </w:p>
    <w:p w14:paraId="07532907">
      <w:pPr>
        <w:shd w:val="clear"/>
        <w:snapToGrid w:val="0"/>
        <w:spacing w:line="400" w:lineRule="exact"/>
        <w:rPr>
          <w:rFonts w:hint="eastAsia" w:ascii="宋体" w:hAnsi="宋体" w:eastAsia="宋体" w:cs="宋体"/>
          <w:color w:val="auto"/>
          <w:szCs w:val="21"/>
          <w:highlight w:val="none"/>
        </w:rPr>
      </w:pPr>
    </w:p>
    <w:p w14:paraId="68FE2969">
      <w:pPr>
        <w:shd w:val="clea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p>
    <w:p w14:paraId="02E127CA">
      <w:pPr>
        <w:shd w:val="clea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投标人代表姓名：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职务：</w:t>
      </w:r>
      <w:r>
        <w:rPr>
          <w:rFonts w:hint="eastAsia" w:ascii="宋体" w:hAnsi="宋体" w:eastAsia="宋体" w:cs="宋体"/>
          <w:color w:val="auto"/>
          <w:szCs w:val="21"/>
          <w:highlight w:val="none"/>
          <w:u w:val="single"/>
        </w:rPr>
        <w:t xml:space="preserve">               </w:t>
      </w:r>
    </w:p>
    <w:p w14:paraId="1D598F50">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银行账号：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9B3C589">
      <w:pPr>
        <w:shd w:val="clear"/>
        <w:snapToGrid w:val="0"/>
        <w:spacing w:line="400" w:lineRule="exact"/>
        <w:rPr>
          <w:rFonts w:hint="eastAsia" w:ascii="宋体" w:hAnsi="宋体" w:eastAsia="宋体" w:cs="宋体"/>
          <w:color w:val="auto"/>
          <w:szCs w:val="21"/>
          <w:highlight w:val="none"/>
        </w:rPr>
      </w:pPr>
    </w:p>
    <w:p w14:paraId="7FE3B7F9">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法定代表人（负责人）或委托代理人签字或盖章: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F7B1C26">
      <w:pPr>
        <w:shd w:val="clea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0384BF4C">
      <w:pPr>
        <w:shd w:val="clear"/>
        <w:snapToGri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5D58F11">
      <w:pPr>
        <w:shd w:val="clear"/>
        <w:rPr>
          <w:rFonts w:hint="eastAsia" w:ascii="宋体" w:hAnsi="宋体" w:eastAsia="宋体" w:cs="宋体"/>
          <w:color w:val="auto"/>
          <w:highlight w:val="none"/>
        </w:rPr>
      </w:pPr>
    </w:p>
    <w:p w14:paraId="7A7CAB94">
      <w:pPr>
        <w:shd w:val="clear"/>
        <w:rPr>
          <w:rFonts w:hint="eastAsia" w:ascii="宋体" w:hAnsi="宋体" w:eastAsia="宋体" w:cs="宋体"/>
          <w:color w:val="auto"/>
          <w:highlight w:val="none"/>
        </w:rPr>
      </w:pPr>
    </w:p>
    <w:p w14:paraId="2595C800">
      <w:pPr>
        <w:shd w:val="clear"/>
        <w:rPr>
          <w:rFonts w:hint="eastAsia" w:ascii="宋体" w:hAnsi="宋体" w:eastAsia="宋体" w:cs="宋体"/>
          <w:color w:val="auto"/>
          <w:highlight w:val="none"/>
        </w:rPr>
      </w:pPr>
    </w:p>
    <w:p w14:paraId="2096245D">
      <w:pPr>
        <w:shd w:val="clear"/>
        <w:spacing w:line="72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（2）投标报价明细表格式</w:t>
      </w:r>
    </w:p>
    <w:p w14:paraId="134F5219">
      <w:pPr>
        <w:shd w:val="clear"/>
        <w:spacing w:line="36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投标报价明细表</w:t>
      </w:r>
    </w:p>
    <w:p w14:paraId="5155C4F3">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分标号（如有）：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 xml:space="preserve">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1875"/>
        <w:gridCol w:w="1290"/>
        <w:gridCol w:w="1110"/>
        <w:gridCol w:w="1620"/>
        <w:gridCol w:w="2115"/>
        <w:gridCol w:w="1110"/>
      </w:tblGrid>
      <w:tr w14:paraId="080BC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459" w:type="dxa"/>
            <w:tcBorders>
              <w:top w:val="single" w:color="auto" w:sz="4" w:space="0"/>
              <w:left w:val="single" w:color="auto" w:sz="4" w:space="0"/>
              <w:bottom w:val="single" w:color="auto" w:sz="4" w:space="0"/>
              <w:right w:val="single" w:color="auto" w:sz="4" w:space="0"/>
            </w:tcBorders>
            <w:noWrap w:val="0"/>
            <w:vAlign w:val="center"/>
          </w:tcPr>
          <w:p w14:paraId="622C9D1B">
            <w:pPr>
              <w:shd w:val="clear"/>
              <w:snapToGrid w:val="0"/>
              <w:spacing w:before="50" w:after="5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3BDF0393">
            <w:pPr>
              <w:shd w:val="clea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服务项目名称</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224FB0D0">
            <w:pPr>
              <w:shd w:val="clear"/>
              <w:snapToGrid w:val="0"/>
              <w:spacing w:before="50" w:after="50"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需求医辅人员人数①</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64A5470">
            <w:pPr>
              <w:shd w:val="clear"/>
              <w:snapToGrid w:val="0"/>
              <w:spacing w:before="50" w:after="50"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月数②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FAF3413">
            <w:pPr>
              <w:shd w:val="clea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投标单价</w:t>
            </w:r>
            <w:r>
              <w:rPr>
                <w:rFonts w:hint="eastAsia" w:ascii="宋体" w:hAnsi="宋体" w:eastAsia="宋体" w:cs="宋体"/>
                <w:color w:val="auto"/>
                <w:szCs w:val="21"/>
                <w:highlight w:val="none"/>
              </w:rPr>
              <w:t>（元/人/月）③</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18CBEC49">
            <w:pPr>
              <w:shd w:val="clear"/>
              <w:snapToGrid w:val="0"/>
              <w:spacing w:before="50" w:after="50" w:line="360" w:lineRule="exact"/>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投标合价（元）</w:t>
            </w:r>
          </w:p>
          <w:p w14:paraId="6206353D">
            <w:pPr>
              <w:shd w:val="clear"/>
              <w:snapToGrid w:val="0"/>
              <w:spacing w:before="50" w:after="50"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④=①×②×③</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01A6C05">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备注</w:t>
            </w:r>
          </w:p>
        </w:tc>
      </w:tr>
      <w:tr w14:paraId="2B075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459" w:type="dxa"/>
            <w:tcBorders>
              <w:top w:val="single" w:color="auto" w:sz="4" w:space="0"/>
              <w:left w:val="single" w:color="auto" w:sz="4" w:space="0"/>
              <w:bottom w:val="single" w:color="auto" w:sz="4" w:space="0"/>
              <w:right w:val="single" w:color="auto" w:sz="4" w:space="0"/>
            </w:tcBorders>
            <w:noWrap w:val="0"/>
            <w:vAlign w:val="center"/>
          </w:tcPr>
          <w:p w14:paraId="25904E02">
            <w:pPr>
              <w:shd w:val="clear"/>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EF0887D">
            <w:pPr>
              <w:shd w:val="clear"/>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广西壮族自治区妇幼保健院医疗辅助服务项目</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58FE6171">
            <w:pPr>
              <w:shd w:val="clea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26人</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020C01D0">
            <w:pPr>
              <w:shd w:val="clea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24个月</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56A930A">
            <w:pPr>
              <w:shd w:val="clear"/>
              <w:jc w:val="center"/>
              <w:rPr>
                <w:rFonts w:hint="eastAsia" w:ascii="宋体" w:hAnsi="宋体" w:eastAsia="宋体" w:cs="宋体"/>
                <w:color w:val="auto"/>
                <w:highlight w:val="none"/>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5C56EA3E">
            <w:pPr>
              <w:shd w:val="clear"/>
              <w:jc w:val="center"/>
              <w:rPr>
                <w:rFonts w:hint="eastAsia" w:ascii="宋体" w:hAnsi="宋体" w:eastAsia="宋体" w:cs="宋体"/>
                <w:color w:val="auto"/>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2EC1C714">
            <w:pPr>
              <w:shd w:val="clear"/>
              <w:jc w:val="center"/>
              <w:rPr>
                <w:rFonts w:hint="eastAsia" w:ascii="宋体" w:hAnsi="宋体" w:eastAsia="宋体" w:cs="宋体"/>
                <w:color w:val="auto"/>
                <w:highlight w:val="none"/>
              </w:rPr>
            </w:pPr>
          </w:p>
        </w:tc>
      </w:tr>
      <w:tr w14:paraId="4E64B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9579" w:type="dxa"/>
            <w:gridSpan w:val="7"/>
            <w:tcBorders>
              <w:top w:val="single" w:color="auto" w:sz="4" w:space="0"/>
              <w:left w:val="single" w:color="auto" w:sz="4" w:space="0"/>
              <w:bottom w:val="single" w:color="auto" w:sz="4" w:space="0"/>
              <w:right w:val="single" w:color="auto" w:sz="4" w:space="0"/>
            </w:tcBorders>
            <w:noWrap w:val="0"/>
            <w:vAlign w:val="center"/>
          </w:tcPr>
          <w:p w14:paraId="7F031DE6">
            <w:pPr>
              <w:shd w:val="clear"/>
              <w:snapToGrid w:val="0"/>
              <w:spacing w:before="50" w:after="50" w:line="36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highlight w:val="none"/>
              </w:rPr>
              <w:t>投标总价（</w:t>
            </w:r>
            <w:r>
              <w:rPr>
                <w:rFonts w:hint="eastAsia" w:ascii="宋体" w:hAnsi="宋体" w:eastAsia="宋体" w:cs="宋体"/>
                <w:color w:val="auto"/>
                <w:szCs w:val="21"/>
                <w:highlight w:val="none"/>
              </w:rPr>
              <w:t>合计金额大写）：</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none"/>
                <w:lang w:eastAsia="zh-CN"/>
              </w:rPr>
              <w:t>）</w:t>
            </w:r>
          </w:p>
        </w:tc>
      </w:tr>
    </w:tbl>
    <w:p w14:paraId="00145B06">
      <w:pPr>
        <w:shd w:val="clear"/>
        <w:rPr>
          <w:rFonts w:hint="eastAsia" w:ascii="宋体" w:hAnsi="宋体" w:eastAsia="宋体" w:cs="宋体"/>
          <w:color w:val="auto"/>
          <w:highlight w:val="none"/>
        </w:rPr>
      </w:pPr>
    </w:p>
    <w:p w14:paraId="6A15D44D">
      <w:pPr>
        <w:shd w:val="clear"/>
        <w:snapToGrid w:val="0"/>
        <w:spacing w:before="50" w:after="50" w:line="360" w:lineRule="exact"/>
        <w:rPr>
          <w:rFonts w:hint="eastAsia" w:ascii="宋体" w:hAnsi="宋体" w:eastAsia="宋体" w:cs="宋体"/>
          <w:color w:val="auto"/>
          <w:spacing w:val="20"/>
          <w:szCs w:val="21"/>
          <w:highlight w:val="none"/>
          <w:u w:val="single"/>
        </w:rPr>
      </w:pPr>
      <w:r>
        <w:rPr>
          <w:rFonts w:hint="eastAsia" w:ascii="宋体" w:hAnsi="宋体" w:eastAsia="宋体" w:cs="宋体"/>
          <w:color w:val="auto"/>
          <w:szCs w:val="21"/>
          <w:highlight w:val="none"/>
        </w:rPr>
        <w:t>法定代表人（负责人）或委托代理人签字或盖章</w:t>
      </w:r>
      <w:r>
        <w:rPr>
          <w:rFonts w:hint="eastAsia" w:ascii="宋体" w:hAnsi="宋体" w:eastAsia="宋体" w:cs="宋体"/>
          <w:color w:val="auto"/>
          <w:spacing w:val="20"/>
          <w:szCs w:val="21"/>
          <w:highlight w:val="none"/>
        </w:rPr>
        <w:t>：</w:t>
      </w:r>
      <w:r>
        <w:rPr>
          <w:rFonts w:hint="eastAsia" w:ascii="宋体" w:hAnsi="宋体" w:eastAsia="宋体" w:cs="宋体"/>
          <w:color w:val="auto"/>
          <w:spacing w:val="20"/>
          <w:szCs w:val="21"/>
          <w:highlight w:val="none"/>
          <w:u w:val="single"/>
        </w:rPr>
        <w:t xml:space="preserve">            </w:t>
      </w:r>
    </w:p>
    <w:p w14:paraId="3703A6A8">
      <w:pPr>
        <w:shd w:val="clear"/>
        <w:rPr>
          <w:rFonts w:hint="eastAsia" w:ascii="宋体" w:hAnsi="宋体" w:eastAsia="宋体" w:cs="宋体"/>
          <w:color w:val="auto"/>
          <w:highlight w:val="none"/>
        </w:rPr>
      </w:pPr>
      <w:r>
        <w:rPr>
          <w:rFonts w:hint="eastAsia" w:ascii="宋体" w:hAnsi="宋体" w:eastAsia="宋体" w:cs="宋体"/>
          <w:color w:val="auto"/>
          <w:highlight w:val="none"/>
        </w:rPr>
        <w:t>投标人名称（</w:t>
      </w:r>
      <w:r>
        <w:rPr>
          <w:rFonts w:hint="eastAsia" w:ascii="宋体" w:hAnsi="宋体" w:eastAsia="宋体" w:cs="宋体"/>
          <w:color w:val="auto"/>
          <w:szCs w:val="21"/>
          <w:highlight w:val="none"/>
        </w:rPr>
        <w:t>盖章</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p w14:paraId="6CFD79CF">
      <w:pPr>
        <w:shd w:val="clear"/>
        <w:rPr>
          <w:rFonts w:hint="eastAsia" w:ascii="宋体" w:hAnsi="宋体" w:eastAsia="宋体" w:cs="宋体"/>
          <w:color w:val="auto"/>
          <w:highlight w:val="none"/>
        </w:rPr>
      </w:pPr>
    </w:p>
    <w:p w14:paraId="6E6786AE">
      <w:pPr>
        <w:shd w:val="clear"/>
        <w:rPr>
          <w:rFonts w:hint="eastAsia" w:ascii="宋体" w:hAnsi="宋体" w:eastAsia="宋体" w:cs="宋体"/>
          <w:color w:val="auto"/>
          <w:highlight w:val="none"/>
        </w:rPr>
      </w:pPr>
    </w:p>
    <w:p w14:paraId="76DA6FAB">
      <w:pPr>
        <w:shd w:val="clear"/>
        <w:rPr>
          <w:rFonts w:hint="eastAsia" w:ascii="宋体" w:hAnsi="宋体" w:eastAsia="宋体" w:cs="宋体"/>
          <w:color w:val="auto"/>
          <w:highlight w:val="none"/>
        </w:rPr>
      </w:pPr>
    </w:p>
    <w:p w14:paraId="609A231C">
      <w:pPr>
        <w:shd w:val="clear"/>
        <w:rPr>
          <w:rFonts w:hint="eastAsia" w:ascii="宋体" w:hAnsi="宋体" w:eastAsia="宋体" w:cs="宋体"/>
          <w:color w:val="auto"/>
          <w:highlight w:val="none"/>
        </w:rPr>
      </w:pPr>
    </w:p>
    <w:p w14:paraId="52A982ED">
      <w:pPr>
        <w:shd w:val="clear"/>
        <w:rPr>
          <w:rFonts w:hint="eastAsia" w:ascii="宋体" w:hAnsi="宋体" w:eastAsia="宋体" w:cs="宋体"/>
          <w:color w:val="auto"/>
          <w:highlight w:val="none"/>
        </w:rPr>
      </w:pPr>
    </w:p>
    <w:p w14:paraId="36617A8B">
      <w:pPr>
        <w:shd w:val="clear"/>
        <w:rPr>
          <w:rFonts w:hint="eastAsia" w:ascii="宋体" w:hAnsi="宋体" w:eastAsia="宋体" w:cs="宋体"/>
          <w:color w:val="auto"/>
          <w:highlight w:val="none"/>
        </w:rPr>
      </w:pPr>
    </w:p>
    <w:p w14:paraId="11157204">
      <w:pPr>
        <w:shd w:val="clear"/>
        <w:rPr>
          <w:rFonts w:hint="eastAsia" w:ascii="宋体" w:hAnsi="宋体" w:eastAsia="宋体" w:cs="宋体"/>
          <w:color w:val="auto"/>
          <w:highlight w:val="none"/>
        </w:rPr>
      </w:pPr>
    </w:p>
    <w:p w14:paraId="2FE90E62">
      <w:pPr>
        <w:shd w:val="clear"/>
        <w:rPr>
          <w:rFonts w:hint="eastAsia" w:ascii="宋体" w:hAnsi="宋体" w:eastAsia="宋体" w:cs="宋体"/>
          <w:color w:val="auto"/>
          <w:highlight w:val="none"/>
        </w:rPr>
      </w:pPr>
    </w:p>
    <w:p w14:paraId="025F8236">
      <w:pPr>
        <w:shd w:val="clear"/>
        <w:rPr>
          <w:rFonts w:hint="eastAsia" w:ascii="宋体" w:hAnsi="宋体" w:eastAsia="宋体" w:cs="宋体"/>
          <w:color w:val="auto"/>
          <w:highlight w:val="none"/>
        </w:rPr>
      </w:pPr>
    </w:p>
    <w:p w14:paraId="41A6C05B">
      <w:pPr>
        <w:shd w:val="clear"/>
        <w:rPr>
          <w:rFonts w:hint="eastAsia" w:ascii="宋体" w:hAnsi="宋体" w:eastAsia="宋体" w:cs="宋体"/>
          <w:color w:val="auto"/>
          <w:highlight w:val="none"/>
        </w:rPr>
      </w:pPr>
      <w:r>
        <w:rPr>
          <w:rFonts w:hint="eastAsia" w:ascii="宋体" w:hAnsi="宋体" w:eastAsia="宋体" w:cs="宋体"/>
          <w:color w:val="auto"/>
          <w:highlight w:val="none"/>
        </w:rPr>
        <w:t xml:space="preserve">    （3）投标人针对报价需要说明的其他文件和说明（格式自拟）</w:t>
      </w:r>
    </w:p>
    <w:p w14:paraId="393A821B">
      <w:pPr>
        <w:shd w:val="clear"/>
        <w:spacing w:line="72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3AA0A691">
      <w:pPr>
        <w:shd w:val="clear"/>
        <w:spacing w:line="720" w:lineRule="auto"/>
        <w:rPr>
          <w:rFonts w:hint="eastAsia" w:ascii="宋体" w:hAnsi="宋体" w:eastAsia="宋体" w:cs="宋体"/>
          <w:b/>
          <w:color w:val="auto"/>
          <w:highlight w:val="none"/>
        </w:rPr>
      </w:pPr>
      <w:r>
        <w:rPr>
          <w:rFonts w:hint="eastAsia" w:ascii="宋体" w:hAnsi="宋体" w:eastAsia="宋体" w:cs="宋体"/>
          <w:color w:val="auto"/>
          <w:highlight w:val="none"/>
        </w:rPr>
        <w:br w:type="page"/>
      </w:r>
      <w:r>
        <w:rPr>
          <w:rFonts w:hint="eastAsia" w:ascii="宋体" w:hAnsi="宋体" w:eastAsia="宋体" w:cs="宋体"/>
          <w:b/>
          <w:color w:val="auto"/>
          <w:highlight w:val="none"/>
        </w:rPr>
        <w:t>（4）开标一览表</w:t>
      </w:r>
    </w:p>
    <w:p w14:paraId="0D8B17A4">
      <w:pPr>
        <w:shd w:val="clear"/>
        <w:jc w:val="center"/>
        <w:rPr>
          <w:rFonts w:hint="eastAsia" w:ascii="宋体" w:hAnsi="宋体" w:eastAsia="宋体" w:cs="宋体"/>
          <w:b/>
          <w:color w:val="auto"/>
          <w:highlight w:val="none"/>
        </w:rPr>
      </w:pPr>
      <w:r>
        <w:rPr>
          <w:rFonts w:hint="eastAsia" w:ascii="宋体" w:hAnsi="宋体" w:eastAsia="宋体" w:cs="宋体"/>
          <w:b/>
          <w:color w:val="auto"/>
          <w:highlight w:val="none"/>
        </w:rPr>
        <w:t>开标一览表</w:t>
      </w:r>
    </w:p>
    <w:p w14:paraId="0F9CCA4E">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采购项目名称：</w:t>
      </w:r>
    </w:p>
    <w:p w14:paraId="5CEEEEC6">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采购项目编号：</w:t>
      </w:r>
    </w:p>
    <w:p w14:paraId="0D7834A3">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分标号（如有）：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9"/>
        <w:gridCol w:w="1875"/>
        <w:gridCol w:w="1290"/>
        <w:gridCol w:w="1110"/>
        <w:gridCol w:w="1620"/>
        <w:gridCol w:w="2115"/>
        <w:gridCol w:w="1110"/>
      </w:tblGrid>
      <w:tr w14:paraId="3257D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459" w:type="dxa"/>
            <w:tcBorders>
              <w:top w:val="single" w:color="auto" w:sz="4" w:space="0"/>
              <w:left w:val="single" w:color="auto" w:sz="4" w:space="0"/>
              <w:bottom w:val="single" w:color="auto" w:sz="4" w:space="0"/>
              <w:right w:val="single" w:color="auto" w:sz="4" w:space="0"/>
            </w:tcBorders>
            <w:noWrap w:val="0"/>
            <w:vAlign w:val="center"/>
          </w:tcPr>
          <w:p w14:paraId="409BCE66">
            <w:pPr>
              <w:shd w:val="clear"/>
              <w:snapToGrid w:val="0"/>
              <w:spacing w:before="50" w:after="5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122C7BAF">
            <w:pPr>
              <w:shd w:val="clea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服务项目名称</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1EE6495">
            <w:pPr>
              <w:shd w:val="clear"/>
              <w:snapToGrid w:val="0"/>
              <w:spacing w:before="50" w:after="50" w:line="3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需求医辅人员人数①</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17B2AED9">
            <w:pPr>
              <w:shd w:val="clear"/>
              <w:snapToGrid w:val="0"/>
              <w:spacing w:before="50" w:after="50" w:line="360" w:lineRule="exact"/>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月数②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EC0211F">
            <w:pPr>
              <w:shd w:val="clear"/>
              <w:snapToGrid w:val="0"/>
              <w:spacing w:before="50" w:after="5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投标单价</w:t>
            </w:r>
            <w:r>
              <w:rPr>
                <w:rFonts w:hint="eastAsia" w:ascii="宋体" w:hAnsi="宋体" w:eastAsia="宋体" w:cs="宋体"/>
                <w:color w:val="auto"/>
                <w:szCs w:val="21"/>
                <w:highlight w:val="none"/>
              </w:rPr>
              <w:t>（元/人/月）③</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08367449">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投标合价（元）</w:t>
            </w:r>
          </w:p>
          <w:p w14:paraId="39D9E66E">
            <w:pPr>
              <w:shd w:val="clear"/>
              <w:snapToGrid w:val="0"/>
              <w:spacing w:before="50" w:after="50"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④=①×②×③</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EA2FE3E">
            <w:pPr>
              <w:shd w:val="clear"/>
              <w:snapToGrid w:val="0"/>
              <w:spacing w:before="50" w:after="50" w:line="36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备注</w:t>
            </w:r>
          </w:p>
        </w:tc>
      </w:tr>
      <w:tr w14:paraId="21287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459" w:type="dxa"/>
            <w:tcBorders>
              <w:top w:val="single" w:color="auto" w:sz="4" w:space="0"/>
              <w:left w:val="single" w:color="auto" w:sz="4" w:space="0"/>
              <w:bottom w:val="single" w:color="auto" w:sz="4" w:space="0"/>
              <w:right w:val="single" w:color="auto" w:sz="4" w:space="0"/>
            </w:tcBorders>
            <w:noWrap w:val="0"/>
            <w:vAlign w:val="center"/>
          </w:tcPr>
          <w:p w14:paraId="0BF25553">
            <w:pPr>
              <w:shd w:val="clea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D59C4B5">
            <w:pPr>
              <w:shd w:val="clear"/>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广西壮族自治区妇幼保健院医疗辅助服务项目</w:t>
            </w:r>
          </w:p>
        </w:tc>
        <w:tc>
          <w:tcPr>
            <w:tcW w:w="1290" w:type="dxa"/>
            <w:tcBorders>
              <w:top w:val="single" w:color="auto" w:sz="4" w:space="0"/>
              <w:left w:val="single" w:color="auto" w:sz="4" w:space="0"/>
              <w:bottom w:val="single" w:color="auto" w:sz="4" w:space="0"/>
              <w:right w:val="single" w:color="auto" w:sz="4" w:space="0"/>
            </w:tcBorders>
            <w:noWrap w:val="0"/>
            <w:vAlign w:val="center"/>
          </w:tcPr>
          <w:p w14:paraId="421A89AE">
            <w:pPr>
              <w:shd w:val="clea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26人</w:t>
            </w:r>
          </w:p>
        </w:tc>
        <w:tc>
          <w:tcPr>
            <w:tcW w:w="1110" w:type="dxa"/>
            <w:tcBorders>
              <w:top w:val="single" w:color="auto" w:sz="4" w:space="0"/>
              <w:left w:val="single" w:color="auto" w:sz="4" w:space="0"/>
              <w:bottom w:val="single" w:color="auto" w:sz="4" w:space="0"/>
              <w:right w:val="single" w:color="auto" w:sz="4" w:space="0"/>
            </w:tcBorders>
            <w:noWrap w:val="0"/>
            <w:vAlign w:val="center"/>
          </w:tcPr>
          <w:p w14:paraId="6D1F20C9">
            <w:pPr>
              <w:shd w:val="clea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24个月</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E052111">
            <w:pPr>
              <w:shd w:val="clear"/>
              <w:jc w:val="center"/>
              <w:rPr>
                <w:rFonts w:hint="eastAsia" w:ascii="宋体" w:hAnsi="宋体" w:eastAsia="宋体" w:cs="宋体"/>
                <w:color w:val="auto"/>
                <w:highlight w:val="none"/>
              </w:rPr>
            </w:pPr>
          </w:p>
        </w:tc>
        <w:tc>
          <w:tcPr>
            <w:tcW w:w="2115" w:type="dxa"/>
            <w:tcBorders>
              <w:top w:val="single" w:color="auto" w:sz="4" w:space="0"/>
              <w:left w:val="single" w:color="auto" w:sz="4" w:space="0"/>
              <w:bottom w:val="single" w:color="auto" w:sz="4" w:space="0"/>
              <w:right w:val="single" w:color="auto" w:sz="4" w:space="0"/>
            </w:tcBorders>
            <w:noWrap w:val="0"/>
            <w:vAlign w:val="center"/>
          </w:tcPr>
          <w:p w14:paraId="78A4973B">
            <w:pPr>
              <w:shd w:val="clear"/>
              <w:jc w:val="center"/>
              <w:rPr>
                <w:rFonts w:hint="eastAsia" w:ascii="宋体" w:hAnsi="宋体" w:eastAsia="宋体" w:cs="宋体"/>
                <w:color w:val="auto"/>
                <w:highlight w:val="none"/>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14:paraId="3AB73C84">
            <w:pPr>
              <w:shd w:val="clear"/>
              <w:jc w:val="center"/>
              <w:rPr>
                <w:rFonts w:hint="eastAsia" w:ascii="宋体" w:hAnsi="宋体" w:eastAsia="宋体" w:cs="宋体"/>
                <w:color w:val="auto"/>
                <w:highlight w:val="none"/>
              </w:rPr>
            </w:pPr>
          </w:p>
        </w:tc>
      </w:tr>
      <w:tr w14:paraId="43688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9579" w:type="dxa"/>
            <w:gridSpan w:val="7"/>
            <w:tcBorders>
              <w:top w:val="single" w:color="auto" w:sz="4" w:space="0"/>
              <w:left w:val="single" w:color="auto" w:sz="4" w:space="0"/>
              <w:bottom w:val="single" w:color="auto" w:sz="4" w:space="0"/>
              <w:right w:val="single" w:color="auto" w:sz="4" w:space="0"/>
            </w:tcBorders>
            <w:noWrap w:val="0"/>
            <w:vAlign w:val="center"/>
          </w:tcPr>
          <w:p w14:paraId="2EE4B06A">
            <w:pPr>
              <w:shd w:val="clear"/>
              <w:snapToGrid w:val="0"/>
              <w:spacing w:before="50" w:after="50" w:line="360" w:lineRule="exact"/>
              <w:rPr>
                <w:rFonts w:hint="eastAsia" w:ascii="宋体" w:hAnsi="宋体" w:eastAsia="宋体" w:cs="宋体"/>
                <w:color w:val="auto"/>
                <w:szCs w:val="21"/>
                <w:highlight w:val="none"/>
                <w:u w:val="single"/>
                <w:lang w:eastAsia="zh-CN"/>
              </w:rPr>
            </w:pPr>
            <w:r>
              <w:rPr>
                <w:rFonts w:hint="eastAsia" w:ascii="宋体" w:hAnsi="宋体" w:eastAsia="宋体" w:cs="宋体"/>
                <w:color w:val="auto"/>
                <w:highlight w:val="none"/>
              </w:rPr>
              <w:t>投标总价（</w:t>
            </w:r>
            <w:r>
              <w:rPr>
                <w:rFonts w:hint="eastAsia" w:ascii="宋体" w:hAnsi="宋体" w:eastAsia="宋体" w:cs="宋体"/>
                <w:color w:val="auto"/>
                <w:szCs w:val="21"/>
                <w:highlight w:val="none"/>
              </w:rPr>
              <w:t>合计金额大写）：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p>
        </w:tc>
      </w:tr>
    </w:tbl>
    <w:p w14:paraId="6CE780A7">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注：1.报价一经涂改，应在涂改处加盖单位公章或者由法定代表人（负责人）或授权委托人签字或盖章，否则其投标作无效标处理。</w:t>
      </w:r>
    </w:p>
    <w:p w14:paraId="7F3CA828">
      <w:pPr>
        <w:shd w:val="clear"/>
        <w:spacing w:line="360" w:lineRule="exact"/>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2.开标一览表中的“</w:t>
      </w:r>
      <w:r>
        <w:rPr>
          <w:rFonts w:hint="default" w:ascii="宋体" w:hAnsi="宋体" w:eastAsia="宋体" w:cs="宋体"/>
          <w:color w:val="auto"/>
          <w:highlight w:val="none"/>
          <w:lang w:val="en-US"/>
        </w:rPr>
        <w:t>投标单价</w:t>
      </w:r>
      <w:r>
        <w:rPr>
          <w:rFonts w:hint="eastAsia" w:ascii="宋体" w:hAnsi="宋体" w:eastAsia="宋体" w:cs="宋体"/>
          <w:color w:val="auto"/>
          <w:highlight w:val="none"/>
        </w:rPr>
        <w:t>”“</w:t>
      </w:r>
      <w:r>
        <w:rPr>
          <w:rFonts w:hint="default" w:ascii="宋体" w:hAnsi="宋体" w:eastAsia="宋体" w:cs="宋体"/>
          <w:color w:val="auto"/>
          <w:highlight w:val="none"/>
          <w:lang w:val="en-US"/>
        </w:rPr>
        <w:t>投标合价</w:t>
      </w:r>
      <w:r>
        <w:rPr>
          <w:rFonts w:hint="eastAsia" w:ascii="宋体" w:hAnsi="宋体" w:eastAsia="宋体" w:cs="宋体"/>
          <w:color w:val="auto"/>
          <w:highlight w:val="none"/>
        </w:rPr>
        <w:t>”“投标总价”必须填写。</w:t>
      </w:r>
    </w:p>
    <w:p w14:paraId="517F08FD">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3.投标费用包括项目实施所需的人工费、服务费、运输费、安装调试费、获取及制作标书费、税费及其他一切费用。</w:t>
      </w:r>
    </w:p>
    <w:p w14:paraId="11138801">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4.以上报价应与“投标报价明细表”中的“投标总价”相一致。</w:t>
      </w:r>
    </w:p>
    <w:p w14:paraId="55248A61">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5.联合体投标时，开标一览表中投标人名称必须注明联合体并加盖联合体各方公章，同时须提供联合协议。</w:t>
      </w:r>
    </w:p>
    <w:p w14:paraId="683857EE">
      <w:pPr>
        <w:shd w:val="clear"/>
        <w:spacing w:line="36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6.项目中有多个分标的，每一分标的开标一览表必须分别按格式要求填写并签字、盖章。</w:t>
      </w:r>
    </w:p>
    <w:p w14:paraId="1C59CED4">
      <w:pPr>
        <w:shd w:val="clear"/>
        <w:spacing w:line="360" w:lineRule="exac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7.</w:t>
      </w:r>
      <w:r>
        <w:rPr>
          <w:rFonts w:hint="eastAsia" w:ascii="宋体" w:hAnsi="宋体" w:eastAsia="宋体" w:cs="宋体"/>
          <w:b/>
          <w:bCs/>
          <w:color w:val="auto"/>
          <w:highlight w:val="none"/>
          <w:lang w:val="en-US" w:eastAsia="zh-CN"/>
        </w:rPr>
        <w:t>投标单价不得高于采购文件公布的单价控制价（5000元/人/月），投标合价、投标总价不得超过本项目预算（3120000元），任一单价、合价或总价超出上限的，投标无效</w:t>
      </w:r>
      <w:r>
        <w:rPr>
          <w:rFonts w:hint="eastAsia" w:ascii="宋体" w:hAnsi="宋体" w:eastAsia="宋体" w:cs="宋体"/>
          <w:color w:val="auto"/>
          <w:highlight w:val="none"/>
          <w:lang w:val="en-US" w:eastAsia="zh-CN"/>
        </w:rPr>
        <w:t>。</w:t>
      </w:r>
    </w:p>
    <w:p w14:paraId="75FC52D2">
      <w:pPr>
        <w:shd w:val="clear"/>
        <w:snapToGrid w:val="0"/>
        <w:spacing w:before="50" w:after="50" w:line="360" w:lineRule="exact"/>
        <w:ind w:left="-2" w:leftChars="-1" w:right="-817" w:rightChars="-389"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法定代表人(负责人)或委托代理人（签字或盖章）：</w:t>
      </w:r>
      <w:r>
        <w:rPr>
          <w:rFonts w:hint="eastAsia" w:ascii="宋体" w:hAnsi="宋体" w:eastAsia="宋体" w:cs="宋体"/>
          <w:color w:val="auto"/>
          <w:szCs w:val="21"/>
          <w:highlight w:val="none"/>
          <w:u w:val="single"/>
        </w:rPr>
        <w:t xml:space="preserve">                   </w:t>
      </w:r>
    </w:p>
    <w:p w14:paraId="1BD1F445">
      <w:pPr>
        <w:shd w:val="clear"/>
        <w:snapToGrid w:val="0"/>
        <w:spacing w:before="50" w:after="50" w:line="360" w:lineRule="exact"/>
        <w:ind w:right="-817" w:rightChars="-389"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投标人名称（盖章）：</w:t>
      </w:r>
      <w:r>
        <w:rPr>
          <w:rFonts w:hint="eastAsia" w:ascii="宋体" w:hAnsi="宋体" w:eastAsia="宋体" w:cs="宋体"/>
          <w:color w:val="auto"/>
          <w:szCs w:val="21"/>
          <w:highlight w:val="none"/>
          <w:u w:val="single"/>
        </w:rPr>
        <w:t xml:space="preserve">                               </w:t>
      </w:r>
    </w:p>
    <w:p w14:paraId="65B317A6">
      <w:pPr>
        <w:shd w:val="clear"/>
        <w:snapToGrid w:val="0"/>
        <w:spacing w:before="50" w:after="50" w:line="360" w:lineRule="exact"/>
        <w:ind w:right="-817" w:rightChars="-389"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4E97EEC8">
      <w:pPr>
        <w:shd w:val="clear"/>
        <w:snapToGrid w:val="0"/>
        <w:spacing w:line="380" w:lineRule="exact"/>
        <w:ind w:firstLine="422" w:firstLineChars="200"/>
        <w:jc w:val="left"/>
        <w:rPr>
          <w:rFonts w:hint="eastAsia" w:ascii="宋体" w:hAnsi="宋体" w:eastAsia="宋体" w:cs="宋体"/>
          <w:b/>
          <w:color w:val="auto"/>
          <w:szCs w:val="21"/>
          <w:highlight w:val="none"/>
        </w:rPr>
      </w:pPr>
    </w:p>
    <w:p w14:paraId="57736C2D">
      <w:pPr>
        <w:shd w:val="clear"/>
        <w:snapToGrid w:val="0"/>
        <w:spacing w:before="50" w:after="50" w:line="340" w:lineRule="exact"/>
        <w:ind w:right="-817" w:rightChars="-389"/>
        <w:jc w:val="right"/>
        <w:rPr>
          <w:rFonts w:hint="eastAsia" w:ascii="宋体" w:hAnsi="宋体" w:eastAsia="宋体" w:cs="宋体"/>
          <w:color w:val="auto"/>
          <w:szCs w:val="21"/>
          <w:highlight w:val="none"/>
        </w:rPr>
      </w:pPr>
    </w:p>
    <w:sectPr>
      <w:footerReference r:id="rId8" w:type="first"/>
      <w:headerReference r:id="rId6" w:type="default"/>
      <w:footerReference r:id="rId7" w:type="default"/>
      <w:pgSz w:w="11906" w:h="16838"/>
      <w:pgMar w:top="1440" w:right="1083" w:bottom="1440" w:left="1083" w:header="850" w:footer="992" w:gutter="0"/>
      <w:pgBorders>
        <w:top w:val="none" w:sz="0" w:space="0"/>
        <w:left w:val="none" w:sz="0" w:space="0"/>
        <w:bottom w:val="none" w:sz="0" w:space="0"/>
        <w:right w:val="none" w:sz="0" w:space="0"/>
      </w:pgBorders>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创艺简黑体">
    <w:altName w:val="Times New Roman"/>
    <w:panose1 w:val="00000000000000000000"/>
    <w:charset w:val="00"/>
    <w:family w:val="auto"/>
    <w:pitch w:val="default"/>
    <w:sig w:usb0="00000000" w:usb1="00000000" w:usb2="00000000"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6E9A">
    <w:pPr>
      <w:pStyle w:val="33"/>
      <w:framePr w:wrap="around" w:vAnchor="text" w:hAnchor="margin" w:xAlign="center" w:y="1"/>
      <w:rPr>
        <w:rStyle w:val="53"/>
      </w:rPr>
    </w:pPr>
    <w:r>
      <w:fldChar w:fldCharType="begin"/>
    </w:r>
    <w:r>
      <w:rPr>
        <w:rStyle w:val="53"/>
      </w:rPr>
      <w:instrText xml:space="preserve">PAGE  </w:instrText>
    </w:r>
    <w:r>
      <w:fldChar w:fldCharType="separate"/>
    </w:r>
    <w:r>
      <w:t xml:space="preserve"> </w:t>
    </w:r>
    <w:r>
      <w:fldChar w:fldCharType="end"/>
    </w:r>
  </w:p>
  <w:p w14:paraId="7469C93E">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B7AC2">
    <w:pPr>
      <w:pStyle w:val="33"/>
      <w:ind w:right="360"/>
      <w:jc w:val="both"/>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1779A">
    <w:pPr>
      <w:pStyle w:val="33"/>
      <w:framePr w:wrap="around" w:vAnchor="text" w:hAnchor="margin" w:xAlign="center" w:y="1"/>
      <w:rPr>
        <w:rStyle w:val="53"/>
      </w:rPr>
    </w:pPr>
    <w:r>
      <w:fldChar w:fldCharType="begin"/>
    </w:r>
    <w:r>
      <w:rPr>
        <w:rStyle w:val="53"/>
      </w:rPr>
      <w:instrText xml:space="preserve">PAGE  </w:instrText>
    </w:r>
    <w:r>
      <w:fldChar w:fldCharType="separate"/>
    </w:r>
    <w:r>
      <w:rPr>
        <w:rStyle w:val="53"/>
      </w:rPr>
      <w:t>1</w:t>
    </w:r>
    <w:r>
      <w:fldChar w:fldCharType="end"/>
    </w:r>
  </w:p>
  <w:p w14:paraId="7CCE50D5">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69958">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8CB398">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Fr0hv1AEAAKYDAAAOAAAAAAAAAAEAIAAA&#10;ACIBAABkcnMvZTJvRG9jLnhtbFBLBQYAAAAABgAGAFkBAABoBQAAAAA=&#10;">
              <v:fill on="f" focussize="0,0"/>
              <v:stroke on="f" weight="1.25pt"/>
              <v:imagedata o:title=""/>
              <o:lock v:ext="edit" aspectratio="f"/>
              <v:textbox inset="0mm,0mm,0mm,0mm" style="mso-fit-shape-to-text:t;">
                <w:txbxContent>
                  <w:p w14:paraId="7F8CB398">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70B04">
    <w:pPr>
      <w:pStyle w:val="34"/>
      <w:pBdr>
        <w:bottom w:val="single" w:color="auto" w:sz="4" w:space="0"/>
      </w:pBdr>
      <w:jc w:val="right"/>
      <w:rPr>
        <w:rFonts w:hint="eastAsia" w:eastAsia="宋体"/>
        <w:lang w:eastAsia="zh-CN"/>
      </w:rPr>
    </w:pPr>
    <w:r>
      <w:rPr>
        <w:rFonts w:hint="eastAsia" w:ascii="宋体" w:hAnsi="宋体" w:cs="宋体"/>
        <w:lang w:eastAsia="zh-CN"/>
      </w:rPr>
      <w:t>广西壮族自治区妇幼保健院医疗辅助服务项目（重）</w:t>
    </w:r>
    <w:r>
      <w:rPr>
        <w:rFonts w:hint="eastAsia" w:ascii="宋体" w:hAnsi="宋体" w:eastAsia="宋体" w:cs="宋体"/>
        <w:lang w:eastAsia="zh-CN"/>
      </w:rPr>
      <w:t>（</w:t>
    </w:r>
    <w:r>
      <w:rPr>
        <w:rFonts w:hint="eastAsia" w:ascii="宋体" w:hAnsi="宋体" w:cs="宋体"/>
        <w:lang w:eastAsia="zh-CN"/>
      </w:rPr>
      <w:t>GXZC2026-G3-002638-GLZB</w:t>
    </w:r>
    <w:r>
      <w:rPr>
        <w:rFonts w:hint="eastAsia" w:ascii="宋体" w:hAnsi="宋体" w:eastAsia="宋体" w:cs="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2BD0F">
    <w:pPr>
      <w:pStyle w:val="34"/>
      <w:wordWrap w:val="0"/>
      <w:jc w:val="right"/>
      <w:rPr>
        <w:rFonts w:hint="eastAsia" w:ascii="宋体" w:hAnsi="宋体" w:eastAsia="宋体" w:cs="宋体"/>
        <w:color w:val="FF0000"/>
      </w:rPr>
    </w:pPr>
    <w:r>
      <w:rPr>
        <w:rFonts w:hint="eastAsia" w:ascii="宋体" w:hAnsi="宋体" w:eastAsia="宋体" w:cs="宋体"/>
        <w:color w:val="FF0000"/>
      </w:rPr>
      <w:t xml:space="preserve"> </w:t>
    </w:r>
    <w:r>
      <w:rPr>
        <w:rFonts w:hint="eastAsia" w:ascii="宋体" w:hAnsi="宋体" w:cs="宋体"/>
        <w:color w:val="auto"/>
        <w:lang w:eastAsia="zh-CN"/>
      </w:rPr>
      <w:t>广西壮族自治区妇幼保健院医疗辅助服务项目（重）</w:t>
    </w:r>
    <w:r>
      <w:rPr>
        <w:rFonts w:hint="eastAsia" w:ascii="宋体" w:hAnsi="宋体" w:eastAsia="宋体" w:cs="宋体"/>
        <w:color w:val="auto"/>
      </w:rPr>
      <w:t>（</w:t>
    </w:r>
    <w:r>
      <w:rPr>
        <w:rFonts w:hint="eastAsia" w:ascii="宋体" w:hAnsi="宋体" w:cs="宋体"/>
        <w:color w:val="auto"/>
        <w:lang w:eastAsia="zh-CN"/>
      </w:rPr>
      <w:t>GXZC2026-G3-002638-GLZB</w:t>
    </w:r>
    <w:r>
      <w:rPr>
        <w:rFonts w:hint="eastAsia" w:ascii="宋体" w:hAnsi="宋体" w:eastAsia="宋体" w:cs="宋体"/>
        <w:color w:val="auto"/>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3E08AC"/>
    <w:multiLevelType w:val="multilevel"/>
    <w:tmpl w:val="ED3E08AC"/>
    <w:lvl w:ilvl="0" w:tentative="0">
      <w:start w:val="1"/>
      <w:numFmt w:val="decimal"/>
      <w:suff w:val="nothing"/>
      <w:lvlText w:val="%1."/>
      <w:lvlJc w:val="left"/>
      <w:pPr>
        <w:ind w:left="425" w:hanging="425"/>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26D823E0"/>
    <w:multiLevelType w:val="singleLevel"/>
    <w:tmpl w:val="26D823E0"/>
    <w:lvl w:ilvl="0" w:tentative="0">
      <w:start w:val="1"/>
      <w:numFmt w:val="decimal"/>
      <w:suff w:val="nothing"/>
      <w:lvlText w:val="（%1）"/>
      <w:lvlJc w:val="left"/>
    </w:lvl>
  </w:abstractNum>
  <w:abstractNum w:abstractNumId="2">
    <w:nsid w:val="711461B3"/>
    <w:multiLevelType w:val="multilevel"/>
    <w:tmpl w:val="711461B3"/>
    <w:lvl w:ilvl="0" w:tentative="0">
      <w:start w:val="1"/>
      <w:numFmt w:val="decimal"/>
      <w:suff w:val="nothing"/>
      <w:lvlText w:val="%1"/>
      <w:lvlJc w:val="center"/>
      <w:pPr>
        <w:tabs>
          <w:tab w:val="left" w:pos="0"/>
        </w:tabs>
        <w:ind w:left="0" w:firstLine="0"/>
      </w:pPr>
      <w:rPr>
        <w:rFonts w:hint="eastAsia"/>
      </w:rPr>
    </w:lvl>
    <w:lvl w:ilvl="1" w:tentative="0">
      <w:start w:val="1"/>
      <w:numFmt w:val="lowerLetter"/>
      <w:lvlText w:val="%2)"/>
      <w:lvlJc w:val="left"/>
      <w:pPr>
        <w:tabs>
          <w:tab w:val="left" w:pos="0"/>
        </w:tabs>
        <w:ind w:left="840" w:hanging="420"/>
      </w:pPr>
      <w:rPr>
        <w:rFonts w:hint="eastAsia"/>
      </w:rPr>
    </w:lvl>
    <w:lvl w:ilvl="2" w:tentative="0">
      <w:start w:val="1"/>
      <w:numFmt w:val="lowerRoman"/>
      <w:lvlText w:val="%3."/>
      <w:lvlJc w:val="right"/>
      <w:pPr>
        <w:tabs>
          <w:tab w:val="left" w:pos="0"/>
        </w:tabs>
        <w:ind w:left="1260" w:hanging="420"/>
      </w:pPr>
      <w:rPr>
        <w:rFonts w:hint="eastAsia"/>
      </w:rPr>
    </w:lvl>
    <w:lvl w:ilvl="3" w:tentative="0">
      <w:start w:val="1"/>
      <w:numFmt w:val="decimal"/>
      <w:lvlText w:val="%4."/>
      <w:lvlJc w:val="left"/>
      <w:pPr>
        <w:tabs>
          <w:tab w:val="left" w:pos="0"/>
        </w:tabs>
        <w:ind w:left="1680" w:hanging="420"/>
      </w:pPr>
      <w:rPr>
        <w:rFonts w:hint="eastAsia"/>
      </w:rPr>
    </w:lvl>
    <w:lvl w:ilvl="4" w:tentative="0">
      <w:start w:val="1"/>
      <w:numFmt w:val="lowerLetter"/>
      <w:lvlText w:val="%5)"/>
      <w:lvlJc w:val="left"/>
      <w:pPr>
        <w:tabs>
          <w:tab w:val="left" w:pos="0"/>
        </w:tabs>
        <w:ind w:left="2100" w:hanging="420"/>
      </w:pPr>
      <w:rPr>
        <w:rFonts w:hint="eastAsia"/>
      </w:rPr>
    </w:lvl>
    <w:lvl w:ilvl="5" w:tentative="0">
      <w:start w:val="1"/>
      <w:numFmt w:val="lowerRoman"/>
      <w:lvlText w:val="%6."/>
      <w:lvlJc w:val="right"/>
      <w:pPr>
        <w:tabs>
          <w:tab w:val="left" w:pos="0"/>
        </w:tabs>
        <w:ind w:left="2520" w:hanging="420"/>
      </w:pPr>
      <w:rPr>
        <w:rFonts w:hint="eastAsia"/>
      </w:rPr>
    </w:lvl>
    <w:lvl w:ilvl="6" w:tentative="0">
      <w:start w:val="1"/>
      <w:numFmt w:val="decimal"/>
      <w:lvlText w:val="%7."/>
      <w:lvlJc w:val="left"/>
      <w:pPr>
        <w:tabs>
          <w:tab w:val="left" w:pos="0"/>
        </w:tabs>
        <w:ind w:left="2940" w:hanging="420"/>
      </w:pPr>
      <w:rPr>
        <w:rFonts w:hint="eastAsia"/>
      </w:rPr>
    </w:lvl>
    <w:lvl w:ilvl="7" w:tentative="0">
      <w:start w:val="1"/>
      <w:numFmt w:val="lowerLetter"/>
      <w:lvlText w:val="%8)"/>
      <w:lvlJc w:val="left"/>
      <w:pPr>
        <w:tabs>
          <w:tab w:val="left" w:pos="0"/>
        </w:tabs>
        <w:ind w:left="3360" w:hanging="420"/>
      </w:pPr>
      <w:rPr>
        <w:rFonts w:hint="eastAsia"/>
      </w:rPr>
    </w:lvl>
    <w:lvl w:ilvl="8" w:tentative="0">
      <w:start w:val="1"/>
      <w:numFmt w:val="lowerRoman"/>
      <w:lvlText w:val="%9."/>
      <w:lvlJc w:val="right"/>
      <w:pPr>
        <w:tabs>
          <w:tab w:val="left" w:pos="0"/>
        </w:tabs>
        <w:ind w:left="3780" w:hanging="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2"/>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xZGU5YTk5NTc0NmEwNTg5MWNhZWEzNDNmZWRjZDIifQ=="/>
  </w:docVars>
  <w:rsids>
    <w:rsidRoot w:val="00172A27"/>
    <w:rsid w:val="0000123D"/>
    <w:rsid w:val="00002D52"/>
    <w:rsid w:val="00005084"/>
    <w:rsid w:val="0000581B"/>
    <w:rsid w:val="00005A3C"/>
    <w:rsid w:val="00005B8D"/>
    <w:rsid w:val="00015EC6"/>
    <w:rsid w:val="00020778"/>
    <w:rsid w:val="00020EFF"/>
    <w:rsid w:val="000254EE"/>
    <w:rsid w:val="000266D5"/>
    <w:rsid w:val="00031801"/>
    <w:rsid w:val="000340C9"/>
    <w:rsid w:val="000359F4"/>
    <w:rsid w:val="00035B2A"/>
    <w:rsid w:val="00036401"/>
    <w:rsid w:val="000409C1"/>
    <w:rsid w:val="00040A1A"/>
    <w:rsid w:val="000417FF"/>
    <w:rsid w:val="000423BA"/>
    <w:rsid w:val="0004795F"/>
    <w:rsid w:val="00050056"/>
    <w:rsid w:val="00053D9B"/>
    <w:rsid w:val="000571A8"/>
    <w:rsid w:val="00062357"/>
    <w:rsid w:val="0006471F"/>
    <w:rsid w:val="00065369"/>
    <w:rsid w:val="00072BA9"/>
    <w:rsid w:val="00076F83"/>
    <w:rsid w:val="00077DB7"/>
    <w:rsid w:val="00086B56"/>
    <w:rsid w:val="00086CC0"/>
    <w:rsid w:val="00087B64"/>
    <w:rsid w:val="00087DD9"/>
    <w:rsid w:val="00087EEF"/>
    <w:rsid w:val="00090478"/>
    <w:rsid w:val="00091966"/>
    <w:rsid w:val="000935CF"/>
    <w:rsid w:val="000A1B27"/>
    <w:rsid w:val="000A2AD4"/>
    <w:rsid w:val="000B1872"/>
    <w:rsid w:val="000B235E"/>
    <w:rsid w:val="000B376B"/>
    <w:rsid w:val="000B39C5"/>
    <w:rsid w:val="000B616A"/>
    <w:rsid w:val="000B644A"/>
    <w:rsid w:val="000C5F82"/>
    <w:rsid w:val="000D27E1"/>
    <w:rsid w:val="000D2C19"/>
    <w:rsid w:val="000D3D1B"/>
    <w:rsid w:val="000D3F59"/>
    <w:rsid w:val="000E1A0E"/>
    <w:rsid w:val="000E259A"/>
    <w:rsid w:val="000E350C"/>
    <w:rsid w:val="000E3DFE"/>
    <w:rsid w:val="000F397E"/>
    <w:rsid w:val="000F56C6"/>
    <w:rsid w:val="00100D24"/>
    <w:rsid w:val="00102A8E"/>
    <w:rsid w:val="00102B90"/>
    <w:rsid w:val="00104C54"/>
    <w:rsid w:val="0010585A"/>
    <w:rsid w:val="0011053F"/>
    <w:rsid w:val="0011315C"/>
    <w:rsid w:val="001155B7"/>
    <w:rsid w:val="00115E2F"/>
    <w:rsid w:val="00117090"/>
    <w:rsid w:val="00120138"/>
    <w:rsid w:val="001204A4"/>
    <w:rsid w:val="00124C1D"/>
    <w:rsid w:val="001266B8"/>
    <w:rsid w:val="001270DF"/>
    <w:rsid w:val="00133696"/>
    <w:rsid w:val="001415DD"/>
    <w:rsid w:val="00143B59"/>
    <w:rsid w:val="00145A14"/>
    <w:rsid w:val="0015249A"/>
    <w:rsid w:val="0015364E"/>
    <w:rsid w:val="001554B6"/>
    <w:rsid w:val="0015592B"/>
    <w:rsid w:val="001574E7"/>
    <w:rsid w:val="00157E55"/>
    <w:rsid w:val="00160230"/>
    <w:rsid w:val="001614DC"/>
    <w:rsid w:val="00161CA4"/>
    <w:rsid w:val="00162E03"/>
    <w:rsid w:val="00164FA0"/>
    <w:rsid w:val="00167234"/>
    <w:rsid w:val="001679F2"/>
    <w:rsid w:val="001710BF"/>
    <w:rsid w:val="001720FD"/>
    <w:rsid w:val="00173280"/>
    <w:rsid w:val="00175395"/>
    <w:rsid w:val="001761D9"/>
    <w:rsid w:val="00182D31"/>
    <w:rsid w:val="001844CD"/>
    <w:rsid w:val="00184DFE"/>
    <w:rsid w:val="00185993"/>
    <w:rsid w:val="00185C37"/>
    <w:rsid w:val="001861BE"/>
    <w:rsid w:val="0018641B"/>
    <w:rsid w:val="00186B17"/>
    <w:rsid w:val="00193055"/>
    <w:rsid w:val="001946C2"/>
    <w:rsid w:val="001A097A"/>
    <w:rsid w:val="001A0CD5"/>
    <w:rsid w:val="001A3545"/>
    <w:rsid w:val="001A4B56"/>
    <w:rsid w:val="001A4D6E"/>
    <w:rsid w:val="001B212E"/>
    <w:rsid w:val="001B232C"/>
    <w:rsid w:val="001B3AAA"/>
    <w:rsid w:val="001B3CD0"/>
    <w:rsid w:val="001B48EE"/>
    <w:rsid w:val="001B6C59"/>
    <w:rsid w:val="001D1613"/>
    <w:rsid w:val="001D6671"/>
    <w:rsid w:val="001E3A4A"/>
    <w:rsid w:val="001E3FDA"/>
    <w:rsid w:val="001E61F5"/>
    <w:rsid w:val="001F4D25"/>
    <w:rsid w:val="001F60A6"/>
    <w:rsid w:val="001F7FA3"/>
    <w:rsid w:val="00203635"/>
    <w:rsid w:val="00206CE2"/>
    <w:rsid w:val="00207563"/>
    <w:rsid w:val="00211E15"/>
    <w:rsid w:val="00214E3F"/>
    <w:rsid w:val="00214E5F"/>
    <w:rsid w:val="00224974"/>
    <w:rsid w:val="00224D42"/>
    <w:rsid w:val="00224DC3"/>
    <w:rsid w:val="00225529"/>
    <w:rsid w:val="00231ADF"/>
    <w:rsid w:val="00234C80"/>
    <w:rsid w:val="00235073"/>
    <w:rsid w:val="00235355"/>
    <w:rsid w:val="00236BBF"/>
    <w:rsid w:val="002402B7"/>
    <w:rsid w:val="00240692"/>
    <w:rsid w:val="0024391F"/>
    <w:rsid w:val="00243EF0"/>
    <w:rsid w:val="002441CF"/>
    <w:rsid w:val="0024531C"/>
    <w:rsid w:val="00251C1A"/>
    <w:rsid w:val="00254063"/>
    <w:rsid w:val="00254C0D"/>
    <w:rsid w:val="002559EF"/>
    <w:rsid w:val="00255BBD"/>
    <w:rsid w:val="002601B1"/>
    <w:rsid w:val="00261045"/>
    <w:rsid w:val="00262EE5"/>
    <w:rsid w:val="002643AA"/>
    <w:rsid w:val="00265F57"/>
    <w:rsid w:val="002707AB"/>
    <w:rsid w:val="002707F9"/>
    <w:rsid w:val="00275E6D"/>
    <w:rsid w:val="00275FF1"/>
    <w:rsid w:val="0027659B"/>
    <w:rsid w:val="00283272"/>
    <w:rsid w:val="00283EEC"/>
    <w:rsid w:val="00287C7B"/>
    <w:rsid w:val="002908FE"/>
    <w:rsid w:val="00291A7E"/>
    <w:rsid w:val="00291AF5"/>
    <w:rsid w:val="00292EF5"/>
    <w:rsid w:val="002965D9"/>
    <w:rsid w:val="002970AF"/>
    <w:rsid w:val="0029785A"/>
    <w:rsid w:val="002A0F85"/>
    <w:rsid w:val="002A1266"/>
    <w:rsid w:val="002A1C32"/>
    <w:rsid w:val="002A3776"/>
    <w:rsid w:val="002B0117"/>
    <w:rsid w:val="002B0566"/>
    <w:rsid w:val="002B15BD"/>
    <w:rsid w:val="002B1D9A"/>
    <w:rsid w:val="002B1EA5"/>
    <w:rsid w:val="002C0236"/>
    <w:rsid w:val="002C0375"/>
    <w:rsid w:val="002C389E"/>
    <w:rsid w:val="002C545F"/>
    <w:rsid w:val="002C64AF"/>
    <w:rsid w:val="002C718E"/>
    <w:rsid w:val="002D058C"/>
    <w:rsid w:val="002D2677"/>
    <w:rsid w:val="002D5185"/>
    <w:rsid w:val="002D54C3"/>
    <w:rsid w:val="002D6C4C"/>
    <w:rsid w:val="002D6E53"/>
    <w:rsid w:val="002E0481"/>
    <w:rsid w:val="002E19C9"/>
    <w:rsid w:val="002E1ACB"/>
    <w:rsid w:val="002E3FB3"/>
    <w:rsid w:val="002E50C4"/>
    <w:rsid w:val="002E53DE"/>
    <w:rsid w:val="002E5B8F"/>
    <w:rsid w:val="002E6F0E"/>
    <w:rsid w:val="002F253F"/>
    <w:rsid w:val="002F2F54"/>
    <w:rsid w:val="002F6AB2"/>
    <w:rsid w:val="002F6B80"/>
    <w:rsid w:val="00300947"/>
    <w:rsid w:val="00300B3A"/>
    <w:rsid w:val="00301253"/>
    <w:rsid w:val="0030429F"/>
    <w:rsid w:val="00307A7C"/>
    <w:rsid w:val="003165E1"/>
    <w:rsid w:val="00316A52"/>
    <w:rsid w:val="003224D0"/>
    <w:rsid w:val="003236DC"/>
    <w:rsid w:val="00325A56"/>
    <w:rsid w:val="003277B2"/>
    <w:rsid w:val="0033062F"/>
    <w:rsid w:val="003314B7"/>
    <w:rsid w:val="003317DE"/>
    <w:rsid w:val="00337A74"/>
    <w:rsid w:val="0034020D"/>
    <w:rsid w:val="00340980"/>
    <w:rsid w:val="00341710"/>
    <w:rsid w:val="00342B86"/>
    <w:rsid w:val="0035009C"/>
    <w:rsid w:val="00350EC5"/>
    <w:rsid w:val="00352D27"/>
    <w:rsid w:val="00355F0B"/>
    <w:rsid w:val="00355F24"/>
    <w:rsid w:val="003572E2"/>
    <w:rsid w:val="00360184"/>
    <w:rsid w:val="00361E72"/>
    <w:rsid w:val="0036278F"/>
    <w:rsid w:val="00362E49"/>
    <w:rsid w:val="0036377E"/>
    <w:rsid w:val="00365464"/>
    <w:rsid w:val="003660AE"/>
    <w:rsid w:val="003667D1"/>
    <w:rsid w:val="00367C08"/>
    <w:rsid w:val="00367E33"/>
    <w:rsid w:val="0037358F"/>
    <w:rsid w:val="0037509C"/>
    <w:rsid w:val="00375E57"/>
    <w:rsid w:val="00377E9F"/>
    <w:rsid w:val="00387ED3"/>
    <w:rsid w:val="0039069F"/>
    <w:rsid w:val="00392B40"/>
    <w:rsid w:val="003942F8"/>
    <w:rsid w:val="00397BB9"/>
    <w:rsid w:val="003A13D1"/>
    <w:rsid w:val="003A1717"/>
    <w:rsid w:val="003A1779"/>
    <w:rsid w:val="003A2FF2"/>
    <w:rsid w:val="003A3DBD"/>
    <w:rsid w:val="003A7808"/>
    <w:rsid w:val="003B1B07"/>
    <w:rsid w:val="003B28F1"/>
    <w:rsid w:val="003B4FB6"/>
    <w:rsid w:val="003B560A"/>
    <w:rsid w:val="003B69E7"/>
    <w:rsid w:val="003C0F74"/>
    <w:rsid w:val="003C11D5"/>
    <w:rsid w:val="003C3D44"/>
    <w:rsid w:val="003C50FE"/>
    <w:rsid w:val="003C7280"/>
    <w:rsid w:val="003C73E6"/>
    <w:rsid w:val="003C7E74"/>
    <w:rsid w:val="003D22A1"/>
    <w:rsid w:val="003D23E1"/>
    <w:rsid w:val="003D3F85"/>
    <w:rsid w:val="003D4971"/>
    <w:rsid w:val="003D6F97"/>
    <w:rsid w:val="003E0844"/>
    <w:rsid w:val="003E0E40"/>
    <w:rsid w:val="003E235D"/>
    <w:rsid w:val="003E797B"/>
    <w:rsid w:val="003F02E8"/>
    <w:rsid w:val="003F4127"/>
    <w:rsid w:val="004061AD"/>
    <w:rsid w:val="004117C5"/>
    <w:rsid w:val="00415F37"/>
    <w:rsid w:val="004251E1"/>
    <w:rsid w:val="004262B7"/>
    <w:rsid w:val="00431E8D"/>
    <w:rsid w:val="00436368"/>
    <w:rsid w:val="004410A5"/>
    <w:rsid w:val="00442F8A"/>
    <w:rsid w:val="00444CBA"/>
    <w:rsid w:val="004471F7"/>
    <w:rsid w:val="00452427"/>
    <w:rsid w:val="00456998"/>
    <w:rsid w:val="00457AE7"/>
    <w:rsid w:val="00461C94"/>
    <w:rsid w:val="00466241"/>
    <w:rsid w:val="00471F39"/>
    <w:rsid w:val="00472DB2"/>
    <w:rsid w:val="00475BC0"/>
    <w:rsid w:val="00481C6D"/>
    <w:rsid w:val="00483764"/>
    <w:rsid w:val="00485AD1"/>
    <w:rsid w:val="00487600"/>
    <w:rsid w:val="00487A0F"/>
    <w:rsid w:val="00490223"/>
    <w:rsid w:val="00495921"/>
    <w:rsid w:val="0049791A"/>
    <w:rsid w:val="00497DF9"/>
    <w:rsid w:val="004A1EEE"/>
    <w:rsid w:val="004A4FF4"/>
    <w:rsid w:val="004A51AE"/>
    <w:rsid w:val="004A652C"/>
    <w:rsid w:val="004B0028"/>
    <w:rsid w:val="004B1E54"/>
    <w:rsid w:val="004B265E"/>
    <w:rsid w:val="004B2E98"/>
    <w:rsid w:val="004B395D"/>
    <w:rsid w:val="004D1D96"/>
    <w:rsid w:val="004D5D4F"/>
    <w:rsid w:val="004D7756"/>
    <w:rsid w:val="004E1DCE"/>
    <w:rsid w:val="004E289D"/>
    <w:rsid w:val="004F1B05"/>
    <w:rsid w:val="004F27E4"/>
    <w:rsid w:val="004F43B9"/>
    <w:rsid w:val="004F7AA9"/>
    <w:rsid w:val="00501ACA"/>
    <w:rsid w:val="0050201C"/>
    <w:rsid w:val="00504F67"/>
    <w:rsid w:val="00507B20"/>
    <w:rsid w:val="00510415"/>
    <w:rsid w:val="0051277C"/>
    <w:rsid w:val="00513221"/>
    <w:rsid w:val="00513639"/>
    <w:rsid w:val="00515CE7"/>
    <w:rsid w:val="0052179B"/>
    <w:rsid w:val="00521A7C"/>
    <w:rsid w:val="00523068"/>
    <w:rsid w:val="00524E9A"/>
    <w:rsid w:val="005265D7"/>
    <w:rsid w:val="00526EB4"/>
    <w:rsid w:val="00530797"/>
    <w:rsid w:val="005315C2"/>
    <w:rsid w:val="00534322"/>
    <w:rsid w:val="00534B18"/>
    <w:rsid w:val="00537BF7"/>
    <w:rsid w:val="00543D59"/>
    <w:rsid w:val="005452AF"/>
    <w:rsid w:val="00547F6B"/>
    <w:rsid w:val="00553349"/>
    <w:rsid w:val="00556BB7"/>
    <w:rsid w:val="00557C0D"/>
    <w:rsid w:val="00561C95"/>
    <w:rsid w:val="005628E3"/>
    <w:rsid w:val="0056663F"/>
    <w:rsid w:val="00571788"/>
    <w:rsid w:val="00572B92"/>
    <w:rsid w:val="00574CB9"/>
    <w:rsid w:val="00583342"/>
    <w:rsid w:val="005834D5"/>
    <w:rsid w:val="0058648B"/>
    <w:rsid w:val="00587DB7"/>
    <w:rsid w:val="0059102D"/>
    <w:rsid w:val="00591CC1"/>
    <w:rsid w:val="00596152"/>
    <w:rsid w:val="00596892"/>
    <w:rsid w:val="00597562"/>
    <w:rsid w:val="00597E5E"/>
    <w:rsid w:val="005A2A99"/>
    <w:rsid w:val="005A3D65"/>
    <w:rsid w:val="005A5790"/>
    <w:rsid w:val="005A74D0"/>
    <w:rsid w:val="005A7F64"/>
    <w:rsid w:val="005B010E"/>
    <w:rsid w:val="005B2CAD"/>
    <w:rsid w:val="005B3677"/>
    <w:rsid w:val="005B6903"/>
    <w:rsid w:val="005B6FDF"/>
    <w:rsid w:val="005C2035"/>
    <w:rsid w:val="005D17CF"/>
    <w:rsid w:val="005D33F1"/>
    <w:rsid w:val="005D3765"/>
    <w:rsid w:val="005E0275"/>
    <w:rsid w:val="005E02CB"/>
    <w:rsid w:val="005E0A1C"/>
    <w:rsid w:val="005E0C50"/>
    <w:rsid w:val="005E2249"/>
    <w:rsid w:val="005E3400"/>
    <w:rsid w:val="005E4670"/>
    <w:rsid w:val="005E61D9"/>
    <w:rsid w:val="005F2B89"/>
    <w:rsid w:val="005F76F1"/>
    <w:rsid w:val="005F78C7"/>
    <w:rsid w:val="006017D4"/>
    <w:rsid w:val="00601936"/>
    <w:rsid w:val="00605312"/>
    <w:rsid w:val="006122E4"/>
    <w:rsid w:val="00612ED7"/>
    <w:rsid w:val="006132DB"/>
    <w:rsid w:val="00614A89"/>
    <w:rsid w:val="0061520A"/>
    <w:rsid w:val="00617FEB"/>
    <w:rsid w:val="00620010"/>
    <w:rsid w:val="0062156A"/>
    <w:rsid w:val="0062239C"/>
    <w:rsid w:val="00630BB4"/>
    <w:rsid w:val="00632BD2"/>
    <w:rsid w:val="006336E7"/>
    <w:rsid w:val="006354A8"/>
    <w:rsid w:val="006354D8"/>
    <w:rsid w:val="00642D40"/>
    <w:rsid w:val="006443BD"/>
    <w:rsid w:val="00644FE1"/>
    <w:rsid w:val="0064521D"/>
    <w:rsid w:val="006465DB"/>
    <w:rsid w:val="0065061B"/>
    <w:rsid w:val="00652180"/>
    <w:rsid w:val="006521A6"/>
    <w:rsid w:val="00653E48"/>
    <w:rsid w:val="006543B6"/>
    <w:rsid w:val="00656F09"/>
    <w:rsid w:val="00661656"/>
    <w:rsid w:val="006616EF"/>
    <w:rsid w:val="00662ECA"/>
    <w:rsid w:val="00664C75"/>
    <w:rsid w:val="00666F7F"/>
    <w:rsid w:val="00670347"/>
    <w:rsid w:val="00670AA2"/>
    <w:rsid w:val="00674F23"/>
    <w:rsid w:val="00680687"/>
    <w:rsid w:val="006813C2"/>
    <w:rsid w:val="00686AFC"/>
    <w:rsid w:val="006870DF"/>
    <w:rsid w:val="00692B85"/>
    <w:rsid w:val="00693EC9"/>
    <w:rsid w:val="00694FCD"/>
    <w:rsid w:val="006A1432"/>
    <w:rsid w:val="006A6FEE"/>
    <w:rsid w:val="006A7337"/>
    <w:rsid w:val="006B0735"/>
    <w:rsid w:val="006B0E97"/>
    <w:rsid w:val="006B25E0"/>
    <w:rsid w:val="006B2C30"/>
    <w:rsid w:val="006B5CA0"/>
    <w:rsid w:val="006C5F4E"/>
    <w:rsid w:val="006D103C"/>
    <w:rsid w:val="006D2391"/>
    <w:rsid w:val="006D282D"/>
    <w:rsid w:val="006D4ED5"/>
    <w:rsid w:val="006D5BE3"/>
    <w:rsid w:val="006E3B0E"/>
    <w:rsid w:val="006E53F9"/>
    <w:rsid w:val="006E6468"/>
    <w:rsid w:val="006E6631"/>
    <w:rsid w:val="006F152A"/>
    <w:rsid w:val="006F1F45"/>
    <w:rsid w:val="006F2ED5"/>
    <w:rsid w:val="006F4713"/>
    <w:rsid w:val="006F5399"/>
    <w:rsid w:val="006F5A86"/>
    <w:rsid w:val="006F5E95"/>
    <w:rsid w:val="006F6CE5"/>
    <w:rsid w:val="007001BA"/>
    <w:rsid w:val="00700204"/>
    <w:rsid w:val="007003F6"/>
    <w:rsid w:val="007010B7"/>
    <w:rsid w:val="0070156B"/>
    <w:rsid w:val="00703615"/>
    <w:rsid w:val="00703768"/>
    <w:rsid w:val="0070444A"/>
    <w:rsid w:val="00705B28"/>
    <w:rsid w:val="00705D0F"/>
    <w:rsid w:val="00705FB7"/>
    <w:rsid w:val="007076B0"/>
    <w:rsid w:val="00710248"/>
    <w:rsid w:val="0071406B"/>
    <w:rsid w:val="0071590A"/>
    <w:rsid w:val="007167F3"/>
    <w:rsid w:val="00720A28"/>
    <w:rsid w:val="00721FC6"/>
    <w:rsid w:val="007227B0"/>
    <w:rsid w:val="00724FC3"/>
    <w:rsid w:val="0072611D"/>
    <w:rsid w:val="00726C92"/>
    <w:rsid w:val="00727457"/>
    <w:rsid w:val="007279E5"/>
    <w:rsid w:val="00730BA8"/>
    <w:rsid w:val="00731683"/>
    <w:rsid w:val="00733173"/>
    <w:rsid w:val="00735AF6"/>
    <w:rsid w:val="00751777"/>
    <w:rsid w:val="007527F5"/>
    <w:rsid w:val="0075325D"/>
    <w:rsid w:val="00753DA5"/>
    <w:rsid w:val="00753F78"/>
    <w:rsid w:val="007558AF"/>
    <w:rsid w:val="00757732"/>
    <w:rsid w:val="00762591"/>
    <w:rsid w:val="0076433A"/>
    <w:rsid w:val="00766B79"/>
    <w:rsid w:val="00770D6E"/>
    <w:rsid w:val="007717BA"/>
    <w:rsid w:val="00771847"/>
    <w:rsid w:val="00772053"/>
    <w:rsid w:val="007762A8"/>
    <w:rsid w:val="00780173"/>
    <w:rsid w:val="00783FB9"/>
    <w:rsid w:val="00784C67"/>
    <w:rsid w:val="00785DC8"/>
    <w:rsid w:val="007867E4"/>
    <w:rsid w:val="00786C28"/>
    <w:rsid w:val="00787BAF"/>
    <w:rsid w:val="00792612"/>
    <w:rsid w:val="00794C67"/>
    <w:rsid w:val="00795CAC"/>
    <w:rsid w:val="00797B41"/>
    <w:rsid w:val="007A0AFB"/>
    <w:rsid w:val="007A0F8E"/>
    <w:rsid w:val="007A1B1B"/>
    <w:rsid w:val="007A4E9B"/>
    <w:rsid w:val="007B6AAD"/>
    <w:rsid w:val="007C1036"/>
    <w:rsid w:val="007C18B5"/>
    <w:rsid w:val="007C1AD9"/>
    <w:rsid w:val="007C28EA"/>
    <w:rsid w:val="007D1D40"/>
    <w:rsid w:val="007D3223"/>
    <w:rsid w:val="007D38F5"/>
    <w:rsid w:val="007D78D9"/>
    <w:rsid w:val="007E1A3C"/>
    <w:rsid w:val="007E2B10"/>
    <w:rsid w:val="007E4014"/>
    <w:rsid w:val="007E60DF"/>
    <w:rsid w:val="007F0359"/>
    <w:rsid w:val="007F2200"/>
    <w:rsid w:val="00800012"/>
    <w:rsid w:val="00801945"/>
    <w:rsid w:val="00802588"/>
    <w:rsid w:val="008049AE"/>
    <w:rsid w:val="00810527"/>
    <w:rsid w:val="0081076F"/>
    <w:rsid w:val="00811FEE"/>
    <w:rsid w:val="0081232B"/>
    <w:rsid w:val="00816FB9"/>
    <w:rsid w:val="00821170"/>
    <w:rsid w:val="00821ACF"/>
    <w:rsid w:val="0082234F"/>
    <w:rsid w:val="00825338"/>
    <w:rsid w:val="00825761"/>
    <w:rsid w:val="00826900"/>
    <w:rsid w:val="0083704F"/>
    <w:rsid w:val="00840B61"/>
    <w:rsid w:val="00840DED"/>
    <w:rsid w:val="00841369"/>
    <w:rsid w:val="00843E18"/>
    <w:rsid w:val="00844004"/>
    <w:rsid w:val="0084401F"/>
    <w:rsid w:val="0085083D"/>
    <w:rsid w:val="00856590"/>
    <w:rsid w:val="0086123B"/>
    <w:rsid w:val="0086242D"/>
    <w:rsid w:val="00863915"/>
    <w:rsid w:val="00864D17"/>
    <w:rsid w:val="008655F7"/>
    <w:rsid w:val="00867590"/>
    <w:rsid w:val="008678E0"/>
    <w:rsid w:val="0087242F"/>
    <w:rsid w:val="00873F7F"/>
    <w:rsid w:val="00881EC2"/>
    <w:rsid w:val="00883A2B"/>
    <w:rsid w:val="008855F6"/>
    <w:rsid w:val="00890293"/>
    <w:rsid w:val="008921C4"/>
    <w:rsid w:val="0089395D"/>
    <w:rsid w:val="00893BEF"/>
    <w:rsid w:val="00895422"/>
    <w:rsid w:val="00896445"/>
    <w:rsid w:val="00897EBF"/>
    <w:rsid w:val="008A082B"/>
    <w:rsid w:val="008A2223"/>
    <w:rsid w:val="008A28BE"/>
    <w:rsid w:val="008A3648"/>
    <w:rsid w:val="008A71A0"/>
    <w:rsid w:val="008A71DE"/>
    <w:rsid w:val="008A752B"/>
    <w:rsid w:val="008A7BCD"/>
    <w:rsid w:val="008B0766"/>
    <w:rsid w:val="008B0D1C"/>
    <w:rsid w:val="008B1502"/>
    <w:rsid w:val="008B5581"/>
    <w:rsid w:val="008C4A4B"/>
    <w:rsid w:val="008D1131"/>
    <w:rsid w:val="008D4BCA"/>
    <w:rsid w:val="008D5118"/>
    <w:rsid w:val="008D64C8"/>
    <w:rsid w:val="008D764C"/>
    <w:rsid w:val="008E6BC3"/>
    <w:rsid w:val="008E73AC"/>
    <w:rsid w:val="008F7E07"/>
    <w:rsid w:val="0090033A"/>
    <w:rsid w:val="00903CC2"/>
    <w:rsid w:val="00906A75"/>
    <w:rsid w:val="00916C09"/>
    <w:rsid w:val="00917E4B"/>
    <w:rsid w:val="00920F83"/>
    <w:rsid w:val="00922810"/>
    <w:rsid w:val="00923F89"/>
    <w:rsid w:val="009264BA"/>
    <w:rsid w:val="00930B99"/>
    <w:rsid w:val="00936F54"/>
    <w:rsid w:val="00942E43"/>
    <w:rsid w:val="00943120"/>
    <w:rsid w:val="00943EC3"/>
    <w:rsid w:val="00945AB7"/>
    <w:rsid w:val="00945BD2"/>
    <w:rsid w:val="009462F7"/>
    <w:rsid w:val="00947C6B"/>
    <w:rsid w:val="009506F1"/>
    <w:rsid w:val="00957969"/>
    <w:rsid w:val="0096346F"/>
    <w:rsid w:val="0097052E"/>
    <w:rsid w:val="00974128"/>
    <w:rsid w:val="00974445"/>
    <w:rsid w:val="009750EE"/>
    <w:rsid w:val="00977014"/>
    <w:rsid w:val="00984095"/>
    <w:rsid w:val="00984F4A"/>
    <w:rsid w:val="009869B3"/>
    <w:rsid w:val="00986EDB"/>
    <w:rsid w:val="00991674"/>
    <w:rsid w:val="00991CE2"/>
    <w:rsid w:val="00992C31"/>
    <w:rsid w:val="00997B84"/>
    <w:rsid w:val="009A04D4"/>
    <w:rsid w:val="009A0855"/>
    <w:rsid w:val="009A3CE9"/>
    <w:rsid w:val="009A52A3"/>
    <w:rsid w:val="009B1225"/>
    <w:rsid w:val="009B2295"/>
    <w:rsid w:val="009B5446"/>
    <w:rsid w:val="009B645A"/>
    <w:rsid w:val="009C1AC7"/>
    <w:rsid w:val="009C2C0E"/>
    <w:rsid w:val="009C365B"/>
    <w:rsid w:val="009C3776"/>
    <w:rsid w:val="009C5B12"/>
    <w:rsid w:val="009D0324"/>
    <w:rsid w:val="009D124C"/>
    <w:rsid w:val="009D148F"/>
    <w:rsid w:val="009D726F"/>
    <w:rsid w:val="009D7DE9"/>
    <w:rsid w:val="009E3C2C"/>
    <w:rsid w:val="009E4ED9"/>
    <w:rsid w:val="009E58D2"/>
    <w:rsid w:val="009F1C0F"/>
    <w:rsid w:val="009F4AA5"/>
    <w:rsid w:val="00A002D8"/>
    <w:rsid w:val="00A00736"/>
    <w:rsid w:val="00A028DC"/>
    <w:rsid w:val="00A0403D"/>
    <w:rsid w:val="00A05711"/>
    <w:rsid w:val="00A10C6E"/>
    <w:rsid w:val="00A12F1D"/>
    <w:rsid w:val="00A13603"/>
    <w:rsid w:val="00A155AD"/>
    <w:rsid w:val="00A20B93"/>
    <w:rsid w:val="00A2369F"/>
    <w:rsid w:val="00A24298"/>
    <w:rsid w:val="00A257A2"/>
    <w:rsid w:val="00A268FE"/>
    <w:rsid w:val="00A30388"/>
    <w:rsid w:val="00A3093A"/>
    <w:rsid w:val="00A32D06"/>
    <w:rsid w:val="00A35663"/>
    <w:rsid w:val="00A379E1"/>
    <w:rsid w:val="00A40EC2"/>
    <w:rsid w:val="00A4379C"/>
    <w:rsid w:val="00A439AA"/>
    <w:rsid w:val="00A439BD"/>
    <w:rsid w:val="00A44399"/>
    <w:rsid w:val="00A44AFC"/>
    <w:rsid w:val="00A4526B"/>
    <w:rsid w:val="00A4683C"/>
    <w:rsid w:val="00A503C8"/>
    <w:rsid w:val="00A50FC4"/>
    <w:rsid w:val="00A52E6A"/>
    <w:rsid w:val="00A6196E"/>
    <w:rsid w:val="00A64847"/>
    <w:rsid w:val="00A70A74"/>
    <w:rsid w:val="00A712EB"/>
    <w:rsid w:val="00A72939"/>
    <w:rsid w:val="00A7310A"/>
    <w:rsid w:val="00A739BC"/>
    <w:rsid w:val="00A74942"/>
    <w:rsid w:val="00A749B1"/>
    <w:rsid w:val="00A7561C"/>
    <w:rsid w:val="00A86921"/>
    <w:rsid w:val="00A86AF4"/>
    <w:rsid w:val="00A91C0F"/>
    <w:rsid w:val="00A91C94"/>
    <w:rsid w:val="00A9223E"/>
    <w:rsid w:val="00A95820"/>
    <w:rsid w:val="00A966A8"/>
    <w:rsid w:val="00AA2B6B"/>
    <w:rsid w:val="00AA2E59"/>
    <w:rsid w:val="00AA3577"/>
    <w:rsid w:val="00AA6937"/>
    <w:rsid w:val="00AA74B0"/>
    <w:rsid w:val="00AA7A13"/>
    <w:rsid w:val="00AB0EC1"/>
    <w:rsid w:val="00AB2518"/>
    <w:rsid w:val="00AB4259"/>
    <w:rsid w:val="00AB5F88"/>
    <w:rsid w:val="00AB64AE"/>
    <w:rsid w:val="00AD0524"/>
    <w:rsid w:val="00AD1F3F"/>
    <w:rsid w:val="00AD3851"/>
    <w:rsid w:val="00AD744E"/>
    <w:rsid w:val="00AD755F"/>
    <w:rsid w:val="00AE1181"/>
    <w:rsid w:val="00AE635C"/>
    <w:rsid w:val="00AE6783"/>
    <w:rsid w:val="00AE7162"/>
    <w:rsid w:val="00AF0BBE"/>
    <w:rsid w:val="00AF123B"/>
    <w:rsid w:val="00AF2CDF"/>
    <w:rsid w:val="00AF3445"/>
    <w:rsid w:val="00AF56FD"/>
    <w:rsid w:val="00AF7F87"/>
    <w:rsid w:val="00B01C0B"/>
    <w:rsid w:val="00B06CA4"/>
    <w:rsid w:val="00B06D13"/>
    <w:rsid w:val="00B0733C"/>
    <w:rsid w:val="00B1055A"/>
    <w:rsid w:val="00B11301"/>
    <w:rsid w:val="00B12D01"/>
    <w:rsid w:val="00B13626"/>
    <w:rsid w:val="00B163F1"/>
    <w:rsid w:val="00B200D5"/>
    <w:rsid w:val="00B2093C"/>
    <w:rsid w:val="00B20E41"/>
    <w:rsid w:val="00B21363"/>
    <w:rsid w:val="00B24586"/>
    <w:rsid w:val="00B27B90"/>
    <w:rsid w:val="00B30459"/>
    <w:rsid w:val="00B33C57"/>
    <w:rsid w:val="00B33D40"/>
    <w:rsid w:val="00B447ED"/>
    <w:rsid w:val="00B44CAA"/>
    <w:rsid w:val="00B508BC"/>
    <w:rsid w:val="00B50DD0"/>
    <w:rsid w:val="00B5188B"/>
    <w:rsid w:val="00B61989"/>
    <w:rsid w:val="00B61A18"/>
    <w:rsid w:val="00B66AC2"/>
    <w:rsid w:val="00B717B5"/>
    <w:rsid w:val="00B71BF9"/>
    <w:rsid w:val="00B721DB"/>
    <w:rsid w:val="00B72DD5"/>
    <w:rsid w:val="00B801DB"/>
    <w:rsid w:val="00B80298"/>
    <w:rsid w:val="00B834D2"/>
    <w:rsid w:val="00B8776B"/>
    <w:rsid w:val="00B87FAD"/>
    <w:rsid w:val="00B93D5A"/>
    <w:rsid w:val="00B95CC0"/>
    <w:rsid w:val="00B95F2D"/>
    <w:rsid w:val="00B9742D"/>
    <w:rsid w:val="00B97BB5"/>
    <w:rsid w:val="00BA02CC"/>
    <w:rsid w:val="00BA2CED"/>
    <w:rsid w:val="00BA3305"/>
    <w:rsid w:val="00BA47CD"/>
    <w:rsid w:val="00BA583C"/>
    <w:rsid w:val="00BB1B64"/>
    <w:rsid w:val="00BB1E6A"/>
    <w:rsid w:val="00BB396C"/>
    <w:rsid w:val="00BB611D"/>
    <w:rsid w:val="00BB7D23"/>
    <w:rsid w:val="00BC1C9E"/>
    <w:rsid w:val="00BC227F"/>
    <w:rsid w:val="00BC4F34"/>
    <w:rsid w:val="00BC696D"/>
    <w:rsid w:val="00BD24F1"/>
    <w:rsid w:val="00BD3F76"/>
    <w:rsid w:val="00BD5113"/>
    <w:rsid w:val="00BE23B3"/>
    <w:rsid w:val="00BE3123"/>
    <w:rsid w:val="00BE49C7"/>
    <w:rsid w:val="00BE52FC"/>
    <w:rsid w:val="00BE5598"/>
    <w:rsid w:val="00BE5961"/>
    <w:rsid w:val="00BF1FBC"/>
    <w:rsid w:val="00C05EE7"/>
    <w:rsid w:val="00C06E6D"/>
    <w:rsid w:val="00C078D6"/>
    <w:rsid w:val="00C15382"/>
    <w:rsid w:val="00C16D59"/>
    <w:rsid w:val="00C17952"/>
    <w:rsid w:val="00C2503F"/>
    <w:rsid w:val="00C26F3F"/>
    <w:rsid w:val="00C32000"/>
    <w:rsid w:val="00C32509"/>
    <w:rsid w:val="00C34344"/>
    <w:rsid w:val="00C34508"/>
    <w:rsid w:val="00C36F0B"/>
    <w:rsid w:val="00C42E18"/>
    <w:rsid w:val="00C4382A"/>
    <w:rsid w:val="00C43D71"/>
    <w:rsid w:val="00C446AE"/>
    <w:rsid w:val="00C47BB8"/>
    <w:rsid w:val="00C47F9C"/>
    <w:rsid w:val="00C52893"/>
    <w:rsid w:val="00C52ECC"/>
    <w:rsid w:val="00C57E5D"/>
    <w:rsid w:val="00C622D6"/>
    <w:rsid w:val="00C625E1"/>
    <w:rsid w:val="00C632C1"/>
    <w:rsid w:val="00C63E21"/>
    <w:rsid w:val="00C655CF"/>
    <w:rsid w:val="00C66B4D"/>
    <w:rsid w:val="00C671E0"/>
    <w:rsid w:val="00C70365"/>
    <w:rsid w:val="00C72A59"/>
    <w:rsid w:val="00C743C8"/>
    <w:rsid w:val="00C75272"/>
    <w:rsid w:val="00C769C2"/>
    <w:rsid w:val="00C85EF4"/>
    <w:rsid w:val="00C9022D"/>
    <w:rsid w:val="00C91EC9"/>
    <w:rsid w:val="00C926D2"/>
    <w:rsid w:val="00C941FE"/>
    <w:rsid w:val="00C95843"/>
    <w:rsid w:val="00C95C89"/>
    <w:rsid w:val="00C95FD5"/>
    <w:rsid w:val="00C963FA"/>
    <w:rsid w:val="00C96A35"/>
    <w:rsid w:val="00C9718D"/>
    <w:rsid w:val="00CA189A"/>
    <w:rsid w:val="00CA3A0B"/>
    <w:rsid w:val="00CA5DBB"/>
    <w:rsid w:val="00CA62D6"/>
    <w:rsid w:val="00CB1A41"/>
    <w:rsid w:val="00CB5E8E"/>
    <w:rsid w:val="00CB615C"/>
    <w:rsid w:val="00CB640F"/>
    <w:rsid w:val="00CB7704"/>
    <w:rsid w:val="00CC0147"/>
    <w:rsid w:val="00CC07DC"/>
    <w:rsid w:val="00CC4FD3"/>
    <w:rsid w:val="00CC6643"/>
    <w:rsid w:val="00CC73AD"/>
    <w:rsid w:val="00CD17E3"/>
    <w:rsid w:val="00CD3BFB"/>
    <w:rsid w:val="00CD5A9B"/>
    <w:rsid w:val="00CD6039"/>
    <w:rsid w:val="00CD76D4"/>
    <w:rsid w:val="00CD7F04"/>
    <w:rsid w:val="00CE1C9F"/>
    <w:rsid w:val="00CE2A9E"/>
    <w:rsid w:val="00CE4CB2"/>
    <w:rsid w:val="00CE5D17"/>
    <w:rsid w:val="00CE6AC3"/>
    <w:rsid w:val="00CE7923"/>
    <w:rsid w:val="00CF55C0"/>
    <w:rsid w:val="00D046FE"/>
    <w:rsid w:val="00D047E4"/>
    <w:rsid w:val="00D054A9"/>
    <w:rsid w:val="00D062BC"/>
    <w:rsid w:val="00D067F1"/>
    <w:rsid w:val="00D06AA8"/>
    <w:rsid w:val="00D10EC2"/>
    <w:rsid w:val="00D126D4"/>
    <w:rsid w:val="00D12898"/>
    <w:rsid w:val="00D1604A"/>
    <w:rsid w:val="00D16EE7"/>
    <w:rsid w:val="00D20B6B"/>
    <w:rsid w:val="00D22FE4"/>
    <w:rsid w:val="00D2395A"/>
    <w:rsid w:val="00D23DBB"/>
    <w:rsid w:val="00D249C7"/>
    <w:rsid w:val="00D25BBD"/>
    <w:rsid w:val="00D263F8"/>
    <w:rsid w:val="00D26E50"/>
    <w:rsid w:val="00D30751"/>
    <w:rsid w:val="00D31824"/>
    <w:rsid w:val="00D370BD"/>
    <w:rsid w:val="00D40388"/>
    <w:rsid w:val="00D426F1"/>
    <w:rsid w:val="00D47724"/>
    <w:rsid w:val="00D47A96"/>
    <w:rsid w:val="00D47ECF"/>
    <w:rsid w:val="00D52D34"/>
    <w:rsid w:val="00D53679"/>
    <w:rsid w:val="00D54FB7"/>
    <w:rsid w:val="00D561C6"/>
    <w:rsid w:val="00D579E7"/>
    <w:rsid w:val="00D60134"/>
    <w:rsid w:val="00D633CF"/>
    <w:rsid w:val="00D7092B"/>
    <w:rsid w:val="00D71BF0"/>
    <w:rsid w:val="00D73311"/>
    <w:rsid w:val="00D740C3"/>
    <w:rsid w:val="00D7591A"/>
    <w:rsid w:val="00D767D6"/>
    <w:rsid w:val="00D80900"/>
    <w:rsid w:val="00D82087"/>
    <w:rsid w:val="00D84238"/>
    <w:rsid w:val="00D843EE"/>
    <w:rsid w:val="00D8740A"/>
    <w:rsid w:val="00D878B9"/>
    <w:rsid w:val="00D903CC"/>
    <w:rsid w:val="00D92170"/>
    <w:rsid w:val="00DA4807"/>
    <w:rsid w:val="00DA75CC"/>
    <w:rsid w:val="00DA7B73"/>
    <w:rsid w:val="00DB3A61"/>
    <w:rsid w:val="00DB63A3"/>
    <w:rsid w:val="00DB670F"/>
    <w:rsid w:val="00DB765A"/>
    <w:rsid w:val="00DB7E0F"/>
    <w:rsid w:val="00DC03CA"/>
    <w:rsid w:val="00DC10A5"/>
    <w:rsid w:val="00DC1AF7"/>
    <w:rsid w:val="00DC4789"/>
    <w:rsid w:val="00DC5F42"/>
    <w:rsid w:val="00DD0812"/>
    <w:rsid w:val="00DD3348"/>
    <w:rsid w:val="00DD3D34"/>
    <w:rsid w:val="00DE15D0"/>
    <w:rsid w:val="00DE56BC"/>
    <w:rsid w:val="00DE7770"/>
    <w:rsid w:val="00DE77F1"/>
    <w:rsid w:val="00DF1BF1"/>
    <w:rsid w:val="00DF5418"/>
    <w:rsid w:val="00DF54A5"/>
    <w:rsid w:val="00DF5962"/>
    <w:rsid w:val="00DF6568"/>
    <w:rsid w:val="00E00D71"/>
    <w:rsid w:val="00E01094"/>
    <w:rsid w:val="00E01B23"/>
    <w:rsid w:val="00E03CDB"/>
    <w:rsid w:val="00E049B2"/>
    <w:rsid w:val="00E04E61"/>
    <w:rsid w:val="00E07E76"/>
    <w:rsid w:val="00E1135B"/>
    <w:rsid w:val="00E14A13"/>
    <w:rsid w:val="00E17910"/>
    <w:rsid w:val="00E20048"/>
    <w:rsid w:val="00E26594"/>
    <w:rsid w:val="00E26BBA"/>
    <w:rsid w:val="00E27230"/>
    <w:rsid w:val="00E322A9"/>
    <w:rsid w:val="00E363E2"/>
    <w:rsid w:val="00E3706A"/>
    <w:rsid w:val="00E408A4"/>
    <w:rsid w:val="00E40D3A"/>
    <w:rsid w:val="00E41384"/>
    <w:rsid w:val="00E41DE9"/>
    <w:rsid w:val="00E421DB"/>
    <w:rsid w:val="00E47EC7"/>
    <w:rsid w:val="00E52F6B"/>
    <w:rsid w:val="00E54411"/>
    <w:rsid w:val="00E57A52"/>
    <w:rsid w:val="00E62AC8"/>
    <w:rsid w:val="00E63863"/>
    <w:rsid w:val="00E670F7"/>
    <w:rsid w:val="00E74EEA"/>
    <w:rsid w:val="00E80617"/>
    <w:rsid w:val="00E806C3"/>
    <w:rsid w:val="00E822C0"/>
    <w:rsid w:val="00E82F7F"/>
    <w:rsid w:val="00E83896"/>
    <w:rsid w:val="00E86B03"/>
    <w:rsid w:val="00E87D4C"/>
    <w:rsid w:val="00E91A93"/>
    <w:rsid w:val="00E9784C"/>
    <w:rsid w:val="00E97DB7"/>
    <w:rsid w:val="00EA0AD8"/>
    <w:rsid w:val="00EA1DA2"/>
    <w:rsid w:val="00EA5198"/>
    <w:rsid w:val="00EA52EE"/>
    <w:rsid w:val="00EA68B8"/>
    <w:rsid w:val="00EA79D5"/>
    <w:rsid w:val="00EB26E9"/>
    <w:rsid w:val="00EB3A1D"/>
    <w:rsid w:val="00EB3CAA"/>
    <w:rsid w:val="00EB7CA9"/>
    <w:rsid w:val="00EC028C"/>
    <w:rsid w:val="00EC0D6E"/>
    <w:rsid w:val="00EC3F40"/>
    <w:rsid w:val="00EC4FDF"/>
    <w:rsid w:val="00EC6EBB"/>
    <w:rsid w:val="00EC701C"/>
    <w:rsid w:val="00ED3523"/>
    <w:rsid w:val="00ED46C2"/>
    <w:rsid w:val="00ED52E6"/>
    <w:rsid w:val="00ED5966"/>
    <w:rsid w:val="00ED5B72"/>
    <w:rsid w:val="00EE32FB"/>
    <w:rsid w:val="00EE512E"/>
    <w:rsid w:val="00EE576E"/>
    <w:rsid w:val="00EE7A33"/>
    <w:rsid w:val="00EF1592"/>
    <w:rsid w:val="00EF2FD4"/>
    <w:rsid w:val="00EF33EC"/>
    <w:rsid w:val="00EF5896"/>
    <w:rsid w:val="00F001C1"/>
    <w:rsid w:val="00F118FF"/>
    <w:rsid w:val="00F12460"/>
    <w:rsid w:val="00F14CA1"/>
    <w:rsid w:val="00F1583B"/>
    <w:rsid w:val="00F22C7B"/>
    <w:rsid w:val="00F23E08"/>
    <w:rsid w:val="00F24B9E"/>
    <w:rsid w:val="00F27F10"/>
    <w:rsid w:val="00F301E3"/>
    <w:rsid w:val="00F31BDF"/>
    <w:rsid w:val="00F31D13"/>
    <w:rsid w:val="00F32853"/>
    <w:rsid w:val="00F33DDB"/>
    <w:rsid w:val="00F35A60"/>
    <w:rsid w:val="00F406E8"/>
    <w:rsid w:val="00F4096C"/>
    <w:rsid w:val="00F43D47"/>
    <w:rsid w:val="00F44512"/>
    <w:rsid w:val="00F45C20"/>
    <w:rsid w:val="00F47482"/>
    <w:rsid w:val="00F50D69"/>
    <w:rsid w:val="00F51744"/>
    <w:rsid w:val="00F5381E"/>
    <w:rsid w:val="00F54F42"/>
    <w:rsid w:val="00F55228"/>
    <w:rsid w:val="00F60137"/>
    <w:rsid w:val="00F60BE8"/>
    <w:rsid w:val="00F6346B"/>
    <w:rsid w:val="00F636EF"/>
    <w:rsid w:val="00F6394F"/>
    <w:rsid w:val="00F652AF"/>
    <w:rsid w:val="00F664E7"/>
    <w:rsid w:val="00F7133B"/>
    <w:rsid w:val="00F76CCE"/>
    <w:rsid w:val="00F82195"/>
    <w:rsid w:val="00F84010"/>
    <w:rsid w:val="00F84EF7"/>
    <w:rsid w:val="00F8652F"/>
    <w:rsid w:val="00F9134B"/>
    <w:rsid w:val="00F93582"/>
    <w:rsid w:val="00F95746"/>
    <w:rsid w:val="00F9652F"/>
    <w:rsid w:val="00FA0441"/>
    <w:rsid w:val="00FA64F3"/>
    <w:rsid w:val="00FA7819"/>
    <w:rsid w:val="00FB01A4"/>
    <w:rsid w:val="00FB2124"/>
    <w:rsid w:val="00FB34A2"/>
    <w:rsid w:val="00FB5A23"/>
    <w:rsid w:val="00FB5AC3"/>
    <w:rsid w:val="00FB79FB"/>
    <w:rsid w:val="00FC084A"/>
    <w:rsid w:val="00FC25E8"/>
    <w:rsid w:val="00FC2F5A"/>
    <w:rsid w:val="00FC5D39"/>
    <w:rsid w:val="00FC61BC"/>
    <w:rsid w:val="00FD2801"/>
    <w:rsid w:val="00FD2DAA"/>
    <w:rsid w:val="00FD3ECA"/>
    <w:rsid w:val="00FD5A4B"/>
    <w:rsid w:val="00FE10F9"/>
    <w:rsid w:val="00FE320E"/>
    <w:rsid w:val="00FE3C74"/>
    <w:rsid w:val="00FE3DE8"/>
    <w:rsid w:val="00FE73D5"/>
    <w:rsid w:val="00FF59CC"/>
    <w:rsid w:val="00FF5C5E"/>
    <w:rsid w:val="00FF73F1"/>
    <w:rsid w:val="00FF7898"/>
    <w:rsid w:val="02783817"/>
    <w:rsid w:val="028137CD"/>
    <w:rsid w:val="05840D40"/>
    <w:rsid w:val="07605419"/>
    <w:rsid w:val="09EE1DA6"/>
    <w:rsid w:val="09F525F1"/>
    <w:rsid w:val="0A3E5960"/>
    <w:rsid w:val="0AC154AC"/>
    <w:rsid w:val="0AC338BB"/>
    <w:rsid w:val="0B7F68BB"/>
    <w:rsid w:val="0C7C244D"/>
    <w:rsid w:val="0CB23CF5"/>
    <w:rsid w:val="0E5E50D0"/>
    <w:rsid w:val="0F31387A"/>
    <w:rsid w:val="10FB73B6"/>
    <w:rsid w:val="115B3DB8"/>
    <w:rsid w:val="15095874"/>
    <w:rsid w:val="15474A39"/>
    <w:rsid w:val="160222AF"/>
    <w:rsid w:val="163C2834"/>
    <w:rsid w:val="17363EAA"/>
    <w:rsid w:val="1BF15BF6"/>
    <w:rsid w:val="1C377C81"/>
    <w:rsid w:val="1C691D81"/>
    <w:rsid w:val="1DA703E3"/>
    <w:rsid w:val="1FB002B7"/>
    <w:rsid w:val="1FC157EC"/>
    <w:rsid w:val="20283AAE"/>
    <w:rsid w:val="210E7C4B"/>
    <w:rsid w:val="23687446"/>
    <w:rsid w:val="237E651B"/>
    <w:rsid w:val="259712BE"/>
    <w:rsid w:val="26224EDB"/>
    <w:rsid w:val="2A30713C"/>
    <w:rsid w:val="2AB07CD8"/>
    <w:rsid w:val="2AC22CF3"/>
    <w:rsid w:val="2BC74CE2"/>
    <w:rsid w:val="2C566B76"/>
    <w:rsid w:val="2C5867CF"/>
    <w:rsid w:val="2D9A3185"/>
    <w:rsid w:val="2E447B2F"/>
    <w:rsid w:val="2EB14F54"/>
    <w:rsid w:val="30430043"/>
    <w:rsid w:val="328F493E"/>
    <w:rsid w:val="3497243E"/>
    <w:rsid w:val="356443DA"/>
    <w:rsid w:val="35CA4015"/>
    <w:rsid w:val="36F323B6"/>
    <w:rsid w:val="3AE71BB0"/>
    <w:rsid w:val="3B3C2918"/>
    <w:rsid w:val="3C8F414C"/>
    <w:rsid w:val="3CC8014B"/>
    <w:rsid w:val="3D431355"/>
    <w:rsid w:val="3E56414B"/>
    <w:rsid w:val="3F2D33E2"/>
    <w:rsid w:val="40540BAF"/>
    <w:rsid w:val="40B6194A"/>
    <w:rsid w:val="41B8796A"/>
    <w:rsid w:val="44C46566"/>
    <w:rsid w:val="47F804C8"/>
    <w:rsid w:val="481E5863"/>
    <w:rsid w:val="48DE70B5"/>
    <w:rsid w:val="4A5B1857"/>
    <w:rsid w:val="4BDC7E1B"/>
    <w:rsid w:val="4C8E104D"/>
    <w:rsid w:val="4F657E91"/>
    <w:rsid w:val="4FC41348"/>
    <w:rsid w:val="517F1AF6"/>
    <w:rsid w:val="524B3B1A"/>
    <w:rsid w:val="53AE2819"/>
    <w:rsid w:val="554F2D7B"/>
    <w:rsid w:val="577F3B31"/>
    <w:rsid w:val="59E03192"/>
    <w:rsid w:val="5A661D2E"/>
    <w:rsid w:val="5A80494C"/>
    <w:rsid w:val="5AD03BDB"/>
    <w:rsid w:val="5C700983"/>
    <w:rsid w:val="5C8A4BE0"/>
    <w:rsid w:val="5D047C3A"/>
    <w:rsid w:val="5E995002"/>
    <w:rsid w:val="5FC9205D"/>
    <w:rsid w:val="60F17CF2"/>
    <w:rsid w:val="62FE7C3E"/>
    <w:rsid w:val="64C70B5D"/>
    <w:rsid w:val="67457710"/>
    <w:rsid w:val="6A720673"/>
    <w:rsid w:val="6AE62538"/>
    <w:rsid w:val="6C4B2A3E"/>
    <w:rsid w:val="6D185A0C"/>
    <w:rsid w:val="6D661777"/>
    <w:rsid w:val="6E0C0198"/>
    <w:rsid w:val="6F0F06A6"/>
    <w:rsid w:val="6F315F51"/>
    <w:rsid w:val="6F93528C"/>
    <w:rsid w:val="70933559"/>
    <w:rsid w:val="718C04FB"/>
    <w:rsid w:val="72A852AD"/>
    <w:rsid w:val="73375656"/>
    <w:rsid w:val="752C223E"/>
    <w:rsid w:val="75563FAE"/>
    <w:rsid w:val="76070232"/>
    <w:rsid w:val="76942720"/>
    <w:rsid w:val="787523D5"/>
    <w:rsid w:val="79C72E50"/>
    <w:rsid w:val="7B2800F0"/>
    <w:rsid w:val="7BEB1482"/>
    <w:rsid w:val="7C593933"/>
    <w:rsid w:val="7E0304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0" w:semiHidden="0"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widowControl w:val="0"/>
      <w:spacing w:before="260" w:after="260" w:line="415" w:lineRule="auto"/>
      <w:outlineLvl w:val="2"/>
    </w:pPr>
    <w:rPr>
      <w:b/>
      <w:bCs/>
      <w:kern w:val="0"/>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qFormat/>
    <w:uiPriority w:val="0"/>
    <w:pPr>
      <w:keepNext/>
      <w:keepLines/>
      <w:widowControl w:val="0"/>
      <w:spacing w:before="280" w:after="290" w:line="376" w:lineRule="auto"/>
      <w:outlineLvl w:val="4"/>
    </w:pPr>
    <w:rPr>
      <w:b/>
      <w:sz w:val="28"/>
    </w:rPr>
  </w:style>
  <w:style w:type="paragraph" w:styleId="8">
    <w:name w:val="heading 6"/>
    <w:basedOn w:val="1"/>
    <w:next w:val="7"/>
    <w:qFormat/>
    <w:uiPriority w:val="0"/>
    <w:pPr>
      <w:keepNext/>
      <w:keepLines/>
      <w:widowControl w:val="0"/>
      <w:spacing w:before="240" w:after="64" w:line="319" w:lineRule="auto"/>
      <w:outlineLvl w:val="5"/>
    </w:pPr>
    <w:rPr>
      <w:rFonts w:ascii="Arial" w:hAnsi="Arial" w:eastAsia="黑体"/>
      <w:b/>
      <w:sz w:val="24"/>
    </w:rPr>
  </w:style>
  <w:style w:type="paragraph" w:styleId="9">
    <w:name w:val="heading 7"/>
    <w:basedOn w:val="1"/>
    <w:next w:val="7"/>
    <w:qFormat/>
    <w:uiPriority w:val="0"/>
    <w:pPr>
      <w:keepNext/>
      <w:keepLines/>
      <w:widowControl w:val="0"/>
      <w:spacing w:before="240" w:after="64" w:line="319" w:lineRule="auto"/>
      <w:outlineLvl w:val="6"/>
    </w:pPr>
    <w:rPr>
      <w:b/>
      <w:sz w:val="24"/>
    </w:rPr>
  </w:style>
  <w:style w:type="paragraph" w:styleId="10">
    <w:name w:val="heading 8"/>
    <w:basedOn w:val="1"/>
    <w:next w:val="7"/>
    <w:qFormat/>
    <w:uiPriority w:val="0"/>
    <w:pPr>
      <w:keepNext/>
      <w:keepLines/>
      <w:widowControl w:val="0"/>
      <w:spacing w:before="240" w:after="64" w:line="319" w:lineRule="auto"/>
      <w:outlineLvl w:val="7"/>
    </w:pPr>
    <w:rPr>
      <w:rFonts w:ascii="Arial" w:hAnsi="Arial" w:eastAsia="黑体"/>
      <w:sz w:val="24"/>
    </w:rPr>
  </w:style>
  <w:style w:type="paragraph" w:styleId="11">
    <w:name w:val="heading 9"/>
    <w:basedOn w:val="1"/>
    <w:next w:val="7"/>
    <w:qFormat/>
    <w:uiPriority w:val="0"/>
    <w:pPr>
      <w:keepNext/>
      <w:keepLines/>
      <w:widowControl w:val="0"/>
      <w:spacing w:before="240" w:after="64" w:line="319" w:lineRule="auto"/>
      <w:outlineLvl w:val="8"/>
    </w:pPr>
    <w:rPr>
      <w:rFonts w:ascii="Arial" w:hAnsi="Arial" w:eastAsia="黑体"/>
    </w:rPr>
  </w:style>
  <w:style w:type="character" w:default="1" w:styleId="51">
    <w:name w:val="Default Paragraph Font"/>
    <w:qFormat/>
    <w:uiPriority w:val="0"/>
  </w:style>
  <w:style w:type="table" w:default="1" w:styleId="50">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index 8"/>
    <w:basedOn w:val="1"/>
    <w:next w:val="1"/>
    <w:unhideWhenUsed/>
    <w:qFormat/>
    <w:uiPriority w:val="0"/>
    <w:pPr>
      <w:ind w:left="1680" w:hanging="210"/>
      <w:jc w:val="left"/>
    </w:pPr>
    <w:rPr>
      <w:rFonts w:ascii="Calibri" w:hAnsi="Calibri"/>
    </w:r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lang w:bidi="ar-SA"/>
    </w:rPr>
  </w:style>
  <w:style w:type="paragraph" w:styleId="16">
    <w:name w:val="Document Map"/>
    <w:basedOn w:val="1"/>
    <w:qFormat/>
    <w:uiPriority w:val="0"/>
    <w:pPr>
      <w:shd w:val="clear" w:color="auto" w:fill="000080"/>
    </w:pPr>
  </w:style>
  <w:style w:type="paragraph" w:styleId="17">
    <w:name w:val="annotation text"/>
    <w:basedOn w:val="1"/>
    <w:link w:val="58"/>
    <w:qFormat/>
    <w:uiPriority w:val="0"/>
    <w:pPr>
      <w:adjustRightInd w:val="0"/>
      <w:spacing w:line="360" w:lineRule="atLeast"/>
      <w:jc w:val="left"/>
      <w:textAlignment w:val="baseline"/>
    </w:pPr>
    <w:rPr>
      <w:kern w:val="0"/>
      <w:sz w:val="24"/>
      <w:szCs w:val="20"/>
    </w:rPr>
  </w:style>
  <w:style w:type="paragraph" w:styleId="18">
    <w:name w:val="Salutation"/>
    <w:basedOn w:val="1"/>
    <w:next w:val="1"/>
    <w:qFormat/>
    <w:uiPriority w:val="0"/>
    <w:rPr>
      <w:sz w:val="28"/>
    </w:rPr>
  </w:style>
  <w:style w:type="paragraph" w:styleId="19">
    <w:name w:val="Body Text 3"/>
    <w:basedOn w:val="1"/>
    <w:qFormat/>
    <w:uiPriority w:val="0"/>
    <w:pPr>
      <w:spacing w:line="500" w:lineRule="exact"/>
    </w:pPr>
    <w:rPr>
      <w:b/>
      <w:bCs/>
      <w:sz w:val="24"/>
    </w:rPr>
  </w:style>
  <w:style w:type="paragraph" w:styleId="20">
    <w:name w:val="Body Text"/>
    <w:basedOn w:val="1"/>
    <w:next w:val="1"/>
    <w:qFormat/>
    <w:uiPriority w:val="0"/>
    <w:pPr>
      <w:spacing w:line="380" w:lineRule="exact"/>
    </w:pPr>
    <w:rPr>
      <w:sz w:val="24"/>
    </w:rPr>
  </w:style>
  <w:style w:type="paragraph" w:styleId="21">
    <w:name w:val="Body Text Indent"/>
    <w:basedOn w:val="1"/>
    <w:qFormat/>
    <w:uiPriority w:val="0"/>
    <w:pPr>
      <w:ind w:firstLine="352"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4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0"/>
    <w:pPr>
      <w:ind w:left="400" w:leftChars="400"/>
    </w:pPr>
  </w:style>
  <w:style w:type="paragraph" w:styleId="27">
    <w:name w:val="Plain Text"/>
    <w:basedOn w:val="1"/>
    <w:link w:val="59"/>
    <w:qFormat/>
    <w:uiPriority w:val="0"/>
    <w:rPr>
      <w:rFonts w:ascii="宋体"/>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qFormat/>
    <w:uiPriority w:val="0"/>
    <w:pPr>
      <w:ind w:left="2500" w:leftChars="2500"/>
    </w:pPr>
    <w:rPr>
      <w:rFonts w:ascii="宋体" w:cs="Courier New"/>
      <w:szCs w:val="21"/>
      <w:lang w:bidi="ar-SA"/>
    </w:rPr>
  </w:style>
  <w:style w:type="paragraph" w:styleId="30">
    <w:name w:val="Body Text Indent 2"/>
    <w:basedOn w:val="1"/>
    <w:qFormat/>
    <w:uiPriority w:val="0"/>
    <w:pPr>
      <w:ind w:firstLine="630"/>
    </w:pPr>
    <w:rPr>
      <w:sz w:val="32"/>
      <w:szCs w:val="20"/>
    </w:rPr>
  </w:style>
  <w:style w:type="paragraph" w:styleId="31">
    <w:name w:val="endnote text"/>
    <w:basedOn w:val="1"/>
    <w:qFormat/>
    <w:uiPriority w:val="0"/>
    <w:pPr>
      <w:snapToGrid w:val="0"/>
      <w:jc w:val="left"/>
    </w:pPr>
    <w:rPr>
      <w:rFonts w:ascii="Calibri" w:hAnsi="Calibri"/>
      <w:szCs w:val="22"/>
    </w:rPr>
  </w:style>
  <w:style w:type="paragraph" w:styleId="32">
    <w:name w:val="Balloon Text"/>
    <w:basedOn w:val="1"/>
    <w:qFormat/>
    <w:uiPriority w:val="0"/>
    <w:rPr>
      <w:sz w:val="18"/>
      <w:szCs w:val="18"/>
    </w:rPr>
  </w:style>
  <w:style w:type="paragraph" w:styleId="33">
    <w:name w:val="footer"/>
    <w:basedOn w:val="1"/>
    <w:qFormat/>
    <w:uiPriority w:val="0"/>
    <w:pPr>
      <w:tabs>
        <w:tab w:val="center" w:pos="4153"/>
        <w:tab w:val="right" w:pos="8306"/>
      </w:tabs>
      <w:snapToGrid w:val="0"/>
      <w:jc w:val="left"/>
    </w:pPr>
    <w:rPr>
      <w:sz w:val="18"/>
      <w:szCs w:val="18"/>
    </w:rPr>
  </w:style>
  <w:style w:type="paragraph" w:styleId="3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lang w:bidi="ar-SA"/>
    </w:rPr>
  </w:style>
  <w:style w:type="paragraph" w:styleId="36">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qFormat/>
    <w:uiPriority w:val="0"/>
    <w:pPr>
      <w:spacing w:after="120"/>
      <w:ind w:left="200" w:leftChars="200"/>
    </w:pPr>
    <w:rPr>
      <w:sz w:val="16"/>
      <w:szCs w:val="16"/>
    </w:rPr>
  </w:style>
  <w:style w:type="paragraph" w:styleId="41">
    <w:name w:val="toc 2"/>
    <w:basedOn w:val="1"/>
    <w:next w:val="1"/>
    <w:qFormat/>
    <w:uiPriority w:val="0"/>
    <w:pPr>
      <w:ind w:left="200" w:leftChars="200"/>
    </w:pPr>
  </w:style>
  <w:style w:type="paragraph" w:styleId="4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3">
    <w:name w:val="Body Text 2"/>
    <w:basedOn w:val="1"/>
    <w:qFormat/>
    <w:uiPriority w:val="0"/>
    <w:pPr>
      <w:spacing w:after="120" w:line="480" w:lineRule="auto"/>
    </w:pPr>
  </w:style>
  <w:style w:type="paragraph" w:styleId="4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szCs w:val="20"/>
      <w:lang w:bidi="ar-SA"/>
    </w:rPr>
  </w:style>
  <w:style w:type="paragraph" w:styleId="45">
    <w:name w:val="Normal (Web)"/>
    <w:basedOn w:val="1"/>
    <w:qFormat/>
    <w:uiPriority w:val="0"/>
    <w:pPr>
      <w:widowControl/>
      <w:spacing w:before="100" w:beforeAutospacing="1" w:after="100" w:afterAutospacing="1"/>
      <w:jc w:val="left"/>
    </w:pPr>
    <w:rPr>
      <w:rFonts w:ascii="宋体"/>
      <w:kern w:val="0"/>
      <w:sz w:val="24"/>
    </w:rPr>
  </w:style>
  <w:style w:type="paragraph" w:styleId="46">
    <w:name w:val="index 1"/>
    <w:basedOn w:val="1"/>
    <w:next w:val="1"/>
    <w:qFormat/>
    <w:uiPriority w:val="0"/>
    <w:pPr>
      <w:spacing w:line="400" w:lineRule="exact"/>
      <w:ind w:firstLine="200" w:firstLineChars="200"/>
    </w:pPr>
    <w:rPr>
      <w:rFonts w:ascii="宋体"/>
      <w:b/>
      <w:szCs w:val="20"/>
    </w:rPr>
  </w:style>
  <w:style w:type="paragraph" w:styleId="47">
    <w:name w:val="Title"/>
    <w:basedOn w:val="1"/>
    <w:qFormat/>
    <w:uiPriority w:val="0"/>
    <w:pPr>
      <w:spacing w:before="240" w:after="60"/>
      <w:jc w:val="center"/>
      <w:outlineLvl w:val="0"/>
    </w:pPr>
    <w:rPr>
      <w:rFonts w:ascii="Arial" w:hAnsi="Arial"/>
      <w:b/>
      <w:bCs/>
      <w:sz w:val="32"/>
      <w:szCs w:val="32"/>
    </w:rPr>
  </w:style>
  <w:style w:type="paragraph" w:styleId="48">
    <w:name w:val="annotation subject"/>
    <w:basedOn w:val="17"/>
    <w:next w:val="17"/>
    <w:qFormat/>
    <w:uiPriority w:val="0"/>
    <w:pPr>
      <w:adjustRightInd/>
      <w:spacing w:line="240" w:lineRule="auto"/>
      <w:textAlignment w:val="auto"/>
    </w:pPr>
    <w:rPr>
      <w:b/>
      <w:bCs/>
      <w:kern w:val="2"/>
      <w:sz w:val="21"/>
      <w:szCs w:val="24"/>
    </w:rPr>
  </w:style>
  <w:style w:type="paragraph" w:styleId="49">
    <w:name w:val="Body Text First Indent"/>
    <w:next w:val="38"/>
    <w:unhideWhenUsed/>
    <w:qFormat/>
    <w:uiPriority w:val="99"/>
    <w:pPr>
      <w:widowControl w:val="0"/>
      <w:spacing w:beforeLines="0" w:afterLines="0" w:line="380" w:lineRule="exact"/>
      <w:ind w:firstLine="420" w:firstLineChars="100"/>
      <w:jc w:val="both"/>
    </w:pPr>
    <w:rPr>
      <w:rFonts w:hint="default" w:ascii="Times New Roman" w:hAnsi="Times New Roman" w:eastAsia="宋体" w:cs="Times New Roman"/>
      <w:kern w:val="2"/>
      <w:sz w:val="24"/>
      <w:szCs w:val="24"/>
      <w:lang w:val="en-US" w:eastAsia="zh-CN" w:bidi="ar-SA"/>
    </w:rPr>
  </w:style>
  <w:style w:type="character" w:styleId="52">
    <w:name w:val="Strong"/>
    <w:qFormat/>
    <w:uiPriority w:val="0"/>
    <w:rPr>
      <w:b/>
      <w:bCs/>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color w:val="CC0000"/>
    </w:rPr>
  </w:style>
  <w:style w:type="character" w:styleId="56">
    <w:name w:val="Hyperlink"/>
    <w:qFormat/>
    <w:uiPriority w:val="0"/>
    <w:rPr>
      <w:color w:val="0000FF"/>
      <w:u w:val="single"/>
    </w:rPr>
  </w:style>
  <w:style w:type="character" w:styleId="57">
    <w:name w:val="annotation reference"/>
    <w:qFormat/>
    <w:uiPriority w:val="0"/>
    <w:rPr>
      <w:sz w:val="21"/>
      <w:szCs w:val="21"/>
    </w:rPr>
  </w:style>
  <w:style w:type="character" w:customStyle="1" w:styleId="58">
    <w:name w:val="批注文字 Char"/>
    <w:link w:val="17"/>
    <w:qFormat/>
    <w:uiPriority w:val="0"/>
    <w:rPr>
      <w:rFonts w:eastAsia="宋体"/>
      <w:sz w:val="24"/>
    </w:rPr>
  </w:style>
  <w:style w:type="character" w:customStyle="1" w:styleId="59">
    <w:name w:val="纯文本 Char"/>
    <w:link w:val="27"/>
    <w:qFormat/>
    <w:uiPriority w:val="0"/>
    <w:rPr>
      <w:rFonts w:ascii="宋体" w:eastAsia="宋体" w:cs="Courier New"/>
      <w:kern w:val="2"/>
      <w:sz w:val="21"/>
      <w:szCs w:val="21"/>
    </w:rPr>
  </w:style>
  <w:style w:type="character" w:customStyle="1" w:styleId="60">
    <w:name w:val="自定义标题一 Char Char"/>
    <w:qFormat/>
    <w:uiPriority w:val="0"/>
    <w:rPr>
      <w:rFonts w:asci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61">
    <w:name w:val=" Char Char Char Char Char"/>
    <w:qFormat/>
    <w:uiPriority w:val="0"/>
    <w:rPr>
      <w:rFonts w:eastAsia="宋体"/>
      <w:b/>
      <w:bCs/>
      <w:kern w:val="44"/>
      <w:sz w:val="44"/>
      <w:szCs w:val="44"/>
      <w:lang w:val="en-US" w:eastAsia="zh-CN" w:bidi="ar-SA"/>
    </w:rPr>
  </w:style>
  <w:style w:type="character" w:customStyle="1" w:styleId="62">
    <w:name w:val="ca-0"/>
    <w:qFormat/>
    <w:uiPriority w:val="0"/>
  </w:style>
  <w:style w:type="character" w:customStyle="1" w:styleId="63">
    <w:name w:val=" Char Char15"/>
    <w:qFormat/>
    <w:uiPriority w:val="0"/>
    <w:rPr>
      <w:sz w:val="18"/>
      <w:szCs w:val="18"/>
    </w:rPr>
  </w:style>
  <w:style w:type="character" w:customStyle="1" w:styleId="64">
    <w:name w:val="正文文本缩进 Char1"/>
    <w:qFormat/>
    <w:uiPriority w:val="0"/>
    <w:rPr>
      <w:kern w:val="2"/>
      <w:sz w:val="21"/>
      <w:szCs w:val="22"/>
    </w:rPr>
  </w:style>
  <w:style w:type="character" w:customStyle="1" w:styleId="65">
    <w:name w:val=" Char Char10"/>
    <w:qFormat/>
    <w:uiPriority w:val="0"/>
    <w:rPr>
      <w:rFonts w:eastAsia="宋体"/>
      <w:kern w:val="2"/>
      <w:sz w:val="24"/>
      <w:szCs w:val="24"/>
      <w:lang w:val="en-US" w:eastAsia="zh-CN" w:bidi="ar-SA"/>
    </w:rPr>
  </w:style>
  <w:style w:type="character" w:customStyle="1" w:styleId="66">
    <w:name w:val="unnamed3"/>
    <w:basedOn w:val="51"/>
    <w:qFormat/>
    <w:uiPriority w:val="0"/>
  </w:style>
  <w:style w:type="character" w:customStyle="1" w:styleId="67">
    <w:name w:val="H1 Char2"/>
    <w:qFormat/>
    <w:uiPriority w:val="0"/>
    <w:rPr>
      <w:rFonts w:eastAsia="宋体"/>
      <w:b/>
      <w:bCs/>
      <w:kern w:val="44"/>
      <w:sz w:val="44"/>
      <w:szCs w:val="44"/>
      <w:lang w:val="en-US" w:eastAsia="zh-CN" w:bidi="ar-SA"/>
    </w:rPr>
  </w:style>
  <w:style w:type="character" w:customStyle="1" w:styleId="68">
    <w:name w:val="style31"/>
    <w:qFormat/>
    <w:uiPriority w:val="0"/>
    <w:rPr>
      <w:sz w:val="18"/>
      <w:szCs w:val="18"/>
    </w:rPr>
  </w:style>
  <w:style w:type="character" w:customStyle="1" w:styleId="69">
    <w:name w:val="无间隔 Char Char"/>
    <w:qFormat/>
    <w:uiPriority w:val="0"/>
    <w:rPr>
      <w:rFonts w:ascii="Calibri" w:hAnsi="Calibri" w:eastAsia="宋体"/>
      <w:sz w:val="22"/>
      <w:szCs w:val="22"/>
      <w:lang w:val="en-US" w:eastAsia="zh-CN" w:bidi="ar-SA"/>
    </w:rPr>
  </w:style>
  <w:style w:type="character" w:customStyle="1" w:styleId="70">
    <w:name w:val="正文文字首行缩进 Char"/>
    <w:qFormat/>
    <w:uiPriority w:val="0"/>
    <w:rPr>
      <w:rFonts w:ascii="仿宋_GB2312" w:eastAsia="仿宋_GB2312"/>
      <w:kern w:val="2"/>
      <w:sz w:val="32"/>
    </w:rPr>
  </w:style>
  <w:style w:type="character" w:customStyle="1" w:styleId="71">
    <w:name w:val="H1 Char"/>
    <w:qFormat/>
    <w:uiPriority w:val="0"/>
    <w:rPr>
      <w:rFonts w:eastAsia="宋体"/>
      <w:b/>
      <w:bCs/>
      <w:kern w:val="44"/>
      <w:sz w:val="44"/>
      <w:szCs w:val="44"/>
      <w:lang w:val="en-US" w:eastAsia="zh-CN" w:bidi="ar-SA"/>
    </w:rPr>
  </w:style>
  <w:style w:type="character" w:customStyle="1" w:styleId="72">
    <w:name w:val=" Char Char14"/>
    <w:qFormat/>
    <w:uiPriority w:val="0"/>
    <w:rPr>
      <w:sz w:val="18"/>
      <w:szCs w:val="18"/>
    </w:rPr>
  </w:style>
  <w:style w:type="character" w:customStyle="1" w:styleId="73">
    <w:name w:val="普通文字 Char Char2"/>
    <w:qFormat/>
    <w:uiPriority w:val="0"/>
    <w:rPr>
      <w:rFonts w:ascii="宋体" w:eastAsia="宋体"/>
      <w:kern w:val="2"/>
      <w:sz w:val="21"/>
      <w:lang w:val="en-US" w:eastAsia="zh-CN" w:bidi="ar-SA"/>
    </w:rPr>
  </w:style>
  <w:style w:type="character" w:customStyle="1" w:styleId="74">
    <w:name w:val="p1"/>
    <w:basedOn w:val="51"/>
    <w:qFormat/>
    <w:uiPriority w:val="0"/>
  </w:style>
  <w:style w:type="character" w:customStyle="1" w:styleId="75">
    <w:name w:val="apple-style-span"/>
    <w:basedOn w:val="51"/>
    <w:qFormat/>
    <w:uiPriority w:val="0"/>
  </w:style>
  <w:style w:type="character" w:customStyle="1" w:styleId="76">
    <w:name w:val="H1 Char1"/>
    <w:qFormat/>
    <w:uiPriority w:val="0"/>
    <w:rPr>
      <w:rFonts w:eastAsia="宋体"/>
      <w:b/>
      <w:bCs/>
      <w:kern w:val="44"/>
      <w:sz w:val="44"/>
      <w:szCs w:val="44"/>
      <w:lang w:val="en-US" w:eastAsia="zh-CN" w:bidi="ar-SA"/>
    </w:rPr>
  </w:style>
  <w:style w:type="character" w:customStyle="1" w:styleId="77">
    <w:name w:val="cubane_hilight1"/>
    <w:qFormat/>
    <w:uiPriority w:val="0"/>
    <w:rPr>
      <w:color w:val="CC0000"/>
    </w:rPr>
  </w:style>
  <w:style w:type="character" w:customStyle="1" w:styleId="78">
    <w:name w:val="Char Char17"/>
    <w:qFormat/>
    <w:uiPriority w:val="0"/>
    <w:rPr>
      <w:rFonts w:ascii="Times New Roman" w:hAnsi="Times New Roman" w:cs="Times New Roman"/>
      <w:b/>
      <w:bCs/>
      <w:kern w:val="2"/>
      <w:sz w:val="21"/>
      <w:szCs w:val="24"/>
      <w:lang w:bidi="ar-SA"/>
    </w:rPr>
  </w:style>
  <w:style w:type="character" w:customStyle="1" w:styleId="79">
    <w:name w:val="llyf92"/>
    <w:qFormat/>
    <w:uiPriority w:val="0"/>
    <w:rPr>
      <w:sz w:val="18"/>
      <w:szCs w:val="18"/>
    </w:rPr>
  </w:style>
  <w:style w:type="character" w:customStyle="1" w:styleId="80">
    <w:name w:val="1ji Char Char"/>
    <w:qFormat/>
    <w:uiPriority w:val="0"/>
    <w:rPr>
      <w:rFonts w:ascii="宋体" w:eastAsia="宋体"/>
      <w:b/>
      <w:bCs/>
      <w:kern w:val="44"/>
      <w:sz w:val="36"/>
      <w:szCs w:val="44"/>
    </w:rPr>
  </w:style>
  <w:style w:type="character" w:customStyle="1" w:styleId="81">
    <w:name w:val="Body Text Char"/>
    <w:qFormat/>
    <w:uiPriority w:val="0"/>
    <w:rPr>
      <w:rFonts w:eastAsia="宋体"/>
      <w:kern w:val="2"/>
      <w:sz w:val="24"/>
      <w:szCs w:val="24"/>
      <w:lang w:val="en-US" w:eastAsia="zh-CN" w:bidi="ar-SA"/>
    </w:rPr>
  </w:style>
  <w:style w:type="character" w:customStyle="1" w:styleId="82">
    <w:name w:val=" Char Char11"/>
    <w:qFormat/>
    <w:uiPriority w:val="0"/>
    <w:rPr>
      <w:rFonts w:ascii="Times New Roman" w:hAnsi="Times New Roman" w:eastAsia="宋体" w:cs="Times New Roman"/>
      <w:sz w:val="30"/>
      <w:szCs w:val="24"/>
      <w:lang w:bidi="ar-SA"/>
    </w:rPr>
  </w:style>
  <w:style w:type="character" w:customStyle="1" w:styleId="83">
    <w:name w:val="style161"/>
    <w:qFormat/>
    <w:uiPriority w:val="0"/>
    <w:rPr>
      <w:color w:val="666666"/>
    </w:rPr>
  </w:style>
  <w:style w:type="character" w:customStyle="1" w:styleId="84">
    <w:name w:val="标题 Char1"/>
    <w:qFormat/>
    <w:uiPriority w:val="0"/>
    <w:rPr>
      <w:rFonts w:ascii="Cambria" w:hAnsi="Cambria" w:cs="Times New Roman"/>
      <w:b/>
      <w:bCs/>
      <w:kern w:val="2"/>
      <w:sz w:val="32"/>
      <w:szCs w:val="32"/>
      <w:lang w:bidi="ar-SA"/>
    </w:rPr>
  </w:style>
  <w:style w:type="character" w:customStyle="1" w:styleId="85">
    <w:name w:val="纯文本 Char1"/>
    <w:qFormat/>
    <w:uiPriority w:val="0"/>
    <w:rPr>
      <w:rFonts w:ascii="宋体" w:eastAsia="宋体" w:cs="Courier New"/>
      <w:kern w:val="2"/>
      <w:sz w:val="21"/>
      <w:szCs w:val="21"/>
      <w:lang w:val="en-US" w:eastAsia="zh-CN" w:bidi="ar-SA"/>
    </w:rPr>
  </w:style>
  <w:style w:type="character" w:customStyle="1" w:styleId="86">
    <w:name w:val="普通文字 Char Char4"/>
    <w:qFormat/>
    <w:uiPriority w:val="0"/>
    <w:rPr>
      <w:rFonts w:ascii="宋体" w:eastAsia="宋体" w:cs="Courier New"/>
      <w:kern w:val="2"/>
      <w:sz w:val="21"/>
      <w:szCs w:val="21"/>
      <w:lang w:val="en-US" w:eastAsia="zh-CN" w:bidi="ar-SA"/>
    </w:rPr>
  </w:style>
  <w:style w:type="character" w:customStyle="1" w:styleId="87">
    <w:name w:val="style21"/>
    <w:qFormat/>
    <w:uiPriority w:val="0"/>
    <w:rPr>
      <w:sz w:val="18"/>
      <w:szCs w:val="18"/>
    </w:rPr>
  </w:style>
  <w:style w:type="character" w:customStyle="1" w:styleId="88">
    <w:name w:val=" Char Char23"/>
    <w:qFormat/>
    <w:uiPriority w:val="0"/>
    <w:rPr>
      <w:rFonts w:ascii="Times New Roman" w:hAnsi="Times New Roman" w:eastAsia="宋体" w:cs="Times New Roman"/>
      <w:b/>
      <w:bCs/>
      <w:kern w:val="44"/>
      <w:sz w:val="44"/>
      <w:szCs w:val="44"/>
      <w:lang w:bidi="ar-SA"/>
    </w:rPr>
  </w:style>
  <w:style w:type="paragraph" w:customStyle="1" w:styleId="89">
    <w:name w:val="List Paragraph1"/>
    <w:basedOn w:val="1"/>
    <w:qFormat/>
    <w:uiPriority w:val="0"/>
    <w:pPr>
      <w:ind w:firstLine="200" w:firstLineChars="200"/>
    </w:pPr>
    <w:rPr>
      <w:rFonts w:ascii="Calibri" w:hAnsi="Calibri"/>
      <w:szCs w:val="22"/>
    </w:rPr>
  </w:style>
  <w:style w:type="paragraph" w:customStyle="1" w:styleId="90">
    <w:name w:val="目录4"/>
    <w:basedOn w:val="1"/>
    <w:next w:val="1"/>
    <w:qFormat/>
    <w:uiPriority w:val="0"/>
    <w:pPr>
      <w:widowControl/>
      <w:tabs>
        <w:tab w:val="left" w:leader="dot" w:pos="8503"/>
      </w:tabs>
      <w:spacing w:line="317" w:lineRule="atLeast"/>
      <w:ind w:firstLine="629"/>
      <w:textAlignment w:val="baseline"/>
    </w:pPr>
    <w:rPr>
      <w:color w:val="000000"/>
      <w:kern w:val="0"/>
      <w:szCs w:val="20"/>
      <w:u w:val="none" w:color="000000"/>
    </w:rPr>
  </w:style>
  <w:style w:type="paragraph" w:customStyle="1" w:styleId="91">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92">
    <w:name w:val="目录3"/>
    <w:basedOn w:val="1"/>
    <w:next w:val="1"/>
    <w:qFormat/>
    <w:uiPriority w:val="0"/>
    <w:pPr>
      <w:widowControl/>
      <w:tabs>
        <w:tab w:val="left" w:leader="dot" w:pos="8503"/>
      </w:tabs>
      <w:spacing w:line="317" w:lineRule="atLeast"/>
      <w:ind w:firstLine="419"/>
      <w:textAlignment w:val="baseline"/>
    </w:pPr>
    <w:rPr>
      <w:color w:val="000000"/>
      <w:kern w:val="0"/>
      <w:szCs w:val="20"/>
      <w:u w:val="none" w:color="000000"/>
    </w:rPr>
  </w:style>
  <w:style w:type="paragraph" w:customStyle="1" w:styleId="93">
    <w:name w:val="1ji"/>
    <w:basedOn w:val="2"/>
    <w:qFormat/>
    <w:uiPriority w:val="0"/>
    <w:pPr>
      <w:keepNext/>
      <w:keepLines w:val="0"/>
      <w:widowControl/>
      <w:spacing w:before="0" w:after="0" w:line="240" w:lineRule="auto"/>
      <w:jc w:val="center"/>
    </w:pPr>
    <w:rPr>
      <w:rFonts w:ascii="宋体"/>
      <w:sz w:val="36"/>
    </w:rPr>
  </w:style>
  <w:style w:type="paragraph" w:customStyle="1" w:styleId="94">
    <w:name w:val=" Char"/>
    <w:basedOn w:val="16"/>
    <w:qFormat/>
    <w:uiPriority w:val="0"/>
    <w:pPr>
      <w:widowControl/>
      <w:ind w:firstLine="454"/>
      <w:jc w:val="left"/>
    </w:pPr>
    <w:rPr>
      <w:rFonts w:ascii="Tahoma" w:hAnsi="Tahoma" w:cs="宋体"/>
      <w:kern w:val="0"/>
      <w:sz w:val="24"/>
      <w:szCs w:val="20"/>
      <w:lang w:bidi="ar-SA"/>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lang w:bidi="ar-SA"/>
    </w:rPr>
  </w:style>
  <w:style w:type="paragraph" w:customStyle="1" w:styleId="96">
    <w:name w:val="Char Char Char Char"/>
    <w:basedOn w:val="16"/>
    <w:qFormat/>
    <w:uiPriority w:val="0"/>
    <w:pPr>
      <w:adjustRightInd w:val="0"/>
      <w:snapToGrid w:val="0"/>
      <w:spacing w:line="360" w:lineRule="auto"/>
    </w:pPr>
    <w:rPr>
      <w:rFonts w:ascii="Tahoma" w:hAnsi="Tahoma"/>
      <w:sz w:val="24"/>
    </w:rPr>
  </w:style>
  <w:style w:type="paragraph" w:customStyle="1" w:styleId="97">
    <w:name w:val="_Style 35"/>
    <w:basedOn w:val="16"/>
    <w:qFormat/>
    <w:uiPriority w:val="0"/>
    <w:pPr>
      <w:widowControl/>
      <w:ind w:firstLine="454"/>
      <w:jc w:val="left"/>
    </w:pPr>
  </w:style>
  <w:style w:type="paragraph" w:customStyle="1" w:styleId="98">
    <w:name w:val="表内文字"/>
    <w:basedOn w:val="1"/>
    <w:qFormat/>
    <w:uiPriority w:val="0"/>
    <w:pPr>
      <w:snapToGrid w:val="0"/>
      <w:spacing w:before="50" w:after="50" w:line="360" w:lineRule="exact"/>
    </w:pPr>
    <w:rPr>
      <w:rFonts w:ascii="宋体"/>
      <w:b/>
      <w:color w:val="0000FF"/>
      <w:szCs w:val="21"/>
    </w:rPr>
  </w:style>
  <w:style w:type="paragraph" w:customStyle="1" w:styleId="9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00">
    <w:name w:val="正文段"/>
    <w:basedOn w:val="1"/>
    <w:qFormat/>
    <w:uiPriority w:val="0"/>
    <w:pPr>
      <w:widowControl/>
      <w:snapToGrid w:val="0"/>
      <w:spacing w:after="50" w:afterLines="50"/>
      <w:ind w:firstLine="200" w:firstLineChars="200"/>
    </w:pPr>
    <w:rPr>
      <w:kern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2">
    <w:name w:val="444"/>
    <w:basedOn w:val="1"/>
    <w:qFormat/>
    <w:uiPriority w:val="0"/>
    <w:pPr>
      <w:adjustRightInd w:val="0"/>
      <w:spacing w:line="312" w:lineRule="atLeast"/>
      <w:jc w:val="center"/>
      <w:textAlignment w:val="baseline"/>
    </w:pPr>
    <w:rPr>
      <w:b/>
      <w:kern w:val="0"/>
      <w:sz w:val="36"/>
      <w:szCs w:val="36"/>
    </w:rPr>
  </w:style>
  <w:style w:type="paragraph" w:customStyle="1" w:styleId="103">
    <w:name w:val="列出段落1"/>
    <w:qFormat/>
    <w:uiPriority w:val="0"/>
    <w:pPr>
      <w:ind w:firstLine="200" w:firstLineChars="200"/>
    </w:pPr>
    <w:rPr>
      <w:rFonts w:ascii="Calibri" w:hAnsi="Calibri" w:eastAsia="宋体" w:cs="Times New Roman"/>
      <w:szCs w:val="22"/>
      <w:lang w:val="en-US" w:eastAsia="zh-CN" w:bidi="ar-SA"/>
    </w:rPr>
  </w:style>
  <w:style w:type="paragraph" w:customStyle="1" w:styleId="104">
    <w:name w:val="目录标题"/>
    <w:basedOn w:val="1"/>
    <w:next w:val="1"/>
    <w:qFormat/>
    <w:uiPriority w:val="0"/>
    <w:pPr>
      <w:widowControl/>
      <w:spacing w:before="566" w:after="544" w:line="566" w:lineRule="atLeast"/>
      <w:ind w:firstLine="419"/>
      <w:jc w:val="center"/>
      <w:textAlignment w:val="baseline"/>
    </w:pPr>
    <w:rPr>
      <w:rFonts w:ascii="Arial" w:hAnsi="Arial" w:eastAsia="黑体"/>
      <w:color w:val="000000"/>
      <w:spacing w:val="566"/>
      <w:kern w:val="0"/>
      <w:sz w:val="54"/>
      <w:szCs w:val="20"/>
      <w:u w:val="none" w:color="000000"/>
    </w:rPr>
  </w:style>
  <w:style w:type="paragraph" w:customStyle="1" w:styleId="10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106">
    <w:name w:val="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7">
    <w:name w:val="自定义标题一"/>
    <w:basedOn w:val="2"/>
    <w:qFormat/>
    <w:uiPriority w:val="0"/>
    <w:pPr>
      <w:keepNext/>
      <w:keepLines/>
      <w:pageBreakBefore/>
      <w:widowControl w:val="0"/>
      <w:tabs>
        <w:tab w:val="left" w:pos="144"/>
      </w:tabs>
      <w:spacing w:before="0" w:after="0" w:line="360" w:lineRule="auto"/>
      <w:ind w:left="144" w:hanging="144"/>
      <w:jc w:val="center"/>
    </w:pPr>
    <w:rPr>
      <w:rFonts w:ascii="黑体" w:eastAsia="黑体"/>
      <w14:shadow w14:blurRad="50800" w14:dist="38100" w14:dir="2700000" w14:sx="100000" w14:sy="100000" w14:kx="0" w14:ky="0" w14:algn="tl">
        <w14:srgbClr w14:val="000000">
          <w14:alpha w14:val="60000"/>
        </w14:srgbClr>
      </w14:shadow>
    </w:rPr>
  </w:style>
  <w:style w:type="paragraph" w:customStyle="1" w:styleId="108">
    <w:name w:val="Plain Text"/>
    <w:basedOn w:val="1"/>
    <w:qFormat/>
    <w:uiPriority w:val="0"/>
    <w:rPr>
      <w:rFonts w:ascii="宋体"/>
      <w:szCs w:val="20"/>
    </w:rPr>
  </w:style>
  <w:style w:type="paragraph" w:customStyle="1" w:styleId="109">
    <w:name w:val="正文首行缩进两字符"/>
    <w:basedOn w:val="1"/>
    <w:qFormat/>
    <w:uiPriority w:val="0"/>
    <w:pPr>
      <w:spacing w:line="360" w:lineRule="auto"/>
      <w:ind w:firstLine="200" w:firstLineChars="200"/>
    </w:pPr>
  </w:style>
  <w:style w:type="paragraph" w:customStyle="1" w:styleId="110">
    <w:name w:val="小节标题"/>
    <w:basedOn w:val="1"/>
    <w:next w:val="1"/>
    <w:qFormat/>
    <w:uiPriority w:val="0"/>
    <w:pPr>
      <w:widowControl/>
      <w:spacing w:before="175" w:after="102" w:line="351" w:lineRule="atLeast"/>
      <w:textAlignment w:val="baseline"/>
    </w:pPr>
    <w:rPr>
      <w:rFonts w:eastAsia="黑体"/>
      <w:color w:val="000000"/>
      <w:kern w:val="0"/>
      <w:szCs w:val="20"/>
      <w:u w:val="none" w:color="000000"/>
    </w:rPr>
  </w:style>
  <w:style w:type="paragraph" w:customStyle="1" w:styleId="111">
    <w:name w:val="Char Char Char Char Char Char Char Char Char"/>
    <w:basedOn w:val="1"/>
    <w:qFormat/>
    <w:uiPriority w:val="0"/>
    <w:pPr>
      <w:widowControl/>
      <w:spacing w:after="160" w:line="240" w:lineRule="exact"/>
      <w:jc w:val="left"/>
    </w:pPr>
    <w:rPr>
      <w:szCs w:val="20"/>
    </w:rPr>
  </w:style>
  <w:style w:type="paragraph" w:customStyle="1" w:styleId="1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3">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kern w:val="0"/>
      <w:szCs w:val="21"/>
    </w:rPr>
  </w:style>
  <w:style w:type="paragraph" w:customStyle="1" w:styleId="114">
    <w:name w:val="样式 正文文字 + 小四 段后: 0 磅 行距: 1.5 倍行距"/>
    <w:basedOn w:val="20"/>
    <w:qFormat/>
    <w:uiPriority w:val="0"/>
    <w:pPr>
      <w:spacing w:line="360" w:lineRule="auto"/>
      <w:ind w:firstLine="200" w:firstLineChars="200"/>
    </w:pPr>
    <w:rPr>
      <w:rFonts w:cs="宋体"/>
      <w:szCs w:val="20"/>
      <w:lang w:bidi="ar-SA"/>
    </w:rPr>
  </w:style>
  <w:style w:type="paragraph" w:customStyle="1" w:styleId="115">
    <w:name w:val="目录1"/>
    <w:basedOn w:val="1"/>
    <w:next w:val="1"/>
    <w:qFormat/>
    <w:uiPriority w:val="0"/>
    <w:pPr>
      <w:widowControl/>
      <w:tabs>
        <w:tab w:val="left" w:leader="dot" w:pos="8503"/>
      </w:tabs>
      <w:spacing w:after="136" w:line="289" w:lineRule="atLeast"/>
      <w:jc w:val="left"/>
      <w:textAlignment w:val="baseline"/>
    </w:pPr>
    <w:rPr>
      <w:rFonts w:ascii="Arial" w:hAnsi="Arial" w:eastAsia="黑体"/>
      <w:color w:val="000000"/>
      <w:kern w:val="0"/>
      <w:sz w:val="28"/>
      <w:szCs w:val="20"/>
      <w:u w:val="none" w:color="000000"/>
    </w:rPr>
  </w:style>
  <w:style w:type="paragraph" w:customStyle="1" w:styleId="116">
    <w:name w:val=" Char Char1 Char Char Char Char"/>
    <w:basedOn w:val="16"/>
    <w:qFormat/>
    <w:uiPriority w:val="0"/>
    <w:rPr>
      <w:rFonts w:ascii="Tahoma" w:hAnsi="Tahoma"/>
      <w:sz w:val="24"/>
    </w:rPr>
  </w:style>
  <w:style w:type="paragraph" w:customStyle="1" w:styleId="117">
    <w:name w:val="4"/>
    <w:basedOn w:val="1"/>
    <w:next w:val="30"/>
    <w:qFormat/>
    <w:uiPriority w:val="0"/>
    <w:pPr>
      <w:spacing w:line="420" w:lineRule="exact"/>
      <w:ind w:firstLine="195" w:firstLineChars="195"/>
    </w:pPr>
  </w:style>
  <w:style w:type="paragraph" w:customStyle="1" w:styleId="118">
    <w:name w:val="p15"/>
    <w:basedOn w:val="1"/>
    <w:qFormat/>
    <w:uiPriority w:val="0"/>
    <w:pPr>
      <w:widowControl/>
    </w:pPr>
    <w:rPr>
      <w:rFonts w:ascii="宋体" w:cs="宋体"/>
      <w:kern w:val="0"/>
      <w:szCs w:val="21"/>
      <w:lang w:bidi="ar-SA"/>
    </w:rPr>
  </w:style>
  <w:style w:type="paragraph" w:customStyle="1" w:styleId="119">
    <w:name w:val="文章附标题"/>
    <w:basedOn w:val="1"/>
    <w:next w:val="2"/>
    <w:qFormat/>
    <w:uiPriority w:val="0"/>
    <w:pPr>
      <w:widowControl/>
      <w:spacing w:before="187" w:after="175" w:line="374" w:lineRule="atLeast"/>
      <w:jc w:val="center"/>
      <w:textAlignment w:val="baseline"/>
    </w:pPr>
    <w:rPr>
      <w:color w:val="000000"/>
      <w:kern w:val="0"/>
      <w:sz w:val="36"/>
      <w:szCs w:val="20"/>
      <w:u w:val="none" w:color="000000"/>
    </w:rPr>
  </w:style>
  <w:style w:type="paragraph" w:customStyle="1" w:styleId="120">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bidi="ar-SA"/>
    </w:rPr>
  </w:style>
  <w:style w:type="paragraph" w:customStyle="1" w:styleId="121">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22">
    <w:name w:val="表格"/>
    <w:basedOn w:val="1"/>
    <w:qFormat/>
    <w:uiPriority w:val="0"/>
    <w:pPr>
      <w:spacing w:line="400" w:lineRule="exact"/>
    </w:pPr>
    <w:rPr>
      <w:sz w:val="24"/>
    </w:rPr>
  </w:style>
  <w:style w:type="paragraph" w:customStyle="1" w:styleId="12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lang w:bidi="ar-SA"/>
    </w:rPr>
  </w:style>
  <w:style w:type="paragraph" w:customStyle="1" w:styleId="124">
    <w:name w:val="样式 标题 2 + (西文) 宋体 非加粗 居中"/>
    <w:basedOn w:val="3"/>
    <w:qFormat/>
    <w:uiPriority w:val="0"/>
    <w:pPr>
      <w:jc w:val="center"/>
    </w:pPr>
    <w:rPr>
      <w:rFonts w:ascii="宋体" w:hAnsi="宋体" w:cs="宋体"/>
      <w:b w:val="0"/>
      <w:bCs w:val="0"/>
      <w:spacing w:val="2"/>
      <w:sz w:val="28"/>
      <w:szCs w:val="20"/>
      <w:lang w:bidi="ar-SA"/>
    </w:rPr>
  </w:style>
  <w:style w:type="paragraph" w:customStyle="1" w:styleId="125">
    <w:name w:val="文章总标题"/>
    <w:basedOn w:val="1"/>
    <w:next w:val="119"/>
    <w:qFormat/>
    <w:uiPriority w:val="0"/>
    <w:pPr>
      <w:widowControl/>
      <w:spacing w:before="566" w:after="544" w:line="566" w:lineRule="atLeast"/>
      <w:jc w:val="center"/>
      <w:textAlignment w:val="baseline"/>
    </w:pPr>
    <w:rPr>
      <w:rFonts w:ascii="Arial" w:hAnsi="Arial" w:eastAsia="黑体"/>
      <w:color w:val="000000"/>
      <w:kern w:val="0"/>
      <w:sz w:val="54"/>
      <w:szCs w:val="20"/>
      <w:u w:val="none" w:color="000000"/>
    </w:rPr>
  </w:style>
  <w:style w:type="paragraph" w:customStyle="1" w:styleId="126">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127">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8">
    <w:name w:val="Char"/>
    <w:basedOn w:val="16"/>
    <w:qFormat/>
    <w:uiPriority w:val="0"/>
    <w:pPr>
      <w:widowControl/>
      <w:ind w:firstLine="454"/>
      <w:jc w:val="left"/>
    </w:pPr>
    <w:rPr>
      <w:rFonts w:ascii="Tahoma" w:hAnsi="Tahoma" w:cs="宋体"/>
      <w:kern w:val="0"/>
      <w:sz w:val="24"/>
      <w:szCs w:val="20"/>
      <w:lang w:bidi="ar-SA"/>
    </w:rPr>
  </w:style>
  <w:style w:type="paragraph" w:customStyle="1" w:styleId="129">
    <w:name w:val="默认段落字体 Para Char"/>
    <w:basedOn w:val="1"/>
    <w:qFormat/>
    <w:uiPriority w:val="0"/>
    <w:pPr>
      <w:adjustRightInd w:val="0"/>
      <w:spacing w:line="360" w:lineRule="auto"/>
    </w:pPr>
    <w:rPr>
      <w:szCs w:val="20"/>
    </w:rPr>
  </w:style>
  <w:style w:type="paragraph" w:customStyle="1" w:styleId="130">
    <w:name w:val="插图题注"/>
    <w:next w:val="1"/>
    <w:qFormat/>
    <w:uiPriority w:val="0"/>
    <w:pPr>
      <w:spacing w:after="100" w:afterLines="100"/>
      <w:ind w:left="1089" w:hanging="369"/>
      <w:jc w:val="center"/>
    </w:pPr>
    <w:rPr>
      <w:rFonts w:ascii="Arial" w:hAnsi="Arial" w:eastAsia="宋体" w:cs="Times New Roman"/>
      <w:sz w:val="18"/>
      <w:szCs w:val="18"/>
      <w:lang w:val="en-US" w:eastAsia="zh-CN" w:bidi="ar-SA"/>
    </w:rPr>
  </w:style>
  <w:style w:type="paragraph" w:customStyle="1" w:styleId="131">
    <w:name w:val="标题3"/>
    <w:basedOn w:val="4"/>
    <w:qFormat/>
    <w:uiPriority w:val="0"/>
    <w:pPr>
      <w:keepNext/>
      <w:keepLines w:val="0"/>
      <w:widowControl/>
      <w:tabs>
        <w:tab w:val="left" w:pos="1247"/>
      </w:tabs>
      <w:spacing w:before="240" w:after="120" w:line="360" w:lineRule="auto"/>
      <w:ind w:left="1247" w:hanging="1247"/>
      <w:jc w:val="left"/>
    </w:pPr>
    <w:rPr>
      <w:rFonts w:ascii="Arial" w:hAnsi="Arial"/>
      <w:sz w:val="52"/>
      <w:szCs w:val="52"/>
      <w:lang w:val="en-US" w:eastAsia="zh-CN"/>
    </w:rPr>
  </w:style>
  <w:style w:type="paragraph" w:customStyle="1" w:styleId="132">
    <w:name w:val="正文文本缩进 Char Char Char Char"/>
    <w:basedOn w:val="1"/>
    <w:qFormat/>
    <w:uiPriority w:val="0"/>
    <w:pPr>
      <w:ind w:firstLine="540"/>
    </w:pPr>
    <w:rPr>
      <w:rFonts w:ascii="宋体"/>
      <w:szCs w:val="20"/>
    </w:rPr>
  </w:style>
  <w:style w:type="paragraph" w:customStyle="1" w:styleId="133">
    <w:name w:val="表格题注"/>
    <w:next w:val="1"/>
    <w:qFormat/>
    <w:uiPriority w:val="0"/>
    <w:pPr>
      <w:keepLines/>
      <w:spacing w:before="100" w:beforeLines="100"/>
      <w:ind w:left="1089" w:hanging="369"/>
      <w:jc w:val="center"/>
    </w:pPr>
    <w:rPr>
      <w:rFonts w:ascii="Arial" w:hAnsi="Arial" w:eastAsia="宋体" w:cs="Times New Roman"/>
      <w:sz w:val="18"/>
      <w:szCs w:val="18"/>
      <w:lang w:val="en-US" w:eastAsia="zh-CN" w:bidi="ar-SA"/>
    </w:rPr>
  </w:style>
  <w:style w:type="paragraph" w:styleId="134">
    <w:name w:val="List Paragraph"/>
    <w:basedOn w:val="1"/>
    <w:qFormat/>
    <w:uiPriority w:val="0"/>
    <w:pPr>
      <w:ind w:firstLine="200" w:firstLineChars="200"/>
    </w:pPr>
    <w:rPr>
      <w:rFonts w:ascii="Calibri" w:hAnsi="Calibri"/>
      <w:szCs w:val="22"/>
    </w:rPr>
  </w:style>
  <w:style w:type="paragraph" w:customStyle="1" w:styleId="135">
    <w:name w:val="F2"/>
    <w:basedOn w:val="1"/>
    <w:qFormat/>
    <w:uiPriority w:val="0"/>
    <w:pPr>
      <w:autoSpaceDE w:val="0"/>
      <w:autoSpaceDN w:val="0"/>
      <w:adjustRightInd w:val="0"/>
      <w:ind w:firstLine="601"/>
    </w:pPr>
    <w:rPr>
      <w:kern w:val="0"/>
      <w:sz w:val="24"/>
      <w:szCs w:val="20"/>
    </w:rPr>
  </w:style>
  <w:style w:type="paragraph" w:styleId="136">
    <w:name w:val="No Spacing"/>
    <w:qFormat/>
    <w:uiPriority w:val="0"/>
    <w:rPr>
      <w:rFonts w:ascii="Calibri" w:hAnsi="Calibri" w:eastAsia="宋体" w:cs="Times New Roman"/>
      <w:sz w:val="22"/>
      <w:szCs w:val="22"/>
      <w:lang w:val="en-US" w:eastAsia="zh-CN" w:bidi="ar-SA"/>
    </w:rPr>
  </w:style>
  <w:style w:type="paragraph" w:customStyle="1" w:styleId="137">
    <w:name w:val="目录2"/>
    <w:basedOn w:val="1"/>
    <w:next w:val="1"/>
    <w:qFormat/>
    <w:uiPriority w:val="0"/>
    <w:pPr>
      <w:widowControl/>
      <w:tabs>
        <w:tab w:val="left" w:leader="dot" w:pos="8503"/>
      </w:tabs>
      <w:spacing w:line="317" w:lineRule="atLeast"/>
      <w:ind w:firstLine="209"/>
      <w:textAlignment w:val="baseline"/>
    </w:pPr>
    <w:rPr>
      <w:color w:val="000000"/>
      <w:kern w:val="0"/>
      <w:szCs w:val="20"/>
      <w:u w:val="none" w:color="000000"/>
    </w:rPr>
  </w:style>
  <w:style w:type="paragraph" w:customStyle="1" w:styleId="138">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39">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140">
    <w:name w:val="默认段落字体 Para Char Char Char Char Char Char Char Char Char1 Char Char Char Char"/>
    <w:basedOn w:val="1"/>
    <w:qFormat/>
    <w:uiPriority w:val="0"/>
    <w:rPr>
      <w:rFonts w:ascii="Tahoma" w:hAnsi="Tahoma"/>
      <w:sz w:val="24"/>
      <w:szCs w:val="20"/>
    </w:rPr>
  </w:style>
  <w:style w:type="paragraph" w:customStyle="1" w:styleId="141">
    <w:name w:val="p0"/>
    <w:basedOn w:val="1"/>
    <w:qFormat/>
    <w:uiPriority w:val="0"/>
    <w:pPr>
      <w:widowControl/>
    </w:pPr>
    <w:rPr>
      <w:kern w:val="0"/>
      <w:szCs w:val="21"/>
    </w:rPr>
  </w:style>
  <w:style w:type="paragraph" w:customStyle="1" w:styleId="1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3">
    <w:name w:val="2-2ji"/>
    <w:basedOn w:val="3"/>
    <w:qFormat/>
    <w:uiPriority w:val="0"/>
    <w:pPr>
      <w:adjustRightInd w:val="0"/>
      <w:spacing w:before="0" w:after="0" w:line="360" w:lineRule="auto"/>
      <w:jc w:val="center"/>
      <w:textAlignment w:val="baseline"/>
    </w:pPr>
    <w:rPr>
      <w:rFonts w:ascii="宋体" w:eastAsia="宋体"/>
      <w:bCs w:val="0"/>
      <w:sz w:val="36"/>
    </w:rPr>
  </w:style>
  <w:style w:type="paragraph" w:customStyle="1" w:styleId="144">
    <w:name w:val="1"/>
    <w:basedOn w:val="1"/>
    <w:next w:val="27"/>
    <w:qFormat/>
    <w:uiPriority w:val="0"/>
    <w:rPr>
      <w:rFonts w:ascii="宋体"/>
      <w:szCs w:val="20"/>
    </w:rPr>
  </w:style>
  <w:style w:type="paragraph" w:customStyle="1" w:styleId="145">
    <w:name w:val="样式 首行缩进:  2 字符"/>
    <w:basedOn w:val="1"/>
    <w:qFormat/>
    <w:uiPriority w:val="0"/>
    <w:pPr>
      <w:spacing w:line="400" w:lineRule="exact"/>
      <w:ind w:firstLine="200" w:firstLineChars="200"/>
    </w:pPr>
    <w:rPr>
      <w:rFonts w:cs="宋体"/>
      <w:sz w:val="24"/>
      <w:lang w:bidi="ar-SA"/>
    </w:rPr>
  </w:style>
  <w:style w:type="paragraph" w:customStyle="1" w:styleId="14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47">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8">
    <w:name w:val="Char1"/>
    <w:basedOn w:val="1"/>
    <w:qFormat/>
    <w:uiPriority w:val="0"/>
    <w:rPr>
      <w:szCs w:val="21"/>
    </w:rPr>
  </w:style>
  <w:style w:type="paragraph" w:customStyle="1" w:styleId="14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50">
    <w:name w:val="标题1"/>
    <w:basedOn w:val="2"/>
    <w:qFormat/>
    <w:uiPriority w:val="0"/>
    <w:pPr>
      <w:keepNext/>
      <w:keepLines w:val="0"/>
      <w:widowControl/>
      <w:pBdr>
        <w:bottom w:val="single" w:color="auto" w:sz="8" w:space="6"/>
      </w:pBdr>
      <w:tabs>
        <w:tab w:val="left" w:pos="0"/>
      </w:tabs>
      <w:spacing w:before="480" w:after="240" w:line="360" w:lineRule="auto"/>
      <w:ind w:left="567" w:hanging="567"/>
      <w:jc w:val="left"/>
    </w:pPr>
    <w:rPr>
      <w:rFonts w:ascii="宋体"/>
      <w:smallCaps/>
      <w:color w:val="000000"/>
      <w:spacing w:val="10"/>
      <w:kern w:val="20"/>
      <w:sz w:val="21"/>
      <w:szCs w:val="21"/>
    </w:rPr>
  </w:style>
  <w:style w:type="paragraph" w:customStyle="1" w:styleId="151">
    <w:name w:val="节标题"/>
    <w:basedOn w:val="1"/>
    <w:next w:val="110"/>
    <w:qFormat/>
    <w:uiPriority w:val="0"/>
    <w:pPr>
      <w:widowControl/>
      <w:spacing w:line="289" w:lineRule="atLeast"/>
      <w:jc w:val="center"/>
      <w:textAlignment w:val="baseline"/>
    </w:pPr>
    <w:rPr>
      <w:color w:val="000000"/>
      <w:kern w:val="0"/>
      <w:sz w:val="28"/>
      <w:szCs w:val="20"/>
      <w:u w:val="none" w:color="000000"/>
    </w:rPr>
  </w:style>
  <w:style w:type="paragraph" w:customStyle="1" w:styleId="152">
    <w:name w:val="Body"/>
    <w:basedOn w:val="1"/>
    <w:qFormat/>
    <w:uiPriority w:val="0"/>
    <w:pPr>
      <w:widowControl/>
      <w:tabs>
        <w:tab w:val="left" w:pos="1980"/>
      </w:tabs>
      <w:spacing w:before="80" w:after="80" w:line="360" w:lineRule="auto"/>
      <w:jc w:val="center"/>
    </w:pPr>
    <w:rPr>
      <w:szCs w:val="21"/>
    </w:rPr>
  </w:style>
  <w:style w:type="paragraph" w:customStyle="1" w:styleId="153">
    <w:name w:val="样式1"/>
    <w:basedOn w:val="1"/>
    <w:qFormat/>
    <w:uiPriority w:val="0"/>
    <w:pPr>
      <w:spacing w:before="120" w:after="120" w:line="300" w:lineRule="auto"/>
    </w:pPr>
    <w:rPr>
      <w:rFonts w:ascii="宋体"/>
      <w:b/>
      <w:sz w:val="24"/>
      <w:szCs w:val="20"/>
    </w:rPr>
  </w:style>
  <w:style w:type="paragraph" w:customStyle="1" w:styleId="154">
    <w:name w:val="_Style 152"/>
    <w:qFormat/>
    <w:uiPriority w:val="0"/>
    <w:rPr>
      <w:rFonts w:ascii="Times New Roman" w:hAnsi="Times New Roman" w:eastAsia="宋体" w:cs="Times New Roman"/>
      <w:kern w:val="2"/>
      <w:sz w:val="21"/>
      <w:szCs w:val="24"/>
      <w:lang w:val="en-US" w:eastAsia="zh-CN" w:bidi="ar-SA"/>
    </w:rPr>
  </w:style>
  <w:style w:type="paragraph" w:customStyle="1" w:styleId="155">
    <w:name w:val="Char Char1 Char Char Char Char"/>
    <w:basedOn w:val="16"/>
    <w:qFormat/>
    <w:uiPriority w:val="0"/>
    <w:rPr>
      <w:rFonts w:ascii="Tahoma" w:hAnsi="Tahoma"/>
      <w:sz w:val="24"/>
    </w:rPr>
  </w:style>
  <w:style w:type="paragraph" w:customStyle="1" w:styleId="156">
    <w:name w:val=" Char2"/>
    <w:basedOn w:val="1"/>
    <w:qFormat/>
    <w:uiPriority w:val="0"/>
    <w:rPr>
      <w:szCs w:val="20"/>
    </w:rPr>
  </w:style>
  <w:style w:type="paragraph" w:customStyle="1" w:styleId="157">
    <w:name w:val="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8">
    <w:name w:val="2ji"/>
    <w:basedOn w:val="3"/>
    <w:qFormat/>
    <w:uiPriority w:val="0"/>
    <w:pPr>
      <w:adjustRightInd w:val="0"/>
      <w:spacing w:before="0" w:after="0" w:line="360" w:lineRule="auto"/>
      <w:textAlignment w:val="baseline"/>
    </w:pPr>
    <w:rPr>
      <w:rFonts w:ascii="宋体" w:eastAsia="宋体"/>
      <w:sz w:val="21"/>
      <w:szCs w:val="21"/>
    </w:rPr>
  </w:style>
  <w:style w:type="paragraph" w:customStyle="1" w:styleId="159">
    <w:name w:val="_Style 157"/>
    <w:basedOn w:val="2"/>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lang w:bidi="ar-SA"/>
    </w:rPr>
  </w:style>
  <w:style w:type="paragraph" w:customStyle="1" w:styleId="160">
    <w:name w:val="样式3"/>
    <w:basedOn w:val="1"/>
    <w:qFormat/>
    <w:uiPriority w:val="0"/>
    <w:pPr>
      <w:tabs>
        <w:tab w:val="left" w:pos="560"/>
        <w:tab w:val="left" w:pos="1120"/>
      </w:tabs>
      <w:spacing w:line="480" w:lineRule="atLeast"/>
    </w:pPr>
    <w:rPr>
      <w:rFonts w:ascii="宋体" w:hAnsi="宋体" w:eastAsia="创艺简黑体"/>
      <w:szCs w:val="20"/>
    </w:rPr>
  </w:style>
  <w:style w:type="paragraph" w:customStyle="1" w:styleId="161">
    <w:name w:val="纯文本1"/>
    <w:basedOn w:val="1"/>
    <w:next w:val="1"/>
    <w:qFormat/>
    <w:uiPriority w:val="0"/>
    <w:rPr>
      <w:rFonts w:ascii="宋体" w:hAnsi="宋体"/>
      <w:sz w:val="20"/>
      <w:szCs w:val="21"/>
    </w:rPr>
  </w:style>
  <w:style w:type="paragraph" w:customStyle="1" w:styleId="162">
    <w:name w:val="Table Paragraph"/>
    <w:basedOn w:val="1"/>
    <w:unhideWhenUsed/>
    <w:qFormat/>
    <w:uiPriority w:val="1"/>
    <w:pPr>
      <w:autoSpaceDE w:val="0"/>
      <w:autoSpaceDN w:val="0"/>
      <w:spacing w:beforeLines="0" w:afterLines="0"/>
      <w:jc w:val="left"/>
    </w:pPr>
    <w:rPr>
      <w:rFonts w:hint="eastAsia" w:ascii="方正仿宋_GBK" w:hAnsi="方正仿宋_GBK" w:eastAsia="方正仿宋_GBK" w:cs="方正仿宋_GBK"/>
      <w:kern w:val="0"/>
      <w:sz w:val="22"/>
      <w:szCs w:val="24"/>
      <w:lang w:val="zh-CN" w:bidi="zh-CN"/>
    </w:rPr>
  </w:style>
  <w:style w:type="paragraph" w:customStyle="1" w:styleId="163">
    <w:name w:val="目录 21"/>
    <w:basedOn w:val="1"/>
    <w:next w:val="1"/>
    <w:unhideWhenUsed/>
    <w:qFormat/>
    <w:uiPriority w:val="99"/>
    <w:pPr>
      <w:spacing w:before="100" w:beforeLines="0" w:beforeAutospacing="1" w:after="100" w:afterLines="0" w:afterAutospacing="1"/>
      <w:ind w:left="420" w:leftChars="200"/>
    </w:pPr>
    <w:rPr>
      <w:rFonts w:hint="default"/>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73</Pages>
  <Words>42688</Words>
  <Characters>45105</Characters>
  <Lines>277</Lines>
  <Paragraphs>78</Paragraphs>
  <TotalTime>170</TotalTime>
  <ScaleCrop>false</ScaleCrop>
  <LinksUpToDate>false</LinksUpToDate>
  <CharactersWithSpaces>48903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2017-08-10T01:29:00Z</dcterms:created>
  <dc:creator>聂泉源</dc:creator>
  <cp:lastModifiedBy>招标代理机构</cp:lastModifiedBy>
  <cp:lastPrinted>2015-04-27T02:45:00Z</cp:lastPrinted>
  <dcterms:modified xsi:type="dcterms:W3CDTF">2026-08-12T08:10:04Z</dcterms:modified>
  <dc:title>3</dc:title>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09026EBD495E480DAA86C387CFA353F0_13</vt:lpwstr>
  </property>
  <property fmtid="{D5CDD505-2E9C-101B-9397-08002B2CF9AE}" pid="4" name="KSOTemplateDocerSaveRecord">
    <vt:lpwstr>eyJoZGlkIjoiY2ExZGU5YTk5NTc0NmEwNTg5MWNhZWEzNDNmZWRjZDIiLCJ1c2VySWQiOiIzNjQ5MTc2OTQifQ==</vt:lpwstr>
  </property>
</Properties>
</file>