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7"/>
        <w:rPr>
          <w:rFonts w:hint="eastAsia" w:ascii="宋体" w:hAnsi="宋体" w:eastAsia="宋体" w:cs="宋体"/>
          <w:b/>
          <w:color w:val="auto"/>
          <w:sz w:val="32"/>
          <w:szCs w:val="32"/>
          <w:highlight w:val="none"/>
        </w:rPr>
      </w:pPr>
    </w:p>
    <w:p w14:paraId="6B61CA1F">
      <w:pPr>
        <w:pStyle w:val="9"/>
        <w:rPr>
          <w:rFonts w:hint="eastAsia" w:ascii="宋体" w:hAnsi="宋体" w:eastAsia="宋体" w:cs="宋体"/>
          <w:b/>
          <w:color w:val="auto"/>
          <w:sz w:val="32"/>
          <w:szCs w:val="32"/>
          <w:highlight w:val="none"/>
        </w:rPr>
      </w:pPr>
    </w:p>
    <w:p w14:paraId="2693A8D6">
      <w:pPr>
        <w:pStyle w:val="9"/>
        <w:rPr>
          <w:rFonts w:hint="eastAsia" w:ascii="宋体" w:hAnsi="宋体" w:eastAsia="宋体" w:cs="宋体"/>
          <w:b/>
          <w:color w:val="auto"/>
          <w:sz w:val="32"/>
          <w:szCs w:val="32"/>
          <w:highlight w:val="none"/>
        </w:rPr>
      </w:pPr>
    </w:p>
    <w:p w14:paraId="3ADDA18B">
      <w:pPr>
        <w:pStyle w:val="14"/>
        <w:rPr>
          <w:rFonts w:hint="eastAsia" w:ascii="宋体" w:hAnsi="宋体" w:eastAsia="宋体" w:cs="宋体"/>
          <w:b/>
          <w:color w:val="auto"/>
          <w:sz w:val="32"/>
          <w:szCs w:val="32"/>
          <w:highlight w:val="none"/>
        </w:rPr>
      </w:pPr>
    </w:p>
    <w:p w14:paraId="268F7F25">
      <w:pPr>
        <w:rPr>
          <w:rFonts w:hint="eastAsia"/>
          <w:color w:val="auto"/>
          <w:highlight w:val="none"/>
        </w:rPr>
      </w:pPr>
    </w:p>
    <w:p w14:paraId="18E82E60">
      <w:pPr>
        <w:rPr>
          <w:rFonts w:hint="eastAsia" w:ascii="宋体" w:hAnsi="宋体" w:eastAsia="宋体" w:cs="宋体"/>
          <w:color w:val="auto"/>
          <w:highlight w:val="none"/>
        </w:rPr>
      </w:pPr>
    </w:p>
    <w:p w14:paraId="48663C5A">
      <w:pPr>
        <w:snapToGrid w:val="0"/>
        <w:spacing w:before="165" w:beforeLines="50" w:line="360" w:lineRule="auto"/>
        <w:ind w:firstLine="1205" w:firstLineChars="400"/>
        <w:rPr>
          <w:rFonts w:hint="eastAsia" w:hAnsi="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hAnsi="宋体" w:cs="宋体"/>
          <w:b/>
          <w:bCs/>
          <w:color w:val="auto"/>
          <w:sz w:val="30"/>
          <w:szCs w:val="30"/>
          <w:highlight w:val="none"/>
          <w:u w:val="single"/>
          <w:lang w:eastAsia="zh-CN"/>
        </w:rPr>
        <w:t>左江华侨农场渌旺分场甘蔗产业路硬化建设项目</w:t>
      </w:r>
    </w:p>
    <w:p w14:paraId="45640D28">
      <w:pPr>
        <w:snapToGrid w:val="0"/>
        <w:spacing w:before="165" w:beforeLines="50" w:line="360" w:lineRule="auto"/>
        <w:ind w:firstLine="1145" w:firstLineChars="400"/>
        <w:rPr>
          <w:rFonts w:hint="eastAsia" w:ascii="宋体" w:hAnsi="宋体" w:cs="宋体"/>
          <w:b/>
          <w:color w:val="auto"/>
          <w:sz w:val="30"/>
          <w:szCs w:val="48"/>
          <w:highlight w:val="none"/>
          <w:u w:val="single"/>
          <w:lang w:eastAsia="zh-CN"/>
        </w:rPr>
      </w:pPr>
      <w:r>
        <w:rPr>
          <w:rFonts w:hint="eastAsia" w:ascii="宋体" w:hAnsi="宋体" w:eastAsia="宋体" w:cs="宋体"/>
          <w:b/>
          <w:bCs/>
          <w:color w:val="auto"/>
          <w:w w:val="95"/>
          <w:sz w:val="30"/>
          <w:szCs w:val="30"/>
          <w:highlight w:val="none"/>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color w:val="auto"/>
          <w:sz w:val="30"/>
          <w:szCs w:val="48"/>
          <w:highlight w:val="none"/>
          <w:u w:val="single"/>
          <w:lang w:eastAsia="zh-CN"/>
        </w:rPr>
        <w:t>CZZC2026-C2-020082-JHGC</w:t>
      </w:r>
    </w:p>
    <w:p w14:paraId="7AC26BFF">
      <w:pPr>
        <w:snapToGrid w:val="0"/>
        <w:spacing w:before="165" w:beforeLines="50" w:line="360" w:lineRule="auto"/>
        <w:ind w:firstLine="1205" w:firstLineChars="400"/>
        <w:rPr>
          <w:rFonts w:hint="eastAsia" w:ascii="宋体" w:hAnsi="宋体" w:eastAsia="宋体" w:cs="宋体"/>
          <w:b/>
          <w:color w:val="auto"/>
          <w:sz w:val="30"/>
          <w:szCs w:val="48"/>
          <w:highlight w:val="none"/>
        </w:rPr>
      </w:pPr>
      <w:r>
        <w:rPr>
          <w:rFonts w:hint="eastAsia" w:ascii="宋体" w:hAnsi="宋体" w:eastAsia="宋体" w:cs="宋体"/>
          <w:b/>
          <w:color w:val="auto"/>
          <w:sz w:val="30"/>
          <w:szCs w:val="48"/>
          <w:highlight w:val="none"/>
        </w:rPr>
        <w:t>项目所属区划：</w:t>
      </w:r>
      <w:r>
        <w:rPr>
          <w:rFonts w:hint="eastAsia" w:ascii="宋体" w:hAnsi="宋体" w:cs="宋体"/>
          <w:b/>
          <w:bCs/>
          <w:color w:val="auto"/>
          <w:w w:val="95"/>
          <w:kern w:val="0"/>
          <w:sz w:val="30"/>
          <w:szCs w:val="30"/>
          <w:highlight w:val="none"/>
          <w:u w:val="single"/>
          <w:lang w:val="en-US" w:eastAsia="zh-CN" w:bidi="ar-SA"/>
        </w:rPr>
        <w:t>崇左市江州区</w:t>
      </w:r>
    </w:p>
    <w:p w14:paraId="57B063DC">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 购 人：</w:t>
      </w:r>
      <w:r>
        <w:rPr>
          <w:rFonts w:hint="eastAsia" w:hAnsi="宋体" w:cs="宋体"/>
          <w:b/>
          <w:bCs/>
          <w:color w:val="auto"/>
          <w:w w:val="95"/>
          <w:sz w:val="30"/>
          <w:szCs w:val="30"/>
          <w:highlight w:val="none"/>
          <w:u w:val="single"/>
          <w:lang w:eastAsia="zh-CN"/>
        </w:rPr>
        <w:t>崇左市江州区农业农村局</w:t>
      </w:r>
    </w:p>
    <w:p w14:paraId="08BDCE28">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hAnsi="宋体" w:cs="宋体"/>
          <w:b/>
          <w:bCs/>
          <w:color w:val="auto"/>
          <w:w w:val="95"/>
          <w:sz w:val="30"/>
          <w:szCs w:val="30"/>
          <w:highlight w:val="none"/>
          <w:u w:val="single"/>
          <w:lang w:eastAsia="zh-CN"/>
        </w:rPr>
        <w:t>广西锦华工程管理咨询有限公司</w:t>
      </w:r>
    </w:p>
    <w:p w14:paraId="68EED6D2">
      <w:pPr>
        <w:pStyle w:val="11"/>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06" w:h="16838"/>
          <w:pgMar w:top="1134" w:right="1134" w:bottom="1134" w:left="1134" w:header="720" w:footer="720" w:gutter="0"/>
          <w:pgNumType w:start="1"/>
          <w:cols w:space="720" w:num="1"/>
          <w:formProt w:val="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hAnsi="宋体" w:cs="宋体"/>
          <w:b/>
          <w:bCs/>
          <w:color w:val="auto"/>
          <w:w w:val="95"/>
          <w:sz w:val="30"/>
          <w:szCs w:val="30"/>
          <w:highlight w:val="none"/>
          <w:lang w:val="en-US" w:eastAsia="zh-CN"/>
        </w:rPr>
        <w:t>2026年09月30日</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400" w:lineRule="exact"/>
        <w:jc w:val="center"/>
        <w:rPr>
          <w:rFonts w:hint="eastAsia" w:ascii="宋体" w:hAnsi="宋体" w:eastAsia="宋体" w:cs="宋体"/>
          <w:b/>
          <w:color w:val="auto"/>
          <w:sz w:val="44"/>
          <w:szCs w:val="44"/>
          <w:highlight w:val="none"/>
        </w:rPr>
      </w:pPr>
    </w:p>
    <w:p w14:paraId="0154E574">
      <w:pPr>
        <w:pStyle w:val="16"/>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_Toc17553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_Toc17553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ABCBBD8">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_Toc25731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86DE7F9">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_Toc10896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9EAE57">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_Toc21038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_Toc21038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FF21931">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_Toc27576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_Toc27576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734CDC9">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_Toc13532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46133FD">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_Toc859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9659AB6">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_Toc6279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_Toc6279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D64942">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_Toc7097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_Toc7097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612E93">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_Toc15352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_Toc15352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16E15E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_Toc18412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3BFBF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_Toc24425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_Toc24425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D5580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_Toc8850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45853FA">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39EFD4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_Toc7761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2807C93">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DC351A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_Toc32744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42</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15D035C">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225526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_Toc30065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_Toc30065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A7AE53F">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5031E7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_Toc32666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9CD514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_Toc7327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25F84B">
      <w:pPr>
        <w:pStyle w:val="16"/>
        <w:tabs>
          <w:tab w:val="right" w:leader="dot" w:pos="8879"/>
        </w:tabs>
        <w:rPr>
          <w:rFonts w:hint="eastAsia" w:ascii="宋体" w:hAnsi="宋体" w:eastAsia="宋体" w:cs="宋体"/>
          <w:b w:val="0"/>
          <w:bCs w:val="0"/>
          <w:color w:val="auto"/>
          <w:szCs w:val="30"/>
          <w:highlight w:val="none"/>
          <w:lang w:val="en-US" w:eastAsia="zh-CN"/>
        </w:rPr>
      </w:pPr>
      <w:r>
        <w:rPr>
          <w:rFonts w:hint="eastAsia" w:ascii="宋体" w:hAnsi="宋体" w:eastAsia="宋体" w:cs="宋体"/>
          <w:b w:val="0"/>
          <w:bCs w:val="0"/>
          <w:color w:val="auto"/>
          <w:szCs w:val="30"/>
          <w:highlight w:val="none"/>
          <w:lang w:val="en-US" w:eastAsia="zh-CN"/>
        </w:rPr>
        <w:t>第七章   合同文本</w:t>
      </w:r>
      <w:r>
        <w:rPr>
          <w:rFonts w:hint="eastAsia" w:ascii="宋体" w:hAnsi="宋体" w:eastAsia="宋体" w:cs="宋体"/>
          <w:b w:val="0"/>
          <w:bCs w:val="0"/>
          <w:color w:val="auto"/>
          <w:highlight w:val="none"/>
        </w:rPr>
        <w:tab/>
      </w:r>
      <w:r>
        <w:rPr>
          <w:rFonts w:hint="eastAsia" w:ascii="宋体" w:hAnsi="宋体" w:eastAsia="宋体" w:cs="宋体"/>
          <w:b w:val="0"/>
          <w:bCs w:val="0"/>
          <w:color w:val="auto"/>
          <w:highlight w:val="none"/>
          <w:lang w:val="en-US" w:eastAsia="zh-CN"/>
        </w:rPr>
        <w:t>73</w:t>
      </w:r>
    </w:p>
    <w:p w14:paraId="3A75A76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_Toc31086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113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043A158">
      <w:pPr>
        <w:pStyle w:val="17"/>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63702816">
      <w:pPr>
        <w:spacing w:line="400" w:lineRule="exact"/>
        <w:jc w:val="left"/>
        <w:rPr>
          <w:rFonts w:hint="eastAsia" w:ascii="宋体" w:hAnsi="宋体" w:eastAsia="宋体" w:cs="宋体"/>
          <w:b/>
          <w:color w:val="auto"/>
          <w:sz w:val="32"/>
          <w:szCs w:val="32"/>
          <w:highlight w:val="none"/>
        </w:rPr>
      </w:pPr>
    </w:p>
    <w:p w14:paraId="13667ED0">
      <w:pPr>
        <w:spacing w:line="400" w:lineRule="exact"/>
        <w:jc w:val="center"/>
        <w:rPr>
          <w:rFonts w:hint="eastAsia" w:ascii="宋体" w:hAnsi="宋体" w:eastAsia="宋体" w:cs="宋体"/>
          <w:b/>
          <w:color w:val="auto"/>
          <w:sz w:val="32"/>
          <w:szCs w:val="32"/>
          <w:highlight w:val="none"/>
        </w:rPr>
      </w:pPr>
    </w:p>
    <w:p w14:paraId="054841D4">
      <w:pPr>
        <w:spacing w:line="400" w:lineRule="exact"/>
        <w:jc w:val="center"/>
        <w:rPr>
          <w:rFonts w:hint="eastAsia" w:ascii="宋体" w:hAnsi="宋体" w:eastAsia="宋体" w:cs="宋体"/>
          <w:b/>
          <w:color w:val="auto"/>
          <w:sz w:val="32"/>
          <w:szCs w:val="32"/>
          <w:highlight w:val="none"/>
        </w:rPr>
      </w:pPr>
    </w:p>
    <w:p w14:paraId="5851E893">
      <w:pPr>
        <w:spacing w:line="400" w:lineRule="exact"/>
        <w:jc w:val="center"/>
        <w:rPr>
          <w:rFonts w:hint="eastAsia" w:ascii="宋体" w:hAnsi="宋体" w:eastAsia="宋体" w:cs="宋体"/>
          <w:b/>
          <w:color w:val="auto"/>
          <w:sz w:val="32"/>
          <w:szCs w:val="32"/>
          <w:highlight w:val="none"/>
        </w:rPr>
      </w:pPr>
    </w:p>
    <w:p w14:paraId="3DA2B17D">
      <w:pPr>
        <w:spacing w:line="400" w:lineRule="exact"/>
        <w:jc w:val="center"/>
        <w:rPr>
          <w:rFonts w:hint="eastAsia" w:ascii="宋体" w:hAnsi="宋体" w:eastAsia="宋体" w:cs="宋体"/>
          <w:b/>
          <w:color w:val="auto"/>
          <w:sz w:val="32"/>
          <w:szCs w:val="32"/>
          <w:highlight w:val="none"/>
        </w:rPr>
      </w:pPr>
    </w:p>
    <w:p w14:paraId="074400A9">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06" w:h="16838"/>
          <w:pgMar w:top="1440" w:right="1440" w:bottom="1440" w:left="1587" w:header="851" w:footer="992" w:gutter="0"/>
          <w:pgNumType w:start="0"/>
          <w:cols w:space="720" w:num="1"/>
          <w:formProt w:val="1"/>
          <w:titlePg/>
          <w:docGrid w:type="lines" w:linePitch="312" w:charSpace="0"/>
        </w:sectPr>
      </w:pPr>
    </w:p>
    <w:p w14:paraId="0BEDC9D8">
      <w:pPr>
        <w:pStyle w:val="2"/>
        <w:spacing w:line="400" w:lineRule="exact"/>
        <w:jc w:val="center"/>
        <w:rPr>
          <w:rFonts w:hint="eastAsia" w:ascii="宋体" w:hAnsi="宋体" w:eastAsia="宋体" w:cs="宋体"/>
          <w:color w:val="auto"/>
          <w:sz w:val="36"/>
          <w:szCs w:val="36"/>
          <w:highlight w:val="none"/>
        </w:rPr>
      </w:pPr>
      <w:bookmarkStart w:id="0" w:name="_Toc17553"/>
      <w:bookmarkStart w:id="1" w:name="_Toc2685"/>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6080125" cy="1256030"/>
                <wp:effectExtent l="0" t="0" r="635" b="8890"/>
                <wp:wrapNone/>
                <wp:docPr id="3" name="文本框 3"/>
                <wp:cNvGraphicFramePr/>
                <a:graphic xmlns:a="http://schemas.openxmlformats.org/drawingml/2006/main">
                  <a:graphicData uri="http://schemas.microsoft.com/office/word/2010/wordprocessingShape">
                    <wps:wsp>
                      <wps:cNvSpPr txBox="1"/>
                      <wps:spPr>
                        <a:xfrm>
                          <a:off x="0" y="0"/>
                          <a:ext cx="6080125" cy="1256030"/>
                        </a:xfrm>
                        <a:prstGeom prst="rect">
                          <a:avLst/>
                        </a:prstGeom>
                        <a:solidFill>
                          <a:srgbClr val="FFFFFF"/>
                        </a:solidFill>
                        <a:ln>
                          <a:noFill/>
                        </a:ln>
                      </wps:spPr>
                      <wps:txb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左江华侨农场渌旺分场甘蔗产业路硬化建设项目</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2026年10月14日 15：00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wps:txbx>
                      <wps:bodyPr upright="1"/>
                    </wps:wsp>
                  </a:graphicData>
                </a:graphic>
              </wp:anchor>
            </w:drawing>
          </mc:Choice>
          <mc:Fallback>
            <w:pict>
              <v:shape id="_x0000_s1026" o:spid="_x0000_s1026" o:spt="202" type="#_x0000_t202" style="position:absolute;left:0pt;margin-left:-18.45pt;margin-top:48.95pt;height:98.9pt;width:478.75pt;z-index:251659264;mso-width-relative:page;mso-height-relative:page;" fillcolor="#FFFFFF" filled="t" stroked="f" coordsize="21600,21600" o:gfxdata="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PMnHLZAAAACgEAAA8AAAAAAAAAAQAgAAAAIgAAAGRycy9kb3ducmV2&#10;LnhtbFBLAQIUABQAAAAIAIdO4kBXqe9XwgEAAHgDAAAOAAAAAAAAAAEAIAAAACgBAABkcnMvZTJv&#10;RG9jLnhtbFBLBQYAAAAABgAGAFkBAABcBQAAAAA=&#10;">
                <v:fill on="t" focussize="0,0"/>
                <v:stroke on="f"/>
                <v:imagedata o:title=""/>
                <o:lock v:ext="edit" aspectratio="f"/>
                <v:textbo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左江华侨农场渌旺分场甘蔗产业路硬化建设项目</w:t>
                      </w:r>
                      <w:r>
                        <w:rPr>
                          <w:rFonts w:hint="eastAsia" w:ascii="宋体" w:hAnsi="宋体"/>
                          <w:color w:val="000000"/>
                          <w:szCs w:val="21"/>
                        </w:rPr>
                        <w:t>项目的潜在供应商应在</w:t>
                      </w:r>
                      <w:r>
                        <w:rPr>
                          <w:rFonts w:hint="eastAsia" w:ascii="宋体" w:hAnsi="宋体"/>
                          <w:color w:val="000000"/>
                          <w:szCs w:val="21"/>
                          <w:u w:val="single"/>
                        </w:rPr>
                        <w:t>广西政府采购云平台（https://www.gcy.zfcg.gxzf.gov.cn/）</w:t>
                      </w:r>
                      <w:r>
                        <w:rPr>
                          <w:rFonts w:hint="eastAsia" w:ascii="宋体" w:hAnsi="宋体" w:cs="宋体"/>
                          <w:snapToGrid w:val="0"/>
                          <w:sz w:val="21"/>
                          <w:szCs w:val="21"/>
                          <w:lang w:eastAsia="zh-CN"/>
                        </w:rPr>
                        <w:t>获取采购文件</w:t>
                      </w:r>
                      <w:r>
                        <w:rPr>
                          <w:rFonts w:hint="eastAsia" w:ascii="宋体" w:hAnsi="宋体"/>
                          <w:color w:val="000000"/>
                          <w:szCs w:val="21"/>
                        </w:rPr>
                        <w:t>，并于</w:t>
                      </w:r>
                      <w:r>
                        <w:rPr>
                          <w:rFonts w:hint="eastAsia" w:ascii="宋体" w:hAnsi="宋体" w:cs="宋体"/>
                          <w:bCs/>
                          <w:color w:val="000000"/>
                          <w:szCs w:val="21"/>
                          <w:highlight w:val="none"/>
                          <w:u w:val="single"/>
                          <w:lang w:eastAsia="zh-CN"/>
                        </w:rPr>
                        <w:t>2026年10月14日 15：00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28359012"/>
      <w:bookmarkStart w:id="3" w:name="_Toc44229878"/>
      <w:bookmarkStart w:id="4" w:name="_Toc35393798"/>
      <w:bookmarkStart w:id="5" w:name="_Toc35393629"/>
      <w:bookmarkStart w:id="6" w:name="_Toc28359089"/>
      <w:bookmarkStart w:id="7" w:name="_Toc28359081"/>
      <w:bookmarkStart w:id="8" w:name="_Toc28359004"/>
      <w:bookmarkStart w:id="9" w:name="_Toc35393623"/>
      <w:bookmarkStart w:id="10" w:name="_Toc35393792"/>
    </w:p>
    <w:p w14:paraId="268DB399">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303D543A">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2756576">
      <w:pPr>
        <w:spacing w:line="360" w:lineRule="auto"/>
        <w:ind w:firstLine="480" w:firstLineChars="200"/>
        <w:rPr>
          <w:rFonts w:hint="eastAsia" w:ascii="宋体" w:hAnsi="宋体" w:eastAsia="宋体" w:cs="宋体"/>
          <w:bCs/>
          <w:color w:val="auto"/>
          <w:sz w:val="24"/>
          <w:highlight w:val="none"/>
        </w:rPr>
      </w:pPr>
    </w:p>
    <w:p w14:paraId="5C0380AD">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1CEC745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w:t>
      </w:r>
      <w:r>
        <w:rPr>
          <w:rFonts w:hint="eastAsia" w:ascii="宋体" w:hAnsi="宋体" w:cs="宋体"/>
          <w:color w:val="auto"/>
          <w:szCs w:val="21"/>
          <w:highlight w:val="none"/>
          <w:lang w:val="en-US" w:eastAsia="zh-CN"/>
        </w:rPr>
        <w:t>CZZC2026-C2-020082-JHGC</w:t>
      </w:r>
    </w:p>
    <w:p w14:paraId="79735D0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w:t>
      </w:r>
      <w:r>
        <w:rPr>
          <w:rFonts w:hint="eastAsia" w:ascii="宋体" w:hAnsi="宋体" w:cs="宋体"/>
          <w:color w:val="auto"/>
          <w:szCs w:val="21"/>
          <w:highlight w:val="none"/>
          <w:lang w:val="en-US" w:eastAsia="zh-CN"/>
        </w:rPr>
        <w:t>左江华侨农场渌旺分场甘蔗产业路硬化建设项目</w:t>
      </w:r>
    </w:p>
    <w:p w14:paraId="36B249E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12628F5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763775.00</w:t>
      </w:r>
    </w:p>
    <w:p w14:paraId="46FF3C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697BEF3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cs="宋体"/>
          <w:color w:val="auto"/>
          <w:szCs w:val="21"/>
          <w:highlight w:val="none"/>
          <w:lang w:val="en-US" w:eastAsia="zh-CN"/>
        </w:rPr>
        <w:t>左江华侨农场渌旺分场甘蔗产业路硬化建设项目</w:t>
      </w:r>
    </w:p>
    <w:p w14:paraId="24436EF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r>
        <w:rPr>
          <w:rFonts w:hint="eastAsia" w:ascii="宋体" w:hAnsi="宋体" w:cs="宋体"/>
          <w:color w:val="auto"/>
          <w:sz w:val="21"/>
          <w:szCs w:val="21"/>
          <w:highlight w:val="none"/>
          <w:lang w:val="en-US" w:eastAsia="zh-CN"/>
        </w:rPr>
        <w:t>：1</w:t>
      </w:r>
    </w:p>
    <w:p w14:paraId="4C4D32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w:t>
      </w:r>
      <w:r>
        <w:rPr>
          <w:rFonts w:hint="eastAsia" w:ascii="宋体" w:hAnsi="宋体" w:cs="宋体"/>
          <w:color w:val="auto"/>
          <w:sz w:val="21"/>
          <w:szCs w:val="21"/>
          <w:highlight w:val="none"/>
          <w:lang w:val="en-US" w:eastAsia="zh-CN"/>
        </w:rPr>
        <w:t>：763775.00</w:t>
      </w:r>
    </w:p>
    <w:p w14:paraId="7542745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w:t>
      </w:r>
      <w:r>
        <w:rPr>
          <w:rFonts w:hint="eastAsia" w:ascii="宋体" w:hAnsi="宋体" w:cs="宋体"/>
          <w:color w:val="auto"/>
          <w:sz w:val="21"/>
          <w:szCs w:val="21"/>
          <w:highlight w:val="none"/>
          <w:lang w:val="en-US" w:eastAsia="zh-CN"/>
        </w:rPr>
        <w:t>改建5条硬化甘蔗产业道路，总长为1702m。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p w14:paraId="3056E44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最高限价（如有）：</w:t>
      </w:r>
      <w:r>
        <w:rPr>
          <w:rFonts w:hint="eastAsia" w:ascii="宋体" w:hAnsi="宋体" w:cs="宋体"/>
          <w:color w:val="auto"/>
          <w:sz w:val="21"/>
          <w:szCs w:val="21"/>
          <w:highlight w:val="none"/>
          <w:lang w:val="en-US" w:eastAsia="zh-CN"/>
        </w:rPr>
        <w:t>763775.00</w:t>
      </w:r>
    </w:p>
    <w:p w14:paraId="6AA437B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w:t>
      </w:r>
      <w:r>
        <w:rPr>
          <w:rFonts w:hint="eastAsia" w:ascii="宋体" w:hAnsi="宋体" w:cs="宋体"/>
          <w:color w:val="auto"/>
          <w:sz w:val="21"/>
          <w:szCs w:val="21"/>
          <w:highlight w:val="none"/>
          <w:lang w:val="en-US" w:eastAsia="zh-CN"/>
        </w:rPr>
        <w:t>90日历天</w:t>
      </w:r>
    </w:p>
    <w:p w14:paraId="24F51B3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r>
        <w:rPr>
          <w:rFonts w:hint="eastAsia" w:ascii="宋体" w:hAnsi="宋体" w:cs="宋体"/>
          <w:color w:val="auto"/>
          <w:sz w:val="21"/>
          <w:szCs w:val="21"/>
          <w:highlight w:val="none"/>
          <w:lang w:val="en-US" w:eastAsia="zh-CN"/>
        </w:rPr>
        <w:t>/。</w:t>
      </w:r>
    </w:p>
    <w:p w14:paraId="66F3BA8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1" w:name="_Toc28359090"/>
      <w:bookmarkStart w:id="12" w:name="_Toc35393799"/>
      <w:bookmarkStart w:id="13" w:name="_Toc35393630"/>
      <w:bookmarkStart w:id="14" w:name="_Toc44229879"/>
      <w:bookmarkStart w:id="15" w:name="_Toc28359013"/>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7282228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bookmarkStart w:id="1102" w:name="_GoBack"/>
      <w:r>
        <w:rPr>
          <w:rFonts w:hint="eastAsia" w:ascii="宋体" w:hAnsi="宋体" w:cs="宋体"/>
          <w:color w:val="auto"/>
          <w:szCs w:val="21"/>
          <w:highlight w:val="none"/>
          <w:lang w:eastAsia="zh-CN"/>
        </w:rPr>
        <w:t>专门面向中小企业采购的项目（供应商应为中小企业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监狱企业</w:t>
      </w:r>
      <w:r>
        <w:rPr>
          <w:rFonts w:hint="eastAsia" w:ascii="宋体" w:hAnsi="宋体" w:cs="宋体"/>
          <w:color w:val="auto"/>
          <w:szCs w:val="21"/>
          <w:highlight w:val="none"/>
          <w:lang w:val="en-US" w:eastAsia="zh-CN"/>
        </w:rPr>
        <w:t>/</w:t>
      </w:r>
      <w:r>
        <w:rPr>
          <w:rFonts w:hint="eastAsia" w:ascii="宋体" w:hAnsi="宋体" w:cs="宋体"/>
          <w:color w:val="auto"/>
          <w:szCs w:val="21"/>
          <w:highlight w:val="none"/>
          <w:lang w:eastAsia="zh-CN"/>
        </w:rPr>
        <w:t>残疾人福利性单位）</w:t>
      </w:r>
      <w:bookmarkEnd w:id="1102"/>
    </w:p>
    <w:p w14:paraId="2B409F7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w:t>
      </w:r>
      <w:r>
        <w:rPr>
          <w:rFonts w:hint="eastAsia" w:ascii="宋体" w:hAnsi="宋体" w:cs="宋体"/>
          <w:color w:val="auto"/>
          <w:szCs w:val="21"/>
          <w:highlight w:val="none"/>
          <w:lang w:eastAsia="zh-CN"/>
        </w:rPr>
        <w:t>公路工程施工总承包叁级以上资质或者市政公用工程施工总承包叁级以上资质</w:t>
      </w:r>
      <w:r>
        <w:rPr>
          <w:rFonts w:hint="eastAsia" w:ascii="宋体" w:hAnsi="宋体" w:eastAsia="宋体" w:cs="宋体"/>
          <w:color w:val="auto"/>
          <w:szCs w:val="21"/>
          <w:highlight w:val="none"/>
        </w:rPr>
        <w:t>，同时具备省级及以上建设行政主管部门颁发的企业安全生产许可证，并在人员、设备、资金等方面具备相应的施工能力。其中，供应商拟派项目经理须具备</w:t>
      </w:r>
      <w:r>
        <w:rPr>
          <w:rFonts w:hint="eastAsia" w:ascii="宋体" w:hAnsi="宋体" w:cs="宋体"/>
          <w:color w:val="auto"/>
          <w:szCs w:val="21"/>
          <w:highlight w:val="none"/>
          <w:lang w:eastAsia="zh-CN"/>
        </w:rPr>
        <w:t>公路工程或者市政公用工程</w:t>
      </w:r>
      <w:r>
        <w:rPr>
          <w:rFonts w:hint="eastAsia" w:ascii="宋体" w:hAnsi="宋体" w:cs="宋体"/>
          <w:color w:val="auto"/>
          <w:szCs w:val="21"/>
          <w:highlight w:val="none"/>
          <w:lang w:val="en-US" w:eastAsia="zh-CN"/>
        </w:rPr>
        <w:t>专业</w:t>
      </w:r>
      <w:r>
        <w:rPr>
          <w:rFonts w:hint="eastAsia" w:ascii="宋体" w:hAnsi="宋体" w:eastAsia="宋体" w:cs="宋体"/>
          <w:color w:val="auto"/>
          <w:szCs w:val="21"/>
          <w:highlight w:val="none"/>
        </w:rPr>
        <w:t>贰级以上注册建造师执业资格，具备有效的安全生产考核合格证书（B 类）</w:t>
      </w:r>
      <w:r>
        <w:rPr>
          <w:rFonts w:hint="eastAsia" w:ascii="宋体" w:hAnsi="宋体" w:cs="宋体"/>
          <w:color w:val="auto"/>
          <w:szCs w:val="21"/>
          <w:highlight w:val="none"/>
          <w:lang w:eastAsia="zh-CN"/>
        </w:rPr>
        <w:t>。本项目不接受有在建，已中标（成交）未开工或已列为其他项目中标候选人第一名的建造师作为项目经理</w:t>
      </w:r>
      <w:r>
        <w:rPr>
          <w:rFonts w:hint="eastAsia" w:ascii="宋体" w:hAnsi="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7" w:name="_Toc28359005"/>
      <w:bookmarkStart w:id="18" w:name="_Toc28359082"/>
      <w:bookmarkStart w:id="19" w:name="_Toc35393624"/>
      <w:bookmarkStart w:id="20" w:name="_Toc35393793"/>
      <w:r>
        <w:rPr>
          <w:rFonts w:hint="eastAsia" w:ascii="宋体" w:hAnsi="宋体" w:eastAsia="宋体" w:cs="宋体"/>
          <w:color w:val="auto"/>
          <w:szCs w:val="21"/>
          <w:highlight w:val="none"/>
        </w:rPr>
        <w:t>时间：</w:t>
      </w:r>
      <w:r>
        <w:rPr>
          <w:rFonts w:hint="eastAsia" w:ascii="宋体" w:hAnsi="宋体" w:eastAsia="宋体" w:cs="宋体"/>
          <w:color w:val="auto"/>
          <w:szCs w:val="21"/>
          <w:highlight w:val="none"/>
          <w:lang w:val="en-US" w:eastAsia="zh-CN"/>
        </w:rPr>
        <w:t>2026年09月30日</w:t>
      </w:r>
      <w:r>
        <w:rPr>
          <w:rFonts w:hint="eastAsia" w:ascii="宋体" w:hAnsi="宋体" w:eastAsia="宋体" w:cs="宋体"/>
          <w:color w:val="auto"/>
          <w:szCs w:val="21"/>
          <w:highlight w:val="none"/>
        </w:rPr>
        <w:t>至</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14</w:t>
      </w:r>
      <w:r>
        <w:rPr>
          <w:rFonts w:hint="eastAsia" w:ascii="宋体" w:hAnsi="宋体" w:eastAsia="宋体" w:cs="宋体"/>
          <w:color w:val="auto"/>
          <w:szCs w:val="21"/>
          <w:highlight w:val="none"/>
        </w:rPr>
        <w:t>日，每天00:00至12:00，12:00至23:59；</w:t>
      </w:r>
    </w:p>
    <w:p w14:paraId="690C2F8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p>
    <w:p w14:paraId="29FD165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cs="宋体"/>
          <w:color w:val="auto"/>
          <w:szCs w:val="21"/>
          <w:highlight w:val="none"/>
          <w:lang w:eastAsia="zh-CN"/>
        </w:rPr>
        <w:t>2026年10月14日 15：00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cs="宋体"/>
          <w:bCs/>
          <w:color w:val="auto"/>
          <w:szCs w:val="21"/>
          <w:highlight w:val="none"/>
          <w:u w:val="none"/>
          <w:lang w:eastAsia="zh-CN"/>
        </w:rPr>
        <w:t>2026年10月14日 15：00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1" w:name="_Toc28359007"/>
      <w:bookmarkStart w:id="22" w:name="_Toc28359084"/>
      <w:bookmarkStart w:id="23" w:name="_Toc35393625"/>
      <w:bookmarkStart w:id="24" w:name="_Toc35393794"/>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5" w:name="_Toc35393626"/>
      <w:bookmarkStart w:id="26" w:name="_Toc35393795"/>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1597610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w:t>
      </w:r>
      <w:bookmarkStart w:id="27" w:name="_Hlk37429585"/>
      <w:bookmarkStart w:id="28" w:name="_Hlk3742959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lang w:val="en-US" w:eastAsia="zh-CN"/>
        </w:rPr>
        <w:t>.本项目需要落实的政府采购政策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360732A4">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（2）</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4</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5</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rPr>
        <w:t>.对在“信用中国”网站</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lang w:val="en-US" w:eastAsia="zh-CN"/>
        </w:rPr>
        <w:t>.在线竞标响应（电子投标）说明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供应商在广西政府采购云平台提交电子响应文件时，请填写参加远程采购活动经办人联系方式。供应商登录广西政府采购云平台，依次进入“服务中心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项目采购</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操作流程</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电子招投标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政府采购项目电子交易管理操作指南</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w:t>
      </w:r>
      <w:r>
        <w:rPr>
          <w:rFonts w:hint="eastAsia" w:ascii="宋体" w:hAnsi="宋体" w:cs="宋体"/>
          <w:color w:val="auto"/>
          <w:kern w:val="0"/>
          <w:szCs w:val="21"/>
          <w:highlight w:val="none"/>
          <w:lang w:val="en-US" w:eastAsia="zh-CN"/>
        </w:rPr>
        <w:t>，查看</w:t>
      </w:r>
      <w:r>
        <w:rPr>
          <w:rFonts w:hint="eastAsia" w:ascii="宋体" w:hAnsi="宋体" w:eastAsia="宋体" w:cs="宋体"/>
          <w:color w:val="auto"/>
          <w:kern w:val="0"/>
          <w:szCs w:val="21"/>
          <w:highlight w:val="none"/>
          <w:lang w:val="en-US" w:eastAsia="zh-CN"/>
        </w:rPr>
        <w:t>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供应商应当在提交响应文件截止时间前，完成电子交易平台上的CA数字证书办理及响应文件的提交（供应商可登录“广西政府采购网”，依次进入“办事服务</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下载专区”或者登录广西政府采购云平台，依次进入“服务中心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入驻与配置”中查看CA数字证书办理操作流程。如在操作过程中遇到问题或者需要技术支持，请致电广西政府采购云平台客服热线：95763</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w:t>
      </w:r>
      <w:r>
        <w:rPr>
          <w:rFonts w:hint="eastAsia" w:ascii="宋体" w:hAnsi="宋体" w:cs="宋体"/>
          <w:color w:val="auto"/>
          <w:kern w:val="0"/>
          <w:szCs w:val="21"/>
          <w:highlight w:val="none"/>
          <w:lang w:val="en-US" w:eastAsia="zh-CN"/>
        </w:rPr>
        <w:t>，在</w:t>
      </w:r>
      <w:r>
        <w:rPr>
          <w:rFonts w:hint="eastAsia" w:ascii="宋体" w:hAnsi="宋体" w:eastAsia="宋体" w:cs="宋体"/>
          <w:color w:val="auto"/>
          <w:kern w:val="0"/>
          <w:szCs w:val="21"/>
          <w:highlight w:val="none"/>
          <w:lang w:val="en-US" w:eastAsia="zh-CN"/>
        </w:rPr>
        <w:t>提交响应文件截止时间前</w:t>
      </w:r>
      <w:r>
        <w:rPr>
          <w:rFonts w:hint="eastAsia" w:ascii="宋体" w:hAnsi="宋体" w:cs="宋体"/>
          <w:color w:val="auto"/>
          <w:kern w:val="0"/>
          <w:szCs w:val="21"/>
          <w:highlight w:val="none"/>
          <w:lang w:val="en-US" w:eastAsia="zh-CN"/>
        </w:rPr>
        <w:t>，可以</w:t>
      </w:r>
      <w:r>
        <w:rPr>
          <w:rFonts w:hint="eastAsia" w:ascii="宋体" w:hAnsi="宋体" w:eastAsia="宋体" w:cs="宋体"/>
          <w:color w:val="auto"/>
          <w:kern w:val="0"/>
          <w:szCs w:val="21"/>
          <w:highlight w:val="none"/>
          <w:lang w:val="en-US" w:eastAsia="zh-CN"/>
        </w:rPr>
        <w:t>补充、修改或者撤回响应文件。补充或者修改响应文件的，应当先行撤回原响应文件，补充、修改后重新提交（上传）</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提交响应文件截止时</w:t>
      </w:r>
      <w:r>
        <w:rPr>
          <w:rFonts w:hint="eastAsia" w:ascii="宋体" w:hAnsi="宋体" w:cs="宋体"/>
          <w:color w:val="auto"/>
          <w:kern w:val="0"/>
          <w:szCs w:val="21"/>
          <w:highlight w:val="none"/>
          <w:lang w:val="en-US" w:eastAsia="zh-CN"/>
        </w:rPr>
        <w:t>间之</w:t>
      </w:r>
      <w:r>
        <w:rPr>
          <w:rFonts w:hint="eastAsia" w:ascii="宋体" w:hAnsi="宋体" w:eastAsia="宋体" w:cs="宋体"/>
          <w:color w:val="auto"/>
          <w:kern w:val="0"/>
          <w:szCs w:val="21"/>
          <w:highlight w:val="none"/>
          <w:lang w:val="en-US" w:eastAsia="zh-CN"/>
        </w:rPr>
        <w:t>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（4）供应商需要在具备摄像头及语音功能</w:t>
      </w:r>
      <w:r>
        <w:rPr>
          <w:rFonts w:hint="eastAsia" w:ascii="宋体" w:hAnsi="宋体" w:cs="宋体"/>
          <w:color w:val="auto"/>
          <w:kern w:val="0"/>
          <w:szCs w:val="21"/>
          <w:highlight w:val="none"/>
          <w:lang w:val="en-US" w:eastAsia="zh-CN"/>
        </w:rPr>
        <w:t>且</w:t>
      </w:r>
      <w:r>
        <w:rPr>
          <w:rFonts w:hint="eastAsia" w:ascii="宋体" w:hAnsi="宋体" w:eastAsia="宋体" w:cs="宋体"/>
          <w:color w:val="auto"/>
          <w:kern w:val="0"/>
          <w:szCs w:val="21"/>
          <w:highlight w:val="none"/>
          <w:lang w:val="en-US" w:eastAsia="zh-CN"/>
        </w:rPr>
        <w:t>网络状况良好的电脑</w:t>
      </w:r>
      <w:r>
        <w:rPr>
          <w:rFonts w:hint="eastAsia" w:ascii="宋体" w:hAnsi="宋体" w:cs="宋体"/>
          <w:color w:val="auto"/>
          <w:kern w:val="0"/>
          <w:szCs w:val="21"/>
          <w:highlight w:val="none"/>
          <w:lang w:val="en-US" w:eastAsia="zh-CN"/>
        </w:rPr>
        <w:t>上登录</w:t>
      </w:r>
      <w:r>
        <w:rPr>
          <w:rFonts w:hint="eastAsia" w:ascii="宋体" w:hAnsi="宋体" w:eastAsia="宋体" w:cs="宋体"/>
          <w:color w:val="auto"/>
          <w:kern w:val="0"/>
          <w:szCs w:val="21"/>
          <w:highlight w:val="none"/>
          <w:lang w:val="en-US" w:eastAsia="zh-CN"/>
        </w:rPr>
        <w:t xml:space="preserve">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根据《崇左市财政局关于进一步做好线上“政采贷”融资业务工作的通知》（</w:t>
      </w:r>
      <w:r>
        <w:rPr>
          <w:rFonts w:hint="eastAsia" w:ascii="宋体" w:hAnsi="宋体" w:eastAsia="宋体" w:cs="宋体"/>
          <w:color w:val="auto"/>
          <w:kern w:val="0"/>
          <w:szCs w:val="21"/>
          <w:highlight w:val="none"/>
          <w:lang w:val="en-US" w:eastAsia="zh-CN"/>
        </w:rPr>
        <w:t>崇财采</w:t>
      </w:r>
      <w:r>
        <w:rPr>
          <w:rFonts w:hint="eastAsia" w:ascii="宋体" w:hAnsi="宋体" w:cs="宋体"/>
          <w:color w:val="auto"/>
          <w:kern w:val="0"/>
          <w:szCs w:val="21"/>
          <w:highlight w:val="none"/>
          <w:lang w:val="en-US" w:eastAsia="zh-CN"/>
        </w:rPr>
        <w:t>〔2023〕10号），</w:t>
      </w:r>
      <w:r>
        <w:rPr>
          <w:rFonts w:hint="eastAsia" w:ascii="宋体" w:hAnsi="宋体" w:eastAsia="宋体" w:cs="宋体"/>
          <w:color w:val="auto"/>
          <w:kern w:val="0"/>
          <w:szCs w:val="21"/>
          <w:highlight w:val="none"/>
          <w:lang w:val="en-US" w:eastAsia="zh-CN"/>
        </w:rPr>
        <w:t>供应商可凭中标通知书、政府采购合同，通过中征应收账款融资服务平台向银行在线申请“政采贷”融资</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具体详见采购文件中关于“政采贷”</w:t>
      </w:r>
      <w:r>
        <w:rPr>
          <w:rFonts w:hint="eastAsia" w:ascii="宋体" w:hAnsi="宋体" w:cs="宋体"/>
          <w:color w:val="auto"/>
          <w:kern w:val="0"/>
          <w:szCs w:val="21"/>
          <w:highlight w:val="none"/>
          <w:lang w:val="en-US" w:eastAsia="zh-CN"/>
        </w:rPr>
        <w:t>的相关</w:t>
      </w:r>
      <w:r>
        <w:rPr>
          <w:rFonts w:hint="eastAsia" w:ascii="宋体" w:hAnsi="宋体" w:eastAsia="宋体" w:cs="宋体"/>
          <w:color w:val="auto"/>
          <w:kern w:val="0"/>
          <w:szCs w:val="21"/>
          <w:highlight w:val="none"/>
          <w:lang w:val="en-US" w:eastAsia="zh-CN"/>
        </w:rPr>
        <w:t>信息</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w:t>
      </w:r>
    </w:p>
    <w:p w14:paraId="19F8CE4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 xml:space="preserve"> 本</w:t>
      </w:r>
      <w:r>
        <w:rPr>
          <w:rFonts w:hint="eastAsia" w:ascii="宋体" w:hAnsi="宋体" w:eastAsia="宋体" w:cs="宋体"/>
          <w:color w:val="auto"/>
          <w:kern w:val="0"/>
          <w:szCs w:val="21"/>
          <w:highlight w:val="none"/>
          <w:lang w:val="en-US" w:eastAsia="zh-CN"/>
        </w:rPr>
        <w:t>项目按照</w:t>
      </w:r>
      <w:r>
        <w:rPr>
          <w:rFonts w:hint="eastAsia" w:ascii="宋体" w:hAnsi="宋体" w:cs="宋体"/>
          <w:color w:val="auto"/>
          <w:kern w:val="0"/>
          <w:szCs w:val="21"/>
          <w:highlight w:val="none"/>
          <w:lang w:val="en-US" w:eastAsia="zh-CN"/>
        </w:rPr>
        <w:t>《崇左市财政局关于推行政府采购领域信用承诺制度的通知》</w:t>
      </w:r>
      <w:r>
        <w:rPr>
          <w:rFonts w:hint="eastAsia" w:ascii="宋体" w:hAnsi="宋体" w:eastAsia="宋体" w:cs="宋体"/>
          <w:color w:val="auto"/>
          <w:kern w:val="0"/>
          <w:szCs w:val="21"/>
          <w:highlight w:val="none"/>
          <w:lang w:val="en-US" w:eastAsia="zh-CN"/>
        </w:rPr>
        <w:t>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6"/>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r>
        <w:rPr>
          <w:rFonts w:hint="eastAsia" w:ascii="宋体" w:hAnsi="宋体" w:cs="宋体"/>
          <w:color w:val="auto"/>
          <w:kern w:val="0"/>
          <w:sz w:val="21"/>
          <w:szCs w:val="21"/>
          <w:highlight w:val="none"/>
          <w:lang w:val="en-US" w:eastAsia="zh-CN" w:bidi="ar-SA"/>
        </w:rPr>
        <w:t>0</w:t>
      </w: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 xml:space="preserve"> 评</w:t>
      </w:r>
      <w:r>
        <w:rPr>
          <w:rFonts w:hint="eastAsia" w:ascii="宋体" w:hAnsi="宋体" w:eastAsia="宋体" w:cs="宋体"/>
          <w:color w:val="auto"/>
          <w:kern w:val="0"/>
          <w:sz w:val="21"/>
          <w:szCs w:val="21"/>
          <w:highlight w:val="none"/>
          <w:lang w:val="en-US" w:eastAsia="zh-CN" w:bidi="ar-SA"/>
        </w:rPr>
        <w:t>标说明：本项目为远程异地全流程电子评标</w:t>
      </w:r>
      <w:r>
        <w:rPr>
          <w:rFonts w:hint="eastAsia" w:ascii="宋体" w:hAnsi="宋体" w:cs="宋体"/>
          <w:color w:val="auto"/>
          <w:kern w:val="0"/>
          <w:sz w:val="21"/>
          <w:szCs w:val="21"/>
          <w:highlight w:val="none"/>
          <w:lang w:val="en-US" w:eastAsia="zh-CN" w:bidi="ar-SA"/>
        </w:rPr>
        <w:t>。评标主会场地址：广西锦华工程管理咨询有限公司（崇左市江州区新城路龙胤金街30栋1-101号房）</w:t>
      </w:r>
      <w:r>
        <w:rPr>
          <w:rFonts w:hint="eastAsia" w:ascii="宋体" w:hAnsi="宋体" w:eastAsia="宋体" w:cs="宋体"/>
          <w:color w:val="auto"/>
          <w:kern w:val="0"/>
          <w:sz w:val="21"/>
          <w:szCs w:val="21"/>
          <w:highlight w:val="none"/>
          <w:lang w:val="en-US" w:eastAsia="zh-CN" w:bidi="ar-SA"/>
        </w:rPr>
        <w:t>；评标分会场地址：南宁市邕宁区江湾路2号龙光玖珑臺一期公寓楼22栋4层407号。</w:t>
      </w:r>
    </w:p>
    <w:p w14:paraId="465C217C">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崇左市江州区农业农村局</w:t>
      </w:r>
    </w:p>
    <w:p w14:paraId="054792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cs="宋体"/>
          <w:color w:val="auto"/>
          <w:sz w:val="21"/>
          <w:szCs w:val="21"/>
          <w:highlight w:val="none"/>
          <w:u w:val="none"/>
          <w:lang w:eastAsia="zh-CN"/>
        </w:rPr>
        <w:t>崇左市江州区滨江路31号丽江大厦8楼农业农村局</w:t>
      </w:r>
    </w:p>
    <w:p w14:paraId="52793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w:t>
      </w:r>
      <w:r>
        <w:rPr>
          <w:rFonts w:hint="eastAsia" w:ascii="宋体" w:hAnsi="宋体" w:cs="宋体"/>
          <w:color w:val="auto"/>
          <w:sz w:val="21"/>
          <w:szCs w:val="21"/>
          <w:highlight w:val="none"/>
          <w:u w:val="none"/>
          <w:lang w:val="en-US" w:eastAsia="zh-CN"/>
        </w:rPr>
        <w:t>伍股长</w:t>
      </w:r>
    </w:p>
    <w:p w14:paraId="5FE16D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0771-7826576</w:t>
      </w:r>
      <w:r>
        <w:rPr>
          <w:rFonts w:hint="eastAsia" w:ascii="宋体" w:hAnsi="宋体" w:eastAsia="宋体" w:cs="宋体"/>
          <w:color w:val="auto"/>
          <w:sz w:val="21"/>
          <w:szCs w:val="21"/>
          <w:highlight w:val="none"/>
          <w:u w:val="none"/>
          <w:lang w:val="en-US" w:eastAsia="zh-CN"/>
        </w:rPr>
        <w:t xml:space="preserve"> </w:t>
      </w:r>
    </w:p>
    <w:p w14:paraId="11772D9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4B9B58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广西锦华工程管理咨询有限公司</w:t>
      </w:r>
    </w:p>
    <w:p w14:paraId="3217DD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　址：</w:t>
      </w:r>
      <w:r>
        <w:rPr>
          <w:rFonts w:hint="eastAsia" w:ascii="宋体" w:hAnsi="宋体" w:cs="宋体"/>
          <w:color w:val="auto"/>
          <w:sz w:val="21"/>
          <w:szCs w:val="21"/>
          <w:highlight w:val="none"/>
          <w:u w:val="none"/>
          <w:lang w:val="en-US" w:eastAsia="zh-CN"/>
        </w:rPr>
        <w:t>崇左市江州区新城路龙胤金街30栋1-101号房</w:t>
      </w:r>
    </w:p>
    <w:p w14:paraId="198ADB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0771-7953197</w:t>
      </w:r>
    </w:p>
    <w:p w14:paraId="0A3521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410777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w:t>
      </w:r>
      <w:r>
        <w:rPr>
          <w:rFonts w:hint="eastAsia" w:ascii="宋体" w:hAnsi="宋体" w:cs="宋体"/>
          <w:color w:val="auto"/>
          <w:sz w:val="21"/>
          <w:szCs w:val="21"/>
          <w:highlight w:val="none"/>
          <w:u w:val="none"/>
          <w:lang w:val="en-US" w:eastAsia="zh-CN"/>
        </w:rPr>
        <w:t>熊丹丹</w:t>
      </w:r>
    </w:p>
    <w:p w14:paraId="1087E06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cs="宋体"/>
          <w:color w:val="auto"/>
          <w:sz w:val="21"/>
          <w:szCs w:val="21"/>
          <w:highlight w:val="none"/>
          <w:u w:val="none"/>
          <w:lang w:eastAsia="zh-CN"/>
        </w:rPr>
        <w:t>0771-7953197</w:t>
      </w:r>
    </w:p>
    <w:p w14:paraId="4F1D3F3C">
      <w:pPr>
        <w:pStyle w:val="8"/>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eastAsia="宋体" w:cs="宋体"/>
          <w:color w:val="auto"/>
          <w:szCs w:val="21"/>
          <w:highlight w:val="none"/>
          <w:u w:val="single"/>
          <w:lang w:eastAsia="zh-CN"/>
        </w:rPr>
      </w:pPr>
      <w:bookmarkStart w:id="30" w:name="PO_3000001868_PM031_2"/>
    </w:p>
    <w:bookmarkEnd w:id="30"/>
    <w:p w14:paraId="4A020C1A">
      <w:pPr>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6BC61E97">
      <w:pPr>
        <w:spacing w:line="360" w:lineRule="auto"/>
        <w:ind w:firstLine="420" w:firstLineChars="200"/>
        <w:jc w:val="right"/>
        <w:rPr>
          <w:rFonts w:hint="eastAsia" w:ascii="宋体" w:hAnsi="宋体" w:eastAsia="宋体" w:cs="宋体"/>
          <w:color w:val="auto"/>
          <w:szCs w:val="21"/>
          <w:highlight w:val="none"/>
          <w:u w:val="none"/>
        </w:rPr>
        <w:sectPr>
          <w:footerReference r:id="rId10" w:type="default"/>
          <w:pgSz w:w="11910" w:h="16840"/>
          <w:pgMar w:top="1520" w:right="1500" w:bottom="280" w:left="1680" w:header="720" w:footer="720" w:gutter="0"/>
          <w:pgNumType w:fmt="decimal" w:start="1"/>
          <w:cols w:space="720" w:num="1"/>
          <w:formProt w:val="0"/>
        </w:sectPr>
      </w:pPr>
      <w:r>
        <w:rPr>
          <w:rFonts w:hint="eastAsia" w:ascii="宋体" w:hAnsi="宋体" w:cs="宋体"/>
          <w:color w:val="auto"/>
          <w:szCs w:val="21"/>
          <w:highlight w:val="none"/>
          <w:u w:val="none"/>
          <w:lang w:val="en-US" w:eastAsia="zh-CN"/>
        </w:rPr>
        <w:t>2026年09月30日</w:t>
      </w:r>
    </w:p>
    <w:p w14:paraId="3766DE94">
      <w:pPr>
        <w:pStyle w:val="2"/>
        <w:jc w:val="center"/>
        <w:rPr>
          <w:rFonts w:hint="eastAsia" w:ascii="宋体" w:hAnsi="宋体" w:eastAsia="宋体" w:cs="宋体"/>
          <w:color w:val="auto"/>
          <w:highlight w:val="none"/>
        </w:rPr>
      </w:pPr>
      <w:bookmarkStart w:id="31" w:name="_Toc11837"/>
      <w:bookmarkStart w:id="32" w:name="_Toc22168"/>
      <w:bookmarkStart w:id="33" w:name="_Toc25731"/>
      <w:r>
        <w:rPr>
          <w:rFonts w:hint="eastAsia" w:ascii="宋体" w:hAnsi="宋体" w:eastAsia="宋体" w:cs="宋体"/>
          <w:bCs w:val="0"/>
          <w:color w:val="auto"/>
          <w:sz w:val="32"/>
          <w:szCs w:val="32"/>
          <w:highlight w:val="none"/>
        </w:rPr>
        <w:t>第二章 采购需求</w:t>
      </w:r>
      <w:bookmarkEnd w:id="31"/>
      <w:bookmarkEnd w:id="32"/>
      <w:bookmarkEnd w:id="33"/>
    </w:p>
    <w:p w14:paraId="3B7B4D00">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424F20A7">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37AE5B1E">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6F69FAEA">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357432EB">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供应商必须自行为其竞标产品侵犯</w:t>
      </w:r>
      <w:r>
        <w:rPr>
          <w:rFonts w:hint="eastAsia" w:ascii="宋体" w:hAnsi="宋体" w:cs="宋体"/>
          <w:color w:val="auto"/>
          <w:szCs w:val="21"/>
          <w:highlight w:val="none"/>
          <w:lang w:eastAsia="zh-CN"/>
        </w:rPr>
        <w:t>他人</w:t>
      </w:r>
      <w:r>
        <w:rPr>
          <w:rFonts w:hint="eastAsia" w:ascii="宋体" w:hAnsi="宋体" w:eastAsia="宋体" w:cs="宋体"/>
          <w:color w:val="auto"/>
          <w:szCs w:val="21"/>
          <w:highlight w:val="none"/>
        </w:rPr>
        <w:t>知识产权或者专利成果的行为承担相应法律责任。</w:t>
      </w:r>
    </w:p>
    <w:tbl>
      <w:tblPr>
        <w:tblStyle w:val="20"/>
        <w:tblpPr w:leftFromText="180" w:rightFromText="180" w:vertAnchor="text" w:horzAnchor="page" w:tblpX="1093" w:tblpY="50"/>
        <w:tblOverlap w:val="never"/>
        <w:tblW w:w="1012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52"/>
        <w:gridCol w:w="638"/>
        <w:gridCol w:w="487"/>
        <w:gridCol w:w="3685"/>
        <w:gridCol w:w="1360"/>
        <w:gridCol w:w="1609"/>
      </w:tblGrid>
      <w:tr w14:paraId="70D4C2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0121" w:type="dxa"/>
            <w:gridSpan w:val="8"/>
            <w:tcBorders>
              <w:top w:val="single" w:color="auto" w:sz="4" w:space="0"/>
              <w:left w:val="single" w:color="auto" w:sz="4" w:space="0"/>
              <w:right w:val="single" w:color="auto" w:sz="4" w:space="0"/>
            </w:tcBorders>
            <w:noWrap w:val="0"/>
            <w:vAlign w:val="center"/>
          </w:tcPr>
          <w:p w14:paraId="2449E36E">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242C5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545" w:type="dxa"/>
            <w:vMerge w:val="restart"/>
            <w:tcBorders>
              <w:top w:val="single" w:color="auto" w:sz="4" w:space="0"/>
              <w:left w:val="single" w:color="auto" w:sz="4" w:space="0"/>
              <w:right w:val="single" w:color="auto" w:sz="4" w:space="0"/>
            </w:tcBorders>
            <w:noWrap w:val="0"/>
            <w:vAlign w:val="top"/>
          </w:tcPr>
          <w:p w14:paraId="31048159">
            <w:pPr>
              <w:jc w:val="center"/>
              <w:rPr>
                <w:rFonts w:hint="eastAsia" w:ascii="宋体" w:hAnsi="宋体" w:eastAsia="宋体" w:cs="宋体"/>
                <w:color w:val="auto"/>
                <w:highlight w:val="none"/>
              </w:rPr>
            </w:pPr>
          </w:p>
          <w:p w14:paraId="699B627A">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42FFD7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49CF033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采购工程名称</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0B1E63EF">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29D8233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0F1EF8E4">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CB272B3">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预算合计（元）</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7B4B2EA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r>
      <w:tr w14:paraId="1F518C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45" w:type="dxa"/>
            <w:vMerge w:val="continue"/>
            <w:tcBorders>
              <w:left w:val="single" w:color="auto" w:sz="4" w:space="0"/>
              <w:right w:val="single" w:color="auto" w:sz="4" w:space="0"/>
            </w:tcBorders>
            <w:noWrap w:val="0"/>
            <w:vAlign w:val="top"/>
          </w:tcPr>
          <w:p w14:paraId="7E77DA46">
            <w:pPr>
              <w:spacing w:line="240" w:lineRule="exact"/>
              <w:jc w:val="center"/>
              <w:rPr>
                <w:rFonts w:hint="eastAsia" w:ascii="宋体" w:hAnsi="宋体" w:eastAsia="宋体" w:cs="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6E7ECD2">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40BF9CB5">
            <w:pPr>
              <w:spacing w:line="2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左江华侨农场渌旺分场甘蔗产业路硬化建设项目</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314425DC">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2F6FA154">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685" w:type="dxa"/>
            <w:tcBorders>
              <w:top w:val="single" w:color="auto" w:sz="4" w:space="0"/>
              <w:left w:val="single" w:color="auto" w:sz="4" w:space="0"/>
              <w:bottom w:val="single" w:color="auto" w:sz="4" w:space="0"/>
              <w:right w:val="single" w:color="auto" w:sz="4" w:space="0"/>
            </w:tcBorders>
            <w:noWrap w:val="0"/>
            <w:vAlign w:val="top"/>
          </w:tcPr>
          <w:p w14:paraId="6A88C62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改建5条硬化甘蔗产业道路，总长为1702m。</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ED4064F">
            <w:pPr>
              <w:spacing w:line="2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763775.00</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414A74B6">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672972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545" w:type="dxa"/>
            <w:tcBorders>
              <w:top w:val="single" w:color="auto" w:sz="4" w:space="0"/>
              <w:left w:val="single" w:color="auto" w:sz="4" w:space="0"/>
              <w:bottom w:val="single" w:color="auto" w:sz="4" w:space="0"/>
              <w:right w:val="single" w:color="auto" w:sz="4" w:space="0"/>
            </w:tcBorders>
            <w:noWrap w:val="0"/>
            <w:vAlign w:val="top"/>
          </w:tcPr>
          <w:p w14:paraId="659C18E0">
            <w:pPr>
              <w:jc w:val="center"/>
              <w:rPr>
                <w:rFonts w:hint="eastAsia" w:ascii="宋体" w:hAnsi="宋体" w:eastAsia="宋体" w:cs="宋体"/>
                <w:color w:val="auto"/>
                <w:highlight w:val="none"/>
              </w:rPr>
            </w:pPr>
          </w:p>
          <w:p w14:paraId="3E9F8A80">
            <w:pPr>
              <w:jc w:val="center"/>
              <w:rPr>
                <w:rFonts w:hint="eastAsia" w:ascii="宋体" w:hAnsi="宋体" w:eastAsia="宋体" w:cs="宋体"/>
                <w:color w:val="auto"/>
                <w:highlight w:val="none"/>
              </w:rPr>
            </w:pPr>
          </w:p>
          <w:p w14:paraId="0094DB9E">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27953BDE">
            <w:pPr>
              <w:widowControl/>
              <w:shd w:val="clear" w:color="auto" w:fill="FFFFFF"/>
              <w:spacing w:line="360" w:lineRule="auto"/>
              <w:rPr>
                <w:rFonts w:hint="eastAsia"/>
                <w:color w:val="auto"/>
                <w:highlight w:val="none"/>
              </w:rPr>
            </w:pPr>
            <w:r>
              <w:rPr>
                <w:rFonts w:hint="eastAsia"/>
                <w:color w:val="auto"/>
                <w:highlight w:val="none"/>
              </w:rPr>
              <w:t>一、合同签订期：</w:t>
            </w:r>
            <w:r>
              <w:rPr>
                <w:rFonts w:hint="eastAsia"/>
                <w:color w:val="auto"/>
                <w:highlight w:val="none"/>
                <w:lang w:eastAsia="zh-CN"/>
              </w:rPr>
              <w:t>自成交通知书发出之日起15日内，因不可抗力原因延迟签订合同的，自不可抗力事由消除之日起5个工作日内完成合同签订事宜</w:t>
            </w:r>
            <w:r>
              <w:rPr>
                <w:rFonts w:hint="eastAsia"/>
                <w:color w:val="auto"/>
                <w:highlight w:val="none"/>
              </w:rPr>
              <w:t>。</w:t>
            </w:r>
          </w:p>
          <w:p w14:paraId="3270F354">
            <w:pPr>
              <w:widowControl/>
              <w:shd w:val="clear" w:color="auto" w:fill="FFFFFF"/>
              <w:spacing w:line="360" w:lineRule="auto"/>
              <w:rPr>
                <w:rFonts w:hint="eastAsia"/>
                <w:color w:val="auto"/>
                <w:highlight w:val="none"/>
                <w:lang w:eastAsia="zh-CN"/>
              </w:rPr>
            </w:pPr>
            <w:r>
              <w:rPr>
                <w:rFonts w:hint="eastAsia"/>
                <w:color w:val="auto"/>
                <w:highlight w:val="none"/>
              </w:rPr>
              <w:t>▲二、</w:t>
            </w:r>
            <w:r>
              <w:rPr>
                <w:rFonts w:hint="eastAsia"/>
                <w:color w:val="auto"/>
                <w:highlight w:val="none"/>
                <w:lang w:eastAsia="zh-CN"/>
              </w:rPr>
              <w:t>合同履行期限</w:t>
            </w:r>
            <w:r>
              <w:rPr>
                <w:rFonts w:hint="eastAsia"/>
                <w:color w:val="auto"/>
                <w:highlight w:val="none"/>
              </w:rPr>
              <w:t>：</w:t>
            </w:r>
            <w:r>
              <w:rPr>
                <w:rFonts w:hint="eastAsia"/>
                <w:color w:val="auto"/>
                <w:highlight w:val="none"/>
                <w:lang w:eastAsia="zh-CN"/>
              </w:rPr>
              <w:t>工期90日历天。</w:t>
            </w:r>
          </w:p>
          <w:p w14:paraId="46DA613A">
            <w:pPr>
              <w:widowControl/>
              <w:shd w:val="clear" w:color="auto" w:fill="FFFFFF"/>
              <w:tabs>
                <w:tab w:val="left" w:pos="4769"/>
              </w:tabs>
              <w:spacing w:line="360" w:lineRule="auto"/>
              <w:rPr>
                <w:rFonts w:hint="eastAsia"/>
                <w:color w:val="auto"/>
                <w:highlight w:val="none"/>
              </w:rPr>
            </w:pPr>
            <w:r>
              <w:rPr>
                <w:rFonts w:hint="eastAsia"/>
                <w:color w:val="auto"/>
                <w:highlight w:val="none"/>
              </w:rPr>
              <w:t>三、建设地点：</w:t>
            </w:r>
            <w:r>
              <w:rPr>
                <w:rFonts w:hint="eastAsia" w:ascii="宋体" w:hAnsi="宋体" w:cs="宋体"/>
                <w:color w:val="auto"/>
                <w:szCs w:val="21"/>
                <w:highlight w:val="none"/>
                <w:lang w:val="en-US" w:eastAsia="zh-CN"/>
              </w:rPr>
              <w:t>左江华侨农场渌旺分场</w:t>
            </w:r>
            <w:r>
              <w:rPr>
                <w:rFonts w:hint="eastAsia"/>
                <w:color w:val="auto"/>
                <w:highlight w:val="none"/>
              </w:rPr>
              <w:t>。</w:t>
            </w:r>
          </w:p>
          <w:p w14:paraId="5F059C14">
            <w:pPr>
              <w:widowControl/>
              <w:shd w:val="clear" w:color="auto" w:fill="FFFFFF"/>
              <w:spacing w:line="360" w:lineRule="auto"/>
              <w:rPr>
                <w:rFonts w:hint="eastAsia"/>
                <w:color w:val="auto"/>
                <w:highlight w:val="none"/>
              </w:rPr>
            </w:pPr>
            <w:r>
              <w:rPr>
                <w:rFonts w:hint="eastAsia"/>
                <w:color w:val="auto"/>
                <w:highlight w:val="none"/>
              </w:rPr>
              <w:t>▲四、</w:t>
            </w:r>
            <w:r>
              <w:rPr>
                <w:rFonts w:hint="eastAsia"/>
                <w:color w:val="auto"/>
                <w:highlight w:val="none"/>
                <w:lang w:val="en-US" w:eastAsia="zh-CN"/>
              </w:rPr>
              <w:t>质量要求</w:t>
            </w:r>
            <w:r>
              <w:rPr>
                <w:rFonts w:hint="eastAsia"/>
                <w:color w:val="auto"/>
                <w:highlight w:val="none"/>
              </w:rPr>
              <w:t>：达到国家施工验收规范合格标准。</w:t>
            </w:r>
          </w:p>
          <w:p w14:paraId="326EA700">
            <w:pPr>
              <w:spacing w:line="360" w:lineRule="auto"/>
              <w:rPr>
                <w:rFonts w:hint="eastAsia"/>
                <w:color w:val="auto"/>
                <w:highlight w:val="none"/>
              </w:rPr>
            </w:pPr>
            <w:r>
              <w:rPr>
                <w:rFonts w:hint="eastAsia"/>
                <w:color w:val="auto"/>
                <w:highlight w:val="none"/>
                <w:lang w:val="en-US" w:eastAsia="zh-CN"/>
              </w:rPr>
              <w:t>五</w:t>
            </w:r>
            <w:r>
              <w:rPr>
                <w:rFonts w:hint="eastAsia"/>
                <w:color w:val="auto"/>
                <w:highlight w:val="none"/>
              </w:rPr>
              <w:t>、其他要求：</w:t>
            </w:r>
          </w:p>
          <w:p w14:paraId="3DB58203">
            <w:pPr>
              <w:spacing w:line="360" w:lineRule="auto"/>
              <w:rPr>
                <w:rFonts w:hint="eastAsia"/>
                <w:color w:val="auto"/>
                <w:highlight w:val="none"/>
                <w:lang w:eastAsia="zh-CN"/>
              </w:rPr>
            </w:pPr>
            <w:r>
              <w:rPr>
                <w:rFonts w:hint="eastAsia"/>
                <w:color w:val="auto"/>
                <w:highlight w:val="none"/>
              </w:rPr>
              <w:t>▲1</w:t>
            </w:r>
            <w:r>
              <w:rPr>
                <w:rFonts w:hint="eastAsia"/>
                <w:color w:val="auto"/>
                <w:highlight w:val="none"/>
                <w:lang w:eastAsia="zh-CN"/>
              </w:rPr>
              <w:t xml:space="preserve">. </w:t>
            </w:r>
            <w:r>
              <w:rPr>
                <w:rFonts w:hint="eastAsia"/>
                <w:color w:val="auto"/>
                <w:highlight w:val="none"/>
              </w:rPr>
              <w:t>付款方式：</w:t>
            </w: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）自双方签订合同后，发包人支付工程合同价款的30%作为工程预付款。（</w:t>
            </w:r>
            <w:r>
              <w:rPr>
                <w:rFonts w:hint="eastAsia"/>
                <w:color w:val="auto"/>
                <w:highlight w:val="none"/>
                <w:lang w:val="en-US" w:eastAsia="zh-CN"/>
              </w:rPr>
              <w:t>2</w:t>
            </w:r>
            <w:r>
              <w:rPr>
                <w:rFonts w:hint="eastAsia"/>
                <w:color w:val="auto"/>
                <w:highlight w:val="none"/>
                <w:lang w:eastAsia="zh-CN"/>
              </w:rPr>
              <w:t>）第二次付款时，按工程进度支付并抵扣预付款。工程进度款支付限额为已完成工程量的80%，合同外（工程变更部分和现场签证引起的费用等）进度款支付金额为已完成工程量的60%；工程竣工且验收合格后，发包人支付工程合同价款的</w:t>
            </w:r>
            <w:r>
              <w:rPr>
                <w:rFonts w:hint="eastAsia"/>
                <w:color w:val="auto"/>
                <w:highlight w:val="none"/>
                <w:lang w:val="en-US" w:eastAsia="zh-CN"/>
              </w:rPr>
              <w:t>90</w:t>
            </w:r>
            <w:r>
              <w:rPr>
                <w:rFonts w:hint="eastAsia"/>
                <w:color w:val="auto"/>
                <w:highlight w:val="none"/>
                <w:lang w:eastAsia="zh-CN"/>
              </w:rPr>
              <w:t>%作为工程款。（</w:t>
            </w:r>
            <w:r>
              <w:rPr>
                <w:rFonts w:hint="eastAsia"/>
                <w:color w:val="auto"/>
                <w:highlight w:val="none"/>
                <w:lang w:val="en-US" w:eastAsia="zh-CN"/>
              </w:rPr>
              <w:t>3</w:t>
            </w:r>
            <w:r>
              <w:rPr>
                <w:rFonts w:hint="eastAsia"/>
                <w:color w:val="auto"/>
                <w:highlight w:val="none"/>
                <w:lang w:eastAsia="zh-CN"/>
              </w:rPr>
              <w:t>）竣工结算审计后，发包人支付至结算审定价款的97%。剩余3%作为工程质量保证金，待工程缺陷责任期满</w:t>
            </w:r>
            <w:r>
              <w:rPr>
                <w:rFonts w:hint="eastAsia"/>
                <w:color w:val="auto"/>
                <w:highlight w:val="none"/>
                <w:lang w:val="en-US" w:eastAsia="zh-CN"/>
              </w:rPr>
              <w:t>经双方复检书面确认乙方无违约行为后，甲方支付至工程结算</w:t>
            </w:r>
            <w:r>
              <w:rPr>
                <w:rFonts w:hint="eastAsia"/>
                <w:color w:val="auto"/>
                <w:highlight w:val="none"/>
                <w:lang w:eastAsia="zh-CN"/>
              </w:rPr>
              <w:t>价款的</w:t>
            </w:r>
            <w:r>
              <w:rPr>
                <w:rFonts w:hint="eastAsia"/>
                <w:color w:val="auto"/>
                <w:highlight w:val="none"/>
                <w:lang w:val="en-US" w:eastAsia="zh-CN"/>
              </w:rPr>
              <w:t>100</w:t>
            </w:r>
            <w:r>
              <w:rPr>
                <w:rFonts w:hint="eastAsia"/>
                <w:color w:val="auto"/>
                <w:highlight w:val="none"/>
                <w:lang w:eastAsia="zh-CN"/>
              </w:rPr>
              <w:t>%。</w:t>
            </w:r>
          </w:p>
          <w:p w14:paraId="695EA994">
            <w:pPr>
              <w:spacing w:line="360" w:lineRule="auto"/>
              <w:rPr>
                <w:rFonts w:hint="eastAsia"/>
                <w:color w:val="auto"/>
                <w:highlight w:val="none"/>
              </w:rPr>
            </w:pPr>
            <w:r>
              <w:rPr>
                <w:rFonts w:hint="eastAsia"/>
                <w:color w:val="auto"/>
                <w:highlight w:val="none"/>
                <w:lang w:eastAsia="zh-CN"/>
              </w:rPr>
              <w:t>2.</w:t>
            </w:r>
            <w:r>
              <w:rPr>
                <w:rFonts w:hint="eastAsia"/>
                <w:color w:val="auto"/>
                <w:highlight w:val="none"/>
              </w:rPr>
              <w:t>支付方式：银行转账支付。</w:t>
            </w:r>
          </w:p>
          <w:p w14:paraId="315F8D72">
            <w:pPr>
              <w:spacing w:line="360" w:lineRule="auto"/>
              <w:rPr>
                <w:rFonts w:hint="eastAsia"/>
                <w:b w:val="0"/>
                <w:bCs w:val="0"/>
                <w:color w:val="auto"/>
                <w:highlight w:val="none"/>
              </w:rPr>
            </w:pPr>
            <w:r>
              <w:rPr>
                <w:rFonts w:hint="eastAsia"/>
                <w:b w:val="0"/>
                <w:bCs w:val="0"/>
                <w:color w:val="auto"/>
                <w:highlight w:val="none"/>
              </w:rPr>
              <w:t>▲3</w:t>
            </w:r>
            <w:r>
              <w:rPr>
                <w:rFonts w:hint="eastAsia"/>
                <w:b w:val="0"/>
                <w:bCs w:val="0"/>
                <w:color w:val="auto"/>
                <w:highlight w:val="none"/>
                <w:lang w:eastAsia="zh-CN"/>
              </w:rPr>
              <w:t xml:space="preserve">. </w:t>
            </w:r>
            <w:r>
              <w:rPr>
                <w:rFonts w:hint="eastAsia"/>
                <w:b w:val="0"/>
                <w:bCs w:val="0"/>
                <w:color w:val="auto"/>
                <w:highlight w:val="none"/>
              </w:rPr>
              <w:t>报价要求：</w:t>
            </w:r>
          </w:p>
          <w:p w14:paraId="08BF1F37">
            <w:pPr>
              <w:spacing w:line="360" w:lineRule="auto"/>
              <w:rPr>
                <w:rFonts w:hint="eastAsia"/>
                <w:b w:val="0"/>
                <w:bCs w:val="0"/>
                <w:color w:val="auto"/>
                <w:highlight w:val="none"/>
                <w:lang w:eastAsia="zh-CN"/>
              </w:rPr>
            </w:pPr>
            <w:r>
              <w:rPr>
                <w:rFonts w:hint="eastAsia"/>
                <w:b w:val="0"/>
                <w:bCs w:val="0"/>
                <w:color w:val="auto"/>
                <w:highlight w:val="none"/>
                <w:lang w:eastAsia="zh-CN"/>
              </w:rPr>
              <w:t>（</w:t>
            </w:r>
            <w:r>
              <w:rPr>
                <w:rFonts w:hint="eastAsia"/>
                <w:b w:val="0"/>
                <w:bCs w:val="0"/>
                <w:color w:val="auto"/>
                <w:highlight w:val="none"/>
                <w:lang w:val="en-US" w:eastAsia="zh-CN"/>
              </w:rPr>
              <w:t>1）</w:t>
            </w:r>
            <w:r>
              <w:rPr>
                <w:rFonts w:hint="eastAsia"/>
                <w:b w:val="0"/>
                <w:bCs w:val="0"/>
                <w:color w:val="auto"/>
                <w:highlight w:val="none"/>
              </w:rPr>
              <w:t>供应商应认真填写工程量清单中所列的所有各细目的单价和合价，填写工程量清单时应注意</w:t>
            </w:r>
            <w:r>
              <w:rPr>
                <w:rFonts w:hint="eastAsia"/>
                <w:b w:val="0"/>
                <w:bCs w:val="0"/>
                <w:color w:val="auto"/>
                <w:highlight w:val="none"/>
                <w:lang w:eastAsia="zh-CN"/>
              </w:rPr>
              <w:t>：</w:t>
            </w:r>
          </w:p>
          <w:p w14:paraId="3ECBB281">
            <w:pPr>
              <w:spacing w:line="360" w:lineRule="auto"/>
              <w:rPr>
                <w:rFonts w:hint="eastAsia"/>
                <w:b w:val="0"/>
                <w:bCs w:val="0"/>
                <w:color w:val="auto"/>
                <w:highlight w:val="none"/>
              </w:rPr>
            </w:pPr>
            <w:r>
              <w:rPr>
                <w:rFonts w:hint="eastAsia"/>
                <w:b w:val="0"/>
                <w:bCs w:val="0"/>
                <w:color w:val="auto"/>
                <w:highlight w:val="none"/>
                <w:lang w:val="en-US" w:eastAsia="zh-CN"/>
              </w:rPr>
              <w:t>A.</w:t>
            </w:r>
            <w:r>
              <w:rPr>
                <w:rFonts w:hint="eastAsia"/>
                <w:b w:val="0"/>
                <w:bCs w:val="0"/>
                <w:color w:val="auto"/>
                <w:highlight w:val="none"/>
              </w:rPr>
              <w:t>有工程数量的应报单价和合价。</w:t>
            </w:r>
          </w:p>
          <w:p w14:paraId="1A937895">
            <w:pPr>
              <w:spacing w:line="360" w:lineRule="auto"/>
              <w:rPr>
                <w:rFonts w:hint="eastAsia"/>
                <w:b w:val="0"/>
                <w:bCs w:val="0"/>
                <w:color w:val="auto"/>
                <w:highlight w:val="none"/>
              </w:rPr>
            </w:pPr>
            <w:r>
              <w:rPr>
                <w:rFonts w:hint="eastAsia"/>
                <w:b w:val="0"/>
                <w:bCs w:val="0"/>
                <w:color w:val="auto"/>
                <w:highlight w:val="none"/>
                <w:lang w:val="en-US" w:eastAsia="zh-CN"/>
              </w:rPr>
              <w:t>B.</w:t>
            </w:r>
            <w:r>
              <w:rPr>
                <w:rFonts w:hint="eastAsia"/>
                <w:b w:val="0"/>
                <w:bCs w:val="0"/>
                <w:color w:val="auto"/>
                <w:highlight w:val="none"/>
              </w:rPr>
              <w:t>供应商应按采购人提供的工程量清单中列出的工程项目和工程量填报单价和合价。每一项目只允许有一个报价</w:t>
            </w:r>
            <w:r>
              <w:rPr>
                <w:rFonts w:hint="eastAsia"/>
                <w:b w:val="0"/>
                <w:bCs w:val="0"/>
                <w:color w:val="auto"/>
                <w:highlight w:val="none"/>
                <w:lang w:eastAsia="zh-CN"/>
              </w:rPr>
              <w:t>，</w:t>
            </w:r>
            <w:r>
              <w:rPr>
                <w:rFonts w:hint="eastAsia"/>
                <w:b w:val="0"/>
                <w:bCs w:val="0"/>
                <w:color w:val="auto"/>
                <w:highlight w:val="none"/>
              </w:rPr>
              <w:t>任何有选择的报价将不予接受。供应商未填单价或合价的工程项目在实施后，采购人将不予以支付，并视为该项费用已包括在其他有价款的单价或合价内，供应商必须按采购人的指令完成工程量清单中未填入单价或总价的工程项目，但不能得到支付与结算。</w:t>
            </w:r>
          </w:p>
          <w:p w14:paraId="34D54CB5">
            <w:pPr>
              <w:spacing w:line="360" w:lineRule="auto"/>
              <w:rPr>
                <w:rFonts w:hint="eastAsia"/>
                <w:b w:val="0"/>
                <w:bCs w:val="0"/>
                <w:color w:val="auto"/>
                <w:highlight w:val="none"/>
              </w:rPr>
            </w:pPr>
            <w:r>
              <w:rPr>
                <w:rFonts w:hint="eastAsia"/>
                <w:b w:val="0"/>
                <w:bCs w:val="0"/>
                <w:color w:val="auto"/>
                <w:highlight w:val="none"/>
                <w:lang w:val="en-US" w:eastAsia="zh-CN"/>
              </w:rPr>
              <w:t>C.</w:t>
            </w:r>
            <w:r>
              <w:rPr>
                <w:rFonts w:hint="eastAsia"/>
                <w:b w:val="0"/>
                <w:bCs w:val="0"/>
                <w:color w:val="auto"/>
                <w:highlight w:val="none"/>
                <w:lang w:eastAsia="zh-CN"/>
              </w:rPr>
              <w:t>供应商</w:t>
            </w:r>
            <w:r>
              <w:rPr>
                <w:rFonts w:hint="eastAsia"/>
                <w:b w:val="0"/>
                <w:bCs w:val="0"/>
                <w:color w:val="auto"/>
                <w:highlight w:val="none"/>
              </w:rPr>
              <w:t>在进行工程量清单报价</w:t>
            </w:r>
            <w:r>
              <w:rPr>
                <w:rFonts w:hint="eastAsia"/>
                <w:b w:val="0"/>
                <w:bCs w:val="0"/>
                <w:color w:val="auto"/>
                <w:highlight w:val="none"/>
                <w:lang w:eastAsia="zh-CN"/>
              </w:rPr>
              <w:t>时应依据《建设工程工程量清单计价规范》</w:t>
            </w:r>
            <w:r>
              <w:rPr>
                <w:rFonts w:hint="eastAsia"/>
                <w:b w:val="0"/>
                <w:bCs w:val="0"/>
                <w:color w:val="auto"/>
                <w:highlight w:val="none"/>
                <w:lang w:val="en-US" w:eastAsia="zh-CN"/>
              </w:rPr>
              <w:t>等依据</w:t>
            </w:r>
            <w:r>
              <w:rPr>
                <w:rFonts w:hint="eastAsia"/>
                <w:b w:val="0"/>
                <w:bCs w:val="0"/>
                <w:color w:val="auto"/>
                <w:highlight w:val="none"/>
                <w:lang w:eastAsia="zh-CN"/>
              </w:rPr>
              <w:t>及企业自身成本状况合理确定，不得出现严重偏离市场价格的不平衡报价情形</w:t>
            </w:r>
            <w:r>
              <w:rPr>
                <w:rFonts w:hint="eastAsia"/>
                <w:b w:val="0"/>
                <w:bCs w:val="0"/>
                <w:color w:val="auto"/>
                <w:highlight w:val="none"/>
              </w:rPr>
              <w:t>，否则竞标无效。</w:t>
            </w:r>
          </w:p>
          <w:p w14:paraId="3E6F5DE2">
            <w:pPr>
              <w:spacing w:line="360" w:lineRule="auto"/>
              <w:rPr>
                <w:rFonts w:hint="eastAsia"/>
                <w:highlight w:val="none"/>
              </w:rPr>
            </w:pPr>
            <w:r>
              <w:rPr>
                <w:rFonts w:hint="eastAsia"/>
                <w:b w:val="0"/>
                <w:bCs w:val="0"/>
                <w:color w:val="auto"/>
                <w:highlight w:val="none"/>
                <w:lang w:val="en-US" w:eastAsia="zh-CN"/>
              </w:rPr>
              <w:t>（2）最后报价与首次报价不一致时，供应商必须上传与最后报价一致的已标价工程量清单作为附件。若存在未上传已标价工程量清单、清单内容不完整（含缺项、漏项、数据缺失等）、文件格式不符合要求、签章不齐全任一情形的，其最后报价判定为无效，视同自动放弃报价权利，退出本次采购活动</w:t>
            </w:r>
            <w:r>
              <w:rPr>
                <w:rFonts w:hint="eastAsia" w:ascii="Times New Roman" w:hAnsi="Times New Roman" w:eastAsia="宋体" w:cs="Times New Roman"/>
                <w:b w:val="0"/>
                <w:bCs w:val="0"/>
                <w:color w:val="auto"/>
                <w:highlight w:val="none"/>
              </w:rPr>
              <w:t>。</w:t>
            </w:r>
          </w:p>
        </w:tc>
      </w:tr>
    </w:tbl>
    <w:p w14:paraId="321A95A4">
      <w:pPr>
        <w:pStyle w:val="8"/>
        <w:spacing w:line="420" w:lineRule="exact"/>
        <w:ind w:firstLine="422" w:firstLineChars="200"/>
        <w:rPr>
          <w:rFonts w:hint="eastAsia" w:ascii="宋体" w:hAnsi="宋体" w:eastAsia="宋体" w:cs="宋体"/>
          <w:b/>
          <w:bCs/>
          <w:color w:val="auto"/>
          <w:sz w:val="24"/>
          <w:highlight w:val="none"/>
        </w:rPr>
      </w:pPr>
      <w:r>
        <w:rPr>
          <w:rFonts w:hint="eastAsia" w:ascii="宋体" w:hAnsi="宋体" w:eastAsia="宋体" w:cs="宋体"/>
          <w:b/>
          <w:bCs/>
          <w:color w:val="auto"/>
          <w:szCs w:val="21"/>
          <w:highlight w:val="none"/>
        </w:rPr>
        <w:br w:type="page"/>
      </w:r>
    </w:p>
    <w:p w14:paraId="13032E03">
      <w:pPr>
        <w:pStyle w:val="11"/>
        <w:jc w:val="lef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20"/>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2"/>
        <w:spacing w:before="0" w:after="0" w:line="240" w:lineRule="auto"/>
        <w:jc w:val="center"/>
        <w:rPr>
          <w:rFonts w:hint="eastAsia" w:ascii="宋体" w:hAnsi="宋体" w:eastAsia="宋体" w:cs="宋体"/>
          <w:color w:val="auto"/>
          <w:sz w:val="36"/>
          <w:szCs w:val="36"/>
          <w:highlight w:val="none"/>
        </w:rPr>
      </w:pPr>
      <w:bookmarkStart w:id="34" w:name="_Toc20849"/>
      <w:bookmarkStart w:id="35" w:name="_Toc10896"/>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136ADF15">
      <w:pPr>
        <w:pStyle w:val="3"/>
        <w:spacing w:line="240" w:lineRule="auto"/>
        <w:jc w:val="center"/>
        <w:rPr>
          <w:rFonts w:hint="eastAsia" w:ascii="宋体" w:hAnsi="宋体" w:eastAsia="宋体" w:cs="宋体"/>
          <w:b w:val="0"/>
          <w:color w:val="auto"/>
          <w:highlight w:val="none"/>
        </w:rPr>
      </w:pPr>
      <w:bookmarkStart w:id="36" w:name="_Toc19478"/>
      <w:bookmarkStart w:id="37" w:name="_Toc2103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8" w:name="PO_3000001868_PM007"/>
            <w:r>
              <w:rPr>
                <w:rFonts w:hint="eastAsia" w:ascii="宋体" w:hAnsi="宋体" w:eastAsia="宋体" w:cs="宋体"/>
                <w:color w:val="auto"/>
                <w:szCs w:val="21"/>
                <w:highlight w:val="none"/>
                <w:lang w:eastAsia="zh-CN"/>
              </w:rPr>
              <w:t>不允许联合体投标</w:t>
            </w:r>
            <w:bookmarkEnd w:id="38"/>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8"/>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8"/>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（根据竞争性磋商公告对应的</w:t>
            </w:r>
            <w:r>
              <w:rPr>
                <w:rFonts w:hint="eastAsia" w:ascii="宋体" w:hAnsi="宋体" w:eastAsia="宋体" w:cs="宋体"/>
                <w:b/>
                <w:bCs/>
                <w:color w:val="auto"/>
                <w:szCs w:val="21"/>
                <w:highlight w:val="none"/>
                <w:lang w:eastAsia="zh-CN"/>
              </w:rPr>
              <w:t>特定资格要求</w:t>
            </w:r>
            <w:r>
              <w:rPr>
                <w:rFonts w:hint="eastAsia" w:ascii="宋体" w:hAnsi="宋体" w:eastAsia="宋体" w:cs="宋体"/>
                <w:color w:val="auto"/>
                <w:szCs w:val="21"/>
                <w:highlight w:val="none"/>
                <w:lang w:eastAsia="zh-CN"/>
              </w:rPr>
              <w:t>供应商提供的资格证明材料）</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kern w:val="0"/>
                <w:szCs w:val="21"/>
                <w:highlight w:val="none"/>
                <w:lang w:val="en-US" w:eastAsia="zh-CN"/>
              </w:rPr>
              <w:t>5.农民工工资保证金承诺书</w:t>
            </w:r>
            <w:r>
              <w:rPr>
                <w:rFonts w:hint="eastAsia" w:ascii="宋体" w:hAnsi="宋体" w:cs="宋体"/>
                <w:color w:val="auto"/>
                <w:kern w:val="0"/>
                <w:szCs w:val="21"/>
                <w:highlight w:val="none"/>
                <w:lang w:val="en-US" w:eastAsia="zh-CN"/>
              </w:rPr>
              <w:t>；</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eastAsia="宋体" w:cs="宋体"/>
                <w:b w:val="0"/>
                <w:bCs/>
                <w:color w:val="auto"/>
                <w:szCs w:val="21"/>
                <w:highlight w:val="none"/>
                <w:lang w:val="en-US" w:eastAsia="zh-CN"/>
              </w:rPr>
              <w:t>6.</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cs="宋体"/>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（必须提供，供应商为</w:t>
            </w:r>
            <w:r>
              <w:rPr>
                <w:rFonts w:hint="eastAsia" w:ascii="宋体" w:hAnsi="宋体" w:cs="宋体"/>
                <w:b/>
                <w:bCs/>
                <w:color w:val="auto"/>
                <w:kern w:val="0"/>
                <w:szCs w:val="21"/>
                <w:highlight w:val="none"/>
                <w:lang w:val="en-US" w:eastAsia="zh-CN"/>
              </w:rPr>
              <w:t>中小</w:t>
            </w:r>
            <w:r>
              <w:rPr>
                <w:rFonts w:hint="eastAsia" w:ascii="宋体" w:hAnsi="宋体" w:eastAsia="宋体" w:cs="宋体"/>
                <w:b/>
                <w:bCs/>
                <w:color w:val="auto"/>
                <w:kern w:val="0"/>
                <w:szCs w:val="21"/>
                <w:highlight w:val="none"/>
                <w:lang w:val="en-US" w:eastAsia="zh-CN"/>
              </w:rPr>
              <w:t>企业/监狱企业/残疾人福利企业</w:t>
            </w:r>
            <w:r>
              <w:rPr>
                <w:rFonts w:hint="eastAsia" w:ascii="宋体" w:hAnsi="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否则响应文件按无效响应处理）</w:t>
            </w:r>
          </w:p>
          <w:p w14:paraId="5E0EABAE">
            <w:pPr>
              <w:snapToGrid w:val="0"/>
              <w:spacing w:line="360" w:lineRule="auto"/>
              <w:jc w:val="left"/>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w:t>
            </w:r>
            <w:r>
              <w:rPr>
                <w:rFonts w:hint="eastAsia" w:ascii="宋体" w:hAnsi="宋体" w:cs="宋体"/>
                <w:color w:val="auto"/>
                <w:kern w:val="0"/>
                <w:szCs w:val="21"/>
                <w:highlight w:val="none"/>
                <w:lang w:val="en-US" w:eastAsia="zh-CN"/>
              </w:rPr>
              <w:t>项目经理无在建项目、无中标（成交）未开工及未列为其他项目第一中标候选人承诺书；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0A5BFE80">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r>
              <w:rPr>
                <w:rFonts w:hint="eastAsia" w:ascii="宋体" w:hAnsi="宋体" w:cs="宋体"/>
                <w:color w:val="auto"/>
                <w:szCs w:val="21"/>
                <w:highlight w:val="none"/>
                <w:lang w:eastAsia="zh-CN"/>
              </w:rPr>
              <w:t>。</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4.商务条款偏离表</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cs="宋体"/>
                <w:color w:val="auto"/>
                <w:highlight w:val="none"/>
                <w:lang w:eastAsia="zh-CN"/>
              </w:rPr>
              <w:t>供应商</w:t>
            </w:r>
            <w:r>
              <w:rPr>
                <w:rFonts w:hint="eastAsia" w:ascii="宋体" w:hAnsi="宋体" w:eastAsia="宋体" w:cs="宋体"/>
                <w:color w:val="auto"/>
                <w:highlight w:val="none"/>
              </w:rPr>
              <w:t>情况介绍（格式自拟）</w:t>
            </w:r>
            <w:r>
              <w:rPr>
                <w:rFonts w:hint="eastAsia" w:ascii="宋体" w:hAnsi="宋体" w:cs="宋体"/>
                <w:color w:val="auto"/>
                <w:highlight w:val="none"/>
                <w:lang w:eastAsia="zh-CN"/>
              </w:rPr>
              <w:t>；</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w:t>
            </w:r>
            <w:r>
              <w:rPr>
                <w:rFonts w:hint="eastAsia" w:ascii="宋体" w:hAnsi="宋体" w:cs="宋体"/>
                <w:color w:val="auto"/>
                <w:szCs w:val="21"/>
                <w:highlight w:val="none"/>
                <w:lang w:val="en-US" w:eastAsia="zh-CN"/>
              </w:rPr>
              <w:t>格式自拟</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（必须提供，否则响应文件按无效响应处理）</w:t>
            </w:r>
          </w:p>
          <w:p w14:paraId="6401B1CA">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3135F79E">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r>
              <w:rPr>
                <w:rFonts w:hint="eastAsia" w:ascii="宋体" w:hAnsi="宋体" w:cs="宋体"/>
                <w:color w:val="auto"/>
                <w:szCs w:val="21"/>
                <w:highlight w:val="none"/>
                <w:lang w:eastAsia="zh-CN"/>
              </w:rPr>
              <w:t>；</w:t>
            </w:r>
            <w:r>
              <w:rPr>
                <w:rFonts w:hint="eastAsia" w:ascii="宋体" w:hAnsi="宋体" w:eastAsia="宋体" w:cs="宋体"/>
                <w:b/>
                <w:bCs/>
                <w:color w:val="auto"/>
                <w:szCs w:val="21"/>
                <w:highlight w:val="none"/>
              </w:rPr>
              <w:t>（格式自拟，必须提供，否则响应文件按无效响应处理）</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cs="宋体"/>
                <w:color w:val="auto"/>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6"/>
              <w:widowControl w:val="0"/>
              <w:tabs>
                <w:tab w:val="left" w:pos="720"/>
                <w:tab w:val="left" w:pos="840"/>
              </w:tabs>
              <w:snapToGrid w:val="0"/>
              <w:spacing w:afterLines="0" w:line="360" w:lineRule="auto"/>
              <w:ind w:left="283" w:hanging="283" w:hanging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w:t>
            </w:r>
            <w:r>
              <w:rPr>
                <w:rFonts w:hint="eastAsia" w:ascii="宋体" w:hAnsi="宋体" w:cs="宋体"/>
                <w:color w:val="auto"/>
                <w:szCs w:val="21"/>
                <w:highlight w:val="none"/>
                <w:lang w:val="en-US" w:eastAsia="zh-CN"/>
              </w:rPr>
              <w:t>解密</w:t>
            </w:r>
            <w:r>
              <w:rPr>
                <w:rFonts w:hint="eastAsia" w:ascii="宋体" w:hAnsi="宋体" w:eastAsia="宋体" w:cs="宋体"/>
                <w:color w:val="auto"/>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包含提供的电子备份文件无效或无法解密的情况</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注：提供的电子备份响应文件要跟上传的电子加密响应文件是同时生成的，否则系统也不支持进行异常解密。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w:t>
            </w:r>
            <w:r>
              <w:rPr>
                <w:rFonts w:hint="eastAsia" w:ascii="宋体" w:hAnsi="宋体" w:cs="宋体"/>
                <w:color w:val="auto"/>
                <w:szCs w:val="21"/>
                <w:highlight w:val="none"/>
                <w:lang w:val="en-US" w:eastAsia="zh-CN"/>
              </w:rPr>
              <w:t>现场</w:t>
            </w:r>
            <w:r>
              <w:rPr>
                <w:rFonts w:hint="eastAsia" w:ascii="宋体" w:hAnsi="宋体" w:eastAsia="宋体" w:cs="宋体"/>
                <w:color w:val="auto"/>
                <w:szCs w:val="21"/>
                <w:highlight w:val="none"/>
                <w:lang w:val="en-US" w:eastAsia="zh-CN"/>
              </w:rPr>
              <w:t>，该供应商排序到最后磋商</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由其下一位供应商先参与磋商。</w:t>
            </w:r>
          </w:p>
          <w:p w14:paraId="2512E542">
            <w:pPr>
              <w:snapToGrid w:val="0"/>
              <w:spacing w:line="360" w:lineRule="auto"/>
              <w:rPr>
                <w:rFonts w:hint="eastAsia" w:ascii="宋体" w:hAnsi="宋体" w:eastAsia="宋体" w:cs="宋体"/>
                <w:color w:val="auto"/>
                <w:szCs w:val="21"/>
                <w:highlight w:val="none"/>
              </w:rPr>
            </w:pPr>
            <w:r>
              <w:rPr>
                <w:rFonts w:hint="eastAsia" w:hAnsi="宋体" w:cs="宋体"/>
                <w:color w:val="auto"/>
                <w:sz w:val="21"/>
                <w:highlight w:val="none"/>
                <w:lang w:val="en-US" w:eastAsia="zh-CN"/>
              </w:rPr>
              <w:t>☑</w:t>
            </w:r>
            <w:r>
              <w:rPr>
                <w:rFonts w:hint="eastAsia" w:ascii="宋体" w:hAnsi="宋体" w:eastAsia="宋体" w:cs="宋体"/>
                <w:color w:val="auto"/>
                <w:szCs w:val="21"/>
                <w:highlight w:val="none"/>
              </w:rPr>
              <w:t>随机排序。</w:t>
            </w:r>
          </w:p>
          <w:p w14:paraId="447AAC4B">
            <w:pPr>
              <w:pStyle w:val="8"/>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有效证件可以是身份证（含临时身份证明）、机动车驾驶证、社会保障卡或者护照</w:t>
            </w:r>
            <w:r>
              <w:rPr>
                <w:rFonts w:hint="eastAsia" w:ascii="宋体" w:hAnsi="宋体" w:cs="宋体"/>
                <w:b/>
                <w:color w:val="auto"/>
                <w:szCs w:val="21"/>
                <w:highlight w:val="none"/>
                <w:lang w:val="en-US" w:eastAsia="zh-CN"/>
              </w:rPr>
              <w:t>中的</w:t>
            </w:r>
            <w:r>
              <w:rPr>
                <w:rFonts w:hint="eastAsia" w:ascii="宋体" w:hAnsi="宋体" w:eastAsia="宋体" w:cs="宋体"/>
                <w:b/>
                <w:color w:val="auto"/>
                <w:szCs w:val="21"/>
                <w:highlight w:val="none"/>
                <w:lang w:val="en-US" w:eastAsia="zh-CN"/>
              </w:rPr>
              <w:t>其中一项</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，若参与磋商的委托代理人不是响应文件中授权的委托</w:t>
            </w:r>
            <w:r>
              <w:rPr>
                <w:rFonts w:hint="eastAsia" w:ascii="宋体" w:hAnsi="宋体" w:cs="宋体"/>
                <w:b/>
                <w:color w:val="auto"/>
                <w:szCs w:val="21"/>
                <w:highlight w:val="none"/>
                <w:lang w:val="en-US" w:eastAsia="zh-CN"/>
              </w:rPr>
              <w:t>代理人</w:t>
            </w:r>
            <w:r>
              <w:rPr>
                <w:rFonts w:hint="eastAsia" w:ascii="宋体" w:hAnsi="宋体" w:eastAsia="宋体" w:cs="宋体"/>
                <w:b/>
                <w:color w:val="auto"/>
                <w:szCs w:val="21"/>
                <w:highlight w:val="none"/>
                <w:lang w:val="en-US" w:eastAsia="zh-CN"/>
              </w:rPr>
              <w:t>，必须同时出示有效的法定代表人授权委托书原件，否则磋商小组将拒绝其参与磋商。</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A229E34">
            <w:pPr>
              <w:numPr>
                <w:ilvl w:val="0"/>
                <w:numId w:val="2"/>
              </w:numPr>
              <w:snapToGrid w:val="0"/>
              <w:spacing w:line="380" w:lineRule="exact"/>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广西锦华工程管理咨询有限公司</w:t>
            </w:r>
          </w:p>
          <w:p w14:paraId="355433AD">
            <w:pPr>
              <w:numPr>
                <w:ilvl w:val="0"/>
                <w:numId w:val="0"/>
              </w:num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0771-7953197</w:t>
            </w:r>
          </w:p>
          <w:p w14:paraId="34140623">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崇左市江州区新城路龙胤金街30栋1-101号房</w:t>
            </w:r>
            <w:r>
              <w:rPr>
                <w:rFonts w:hint="eastAsia" w:ascii="宋体" w:hAnsi="宋体" w:eastAsia="宋体" w:cs="宋体"/>
                <w:color w:val="auto"/>
                <w:szCs w:val="21"/>
                <w:highlight w:val="none"/>
                <w:u w:val="none"/>
              </w:rPr>
              <w:t xml:space="preserve">  </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none"/>
                <w:lang w:eastAsia="zh-CN"/>
              </w:rPr>
              <w:t>崇左市江州区农业农村局</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0771-7826576</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崇左市江州区滨江路31号丽江大厦8楼农业农村局</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邮寄地址：</w:t>
            </w:r>
          </w:p>
          <w:p w14:paraId="6306EA34">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名称：崇左市江州区财政局政府采购监督管理股</w:t>
            </w:r>
          </w:p>
          <w:p w14:paraId="0D70FAA7">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地址：广西崇左市江州区丽江大厦12楼</w:t>
            </w:r>
          </w:p>
          <w:p w14:paraId="1294E876">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联系电话：0771-7829899</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是    □否</w:t>
            </w:r>
          </w:p>
          <w:p w14:paraId="2975320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hAnsi="宋体" w:cs="宋体"/>
                <w:color w:val="auto"/>
                <w:sz w:val="21"/>
                <w:highlight w:val="none"/>
                <w:u w:val="single"/>
                <w:lang w:val="en-US" w:eastAsia="zh-CN"/>
              </w:rPr>
              <w:t>在领取</w:t>
            </w:r>
            <w:r>
              <w:rPr>
                <w:rFonts w:hint="eastAsia" w:ascii="宋体" w:hAnsi="宋体" w:eastAsia="宋体" w:cs="宋体"/>
                <w:color w:val="auto"/>
                <w:sz w:val="21"/>
                <w:highlight w:val="none"/>
                <w:lang w:val="en-US" w:eastAsia="zh-CN"/>
              </w:rPr>
              <w:t>成交通知书前，一次性向采购代理机构支付。</w:t>
            </w:r>
          </w:p>
          <w:p w14:paraId="0C5618D1">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4DEA1DA9">
            <w:pPr>
              <w:pStyle w:val="11"/>
              <w:snapToGrid w:val="0"/>
              <w:spacing w:line="360" w:lineRule="auto"/>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按照国家发展改革委发布了《关于进一步放开建设项目专业服务价格的通知》（发改价格〔2015〕299号），决定全面放开招标代理费，由实行政府指导价管理改为实行市场调节价，价格由双方协商确定。招标代理服务费按以下（工程招标）收费标准（费率）下浮10%。</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5"/>
              <w:gridCol w:w="1293"/>
              <w:gridCol w:w="1315"/>
              <w:gridCol w:w="1293"/>
            </w:tblGrid>
            <w:tr w14:paraId="2677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047" w:type="pct"/>
                  <w:tcBorders>
                    <w:tl2br w:val="single" w:color="auto" w:sz="4" w:space="0"/>
                  </w:tcBorders>
                  <w:noWrap w:val="0"/>
                  <w:vAlign w:val="top"/>
                </w:tcPr>
                <w:p w14:paraId="6EC69C8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 xml:space="preserve">              费率</w:t>
                  </w:r>
                </w:p>
                <w:p w14:paraId="4EAB85F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中标金额</w:t>
                  </w:r>
                </w:p>
              </w:tc>
              <w:tc>
                <w:tcPr>
                  <w:tcW w:w="978" w:type="pct"/>
                  <w:noWrap w:val="0"/>
                  <w:vAlign w:val="center"/>
                </w:tcPr>
                <w:p w14:paraId="7C08F71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货物招标</w:t>
                  </w:r>
                </w:p>
              </w:tc>
              <w:tc>
                <w:tcPr>
                  <w:tcW w:w="995" w:type="pct"/>
                  <w:noWrap w:val="0"/>
                  <w:vAlign w:val="center"/>
                </w:tcPr>
                <w:p w14:paraId="7246750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服务招标</w:t>
                  </w:r>
                </w:p>
              </w:tc>
              <w:tc>
                <w:tcPr>
                  <w:tcW w:w="978" w:type="pct"/>
                  <w:noWrap w:val="0"/>
                  <w:vAlign w:val="center"/>
                </w:tcPr>
                <w:p w14:paraId="7486D0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工程招标</w:t>
                  </w:r>
                </w:p>
              </w:tc>
            </w:tr>
            <w:tr w14:paraId="7CDE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0B65E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100万元以下</w:t>
                  </w:r>
                </w:p>
              </w:tc>
              <w:tc>
                <w:tcPr>
                  <w:tcW w:w="978" w:type="pct"/>
                  <w:noWrap w:val="0"/>
                  <w:vAlign w:val="top"/>
                </w:tcPr>
                <w:p w14:paraId="73474F3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95" w:type="pct"/>
                  <w:noWrap w:val="0"/>
                  <w:vAlign w:val="top"/>
                </w:tcPr>
                <w:p w14:paraId="42DB7E5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w:t>
                  </w:r>
                </w:p>
              </w:tc>
              <w:tc>
                <w:tcPr>
                  <w:tcW w:w="978" w:type="pct"/>
                  <w:noWrap w:val="0"/>
                  <w:vAlign w:val="top"/>
                </w:tcPr>
                <w:p w14:paraId="1037265E">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w:t>
                  </w:r>
                </w:p>
              </w:tc>
            </w:tr>
            <w:tr w14:paraId="343C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AA8D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100～500万元</w:t>
                  </w:r>
                </w:p>
              </w:tc>
              <w:tc>
                <w:tcPr>
                  <w:tcW w:w="978" w:type="pct"/>
                  <w:noWrap w:val="0"/>
                  <w:vAlign w:val="top"/>
                </w:tcPr>
                <w:p w14:paraId="7917A11A">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1.1%</w:t>
                  </w:r>
                </w:p>
              </w:tc>
              <w:tc>
                <w:tcPr>
                  <w:tcW w:w="995" w:type="pct"/>
                  <w:noWrap w:val="0"/>
                  <w:vAlign w:val="top"/>
                </w:tcPr>
                <w:p w14:paraId="74B18F5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78" w:type="pct"/>
                  <w:noWrap w:val="0"/>
                  <w:vAlign w:val="top"/>
                </w:tcPr>
                <w:p w14:paraId="7375658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0.7%</w:t>
                  </w:r>
                </w:p>
              </w:tc>
            </w:tr>
            <w:tr w14:paraId="581A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1E0049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500～1000万元</w:t>
                  </w:r>
                </w:p>
              </w:tc>
              <w:tc>
                <w:tcPr>
                  <w:tcW w:w="978" w:type="pct"/>
                  <w:noWrap w:val="0"/>
                  <w:vAlign w:val="top"/>
                </w:tcPr>
                <w:p w14:paraId="6FB07D3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0.8%</w:t>
                  </w:r>
                </w:p>
              </w:tc>
              <w:tc>
                <w:tcPr>
                  <w:tcW w:w="995" w:type="pct"/>
                  <w:noWrap w:val="0"/>
                  <w:vAlign w:val="top"/>
                </w:tcPr>
                <w:p w14:paraId="4C378BD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0.45%</w:t>
                  </w:r>
                </w:p>
              </w:tc>
              <w:tc>
                <w:tcPr>
                  <w:tcW w:w="978" w:type="pct"/>
                  <w:noWrap w:val="0"/>
                  <w:vAlign w:val="top"/>
                </w:tcPr>
                <w:p w14:paraId="42CEAF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0.55%</w:t>
                  </w:r>
                </w:p>
              </w:tc>
            </w:tr>
            <w:tr w14:paraId="4BE1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7017FB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1000～5000万元</w:t>
                  </w:r>
                </w:p>
              </w:tc>
              <w:tc>
                <w:tcPr>
                  <w:tcW w:w="978" w:type="pct"/>
                  <w:noWrap w:val="0"/>
                  <w:vAlign w:val="top"/>
                </w:tcPr>
                <w:p w14:paraId="657448F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0.5%</w:t>
                  </w:r>
                </w:p>
              </w:tc>
              <w:tc>
                <w:tcPr>
                  <w:tcW w:w="995" w:type="pct"/>
                  <w:noWrap w:val="0"/>
                  <w:vAlign w:val="top"/>
                </w:tcPr>
                <w:p w14:paraId="04F47B3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78" w:type="pct"/>
                  <w:noWrap w:val="0"/>
                  <w:vAlign w:val="top"/>
                </w:tcPr>
                <w:p w14:paraId="543588F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0.35%</w:t>
                  </w:r>
                </w:p>
              </w:tc>
            </w:tr>
            <w:tr w14:paraId="4F11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546E29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5000万元～1亿元</w:t>
                  </w:r>
                </w:p>
              </w:tc>
              <w:tc>
                <w:tcPr>
                  <w:tcW w:w="978" w:type="pct"/>
                  <w:noWrap w:val="0"/>
                  <w:vAlign w:val="top"/>
                </w:tcPr>
                <w:p w14:paraId="5921BBA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0.25%</w:t>
                  </w:r>
                </w:p>
              </w:tc>
              <w:tc>
                <w:tcPr>
                  <w:tcW w:w="995" w:type="pct"/>
                  <w:noWrap w:val="0"/>
                  <w:vAlign w:val="top"/>
                </w:tcPr>
                <w:p w14:paraId="447C71D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0.1%</w:t>
                  </w:r>
                </w:p>
              </w:tc>
              <w:tc>
                <w:tcPr>
                  <w:tcW w:w="978" w:type="pct"/>
                  <w:noWrap w:val="0"/>
                  <w:vAlign w:val="top"/>
                </w:tcPr>
                <w:p w14:paraId="2FA4B7B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0.2%</w:t>
                  </w:r>
                </w:p>
              </w:tc>
            </w:tr>
            <w:tr w14:paraId="6456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1B427DC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1～5亿元</w:t>
                  </w:r>
                </w:p>
              </w:tc>
              <w:tc>
                <w:tcPr>
                  <w:tcW w:w="978" w:type="pct"/>
                  <w:noWrap w:val="0"/>
                  <w:vAlign w:val="top"/>
                </w:tcPr>
                <w:p w14:paraId="627F17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95" w:type="pct"/>
                  <w:noWrap w:val="0"/>
                  <w:vAlign w:val="top"/>
                </w:tcPr>
                <w:p w14:paraId="6894344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c>
                <w:tcPr>
                  <w:tcW w:w="978" w:type="pct"/>
                  <w:noWrap w:val="0"/>
                  <w:vAlign w:val="top"/>
                </w:tcPr>
                <w:p w14:paraId="279FB83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0.05%</w:t>
                  </w:r>
                </w:p>
              </w:tc>
            </w:tr>
            <w:tr w14:paraId="56E7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666D22B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5～10亿元</w:t>
                  </w:r>
                </w:p>
              </w:tc>
              <w:tc>
                <w:tcPr>
                  <w:tcW w:w="978" w:type="pct"/>
                  <w:noWrap w:val="0"/>
                  <w:vAlign w:val="top"/>
                </w:tcPr>
                <w:p w14:paraId="55A6D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95" w:type="pct"/>
                  <w:noWrap w:val="0"/>
                  <w:vAlign w:val="top"/>
                </w:tcPr>
                <w:p w14:paraId="7061DFF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c>
                <w:tcPr>
                  <w:tcW w:w="978" w:type="pct"/>
                  <w:noWrap w:val="0"/>
                  <w:vAlign w:val="top"/>
                </w:tcPr>
                <w:p w14:paraId="7C82895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0.035%</w:t>
                  </w:r>
                </w:p>
              </w:tc>
            </w:tr>
            <w:tr w14:paraId="5308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2FBD3EB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10～50亿元</w:t>
                  </w:r>
                </w:p>
              </w:tc>
              <w:tc>
                <w:tcPr>
                  <w:tcW w:w="978" w:type="pct"/>
                  <w:noWrap w:val="0"/>
                  <w:vAlign w:val="top"/>
                </w:tcPr>
                <w:p w14:paraId="7FD234C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95" w:type="pct"/>
                  <w:noWrap w:val="0"/>
                  <w:vAlign w:val="top"/>
                </w:tcPr>
                <w:p w14:paraId="0AD36F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c>
                <w:tcPr>
                  <w:tcW w:w="978" w:type="pct"/>
                  <w:noWrap w:val="0"/>
                  <w:vAlign w:val="top"/>
                </w:tcPr>
                <w:p w14:paraId="071F57A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0.008%</w:t>
                  </w:r>
                </w:p>
              </w:tc>
            </w:tr>
            <w:tr w14:paraId="527B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3A304F5C">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50～100亿元</w:t>
                  </w:r>
                </w:p>
              </w:tc>
              <w:tc>
                <w:tcPr>
                  <w:tcW w:w="978" w:type="pct"/>
                  <w:noWrap w:val="0"/>
                  <w:vAlign w:val="top"/>
                </w:tcPr>
                <w:p w14:paraId="235FA3B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95" w:type="pct"/>
                  <w:noWrap w:val="0"/>
                  <w:vAlign w:val="top"/>
                </w:tcPr>
                <w:p w14:paraId="6FEAA4D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c>
                <w:tcPr>
                  <w:tcW w:w="978" w:type="pct"/>
                  <w:noWrap w:val="0"/>
                  <w:vAlign w:val="top"/>
                </w:tcPr>
                <w:p w14:paraId="33E79CA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0.006%</w:t>
                  </w:r>
                </w:p>
              </w:tc>
            </w:tr>
            <w:tr w14:paraId="5662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7" w:type="pct"/>
                  <w:noWrap w:val="0"/>
                  <w:vAlign w:val="top"/>
                </w:tcPr>
                <w:p w14:paraId="72D8153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100亿以上</w:t>
                  </w:r>
                </w:p>
              </w:tc>
              <w:tc>
                <w:tcPr>
                  <w:tcW w:w="978" w:type="pct"/>
                  <w:noWrap w:val="0"/>
                  <w:vAlign w:val="top"/>
                </w:tcPr>
                <w:p w14:paraId="157098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95" w:type="pct"/>
                  <w:noWrap w:val="0"/>
                  <w:vAlign w:val="top"/>
                </w:tcPr>
                <w:p w14:paraId="6395F58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c>
                <w:tcPr>
                  <w:tcW w:w="978" w:type="pct"/>
                  <w:noWrap w:val="0"/>
                  <w:vAlign w:val="top"/>
                </w:tcPr>
                <w:p w14:paraId="76AEFB2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360" w:firstLineChars="200"/>
                    <w:jc w:val="center"/>
                    <w:textAlignment w:val="auto"/>
                    <w:rPr>
                      <w:rFonts w:hint="eastAsia" w:ascii="宋体" w:hAnsi="宋体" w:eastAsia="宋体" w:cs="宋体"/>
                      <w:b w:val="0"/>
                      <w:bCs w:val="0"/>
                      <w:color w:val="auto"/>
                      <w:sz w:val="18"/>
                      <w:szCs w:val="18"/>
                      <w:highlight w:val="none"/>
                      <w:lang w:val="en-US" w:eastAsia="zh-CN"/>
                    </w:rPr>
                  </w:pPr>
                  <w:r>
                    <w:rPr>
                      <w:rFonts w:hint="eastAsia" w:ascii="宋体" w:hAnsi="宋体" w:eastAsia="宋体" w:cs="宋体"/>
                      <w:b w:val="0"/>
                      <w:bCs w:val="0"/>
                      <w:color w:val="auto"/>
                      <w:sz w:val="18"/>
                      <w:szCs w:val="18"/>
                      <w:highlight w:val="none"/>
                      <w:lang w:val="en-US" w:eastAsia="zh-CN"/>
                    </w:rPr>
                    <w:t>0.004%</w:t>
                  </w:r>
                </w:p>
              </w:tc>
            </w:tr>
          </w:tbl>
          <w:p w14:paraId="7AF6163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75A6349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 xml:space="preserve">开户名称：广西锦华工程管理咨询有限公司 </w:t>
            </w:r>
          </w:p>
          <w:p w14:paraId="5BFCC6EC">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账号：20006201040009001</w:t>
            </w:r>
          </w:p>
          <w:p w14:paraId="00E5028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开户行：中国农业银行股份有限公司南宁中越路支行</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1"/>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中华人民共和国民法典》《中华人民共和国政府采购法实施条例</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政府采购竞争性磋商采购方式管理暂行办法》等有关</w:t>
            </w:r>
            <w:r>
              <w:rPr>
                <w:rFonts w:hint="eastAsia" w:hAnsi="宋体" w:cs="宋体"/>
                <w:color w:val="auto"/>
                <w:sz w:val="21"/>
                <w:highlight w:val="none"/>
                <w:lang w:val="en-US" w:eastAsia="zh-CN"/>
              </w:rPr>
              <w:t>法律法规</w:t>
            </w:r>
            <w:r>
              <w:rPr>
                <w:rFonts w:hint="eastAsia" w:ascii="宋体" w:hAnsi="宋体" w:eastAsia="宋体" w:cs="宋体"/>
                <w:color w:val="auto"/>
                <w:sz w:val="21"/>
                <w:highlight w:val="none"/>
                <w:lang w:val="en-US" w:eastAsia="zh-CN"/>
              </w:rPr>
              <w:t>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w:t>
            </w:r>
            <w:r>
              <w:rPr>
                <w:rFonts w:hint="eastAsia" w:hAnsi="宋体" w:cs="宋体"/>
                <w:b w:val="0"/>
                <w:bCs w:val="0"/>
                <w:color w:val="auto"/>
                <w:sz w:val="21"/>
                <w:highlight w:val="none"/>
                <w:lang w:val="en-US" w:eastAsia="zh-CN"/>
              </w:rPr>
              <w:t>，使</w:t>
            </w:r>
            <w:r>
              <w:rPr>
                <w:rFonts w:hint="eastAsia" w:ascii="宋体" w:hAnsi="宋体" w:eastAsia="宋体" w:cs="宋体"/>
                <w:b w:val="0"/>
                <w:bCs w:val="0"/>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w:t>
            </w:r>
            <w:r>
              <w:rPr>
                <w:rFonts w:hint="eastAsia" w:hAnsi="宋体" w:cs="宋体"/>
                <w:b w:val="0"/>
                <w:bCs w:val="0"/>
                <w:color w:val="auto"/>
                <w:sz w:val="21"/>
                <w:highlight w:val="none"/>
                <w:lang w:val="en-US" w:eastAsia="zh-CN"/>
              </w:rPr>
              <w:t>印</w:t>
            </w:r>
            <w:r>
              <w:rPr>
                <w:rFonts w:hint="eastAsia" w:ascii="宋体" w:hAnsi="宋体" w:eastAsia="宋体" w:cs="宋体"/>
                <w:b w:val="0"/>
                <w:bCs w:val="0"/>
                <w:color w:val="auto"/>
                <w:sz w:val="21"/>
                <w:highlight w:val="none"/>
                <w:lang w:val="en-US" w:eastAsia="zh-CN"/>
              </w:rPr>
              <w:t>。</w:t>
            </w:r>
          </w:p>
          <w:p w14:paraId="5267224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本项目执行桂人社规</w:t>
            </w:r>
            <w:r>
              <w:rPr>
                <w:rFonts w:hint="eastAsia" w:hAnsi="宋体" w:cs="宋体"/>
                <w:b w:val="0"/>
                <w:bCs w:val="0"/>
                <w:color w:val="auto"/>
                <w:sz w:val="21"/>
                <w:highlight w:val="none"/>
                <w:lang w:val="en-US" w:eastAsia="zh-CN"/>
              </w:rPr>
              <w:t>〔2021〕16号</w:t>
            </w:r>
            <w:r>
              <w:rPr>
                <w:rFonts w:hint="eastAsia" w:ascii="宋体" w:hAnsi="宋体" w:eastAsia="宋体" w:cs="宋体"/>
                <w:b w:val="0"/>
                <w:bCs w:val="0"/>
                <w:color w:val="auto"/>
                <w:sz w:val="21"/>
                <w:highlight w:val="none"/>
                <w:lang w:val="en-US" w:eastAsia="zh-CN"/>
              </w:rPr>
              <w:t>关于印发广西壮族自治区工程建设领域农民工工资保证金规定实施办法的通知缴纳农民工工资保证金，在</w:t>
            </w:r>
            <w:r>
              <w:rPr>
                <w:rFonts w:hint="eastAsia" w:hAnsi="宋体" w:cs="宋体"/>
                <w:b w:val="0"/>
                <w:bCs w:val="0"/>
                <w:color w:val="auto"/>
                <w:sz w:val="21"/>
                <w:highlight w:val="none"/>
                <w:lang w:val="en-US" w:eastAsia="zh-CN"/>
              </w:rPr>
              <w:t>劳动保障部</w:t>
            </w:r>
            <w:r>
              <w:rPr>
                <w:rFonts w:hint="eastAsia" w:ascii="宋体" w:hAnsi="宋体" w:eastAsia="宋体" w:cs="宋体"/>
                <w:b w:val="0"/>
                <w:bCs w:val="0"/>
                <w:color w:val="auto"/>
                <w:sz w:val="21"/>
                <w:highlight w:val="none"/>
                <w:lang w:val="en-US" w:eastAsia="zh-CN"/>
              </w:rPr>
              <w:t>门指定的账户足额存入农民工工资保证金或按照合同约定存入施工单位在银行开设的三方监管</w:t>
            </w:r>
            <w:r>
              <w:rPr>
                <w:rFonts w:hint="eastAsia" w:hAnsi="宋体" w:cs="宋体"/>
                <w:b w:val="0"/>
                <w:bCs w:val="0"/>
                <w:color w:val="auto"/>
                <w:sz w:val="21"/>
                <w:highlight w:val="none"/>
                <w:lang w:val="en-US" w:eastAsia="zh-CN"/>
              </w:rPr>
              <w:t>账户。</w:t>
            </w:r>
          </w:p>
        </w:tc>
      </w:tr>
    </w:tbl>
    <w:p w14:paraId="323054D4">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39" w:name="_Toc16517"/>
      <w:bookmarkStart w:id="40" w:name="_Toc27576"/>
      <w:r>
        <w:rPr>
          <w:rFonts w:hint="eastAsia" w:ascii="宋体" w:hAnsi="宋体" w:eastAsia="宋体" w:cs="宋体"/>
          <w:b/>
          <w:bCs w:val="0"/>
          <w:color w:val="auto"/>
          <w:highlight w:val="none"/>
        </w:rPr>
        <w:t>第二节 供应商须知正文</w:t>
      </w:r>
      <w:bookmarkEnd w:id="39"/>
      <w:bookmarkEnd w:id="40"/>
    </w:p>
    <w:p w14:paraId="6498DE4A">
      <w:pPr>
        <w:pStyle w:val="4"/>
        <w:spacing w:before="0" w:after="0" w:line="360" w:lineRule="auto"/>
        <w:ind w:firstLine="640" w:firstLineChars="200"/>
        <w:rPr>
          <w:rFonts w:hint="eastAsia" w:ascii="宋体" w:hAnsi="宋体" w:eastAsia="宋体" w:cs="宋体"/>
          <w:b w:val="0"/>
          <w:color w:val="auto"/>
          <w:highlight w:val="none"/>
        </w:rPr>
      </w:pPr>
      <w:bookmarkStart w:id="41" w:name="_Toc1103"/>
      <w:bookmarkStart w:id="42" w:name="_Toc13532"/>
      <w:r>
        <w:rPr>
          <w:rFonts w:hint="eastAsia" w:ascii="宋体" w:hAnsi="宋体" w:eastAsia="宋体" w:cs="宋体"/>
          <w:b w:val="0"/>
          <w:color w:val="auto"/>
          <w:highlight w:val="none"/>
        </w:rPr>
        <w:t>一、总则</w:t>
      </w:r>
      <w:bookmarkEnd w:id="41"/>
      <w:bookmarkEnd w:id="42"/>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3" w:name="_Toc254970673"/>
      <w:bookmarkStart w:id="44" w:name="_Toc254970532"/>
      <w:r>
        <w:rPr>
          <w:rFonts w:hint="eastAsia" w:ascii="宋体" w:hAnsi="宋体" w:eastAsia="宋体" w:cs="宋体"/>
          <w:b/>
          <w:bCs/>
          <w:color w:val="auto"/>
          <w:sz w:val="24"/>
          <w:highlight w:val="none"/>
        </w:rPr>
        <w:t>7.特别说明</w:t>
      </w:r>
      <w:bookmarkEnd w:id="43"/>
      <w:bookmarkEnd w:id="44"/>
    </w:p>
    <w:p w14:paraId="7279FF5F">
      <w:pPr>
        <w:spacing w:line="360" w:lineRule="auto"/>
        <w:ind w:firstLine="420" w:firstLineChars="200"/>
        <w:rPr>
          <w:rFonts w:hint="eastAsia" w:ascii="宋体" w:hAnsi="宋体" w:eastAsia="宋体" w:cs="宋体"/>
          <w:color w:val="auto"/>
          <w:szCs w:val="21"/>
          <w:highlight w:val="none"/>
        </w:rPr>
      </w:pPr>
      <w:bookmarkStart w:id="45" w:name="_8.1提供相同品牌产品且通过资格审查、符合性审查的不同投标人参加同一合"/>
      <w:bookmarkEnd w:id="45"/>
      <w:r>
        <w:rPr>
          <w:rFonts w:hint="eastAsia" w:ascii="宋体" w:hAnsi="宋体" w:eastAsia="宋体" w:cs="宋体"/>
          <w:color w:val="auto"/>
          <w:szCs w:val="21"/>
          <w:highlight w:val="none"/>
        </w:rPr>
        <w:t>7.1</w:t>
      </w:r>
      <w:bookmarkStart w:id="46"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6"/>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w:t>
      </w:r>
      <w:r>
        <w:rPr>
          <w:rFonts w:hint="eastAsia" w:ascii="宋体" w:hAnsi="宋体" w:cs="宋体"/>
          <w:color w:val="auto"/>
          <w:szCs w:val="21"/>
          <w:highlight w:val="none"/>
          <w:lang w:eastAsia="zh-CN"/>
        </w:rPr>
        <w:t>，视为</w:t>
      </w:r>
      <w:r>
        <w:rPr>
          <w:rFonts w:hint="eastAsia" w:ascii="宋体" w:hAnsi="宋体" w:eastAsia="宋体" w:cs="宋体"/>
          <w:color w:val="auto"/>
          <w:szCs w:val="21"/>
          <w:highlight w:val="none"/>
        </w:rPr>
        <w:t>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，或不同投标人报名的IP地址一致</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不同</w:t>
      </w:r>
      <w:r>
        <w:rPr>
          <w:rFonts w:hint="eastAsia" w:ascii="宋体" w:hAnsi="宋体" w:eastAsia="宋体" w:cs="宋体"/>
          <w:color w:val="auto"/>
          <w:szCs w:val="21"/>
          <w:highlight w:val="none"/>
        </w:rPr>
        <w:t>供应商的响应文件载明的项目管</w:t>
      </w:r>
      <w:r>
        <w:rPr>
          <w:rFonts w:hint="eastAsia" w:ascii="宋体" w:hAnsi="宋体" w:cs="宋体"/>
          <w:color w:val="auto"/>
          <w:szCs w:val="21"/>
          <w:highlight w:val="none"/>
          <w:lang w:eastAsia="zh-CN"/>
        </w:rPr>
        <w:t>理人</w:t>
      </w:r>
      <w:r>
        <w:rPr>
          <w:rFonts w:hint="eastAsia" w:ascii="宋体" w:hAnsi="宋体" w:eastAsia="宋体" w:cs="宋体"/>
          <w:color w:val="auto"/>
          <w:szCs w:val="21"/>
          <w:highlight w:val="none"/>
        </w:rPr>
        <w:t>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r>
        <w:rPr>
          <w:rFonts w:hint="eastAsia" w:ascii="宋体" w:hAnsi="宋体" w:cs="宋体"/>
          <w:color w:val="auto"/>
          <w:szCs w:val="21"/>
          <w:highlight w:val="none"/>
          <w:lang w:eastAsia="zh-CN"/>
        </w:rPr>
        <w:t>。</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r>
        <w:rPr>
          <w:rFonts w:hint="eastAsia" w:ascii="宋体" w:hAnsi="宋体" w:cs="宋体"/>
          <w:color w:val="auto"/>
          <w:szCs w:val="21"/>
          <w:highlight w:val="none"/>
          <w:lang w:eastAsia="zh-CN"/>
        </w:rPr>
        <w:t>；</w:t>
      </w:r>
    </w:p>
    <w:p w14:paraId="1AA3E489">
      <w:pPr>
        <w:pStyle w:val="4"/>
        <w:spacing w:before="0" w:after="0" w:line="360" w:lineRule="auto"/>
        <w:ind w:firstLine="640" w:firstLineChars="200"/>
        <w:rPr>
          <w:rFonts w:hint="eastAsia" w:ascii="宋体" w:hAnsi="宋体" w:eastAsia="宋体" w:cs="宋体"/>
          <w:b w:val="0"/>
          <w:bCs w:val="0"/>
          <w:color w:val="auto"/>
          <w:highlight w:val="none"/>
        </w:rPr>
      </w:pPr>
      <w:bookmarkStart w:id="47" w:name="_Toc254970534"/>
      <w:bookmarkStart w:id="48" w:name="_Toc254970675"/>
      <w:bookmarkStart w:id="49" w:name="_Toc859"/>
      <w:bookmarkStart w:id="50" w:name="_Toc11036"/>
      <w:r>
        <w:rPr>
          <w:rFonts w:hint="eastAsia" w:ascii="宋体" w:hAnsi="宋体" w:eastAsia="宋体" w:cs="宋体"/>
          <w:b w:val="0"/>
          <w:bCs w:val="0"/>
          <w:color w:val="auto"/>
          <w:highlight w:val="none"/>
        </w:rPr>
        <w:t>二、磋商文件</w:t>
      </w:r>
      <w:bookmarkEnd w:id="47"/>
      <w:bookmarkEnd w:id="48"/>
      <w:bookmarkEnd w:id="49"/>
      <w:bookmarkEnd w:id="50"/>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r>
        <w:rPr>
          <w:rFonts w:hint="eastAsia" w:ascii="宋体" w:hAnsi="宋体" w:cs="宋体"/>
          <w:color w:val="auto"/>
          <w:szCs w:val="21"/>
          <w:highlight w:val="none"/>
          <w:lang w:eastAsia="zh-CN"/>
        </w:rPr>
        <w:t>；</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w:t>
      </w:r>
      <w:r>
        <w:rPr>
          <w:rFonts w:hint="eastAsia" w:ascii="宋体" w:hAnsi="宋体" w:cs="宋体"/>
          <w:color w:val="auto"/>
          <w:szCs w:val="21"/>
          <w:highlight w:val="none"/>
          <w:lang w:eastAsia="zh-CN"/>
        </w:rPr>
        <w:t>在提交</w:t>
      </w:r>
      <w:r>
        <w:rPr>
          <w:rFonts w:hint="eastAsia" w:ascii="宋体" w:hAnsi="宋体" w:eastAsia="宋体" w:cs="宋体"/>
          <w:color w:val="auto"/>
          <w:szCs w:val="21"/>
          <w:highlight w:val="none"/>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w:t>
      </w:r>
      <w:r>
        <w:rPr>
          <w:rFonts w:hint="eastAsia" w:ascii="宋体" w:hAnsi="宋体" w:cs="宋体"/>
          <w:color w:val="auto"/>
          <w:szCs w:val="21"/>
          <w:highlight w:val="none"/>
          <w:lang w:eastAsia="zh-CN"/>
        </w:rPr>
        <w:t>应在</w:t>
      </w:r>
      <w:r>
        <w:rPr>
          <w:rFonts w:hint="eastAsia" w:ascii="宋体" w:hAnsi="宋体" w:eastAsia="宋体" w:cs="宋体"/>
          <w:color w:val="auto"/>
          <w:szCs w:val="21"/>
          <w:highlight w:val="none"/>
        </w:rPr>
        <w:t>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w:t>
      </w:r>
      <w:r>
        <w:rPr>
          <w:rFonts w:hint="eastAsia" w:ascii="宋体" w:hAnsi="宋体" w:cs="宋体"/>
          <w:color w:val="auto"/>
          <w:highlight w:val="none"/>
          <w:lang w:eastAsia="zh-CN"/>
        </w:rPr>
        <w:t>，</w:t>
      </w:r>
      <w:r>
        <w:rPr>
          <w:rFonts w:hint="eastAsia" w:ascii="宋体" w:hAnsi="宋体" w:eastAsia="宋体" w:cs="宋体"/>
          <w:color w:val="auto"/>
          <w:highlight w:val="none"/>
        </w:rPr>
        <w:t>变更</w:t>
      </w:r>
      <w:r>
        <w:rPr>
          <w:rFonts w:hint="eastAsia" w:ascii="宋体" w:hAnsi="宋体" w:cs="宋体"/>
          <w:color w:val="auto"/>
          <w:highlight w:val="none"/>
          <w:lang w:eastAsia="zh-CN"/>
        </w:rPr>
        <w:t>时间</w:t>
      </w:r>
      <w:r>
        <w:rPr>
          <w:rFonts w:hint="eastAsia" w:ascii="宋体" w:hAnsi="宋体" w:eastAsia="宋体" w:cs="宋体"/>
          <w:color w:val="auto"/>
          <w:highlight w:val="none"/>
        </w:rPr>
        <w:t>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4"/>
        <w:spacing w:before="0" w:after="0" w:line="360" w:lineRule="auto"/>
        <w:rPr>
          <w:rFonts w:hint="eastAsia" w:ascii="宋体" w:hAnsi="宋体" w:eastAsia="宋体" w:cs="宋体"/>
          <w:b w:val="0"/>
          <w:bCs w:val="0"/>
          <w:color w:val="auto"/>
          <w:highlight w:val="none"/>
        </w:rPr>
      </w:pPr>
      <w:bookmarkStart w:id="51" w:name="_Toc8161"/>
      <w:bookmarkStart w:id="52" w:name="_Toc6279"/>
      <w:r>
        <w:rPr>
          <w:rFonts w:hint="eastAsia" w:ascii="宋体" w:hAnsi="宋体" w:eastAsia="宋体" w:cs="宋体"/>
          <w:b w:val="0"/>
          <w:bCs w:val="0"/>
          <w:color w:val="auto"/>
          <w:highlight w:val="none"/>
        </w:rPr>
        <w:t>三、响应文件的编制</w:t>
      </w:r>
      <w:bookmarkEnd w:id="51"/>
      <w:bookmarkEnd w:id="52"/>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 xml:space="preserve"> 资格</w:t>
      </w:r>
      <w:r>
        <w:rPr>
          <w:rFonts w:hint="eastAsia" w:ascii="宋体" w:hAnsi="宋体" w:eastAsia="宋体" w:cs="宋体"/>
          <w:color w:val="auto"/>
          <w:szCs w:val="21"/>
          <w:highlight w:val="none"/>
        </w:rPr>
        <w:t>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r>
        <w:rPr>
          <w:rFonts w:hint="eastAsia" w:ascii="宋体" w:hAnsi="宋体" w:cs="宋体"/>
          <w:color w:val="auto"/>
          <w:szCs w:val="21"/>
          <w:highlight w:val="none"/>
          <w:lang w:eastAsia="zh-CN"/>
        </w:rPr>
        <w:t xml:space="preserve"> 商务</w:t>
      </w:r>
      <w:r>
        <w:rPr>
          <w:rFonts w:hint="eastAsia" w:ascii="宋体" w:hAnsi="宋体" w:eastAsia="宋体" w:cs="宋体"/>
          <w:color w:val="auto"/>
          <w:szCs w:val="21"/>
          <w:highlight w:val="none"/>
        </w:rPr>
        <w:t>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r>
        <w:rPr>
          <w:rFonts w:hint="eastAsia" w:ascii="宋体" w:hAnsi="宋体" w:cs="宋体"/>
          <w:color w:val="auto"/>
          <w:szCs w:val="21"/>
          <w:highlight w:val="none"/>
          <w:lang w:eastAsia="zh-CN"/>
        </w:rPr>
        <w:t xml:space="preserve"> 报价</w:t>
      </w:r>
      <w:r>
        <w:rPr>
          <w:rFonts w:hint="eastAsia" w:ascii="宋体" w:hAnsi="宋体" w:eastAsia="宋体" w:cs="宋体"/>
          <w:color w:val="auto"/>
          <w:szCs w:val="21"/>
          <w:highlight w:val="none"/>
        </w:rPr>
        <w:t>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3"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 供应商</w:t>
      </w:r>
      <w:r>
        <w:rPr>
          <w:rFonts w:hint="eastAsia" w:ascii="宋体" w:hAnsi="宋体" w:eastAsia="宋体" w:cs="宋体"/>
          <w:color w:val="auto"/>
          <w:szCs w:val="21"/>
          <w:highlight w:val="none"/>
        </w:rPr>
        <w:t>应认真填写工程量清单中所列的</w:t>
      </w:r>
      <w:r>
        <w:rPr>
          <w:rFonts w:hint="eastAsia" w:ascii="宋体" w:hAnsi="宋体" w:cs="宋体"/>
          <w:color w:val="auto"/>
          <w:szCs w:val="21"/>
          <w:highlight w:val="none"/>
          <w:lang w:eastAsia="zh-CN"/>
        </w:rPr>
        <w:t>所有</w:t>
      </w:r>
      <w:r>
        <w:rPr>
          <w:rFonts w:hint="eastAsia" w:ascii="宋体" w:hAnsi="宋体" w:eastAsia="宋体" w:cs="宋体"/>
          <w:color w:val="auto"/>
          <w:szCs w:val="21"/>
          <w:highlight w:val="none"/>
        </w:rPr>
        <w:t>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cs="宋体"/>
          <w:color w:val="auto"/>
          <w:szCs w:val="21"/>
          <w:highlight w:val="none"/>
          <w:lang w:val="en-US" w:eastAsia="zh-CN"/>
        </w:rPr>
        <w:t xml:space="preserve"> 供应商</w:t>
      </w:r>
      <w:r>
        <w:rPr>
          <w:rFonts w:hint="eastAsia" w:ascii="宋体" w:hAnsi="宋体" w:eastAsia="宋体" w:cs="宋体"/>
          <w:color w:val="auto"/>
          <w:szCs w:val="21"/>
          <w:highlight w:val="none"/>
        </w:rPr>
        <w:t>应按采购人提供的工程量清单中列出的工程项目和工程量填报单价和合价。每一项目只允许有一个报价</w:t>
      </w:r>
      <w:r>
        <w:rPr>
          <w:rFonts w:hint="eastAsia" w:ascii="宋体" w:hAnsi="宋体" w:cs="宋体"/>
          <w:color w:val="auto"/>
          <w:szCs w:val="21"/>
          <w:highlight w:val="none"/>
          <w:lang w:eastAsia="zh-CN"/>
        </w:rPr>
        <w:t>，任何</w:t>
      </w:r>
      <w:r>
        <w:rPr>
          <w:rFonts w:hint="eastAsia" w:ascii="宋体" w:hAnsi="宋体" w:eastAsia="宋体" w:cs="宋体"/>
          <w:color w:val="auto"/>
          <w:szCs w:val="21"/>
          <w:highlight w:val="none"/>
        </w:rPr>
        <w:t>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在进行工程量清单报价</w:t>
      </w:r>
      <w:r>
        <w:rPr>
          <w:rFonts w:hint="eastAsia" w:ascii="宋体" w:hAnsi="宋体" w:cs="宋体"/>
          <w:color w:val="auto"/>
          <w:szCs w:val="21"/>
          <w:highlight w:val="none"/>
          <w:lang w:eastAsia="zh-CN"/>
        </w:rPr>
        <w:t>时应依据《建设工程工程量清单计价规范》及企业自身成本状况合理确定，不得出现严重偏离市场价格的不平衡报价情形</w:t>
      </w:r>
      <w:r>
        <w:rPr>
          <w:rFonts w:hint="eastAsia" w:ascii="宋体" w:hAnsi="宋体" w:eastAsia="宋体" w:cs="宋体"/>
          <w:color w:val="auto"/>
          <w:szCs w:val="21"/>
          <w:highlight w:val="none"/>
        </w:rPr>
        <w:t>，否则竞标无效。</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3"/>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w:t>
      </w:r>
      <w:r>
        <w:rPr>
          <w:rFonts w:hint="eastAsia" w:ascii="宋体" w:hAnsi="宋体" w:cs="宋体"/>
          <w:color w:val="auto"/>
          <w:szCs w:val="21"/>
          <w:highlight w:val="none"/>
          <w:lang w:eastAsia="zh-CN"/>
        </w:rPr>
        <w:t>，而</w:t>
      </w:r>
      <w:r>
        <w:rPr>
          <w:rFonts w:hint="eastAsia" w:ascii="宋体" w:hAnsi="宋体" w:eastAsia="宋体" w:cs="宋体"/>
          <w:color w:val="auto"/>
          <w:szCs w:val="21"/>
          <w:highlight w:val="none"/>
        </w:rPr>
        <w:t>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r>
        <w:rPr>
          <w:rFonts w:hint="eastAsia" w:ascii="宋体" w:hAnsi="宋体" w:cs="宋体"/>
          <w:color w:val="auto"/>
          <w:szCs w:val="21"/>
          <w:highlight w:val="none"/>
          <w:lang w:eastAsia="zh-CN"/>
        </w:rPr>
        <w:t xml:space="preserve"> 各</w:t>
      </w:r>
      <w:r>
        <w:rPr>
          <w:rFonts w:hint="eastAsia" w:ascii="宋体" w:hAnsi="宋体" w:eastAsia="宋体" w:cs="宋体"/>
          <w:color w:val="auto"/>
          <w:szCs w:val="21"/>
          <w:highlight w:val="none"/>
        </w:rPr>
        <w:t>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混乱的编排导致响应文件被误读或磋商小组查找不到有效文件</w:t>
      </w:r>
      <w:r>
        <w:rPr>
          <w:rFonts w:hint="eastAsia" w:ascii="宋体" w:hAnsi="宋体" w:cs="宋体"/>
          <w:color w:val="auto"/>
          <w:szCs w:val="21"/>
          <w:highlight w:val="none"/>
          <w:lang w:eastAsia="zh-CN"/>
        </w:rPr>
        <w:t>，是</w:t>
      </w:r>
      <w:r>
        <w:rPr>
          <w:rFonts w:hint="eastAsia" w:ascii="宋体" w:hAnsi="宋体" w:eastAsia="宋体" w:cs="宋体"/>
          <w:color w:val="auto"/>
          <w:szCs w:val="21"/>
          <w:highlight w:val="none"/>
        </w:rPr>
        <w:t>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文件应按资格证明、报价分别编制，商务技术文件合并编制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本磋商只接受电子版响应文件，要求见本章“12.2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4" w:name="_Hlk65832699"/>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4"/>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w:t>
      </w:r>
      <w:r>
        <w:rPr>
          <w:rFonts w:hint="eastAsia" w:ascii="宋体" w:hAnsi="宋体" w:cs="宋体"/>
          <w:color w:val="auto"/>
          <w:kern w:val="0"/>
          <w:szCs w:val="21"/>
          <w:highlight w:val="none"/>
          <w:lang w:val="zh-CN"/>
        </w:rPr>
        <w:t xml:space="preserve"> 供应商</w:t>
      </w:r>
      <w:r>
        <w:rPr>
          <w:rFonts w:hint="eastAsia" w:ascii="宋体" w:hAnsi="宋体" w:eastAsia="宋体" w:cs="宋体"/>
          <w:color w:val="auto"/>
          <w:kern w:val="0"/>
          <w:szCs w:val="21"/>
          <w:highlight w:val="none"/>
          <w:lang w:val="zh-CN"/>
        </w:rPr>
        <w:t>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w:t>
      </w:r>
      <w:r>
        <w:rPr>
          <w:rFonts w:hint="eastAsia" w:ascii="宋体" w:hAnsi="宋体" w:cs="宋体"/>
          <w:color w:val="auto"/>
          <w:kern w:val="0"/>
          <w:szCs w:val="21"/>
          <w:highlight w:val="none"/>
          <w:lang w:val="zh-CN"/>
        </w:rPr>
        <w:t xml:space="preserve"> 使用</w:t>
      </w:r>
      <w:r>
        <w:rPr>
          <w:rFonts w:hint="eastAsia" w:ascii="宋体" w:hAnsi="宋体" w:eastAsia="宋体" w:cs="宋体"/>
          <w:color w:val="auto"/>
          <w:kern w:val="0"/>
          <w:szCs w:val="21"/>
          <w:highlight w:val="none"/>
          <w:lang w:val="zh-CN"/>
        </w:rPr>
        <w:t>“广西政府采购云平台电子交易客户端”需要提前申领CA数字证书。</w:t>
      </w:r>
    </w:p>
    <w:p w14:paraId="79C847BF">
      <w:pPr>
        <w:pStyle w:val="11"/>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hAnsi="宋体" w:cs="宋体"/>
          <w:color w:val="auto"/>
          <w:sz w:val="21"/>
          <w:highlight w:val="none"/>
          <w:lang w:eastAsia="zh-CN"/>
        </w:rPr>
        <w:t xml:space="preserve"> 为</w:t>
      </w:r>
      <w:r>
        <w:rPr>
          <w:rFonts w:hint="eastAsia" w:ascii="宋体" w:hAnsi="宋体" w:eastAsia="宋体" w:cs="宋体"/>
          <w:color w:val="auto"/>
          <w:sz w:val="21"/>
          <w:highlight w:val="none"/>
        </w:rPr>
        <w:t>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r>
        <w:rPr>
          <w:rFonts w:hint="eastAsia" w:ascii="宋体" w:hAnsi="宋体" w:cs="宋体"/>
          <w:color w:val="auto"/>
          <w:szCs w:val="21"/>
          <w:highlight w:val="none"/>
          <w:lang w:eastAsia="zh-CN"/>
        </w:rPr>
        <w:t xml:space="preserve"> 供应商</w:t>
      </w:r>
      <w:r>
        <w:rPr>
          <w:rFonts w:hint="eastAsia" w:ascii="宋体" w:hAnsi="宋体" w:eastAsia="宋体" w:cs="宋体"/>
          <w:color w:val="auto"/>
          <w:szCs w:val="21"/>
          <w:highlight w:val="none"/>
        </w:rPr>
        <w:t>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cs="宋体"/>
          <w:color w:val="auto"/>
          <w:szCs w:val="21"/>
          <w:highlight w:val="none"/>
          <w:lang w:eastAsia="zh-CN"/>
        </w:rPr>
        <w:t xml:space="preserve"> </w:t>
      </w:r>
      <w:r>
        <w:rPr>
          <w:rFonts w:hint="eastAsia" w:ascii="宋体" w:hAnsi="宋体" w:eastAsia="宋体" w:cs="宋体"/>
          <w:color w:val="auto"/>
          <w:szCs w:val="21"/>
          <w:highlight w:val="none"/>
        </w:rPr>
        <w:t>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5"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w:t>
      </w:r>
      <w:r>
        <w:rPr>
          <w:rFonts w:hint="eastAsia" w:ascii="宋体" w:hAnsi="宋体" w:cs="宋体"/>
          <w:color w:val="auto"/>
          <w:szCs w:val="21"/>
          <w:highlight w:val="none"/>
          <w:lang w:eastAsia="zh-CN"/>
        </w:rPr>
        <w:t>，电子</w:t>
      </w:r>
      <w:r>
        <w:rPr>
          <w:rFonts w:hint="eastAsia" w:ascii="宋体" w:hAnsi="宋体" w:eastAsia="宋体" w:cs="宋体"/>
          <w:color w:val="auto"/>
          <w:szCs w:val="21"/>
          <w:highlight w:val="none"/>
        </w:rPr>
        <w:t>响应文件由代理机构在广西政府采购云平台操作退回</w:t>
      </w:r>
      <w:r>
        <w:rPr>
          <w:rFonts w:hint="eastAsia" w:ascii="宋体" w:hAnsi="宋体" w:cs="宋体"/>
          <w:color w:val="auto"/>
          <w:szCs w:val="21"/>
          <w:highlight w:val="none"/>
          <w:lang w:eastAsia="zh-CN"/>
        </w:rPr>
        <w:t>。除此之外，</w:t>
      </w:r>
      <w:r>
        <w:rPr>
          <w:rFonts w:hint="eastAsia" w:ascii="宋体" w:hAnsi="宋体" w:eastAsia="宋体" w:cs="宋体"/>
          <w:color w:val="auto"/>
          <w:szCs w:val="21"/>
          <w:highlight w:val="none"/>
        </w:rPr>
        <w:t>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5"/>
    </w:p>
    <w:p w14:paraId="292CFD25">
      <w:pPr>
        <w:pStyle w:val="4"/>
        <w:spacing w:before="0" w:after="0" w:line="360" w:lineRule="auto"/>
        <w:ind w:firstLine="640" w:firstLineChars="200"/>
        <w:rPr>
          <w:rFonts w:hint="eastAsia" w:ascii="宋体" w:hAnsi="宋体" w:eastAsia="宋体" w:cs="宋体"/>
          <w:b w:val="0"/>
          <w:bCs w:val="0"/>
          <w:color w:val="auto"/>
          <w:highlight w:val="none"/>
        </w:rPr>
      </w:pPr>
      <w:bookmarkStart w:id="56" w:name="_Toc1793"/>
      <w:bookmarkStart w:id="57" w:name="_Toc7097"/>
      <w:r>
        <w:rPr>
          <w:rFonts w:hint="eastAsia" w:ascii="宋体" w:hAnsi="宋体" w:eastAsia="宋体" w:cs="宋体"/>
          <w:b w:val="0"/>
          <w:bCs w:val="0"/>
          <w:color w:val="auto"/>
          <w:highlight w:val="none"/>
        </w:rPr>
        <w:t>四、评审及磋商</w:t>
      </w:r>
      <w:bookmarkEnd w:id="56"/>
      <w:bookmarkEnd w:id="57"/>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1"/>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1"/>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w:t>
      </w:r>
      <w:r>
        <w:rPr>
          <w:rFonts w:hint="eastAsia" w:hAnsi="宋体" w:cs="宋体"/>
          <w:color w:val="auto"/>
          <w:sz w:val="21"/>
          <w:szCs w:val="21"/>
          <w:highlight w:val="none"/>
          <w:lang w:val="en-US" w:eastAsia="zh-CN"/>
        </w:rPr>
        <w:t>解密</w:t>
      </w:r>
      <w:r>
        <w:rPr>
          <w:rFonts w:hint="eastAsia" w:ascii="宋体" w:hAnsi="宋体" w:eastAsia="宋体" w:cs="宋体"/>
          <w:color w:val="auto"/>
          <w:sz w:val="21"/>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1"/>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4"/>
        <w:spacing w:before="0" w:after="0" w:line="360" w:lineRule="auto"/>
        <w:ind w:firstLine="480" w:firstLineChars="150"/>
        <w:rPr>
          <w:rFonts w:hint="eastAsia" w:ascii="宋体" w:hAnsi="宋体" w:eastAsia="宋体" w:cs="宋体"/>
          <w:b w:val="0"/>
          <w:bCs w:val="0"/>
          <w:color w:val="auto"/>
          <w:highlight w:val="none"/>
        </w:rPr>
      </w:pPr>
      <w:bookmarkStart w:id="58" w:name="_Toc15352"/>
      <w:bookmarkStart w:id="59" w:name="_Toc16008"/>
      <w:r>
        <w:rPr>
          <w:rFonts w:hint="eastAsia" w:ascii="宋体" w:hAnsi="宋体" w:eastAsia="宋体" w:cs="宋体"/>
          <w:b w:val="0"/>
          <w:bCs w:val="0"/>
          <w:color w:val="auto"/>
          <w:highlight w:val="none"/>
        </w:rPr>
        <w:t>五、成交及合同</w:t>
      </w:r>
      <w:bookmarkEnd w:id="58"/>
      <w:bookmarkEnd w:id="59"/>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DE4A05F">
      <w:pPr>
        <w:pStyle w:val="29"/>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B3F55FA">
      <w:pPr>
        <w:pStyle w:val="29"/>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w:t>
      </w:r>
      <w:r>
        <w:rPr>
          <w:rFonts w:hint="eastAsia" w:ascii="宋体" w:hAnsi="宋体" w:cs="宋体"/>
          <w:bCs/>
          <w:color w:val="auto"/>
          <w:highlight w:val="none"/>
          <w:lang w:eastAsia="zh-CN"/>
        </w:rPr>
        <w:t>公告：</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w:t>
      </w:r>
      <w:r>
        <w:rPr>
          <w:rFonts w:hint="eastAsia" w:ascii="宋体" w:hAnsi="宋体" w:cs="宋体"/>
          <w:color w:val="auto"/>
          <w:highlight w:val="none"/>
          <w:lang w:eastAsia="zh-CN"/>
        </w:rPr>
        <w:t>。</w:t>
      </w:r>
      <w:r>
        <w:rPr>
          <w:rFonts w:hint="eastAsia" w:ascii="宋体" w:hAnsi="宋体" w:eastAsia="宋体" w:cs="宋体"/>
          <w:color w:val="auto"/>
          <w:highlight w:val="none"/>
        </w:rPr>
        <w:t>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w:t>
      </w:r>
      <w:r>
        <w:rPr>
          <w:rFonts w:hint="eastAsia" w:ascii="宋体" w:hAnsi="宋体" w:cs="宋体"/>
          <w:color w:val="auto"/>
          <w:highlight w:val="none"/>
          <w:lang w:eastAsia="zh-CN"/>
        </w:rPr>
        <w:t xml:space="preserve"> 采购</w:t>
      </w:r>
      <w:r>
        <w:rPr>
          <w:rFonts w:hint="eastAsia" w:ascii="宋体" w:hAnsi="宋体" w:eastAsia="宋体" w:cs="宋体"/>
          <w:color w:val="auto"/>
          <w:highlight w:val="none"/>
        </w:rPr>
        <w:t>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w:t>
      </w:r>
      <w:r>
        <w:rPr>
          <w:rFonts w:hint="eastAsia" w:ascii="宋体" w:hAnsi="宋体" w:cs="宋体"/>
          <w:color w:val="auto"/>
          <w:highlight w:val="none"/>
          <w:lang w:eastAsia="zh-CN"/>
        </w:rPr>
        <w:t xml:space="preserve"> 投诉</w:t>
      </w:r>
      <w:r>
        <w:rPr>
          <w:rFonts w:hint="eastAsia" w:ascii="宋体" w:hAnsi="宋体" w:eastAsia="宋体" w:cs="宋体"/>
          <w:color w:val="auto"/>
          <w:highlight w:val="none"/>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0" w:name="_Toc80205930"/>
    </w:p>
    <w:p w14:paraId="728D6D71">
      <w:pPr>
        <w:pStyle w:val="4"/>
        <w:spacing w:before="0" w:after="0" w:line="360" w:lineRule="auto"/>
        <w:ind w:firstLine="315" w:firstLineChars="98"/>
        <w:rPr>
          <w:rFonts w:hint="eastAsia" w:ascii="宋体" w:hAnsi="宋体" w:eastAsia="宋体" w:cs="宋体"/>
          <w:b w:val="0"/>
          <w:color w:val="auto"/>
          <w:highlight w:val="none"/>
        </w:rPr>
      </w:pPr>
      <w:bookmarkStart w:id="61" w:name="_Toc18412"/>
      <w:bookmarkStart w:id="62" w:name="_Toc22956"/>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0"/>
      <w:bookmarkEnd w:id="61"/>
      <w:bookmarkEnd w:id="62"/>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w:t>
      </w:r>
      <w:r>
        <w:rPr>
          <w:rFonts w:hint="eastAsia" w:ascii="宋体" w:hAnsi="宋体" w:cs="宋体"/>
          <w:b/>
          <w:bCs/>
          <w:color w:val="auto"/>
          <w:sz w:val="24"/>
          <w:highlight w:val="none"/>
          <w:lang w:eastAsia="zh-CN"/>
        </w:rPr>
        <w:t xml:space="preserve"> 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人会同实际使用人组织对供应商履约的验收。大型或者复杂的政府采购项目，应当邀请国家认可的质量检测机构参加验收工作。验收方成员应当在验收书上签字，并承担相应的法律责任。如果发现与</w:t>
      </w:r>
      <w:r>
        <w:rPr>
          <w:rFonts w:hint="eastAsia" w:ascii="宋体" w:hAnsi="宋体" w:cs="宋体"/>
          <w:color w:val="auto"/>
          <w:kern w:val="0"/>
          <w:szCs w:val="21"/>
          <w:highlight w:val="none"/>
          <w:lang w:eastAsia="zh-CN"/>
        </w:rPr>
        <w:t>合同</w:t>
      </w:r>
      <w:r>
        <w:rPr>
          <w:rFonts w:hint="eastAsia" w:ascii="宋体" w:hAnsi="宋体" w:eastAsia="宋体" w:cs="宋体"/>
          <w:color w:val="auto"/>
          <w:kern w:val="0"/>
          <w:szCs w:val="21"/>
          <w:highlight w:val="none"/>
        </w:rPr>
        <w:t>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w:t>
      </w:r>
      <w:r>
        <w:rPr>
          <w:rFonts w:hint="eastAsia" w:ascii="宋体" w:hAnsi="宋体" w:cs="宋体"/>
          <w:color w:val="auto"/>
          <w:kern w:val="0"/>
          <w:szCs w:val="21"/>
          <w:highlight w:val="none"/>
          <w:lang w:eastAsia="zh-CN"/>
        </w:rPr>
        <w:t xml:space="preserve"> 严格</w:t>
      </w:r>
      <w:r>
        <w:rPr>
          <w:rFonts w:hint="eastAsia" w:ascii="宋体" w:hAnsi="宋体" w:eastAsia="宋体" w:cs="宋体"/>
          <w:color w:val="auto"/>
          <w:kern w:val="0"/>
          <w:szCs w:val="21"/>
          <w:highlight w:val="none"/>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w:t>
      </w:r>
      <w:r>
        <w:rPr>
          <w:rFonts w:hint="eastAsia" w:ascii="宋体" w:hAnsi="宋体" w:cs="宋体"/>
          <w:color w:val="auto"/>
          <w:kern w:val="0"/>
          <w:szCs w:val="21"/>
          <w:highlight w:val="none"/>
          <w:lang w:eastAsia="zh-CN"/>
        </w:rPr>
        <w:t xml:space="preserve"> 验收</w:t>
      </w:r>
      <w:r>
        <w:rPr>
          <w:rFonts w:hint="eastAsia" w:ascii="宋体" w:hAnsi="宋体" w:eastAsia="宋体" w:cs="宋体"/>
          <w:color w:val="auto"/>
          <w:kern w:val="0"/>
          <w:szCs w:val="21"/>
          <w:highlight w:val="none"/>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4"/>
        <w:spacing w:before="0" w:after="0" w:line="360" w:lineRule="auto"/>
        <w:ind w:firstLine="320" w:firstLineChars="100"/>
        <w:rPr>
          <w:rFonts w:hint="eastAsia" w:ascii="宋体" w:hAnsi="宋体" w:eastAsia="宋体" w:cs="宋体"/>
          <w:b w:val="0"/>
          <w:bCs w:val="0"/>
          <w:color w:val="auto"/>
          <w:highlight w:val="none"/>
        </w:rPr>
      </w:pPr>
      <w:bookmarkStart w:id="63" w:name="_Toc27075"/>
      <w:bookmarkStart w:id="64" w:name="_Toc24425"/>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3"/>
      <w:bookmarkEnd w:id="64"/>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磋商文件解释规则详见“供应商须知前附表”。</w:t>
      </w:r>
    </w:p>
    <w:p w14:paraId="011FED3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C348903">
      <w:pPr>
        <w:pStyle w:val="11"/>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劳动保障部</w:t>
      </w:r>
      <w:r>
        <w:rPr>
          <w:rFonts w:hint="eastAsia" w:ascii="宋体" w:hAnsi="宋体" w:eastAsia="宋体" w:cs="宋体"/>
          <w:color w:val="auto"/>
          <w:kern w:val="2"/>
          <w:sz w:val="21"/>
          <w:highlight w:val="none"/>
          <w:lang w:val="en-US" w:eastAsia="zh-CN"/>
        </w:rPr>
        <w:t>门指定的账户足额存入农民工工资保证金或按照合同约定存入施工单位在银行开设的三方监管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38E47F44">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1198269453"/>
        </w:rPr>
        <w:t>崇左市财政局文</w:t>
      </w:r>
      <w:r>
        <w:rPr>
          <w:rFonts w:hint="eastAsia" w:ascii="宋体" w:hAnsi="宋体" w:eastAsia="宋体" w:cs="宋体"/>
          <w:b/>
          <w:color w:val="auto"/>
          <w:spacing w:val="0"/>
          <w:kern w:val="0"/>
          <w:sz w:val="84"/>
          <w:szCs w:val="84"/>
          <w:highlight w:val="none"/>
          <w:fitText w:val="8009" w:id="1198269453"/>
        </w:rPr>
        <w:t>件</w:t>
      </w:r>
    </w:p>
    <w:p w14:paraId="2C01340B">
      <w:pPr>
        <w:rPr>
          <w:rFonts w:hint="eastAsia"/>
          <w:b/>
          <w:color w:val="auto"/>
          <w:kern w:val="0"/>
          <w:sz w:val="24"/>
          <w:szCs w:val="24"/>
          <w:highlight w:val="none"/>
        </w:rPr>
      </w:pPr>
    </w:p>
    <w:p w14:paraId="39ADB242">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22F33D62">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480CF61C">
      <w:pPr>
        <w:pStyle w:val="19"/>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DDA9F1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51122DC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39D0E34A">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3335B80F">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6E96BAB">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20F28490">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61BC99FC">
      <w:pPr>
        <w:pStyle w:val="19"/>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0A813AFC">
      <w:pPr>
        <w:pStyle w:val="29"/>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237FA53B">
      <w:pPr>
        <w:spacing w:line="560" w:lineRule="exact"/>
        <w:jc w:val="left"/>
        <w:rPr>
          <w:rFonts w:hint="eastAsia" w:ascii="仿宋_GB2312" w:hAnsi="仿宋_GB2312" w:eastAsia="仿宋_GB2312" w:cs="仿宋_GB2312"/>
          <w:b/>
          <w:bCs/>
          <w:color w:val="auto"/>
          <w:sz w:val="28"/>
          <w:szCs w:val="28"/>
          <w:highlight w:val="none"/>
        </w:rPr>
      </w:pPr>
    </w:p>
    <w:p w14:paraId="72A34409">
      <w:pPr>
        <w:pStyle w:val="29"/>
        <w:rPr>
          <w:rFonts w:hint="eastAsia" w:ascii="仿宋_GB2312" w:hAnsi="仿宋_GB2312" w:eastAsia="仿宋_GB2312" w:cs="仿宋_GB2312"/>
          <w:b/>
          <w:bCs/>
          <w:color w:val="auto"/>
          <w:sz w:val="28"/>
          <w:szCs w:val="28"/>
          <w:highlight w:val="none"/>
        </w:rPr>
      </w:pPr>
    </w:p>
    <w:p w14:paraId="39C6A97B">
      <w:pPr>
        <w:rPr>
          <w:rFonts w:hint="eastAsia"/>
          <w:color w:val="auto"/>
          <w:highlight w:val="none"/>
        </w:rPr>
      </w:pPr>
    </w:p>
    <w:p w14:paraId="1401A357">
      <w:pPr>
        <w:pStyle w:val="29"/>
        <w:rPr>
          <w:rFonts w:hint="eastAsia"/>
          <w:color w:val="auto"/>
          <w:highlight w:val="none"/>
        </w:rPr>
      </w:pPr>
    </w:p>
    <w:p w14:paraId="25073F7D">
      <w:pPr>
        <w:pStyle w:val="29"/>
        <w:rPr>
          <w:rFonts w:hint="eastAsia"/>
          <w:color w:val="auto"/>
          <w:highlight w:val="none"/>
        </w:rPr>
      </w:pPr>
    </w:p>
    <w:p w14:paraId="17D8CB52">
      <w:pPr>
        <w:rPr>
          <w:rFonts w:hint="eastAsia"/>
          <w:color w:val="auto"/>
          <w:highlight w:val="none"/>
        </w:rPr>
      </w:pPr>
    </w:p>
    <w:p w14:paraId="44A300EA">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2884953F">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3BCFC3F8">
      <w:pPr>
        <w:pStyle w:val="29"/>
        <w:rPr>
          <w:rFonts w:hint="eastAsia"/>
          <w:color w:val="auto"/>
          <w:highlight w:val="none"/>
          <w:lang w:val="en-US" w:eastAsia="zh-CN"/>
        </w:rPr>
      </w:pPr>
    </w:p>
    <w:p w14:paraId="5739D743">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123C24E6">
      <w:pPr>
        <w:spacing w:line="580" w:lineRule="exact"/>
        <w:ind w:firstLine="420" w:firstLineChars="200"/>
        <w:rPr>
          <w:color w:val="auto"/>
          <w:szCs w:val="32"/>
          <w:highlight w:val="none"/>
        </w:rPr>
      </w:pPr>
    </w:p>
    <w:p w14:paraId="47DC221A">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373DE16A">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01B2108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2FA3629F">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41F54687">
      <w:pPr>
        <w:pStyle w:val="29"/>
        <w:rPr>
          <w:rFonts w:hint="eastAsia" w:ascii="仿宋_GB2312" w:hAnsi="仿宋_GB2312" w:eastAsia="仿宋_GB2312" w:cs="仿宋_GB2312"/>
          <w:color w:val="auto"/>
          <w:szCs w:val="32"/>
          <w:highlight w:val="none"/>
          <w:lang w:eastAsia="zh-CN"/>
        </w:rPr>
      </w:pPr>
    </w:p>
    <w:p w14:paraId="53418BC7">
      <w:pPr>
        <w:rPr>
          <w:rFonts w:hint="eastAsia" w:ascii="仿宋_GB2312" w:hAnsi="仿宋_GB2312" w:cs="仿宋_GB2312"/>
          <w:color w:val="auto"/>
          <w:szCs w:val="32"/>
          <w:highlight w:val="none"/>
          <w:lang w:eastAsia="zh-CN"/>
        </w:rPr>
      </w:pPr>
    </w:p>
    <w:p w14:paraId="5C3AEE06">
      <w:pPr>
        <w:pStyle w:val="29"/>
        <w:rPr>
          <w:rFonts w:hint="eastAsia" w:ascii="仿宋_GB2312" w:hAnsi="仿宋_GB2312" w:cs="仿宋_GB2312"/>
          <w:color w:val="auto"/>
          <w:szCs w:val="32"/>
          <w:highlight w:val="none"/>
          <w:lang w:eastAsia="zh-CN"/>
        </w:rPr>
      </w:pPr>
    </w:p>
    <w:p w14:paraId="0DE8BFB2">
      <w:pPr>
        <w:rPr>
          <w:rFonts w:hint="eastAsia" w:ascii="仿宋_GB2312" w:hAnsi="仿宋_GB2312" w:cs="仿宋_GB2312"/>
          <w:color w:val="auto"/>
          <w:szCs w:val="32"/>
          <w:highlight w:val="none"/>
          <w:lang w:eastAsia="zh-CN"/>
        </w:rPr>
      </w:pPr>
    </w:p>
    <w:p w14:paraId="1F818C3C">
      <w:pPr>
        <w:rPr>
          <w:rFonts w:hint="eastAsia" w:ascii="仿宋_GB2312" w:hAnsi="仿宋_GB2312" w:cs="仿宋_GB2312"/>
          <w:color w:val="auto"/>
          <w:szCs w:val="32"/>
          <w:highlight w:val="none"/>
          <w:lang w:eastAsia="zh-CN"/>
        </w:rPr>
      </w:pPr>
    </w:p>
    <w:p w14:paraId="76A7E6A8">
      <w:pPr>
        <w:pStyle w:val="29"/>
        <w:rPr>
          <w:rFonts w:hint="eastAsia" w:ascii="仿宋_GB2312" w:hAnsi="仿宋_GB2312" w:cs="仿宋_GB2312"/>
          <w:color w:val="auto"/>
          <w:szCs w:val="32"/>
          <w:highlight w:val="none"/>
          <w:lang w:eastAsia="zh-CN"/>
        </w:rPr>
      </w:pPr>
    </w:p>
    <w:p w14:paraId="7F93A4EA">
      <w:pPr>
        <w:spacing w:line="540" w:lineRule="exact"/>
        <w:rPr>
          <w:rFonts w:hint="eastAsia" w:ascii="黑体" w:hAnsi="黑体" w:eastAsia="黑体" w:cs="黑体"/>
          <w:color w:val="auto"/>
          <w:szCs w:val="32"/>
          <w:highlight w:val="none"/>
        </w:rPr>
      </w:pPr>
    </w:p>
    <w:p w14:paraId="350B142E">
      <w:pPr>
        <w:spacing w:line="540" w:lineRule="exact"/>
        <w:rPr>
          <w:rFonts w:hint="eastAsia" w:ascii="黑体" w:hAnsi="黑体" w:eastAsia="黑体" w:cs="黑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EE25A81">
      <w:pPr>
        <w:pStyle w:val="29"/>
        <w:rPr>
          <w:rFonts w:hint="default"/>
          <w:color w:val="auto"/>
          <w:highlight w:val="none"/>
          <w:lang w:val="en-US" w:eastAsia="zh-CN"/>
        </w:rPr>
      </w:pPr>
    </w:p>
    <w:p w14:paraId="5C848E82">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42000846">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1079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4"/>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3205476D">
      <w:pPr>
        <w:pStyle w:val="29"/>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20"/>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w:t>
            </w:r>
            <w:r>
              <w:rPr>
                <w:rFonts w:hint="eastAsia" w:ascii="宋体" w:hAnsi="宋体" w:cs="宋体"/>
                <w:color w:val="auto"/>
                <w:sz w:val="21"/>
                <w:szCs w:val="21"/>
                <w:highlight w:val="none"/>
                <w:lang w:eastAsia="zh-CN"/>
              </w:rPr>
              <w:t>幢</w:t>
            </w:r>
            <w:r>
              <w:rPr>
                <w:rFonts w:hint="eastAsia" w:ascii="宋体" w:hAnsi="宋体" w:eastAsia="宋体" w:cs="宋体"/>
                <w:color w:val="auto"/>
                <w:sz w:val="21"/>
                <w:szCs w:val="21"/>
                <w:highlight w:val="none"/>
              </w:rPr>
              <w:t>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w:t>
            </w:r>
            <w:r>
              <w:rPr>
                <w:rFonts w:hint="eastAsia" w:ascii="宋体" w:hAnsi="宋体" w:cs="宋体"/>
                <w:color w:val="auto"/>
                <w:kern w:val="0"/>
                <w:sz w:val="21"/>
                <w:szCs w:val="21"/>
                <w:highlight w:val="none"/>
                <w:lang w:eastAsia="zh-CN" w:bidi="ar"/>
              </w:rPr>
              <w:t>“三农”</w:t>
            </w:r>
            <w:r>
              <w:rPr>
                <w:rFonts w:hint="eastAsia" w:ascii="宋体" w:hAnsi="宋体" w:eastAsia="宋体" w:cs="宋体"/>
                <w:color w:val="auto"/>
                <w:kern w:val="0"/>
                <w:sz w:val="21"/>
                <w:szCs w:val="21"/>
                <w:highlight w:val="none"/>
                <w:lang w:bidi="ar"/>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w:t>
            </w:r>
            <w:r>
              <w:rPr>
                <w:rFonts w:hint="eastAsia" w:ascii="宋体" w:hAnsi="宋体" w:cs="宋体"/>
                <w:color w:val="auto"/>
                <w:kern w:val="0"/>
                <w:sz w:val="21"/>
                <w:szCs w:val="21"/>
                <w:highlight w:val="none"/>
                <w:lang w:eastAsia="zh-CN" w:bidi="ar"/>
              </w:rPr>
              <w:t>银行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1"/>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5" w:name="_Toc5854"/>
      <w:bookmarkStart w:id="66" w:name="_Toc498082646"/>
      <w:bookmarkStart w:id="67" w:name="_Toc183264294"/>
      <w:bookmarkStart w:id="68" w:name="_Toc181180297"/>
      <w:bookmarkStart w:id="69" w:name="_Toc346617322"/>
      <w:bookmarkStart w:id="70" w:name="_Toc20845"/>
      <w:bookmarkStart w:id="71" w:name="_Toc18546"/>
      <w:bookmarkStart w:id="72" w:name="_Toc8850"/>
      <w:bookmarkStart w:id="73" w:name="_Toc24807"/>
      <w:r>
        <w:rPr>
          <w:rStyle w:val="30"/>
          <w:rFonts w:hint="eastAsia" w:ascii="宋体" w:hAnsi="宋体" w:eastAsia="宋体" w:cs="宋体"/>
          <w:color w:val="auto"/>
          <w:sz w:val="36"/>
          <w:szCs w:val="36"/>
          <w:highlight w:val="none"/>
          <w:lang w:eastAsia="zh-CN"/>
        </w:rPr>
        <w:t>第四章</w:t>
      </w:r>
      <w:r>
        <w:rPr>
          <w:rStyle w:val="30"/>
          <w:rFonts w:hint="eastAsia" w:ascii="宋体" w:hAnsi="宋体" w:eastAsia="宋体" w:cs="宋体"/>
          <w:color w:val="auto"/>
          <w:sz w:val="36"/>
          <w:szCs w:val="36"/>
          <w:highlight w:val="none"/>
        </w:rPr>
        <w:t xml:space="preserve">  </w:t>
      </w:r>
      <w:bookmarkEnd w:id="65"/>
      <w:bookmarkEnd w:id="66"/>
      <w:bookmarkEnd w:id="67"/>
      <w:bookmarkEnd w:id="68"/>
      <w:bookmarkEnd w:id="69"/>
      <w:bookmarkEnd w:id="70"/>
      <w:bookmarkEnd w:id="71"/>
      <w:r>
        <w:rPr>
          <w:rStyle w:val="30"/>
          <w:rFonts w:hint="eastAsia" w:ascii="宋体" w:hAnsi="宋体" w:eastAsia="宋体" w:cs="宋体"/>
          <w:color w:val="auto"/>
          <w:sz w:val="36"/>
          <w:szCs w:val="36"/>
          <w:highlight w:val="none"/>
        </w:rPr>
        <w:t>图纸</w:t>
      </w:r>
      <w:r>
        <w:rPr>
          <w:rStyle w:val="30"/>
          <w:rFonts w:hint="eastAsia" w:ascii="宋体" w:hAnsi="宋体" w:eastAsia="宋体" w:cs="宋体"/>
          <w:color w:val="auto"/>
          <w:sz w:val="36"/>
          <w:szCs w:val="36"/>
          <w:highlight w:val="none"/>
          <w:lang w:val="en-US" w:eastAsia="zh-CN"/>
        </w:rPr>
        <w:t>及</w:t>
      </w:r>
      <w:r>
        <w:rPr>
          <w:rStyle w:val="30"/>
          <w:rFonts w:hint="eastAsia" w:ascii="宋体" w:hAnsi="宋体" w:eastAsia="宋体" w:cs="宋体"/>
          <w:color w:val="auto"/>
          <w:sz w:val="36"/>
          <w:szCs w:val="36"/>
          <w:highlight w:val="none"/>
        </w:rPr>
        <w:t>工程量清单</w:t>
      </w:r>
      <w:bookmarkEnd w:id="72"/>
      <w:bookmarkEnd w:id="73"/>
    </w:p>
    <w:p w14:paraId="42CA3F07">
      <w:pPr>
        <w:pStyle w:val="31"/>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7"/>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3FAF8E2B">
      <w:pPr>
        <w:pStyle w:val="9"/>
        <w:rPr>
          <w:rFonts w:hint="eastAsia" w:ascii="宋体" w:hAnsi="宋体" w:eastAsia="宋体" w:cs="宋体"/>
          <w:color w:val="auto"/>
          <w:sz w:val="21"/>
          <w:szCs w:val="21"/>
          <w:highlight w:val="none"/>
          <w:lang w:val="en-US" w:eastAsia="zh-CN"/>
        </w:rPr>
        <w:sectPr>
          <w:footerReference r:id="rId11" w:type="default"/>
          <w:pgSz w:w="11907" w:h="16840"/>
          <w:pgMar w:top="1440" w:right="1080" w:bottom="1440" w:left="1080" w:header="851" w:footer="851" w:gutter="0"/>
          <w:pgNumType w:fmt="decimal"/>
          <w:cols w:space="720" w:num="1"/>
          <w:formProt w:val="0"/>
          <w:docGrid w:type="lines" w:linePitch="312" w:charSpace="0"/>
        </w:sectPr>
      </w:pPr>
    </w:p>
    <w:p w14:paraId="0072C9F7">
      <w:pPr>
        <w:pStyle w:val="11"/>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4" w:name="_Toc24945"/>
      <w:bookmarkStart w:id="75" w:name="_Toc18731"/>
      <w:r>
        <w:rPr>
          <w:rStyle w:val="30"/>
          <w:rFonts w:hint="eastAsia" w:ascii="宋体" w:hAnsi="宋体" w:eastAsia="宋体" w:cs="宋体"/>
          <w:color w:val="auto"/>
          <w:sz w:val="36"/>
          <w:szCs w:val="36"/>
          <w:highlight w:val="none"/>
          <w:lang w:eastAsia="zh-CN"/>
        </w:rPr>
        <w:t>第五章</w:t>
      </w:r>
      <w:r>
        <w:rPr>
          <w:rStyle w:val="30"/>
          <w:rFonts w:hint="eastAsia" w:ascii="宋体" w:hAnsi="宋体" w:eastAsia="宋体" w:cs="宋体"/>
          <w:color w:val="auto"/>
          <w:sz w:val="36"/>
          <w:szCs w:val="36"/>
          <w:highlight w:val="none"/>
        </w:rPr>
        <w:t xml:space="preserve">  评审程序、评审方法和评审标准</w:t>
      </w:r>
      <w:bookmarkEnd w:id="74"/>
      <w:bookmarkEnd w:id="75"/>
    </w:p>
    <w:p w14:paraId="234232B2">
      <w:pPr>
        <w:pStyle w:val="3"/>
        <w:jc w:val="center"/>
        <w:rPr>
          <w:rFonts w:hint="eastAsia" w:ascii="宋体" w:hAnsi="宋体" w:eastAsia="宋体" w:cs="宋体"/>
          <w:b w:val="0"/>
          <w:color w:val="auto"/>
          <w:highlight w:val="none"/>
        </w:rPr>
      </w:pPr>
      <w:bookmarkStart w:id="76" w:name="_Toc22886"/>
      <w:bookmarkStart w:id="77" w:name="_Toc7761"/>
      <w:r>
        <w:rPr>
          <w:rFonts w:hint="eastAsia" w:ascii="宋体" w:hAnsi="宋体" w:eastAsia="宋体" w:cs="宋体"/>
          <w:b w:val="0"/>
          <w:color w:val="auto"/>
          <w:highlight w:val="none"/>
        </w:rPr>
        <w:t>第一节 评审程序和评审方法</w:t>
      </w:r>
      <w:bookmarkEnd w:id="76"/>
      <w:bookmarkEnd w:id="77"/>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1E8D1E3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注：磋商小组在资格审查结束前，对供应商进行信用查询。</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（1）查询渠道：广西政府采购云平台“信用中国”网站、中国政府采购网链接入口。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8"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8"/>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w:t>
      </w:r>
      <w:r>
        <w:rPr>
          <w:rFonts w:hint="eastAsia" w:ascii="宋体" w:hAnsi="宋体" w:cs="宋体"/>
          <w:color w:val="auto"/>
          <w:szCs w:val="21"/>
          <w:highlight w:val="none"/>
          <w:lang w:eastAsia="zh-CN"/>
        </w:rPr>
        <w:t>将</w:t>
      </w:r>
      <w:r>
        <w:rPr>
          <w:rFonts w:hint="eastAsia" w:ascii="宋体" w:hAnsi="宋体" w:eastAsia="宋体" w:cs="宋体"/>
          <w:color w:val="auto"/>
          <w:szCs w:val="21"/>
          <w:highlight w:val="none"/>
        </w:rPr>
        <w:t>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w:t>
      </w:r>
      <w:r>
        <w:rPr>
          <w:rFonts w:hint="eastAsia" w:ascii="宋体" w:hAnsi="宋体" w:cs="宋体"/>
          <w:color w:val="auto"/>
          <w:szCs w:val="21"/>
          <w:highlight w:val="none"/>
          <w:lang w:eastAsia="zh-CN"/>
        </w:rPr>
        <w:t>多个</w:t>
      </w:r>
      <w:r>
        <w:rPr>
          <w:rFonts w:hint="eastAsia" w:ascii="宋体" w:hAnsi="宋体" w:eastAsia="宋体" w:cs="宋体"/>
          <w:color w:val="auto"/>
          <w:szCs w:val="21"/>
          <w:highlight w:val="none"/>
        </w:rPr>
        <w:t>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响应文件未提供“供应商须知前附表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24396AB">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9"/>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79C2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16768230">
            <w:pPr>
              <w:spacing w:line="360" w:lineRule="auto"/>
              <w:jc w:val="center"/>
              <w:rPr>
                <w:rFonts w:hint="eastAsia" w:ascii="宋体" w:hAnsi="宋体" w:eastAsia="宋体" w:cs="宋体"/>
                <w:b/>
                <w:bCs w:val="0"/>
                <w:szCs w:val="21"/>
                <w:highlight w:val="none"/>
                <w:vertAlign w:val="baseline"/>
                <w:lang w:eastAsia="zh-CN"/>
              </w:rPr>
            </w:pPr>
            <w:bookmarkStart w:id="79" w:name="_Toc17019"/>
            <w:bookmarkStart w:id="80" w:name="_Toc80205935"/>
            <w:bookmarkStart w:id="81" w:name="_Toc14457"/>
            <w:r>
              <w:rPr>
                <w:rFonts w:hint="eastAsia" w:ascii="宋体" w:hAnsi="宋体" w:eastAsia="宋体" w:cs="宋体"/>
                <w:b/>
                <w:bCs w:val="0"/>
                <w:szCs w:val="21"/>
                <w:highlight w:val="none"/>
                <w:vertAlign w:val="baseline"/>
                <w:lang w:eastAsia="zh-CN"/>
              </w:rPr>
              <w:t>序号</w:t>
            </w:r>
          </w:p>
        </w:tc>
        <w:tc>
          <w:tcPr>
            <w:tcW w:w="1366" w:type="dxa"/>
            <w:noWrap w:val="0"/>
            <w:vAlign w:val="center"/>
          </w:tcPr>
          <w:p w14:paraId="5277530D">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评分类型</w:t>
            </w:r>
          </w:p>
        </w:tc>
        <w:tc>
          <w:tcPr>
            <w:tcW w:w="7669" w:type="dxa"/>
            <w:noWrap w:val="0"/>
            <w:vAlign w:val="center"/>
          </w:tcPr>
          <w:p w14:paraId="164A9E71">
            <w:pPr>
              <w:spacing w:line="360" w:lineRule="auto"/>
              <w:jc w:val="center"/>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评分标准</w:t>
            </w:r>
          </w:p>
        </w:tc>
      </w:tr>
      <w:tr w14:paraId="08BA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10B26EE1">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1</w:t>
            </w:r>
          </w:p>
        </w:tc>
        <w:tc>
          <w:tcPr>
            <w:tcW w:w="1366" w:type="dxa"/>
            <w:noWrap w:val="0"/>
            <w:vAlign w:val="center"/>
          </w:tcPr>
          <w:p w14:paraId="2E5D0FAE">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报价分</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满分20分</w:t>
            </w:r>
            <w:r>
              <w:rPr>
                <w:rFonts w:hint="eastAsia" w:ascii="宋体" w:hAnsi="宋体" w:eastAsia="宋体" w:cs="宋体"/>
                <w:bCs/>
                <w:szCs w:val="21"/>
                <w:highlight w:val="none"/>
                <w:vertAlign w:val="baseline"/>
                <w:lang w:eastAsia="zh-CN"/>
              </w:rPr>
              <w:t>）</w:t>
            </w:r>
          </w:p>
        </w:tc>
        <w:tc>
          <w:tcPr>
            <w:tcW w:w="7669" w:type="dxa"/>
            <w:noWrap w:val="0"/>
            <w:vAlign w:val="top"/>
          </w:tcPr>
          <w:p w14:paraId="1A530C8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（1）评审价为供应商的最后报价，最终成交供应商的成交金额等于最后报价（如有修正，以确认修正后的最后报价为准）。</w:t>
            </w:r>
          </w:p>
          <w:p w14:paraId="5C12FE52">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（2）本项目为专门面向中小企业采购的项目，参加本项目磋商的供应商必须为</w:t>
            </w:r>
            <w:r>
              <w:rPr>
                <w:rFonts w:hint="eastAsia" w:ascii="宋体" w:hAnsi="宋体" w:eastAsia="宋体" w:cs="宋体"/>
                <w:kern w:val="2"/>
                <w:sz w:val="21"/>
                <w:highlight w:val="none"/>
                <w:lang w:val="en-US" w:eastAsia="zh-CN"/>
              </w:rPr>
              <w:t>中型企业、小型企业和微型企业</w:t>
            </w:r>
            <w:r>
              <w:rPr>
                <w:rFonts w:hint="eastAsia" w:ascii="宋体" w:hAnsi="宋体" w:eastAsia="宋体" w:cs="宋体"/>
                <w:bCs/>
                <w:szCs w:val="21"/>
                <w:highlight w:val="none"/>
                <w:vertAlign w:val="baseline"/>
                <w:lang w:val="en-US" w:eastAsia="zh-CN"/>
              </w:rPr>
              <w:t>，或监狱企业，或残疾人福利性单位，否则竞标无效。价格评审时，参加本次项目竞标的供应商不重复享受政策，其评审价=竞标报价。</w:t>
            </w:r>
          </w:p>
          <w:p w14:paraId="4B65C654">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631D5BE8">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34EA939">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（5）以进入比较与评价环节的最低的评审价为基准价，基准价得分为20分。</w:t>
            </w:r>
          </w:p>
          <w:p w14:paraId="190F28A3">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（6）价格分计算公式：</w:t>
            </w:r>
          </w:p>
          <w:p w14:paraId="792FFC77">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报价得分=（基准价/最后报价）×20分</w:t>
            </w:r>
          </w:p>
          <w:p w14:paraId="0ED694D4">
            <w:pPr>
              <w:spacing w:line="400" w:lineRule="exact"/>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注：本项目启用异常低价审核流程。政府采购评审中出现下列情形之一的，评审小组应当启动异常低价投标（响应) 审查程序：</w:t>
            </w:r>
          </w:p>
          <w:p w14:paraId="4D8C7D90">
            <w:pPr>
              <w:spacing w:line="400" w:lineRule="exact"/>
              <w:ind w:firstLine="420" w:firstLineChars="200"/>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情形1：</w:t>
            </w:r>
            <w:r>
              <w:rPr>
                <w:rFonts w:hint="default" w:ascii="宋体" w:hAnsi="宋体" w:eastAsia="宋体" w:cs="宋体"/>
                <w:bCs/>
                <w:szCs w:val="21"/>
                <w:highlight w:val="none"/>
                <w:vertAlign w:val="baseline"/>
                <w:lang w:val="en-US" w:eastAsia="zh-CN"/>
              </w:rPr>
              <w:t>投标(响应)报价 低于 全部通过符合性审查供应商投标(响应)报价「平均值」</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p>
          <w:p w14:paraId="1A60AA9A">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情形2：</w:t>
            </w:r>
            <w:r>
              <w:rPr>
                <w:rFonts w:hint="default" w:ascii="宋体" w:hAnsi="宋体" w:eastAsia="宋体" w:cs="宋体"/>
                <w:bCs/>
                <w:szCs w:val="21"/>
                <w:highlight w:val="none"/>
                <w:vertAlign w:val="baseline"/>
                <w:lang w:val="en-US" w:eastAsia="zh-CN"/>
              </w:rPr>
              <w:t>投标(响应)报价 低于 通过符合性审查的「次低报价」供应商投标(响应)报价</w:t>
            </w:r>
            <w:r>
              <w:rPr>
                <w:rFonts w:hint="eastAsia" w:ascii="宋体" w:hAnsi="宋体" w:cs="宋体"/>
                <w:bCs/>
                <w:szCs w:val="21"/>
                <w:highlight w:val="none"/>
                <w:vertAlign w:val="baseline"/>
                <w:lang w:val="en-US" w:eastAsia="zh-CN"/>
              </w:rPr>
              <w:t>50</w:t>
            </w:r>
            <w:r>
              <w:rPr>
                <w:rFonts w:hint="eastAsia" w:ascii="宋体" w:hAnsi="宋体" w:eastAsia="宋体" w:cs="宋体"/>
                <w:bCs/>
                <w:szCs w:val="21"/>
                <w:highlight w:val="none"/>
                <w:vertAlign w:val="baseline"/>
                <w:lang w:val="en-US" w:eastAsia="zh-CN"/>
              </w:rPr>
              <w:t>%；</w:t>
            </w:r>
            <w:r>
              <w:rPr>
                <w:rFonts w:hint="default" w:ascii="宋体" w:hAnsi="宋体" w:eastAsia="宋体" w:cs="宋体"/>
                <w:bCs/>
                <w:szCs w:val="21"/>
                <w:highlight w:val="none"/>
                <w:vertAlign w:val="baseline"/>
                <w:lang w:val="en-US" w:eastAsia="zh-CN"/>
              </w:rPr>
              <w:t> </w:t>
            </w:r>
          </w:p>
          <w:p w14:paraId="6CE3547A">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情形3：</w:t>
            </w:r>
            <w:r>
              <w:rPr>
                <w:rFonts w:hint="default" w:ascii="宋体" w:hAnsi="宋体" w:eastAsia="宋体" w:cs="宋体"/>
                <w:bCs/>
                <w:szCs w:val="21"/>
                <w:highlight w:val="none"/>
                <w:vertAlign w:val="baseline"/>
                <w:lang w:val="en-US" w:eastAsia="zh-CN"/>
              </w:rPr>
              <w:t>投标(响应)报价 低于 采购项目「最高限价」</w:t>
            </w:r>
            <w:r>
              <w:rPr>
                <w:rFonts w:hint="eastAsia" w:ascii="宋体" w:hAnsi="宋体" w:cs="宋体"/>
                <w:bCs/>
                <w:szCs w:val="21"/>
                <w:highlight w:val="none"/>
                <w:vertAlign w:val="baseline"/>
                <w:lang w:val="en-US" w:eastAsia="zh-CN"/>
              </w:rPr>
              <w:t>4</w:t>
            </w:r>
            <w:r>
              <w:rPr>
                <w:rFonts w:hint="default" w:ascii="宋体" w:hAnsi="宋体" w:eastAsia="宋体" w:cs="宋体"/>
                <w:bCs/>
                <w:szCs w:val="21"/>
                <w:highlight w:val="none"/>
                <w:vertAlign w:val="baseline"/>
                <w:lang w:val="en-US" w:eastAsia="zh-CN"/>
              </w:rPr>
              <w:t>5%；</w:t>
            </w:r>
          </w:p>
          <w:p w14:paraId="5E73F471">
            <w:pPr>
              <w:spacing w:line="400" w:lineRule="exact"/>
              <w:ind w:firstLine="420" w:firstLineChars="200"/>
              <w:rPr>
                <w:rFonts w:hint="default"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情形4：评审小组</w:t>
            </w:r>
            <w:r>
              <w:rPr>
                <w:rFonts w:hint="default" w:ascii="宋体" w:hAnsi="宋体" w:eastAsia="宋体" w:cs="宋体"/>
                <w:bCs/>
                <w:szCs w:val="21"/>
                <w:highlight w:val="none"/>
                <w:vertAlign w:val="baseline"/>
                <w:lang w:val="en-US" w:eastAsia="zh-CN"/>
              </w:rPr>
              <w:t>基于专业判断，认为供应商报价过低，有可能影响产品质量或者不能诚信履约的其他情形。</w:t>
            </w:r>
          </w:p>
        </w:tc>
      </w:tr>
      <w:tr w14:paraId="6553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7A6A1066">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val="en-US" w:eastAsia="zh-CN"/>
              </w:rPr>
              <w:t>2</w:t>
            </w:r>
          </w:p>
        </w:tc>
        <w:tc>
          <w:tcPr>
            <w:tcW w:w="1366" w:type="dxa"/>
            <w:vMerge w:val="restart"/>
            <w:noWrap w:val="0"/>
            <w:vAlign w:val="center"/>
          </w:tcPr>
          <w:p w14:paraId="63851F25">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满分6分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6BF8E70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（1）项目经理（满分</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p>
          <w:p w14:paraId="34E845A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项目经理</w:t>
            </w:r>
            <w:r>
              <w:rPr>
                <w:rFonts w:hint="eastAsia" w:ascii="宋体" w:hAnsi="宋体" w:eastAsia="宋体" w:cs="宋体"/>
                <w:bCs/>
                <w:color w:val="auto"/>
                <w:szCs w:val="21"/>
                <w:highlight w:val="none"/>
                <w:vertAlign w:val="baseline"/>
                <w:lang w:val="en-US" w:eastAsia="zh-CN"/>
              </w:rPr>
              <w:t>职称</w:t>
            </w:r>
            <w:r>
              <w:rPr>
                <w:rFonts w:hint="eastAsia" w:ascii="宋体" w:hAnsi="宋体" w:eastAsia="宋体" w:cs="宋体"/>
                <w:bCs/>
                <w:color w:val="auto"/>
                <w:szCs w:val="21"/>
                <w:highlight w:val="none"/>
                <w:vertAlign w:val="baseline"/>
                <w:lang w:eastAsia="zh-CN"/>
              </w:rPr>
              <w:t>：</w:t>
            </w:r>
            <w:r>
              <w:rPr>
                <w:rFonts w:hint="eastAsia" w:ascii="宋体" w:hAnsi="宋体" w:cs="宋体"/>
                <w:bCs/>
                <w:color w:val="auto"/>
                <w:szCs w:val="21"/>
                <w:highlight w:val="none"/>
                <w:vertAlign w:val="baseline"/>
                <w:lang w:eastAsia="zh-CN"/>
              </w:rPr>
              <w:t>拟派项目经理具有中级及以上工程类职称得 2 分，初级职称得 1 分，否则不得分</w:t>
            </w:r>
            <w:r>
              <w:rPr>
                <w:rFonts w:hint="eastAsia" w:ascii="宋体" w:hAnsi="宋体" w:eastAsia="宋体" w:cs="宋体"/>
                <w:bCs/>
                <w:color w:val="auto"/>
                <w:szCs w:val="21"/>
                <w:highlight w:val="none"/>
                <w:vertAlign w:val="baseline"/>
                <w:lang w:eastAsia="zh-CN"/>
              </w:rPr>
              <w:t>。</w:t>
            </w:r>
          </w:p>
        </w:tc>
      </w:tr>
      <w:tr w14:paraId="28A2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0F5CB587">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729E0B6C">
            <w:pPr>
              <w:spacing w:line="360" w:lineRule="auto"/>
              <w:jc w:val="center"/>
              <w:rPr>
                <w:rFonts w:hint="eastAsia" w:ascii="宋体" w:hAnsi="宋体" w:eastAsia="宋体" w:cs="宋体"/>
                <w:bCs/>
                <w:color w:val="auto"/>
                <w:szCs w:val="21"/>
                <w:highlight w:val="none"/>
                <w:vertAlign w:val="baseline"/>
                <w:lang w:eastAsia="zh-CN"/>
              </w:rPr>
            </w:pPr>
          </w:p>
        </w:tc>
        <w:tc>
          <w:tcPr>
            <w:tcW w:w="7669" w:type="dxa"/>
            <w:noWrap w:val="0"/>
            <w:vAlign w:val="top"/>
          </w:tcPr>
          <w:p w14:paraId="2A135339">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（2）其他主要人员（满分</w:t>
            </w:r>
            <w:r>
              <w:rPr>
                <w:rFonts w:hint="eastAsia" w:ascii="宋体" w:hAnsi="宋体" w:eastAsia="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p>
          <w:p w14:paraId="6EE4CE7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拟派驻本项目的技术负责人应有中级及以上职称，安全员、施工员、质检员、材料员应具有相应岗位资格证书。</w:t>
            </w:r>
          </w:p>
          <w:p w14:paraId="076F063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eastAsia="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岗位缺项≥1个，关键岗位证书不全，不能满足施工需要</w:t>
            </w:r>
            <w:r>
              <w:rPr>
                <w:rFonts w:hint="eastAsia" w:ascii="宋体" w:hAnsi="宋体" w:eastAsia="宋体" w:cs="宋体"/>
                <w:bCs/>
                <w:color w:val="auto"/>
                <w:szCs w:val="21"/>
                <w:highlight w:val="none"/>
                <w:vertAlign w:val="baseline"/>
                <w:lang w:eastAsia="zh-CN"/>
              </w:rPr>
              <w:t>。</w:t>
            </w:r>
          </w:p>
          <w:p w14:paraId="6D53538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eastAsia="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全部岗位配置到位，关键岗位证书齐全。</w:t>
            </w:r>
          </w:p>
          <w:p w14:paraId="25649C1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eastAsia="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分）：</w:t>
            </w:r>
            <w:r>
              <w:rPr>
                <w:rFonts w:hint="eastAsia" w:ascii="宋体" w:hAnsi="宋体" w:cs="宋体"/>
                <w:bCs/>
                <w:color w:val="auto"/>
                <w:szCs w:val="21"/>
                <w:highlight w:val="none"/>
                <w:vertAlign w:val="baseline"/>
                <w:lang w:eastAsia="zh-CN"/>
              </w:rPr>
              <w:t>全部岗位配置到位、证书齐全，有人员储备。</w:t>
            </w:r>
          </w:p>
          <w:p w14:paraId="781AAAA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kern w:val="2"/>
                <w:sz w:val="21"/>
                <w:szCs w:val="21"/>
                <w:highlight w:val="none"/>
                <w:vertAlign w:val="baseline"/>
                <w:lang w:val="en-US" w:eastAsia="zh-CN" w:bidi="ar-SA"/>
              </w:rPr>
              <w:t>优（4分）</w:t>
            </w:r>
            <w:r>
              <w:rPr>
                <w:rFonts w:hint="eastAsia" w:ascii="宋体" w:hAnsi="宋体" w:eastAsia="宋体" w:cs="宋体"/>
                <w:b/>
                <w:bCs w:val="0"/>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全部岗位配置到位、证书齐全，有人员储备，管理人员</w:t>
            </w:r>
            <w:r>
              <w:rPr>
                <w:rFonts w:hint="eastAsia" w:ascii="宋体" w:hAnsi="宋体" w:cs="宋体"/>
                <w:bCs/>
                <w:color w:val="auto"/>
                <w:szCs w:val="21"/>
                <w:highlight w:val="none"/>
                <w:vertAlign w:val="baseline"/>
                <w:lang w:val="en-US" w:eastAsia="zh-CN"/>
              </w:rPr>
              <w:t>具有工程管理</w:t>
            </w:r>
            <w:r>
              <w:rPr>
                <w:rFonts w:hint="eastAsia" w:ascii="宋体" w:hAnsi="宋体" w:eastAsia="宋体" w:cs="宋体"/>
                <w:bCs/>
                <w:color w:val="auto"/>
                <w:szCs w:val="21"/>
                <w:highlight w:val="none"/>
                <w:vertAlign w:val="baseline"/>
                <w:lang w:eastAsia="zh-CN"/>
              </w:rPr>
              <w:t>经验（提供对应证明材料）。</w:t>
            </w:r>
          </w:p>
        </w:tc>
      </w:tr>
      <w:tr w14:paraId="7796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39D2E971">
            <w:pPr>
              <w:spacing w:line="360" w:lineRule="auto"/>
              <w:jc w:val="center"/>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3</w:t>
            </w:r>
          </w:p>
        </w:tc>
        <w:tc>
          <w:tcPr>
            <w:tcW w:w="1366" w:type="dxa"/>
            <w:vMerge w:val="restart"/>
            <w:noWrap w:val="0"/>
            <w:vAlign w:val="center"/>
          </w:tcPr>
          <w:p w14:paraId="5ADAD28D">
            <w:pPr>
              <w:spacing w:line="360" w:lineRule="auto"/>
              <w:jc w:val="center"/>
              <w:rPr>
                <w:rFonts w:hint="eastAsia" w:ascii="宋体" w:hAnsi="宋体" w:eastAsia="宋体" w:cs="宋体"/>
                <w:bCs/>
                <w:szCs w:val="21"/>
                <w:highlight w:val="none"/>
                <w:vertAlign w:val="baseline"/>
                <w:lang w:val="en-US" w:eastAsia="zh-CN"/>
              </w:rPr>
            </w:pPr>
            <w:r>
              <w:rPr>
                <w:rFonts w:hint="eastAsia" w:ascii="宋体" w:hAnsi="宋体" w:eastAsia="宋体" w:cs="宋体"/>
                <w:bCs/>
                <w:szCs w:val="21"/>
                <w:highlight w:val="none"/>
                <w:vertAlign w:val="baseline"/>
                <w:lang w:val="en-US" w:eastAsia="zh-CN"/>
              </w:rPr>
              <w:t>施工组织技术</w:t>
            </w:r>
            <w:r>
              <w:rPr>
                <w:rFonts w:hint="eastAsia" w:ascii="宋体" w:hAnsi="宋体" w:eastAsia="宋体" w:cs="宋体"/>
                <w:bCs/>
                <w:szCs w:val="21"/>
                <w:highlight w:val="none"/>
                <w:vertAlign w:val="baseline"/>
                <w:lang w:eastAsia="zh-CN"/>
              </w:rPr>
              <w:t>（</w:t>
            </w:r>
            <w:r>
              <w:rPr>
                <w:rFonts w:hint="eastAsia" w:ascii="宋体" w:hAnsi="宋体" w:eastAsia="宋体" w:cs="宋体"/>
                <w:bCs/>
                <w:szCs w:val="21"/>
                <w:highlight w:val="none"/>
                <w:vertAlign w:val="baseline"/>
                <w:lang w:val="en-US" w:eastAsia="zh-CN"/>
              </w:rPr>
              <w:t>满分70分</w:t>
            </w:r>
            <w:r>
              <w:rPr>
                <w:rFonts w:hint="eastAsia" w:ascii="宋体" w:hAnsi="宋体" w:eastAsia="宋体" w:cs="宋体"/>
                <w:bCs/>
                <w:szCs w:val="21"/>
                <w:highlight w:val="none"/>
                <w:vertAlign w:val="baseline"/>
                <w:lang w:eastAsia="zh-CN"/>
              </w:rPr>
              <w:t>）</w:t>
            </w:r>
          </w:p>
        </w:tc>
        <w:tc>
          <w:tcPr>
            <w:tcW w:w="7669" w:type="dxa"/>
            <w:noWrap w:val="0"/>
            <w:vAlign w:val="top"/>
          </w:tcPr>
          <w:p w14:paraId="72635A13">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1</w:t>
            </w:r>
            <w:r>
              <w:rPr>
                <w:rFonts w:hint="eastAsia" w:ascii="宋体" w:hAnsi="宋体" w:eastAsia="宋体" w:cs="宋体"/>
                <w:b/>
                <w:bCs w:val="0"/>
                <w:szCs w:val="21"/>
                <w:highlight w:val="none"/>
                <w:vertAlign w:val="baseline"/>
                <w:lang w:eastAsia="zh-CN"/>
              </w:rPr>
              <w:t>）主要施工方法（10分）</w:t>
            </w:r>
          </w:p>
          <w:p w14:paraId="4BFB3D1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差（2分）：各主要分部施工方法不符合项目实际，未涉及本</w:t>
            </w:r>
            <w:r>
              <w:rPr>
                <w:rFonts w:hint="eastAsia" w:ascii="宋体" w:hAnsi="宋体" w:cs="宋体"/>
                <w:bCs/>
                <w:szCs w:val="21"/>
                <w:highlight w:val="none"/>
                <w:vertAlign w:val="baseline"/>
                <w:lang w:val="en-US" w:eastAsia="zh-CN"/>
              </w:rPr>
              <w:t>项目</w:t>
            </w:r>
            <w:r>
              <w:rPr>
                <w:rFonts w:hint="eastAsia" w:ascii="宋体" w:hAnsi="宋体" w:eastAsia="宋体" w:cs="宋体"/>
                <w:bCs/>
                <w:szCs w:val="21"/>
                <w:highlight w:val="none"/>
                <w:vertAlign w:val="baseline"/>
                <w:lang w:eastAsia="zh-CN"/>
              </w:rPr>
              <w:t>路床、级配碎石、砼路面、石碴回填等核心工序，不能指导本项目施工。</w:t>
            </w:r>
          </w:p>
          <w:p w14:paraId="5DA728D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中（6分）：覆盖路床整形、级配碎石、混凝土路面主要工序；缺少石碴回填、锯缝、伸缩缝做法，基本满足施工。</w:t>
            </w:r>
          </w:p>
          <w:p w14:paraId="705B135B">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 xml:space="preserve">良（8分）：完整包含路床、级配碎石基层、砼路面、石碴土路肩回填、锯缝、伸缩缝全部主体工序，工序顺序合理。 </w:t>
            </w:r>
          </w:p>
          <w:p w14:paraId="33A2BF5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分）：包含全部主体工序</w:t>
            </w:r>
            <w:r>
              <w:rPr>
                <w:rFonts w:hint="eastAsia" w:ascii="宋体" w:hAnsi="宋体" w:cs="宋体"/>
                <w:bCs/>
                <w:szCs w:val="21"/>
                <w:highlight w:val="none"/>
                <w:vertAlign w:val="baseline"/>
                <w:lang w:val="en-US" w:eastAsia="zh-CN"/>
              </w:rPr>
              <w:t>和</w:t>
            </w:r>
            <w:r>
              <w:rPr>
                <w:rFonts w:hint="eastAsia" w:ascii="宋体" w:hAnsi="宋体" w:eastAsia="宋体" w:cs="宋体"/>
                <w:bCs/>
                <w:szCs w:val="21"/>
                <w:highlight w:val="none"/>
                <w:vertAlign w:val="baseline"/>
                <w:lang w:eastAsia="zh-CN"/>
              </w:rPr>
              <w:t xml:space="preserve">工程标识牌施工；针对乡村田间道路，对混凝土养护、石碴回填压实、伸缩缝设置给出专项工艺控制措施。 </w:t>
            </w:r>
          </w:p>
        </w:tc>
      </w:tr>
      <w:tr w14:paraId="4643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401CD10C">
            <w:pPr>
              <w:spacing w:line="360" w:lineRule="auto"/>
              <w:jc w:val="center"/>
              <w:rPr>
                <w:rFonts w:hint="eastAsia" w:ascii="宋体" w:hAnsi="宋体" w:eastAsia="宋体" w:cs="宋体"/>
                <w:bCs/>
                <w:szCs w:val="21"/>
                <w:highlight w:val="none"/>
                <w:vertAlign w:val="baseline"/>
                <w:lang w:eastAsia="zh-CN"/>
              </w:rPr>
            </w:pPr>
          </w:p>
        </w:tc>
        <w:tc>
          <w:tcPr>
            <w:tcW w:w="1366" w:type="dxa"/>
            <w:vMerge w:val="continue"/>
            <w:noWrap w:val="0"/>
            <w:vAlign w:val="center"/>
          </w:tcPr>
          <w:p w14:paraId="3F9C56DB">
            <w:pPr>
              <w:spacing w:line="360" w:lineRule="auto"/>
              <w:jc w:val="center"/>
              <w:rPr>
                <w:rFonts w:hint="eastAsia" w:ascii="宋体" w:hAnsi="宋体" w:eastAsia="宋体" w:cs="宋体"/>
                <w:bCs/>
                <w:szCs w:val="21"/>
                <w:highlight w:val="none"/>
                <w:vertAlign w:val="baseline"/>
                <w:lang w:val="en-US" w:eastAsia="zh-CN"/>
              </w:rPr>
            </w:pPr>
          </w:p>
        </w:tc>
        <w:tc>
          <w:tcPr>
            <w:tcW w:w="7669" w:type="dxa"/>
            <w:noWrap w:val="0"/>
            <w:vAlign w:val="top"/>
          </w:tcPr>
          <w:p w14:paraId="626132CA">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2</w:t>
            </w:r>
            <w:r>
              <w:rPr>
                <w:rFonts w:hint="eastAsia" w:ascii="宋体" w:hAnsi="宋体" w:eastAsia="宋体" w:cs="宋体"/>
                <w:b/>
                <w:bCs w:val="0"/>
                <w:szCs w:val="21"/>
                <w:highlight w:val="none"/>
                <w:vertAlign w:val="baseline"/>
                <w:lang w:eastAsia="zh-CN"/>
              </w:rPr>
              <w:t>）施工机械设备情况（满分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188AB2F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分）：拟投入设备清单笼统，设备型号数量不匹配砼道路施工，进场计划缺失，无法满足施工。</w:t>
            </w:r>
          </w:p>
          <w:p w14:paraId="29A0D75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分）：列出挖掘机、混凝土振捣、路面切割等主要设备；有简单进场计划，与进度基本匹配，基本满足施工。</w:t>
            </w:r>
          </w:p>
          <w:p w14:paraId="2168CC00">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分）：设备清单完整，型号、数量满足产业道路施工；明确各设备进场时间，进场计划和施工进度一一对应。</w:t>
            </w:r>
          </w:p>
          <w:p w14:paraId="1F06DAA2">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Cs/>
                <w:szCs w:val="21"/>
                <w:highlight w:val="none"/>
                <w:vertAlign w:val="baseline"/>
                <w:lang w:eastAsia="zh-CN"/>
              </w:rPr>
              <w:t>优（5 分）：设备清单完整，区分自有</w:t>
            </w:r>
            <w:r>
              <w:rPr>
                <w:rFonts w:hint="eastAsia" w:ascii="宋体" w:hAnsi="宋体" w:cs="宋体"/>
                <w:bCs/>
                <w:szCs w:val="21"/>
                <w:highlight w:val="none"/>
                <w:vertAlign w:val="baseline"/>
                <w:lang w:val="en-US" w:eastAsia="zh-CN"/>
              </w:rPr>
              <w:t>/</w:t>
            </w:r>
            <w:r>
              <w:rPr>
                <w:rFonts w:hint="eastAsia" w:ascii="宋体" w:hAnsi="宋体" w:eastAsia="宋体" w:cs="宋体"/>
                <w:bCs/>
                <w:szCs w:val="21"/>
                <w:highlight w:val="none"/>
                <w:vertAlign w:val="baseline"/>
                <w:lang w:eastAsia="zh-CN"/>
              </w:rPr>
              <w:t>租赁；结合本项目线路长的特点，合理规划设备进场、现场转场安排。</w:t>
            </w:r>
          </w:p>
        </w:tc>
      </w:tr>
      <w:tr w14:paraId="1A67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0E729890">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9154086">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C16D635">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3</w:t>
            </w:r>
            <w:r>
              <w:rPr>
                <w:rFonts w:hint="eastAsia" w:ascii="宋体" w:hAnsi="宋体" w:eastAsia="宋体" w:cs="宋体"/>
                <w:b/>
                <w:bCs w:val="0"/>
                <w:szCs w:val="21"/>
                <w:highlight w:val="none"/>
                <w:vertAlign w:val="baseline"/>
                <w:lang w:eastAsia="zh-CN"/>
              </w:rPr>
              <w:t>）劳动力安排计划（满分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5637792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分）：没有分工序工种配置，人员计划笼统，人员投入不合理，不能满足</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w:t>
            </w:r>
          </w:p>
          <w:p w14:paraId="0F3D89D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分）：列出道路施工主要工种，配置大致人员数量、简单进场时间，基本满足施工。</w:t>
            </w:r>
          </w:p>
          <w:p w14:paraId="23A496A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分）：按路床、基层、面层、附属标识牌分阶段配置工种及人员数量，人员投入匹配施工进度。</w:t>
            </w:r>
          </w:p>
          <w:p w14:paraId="4F30247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分）：分阶段、分工种明确人员进退场时间；结合</w:t>
            </w:r>
            <w:r>
              <w:rPr>
                <w:rFonts w:hint="eastAsia" w:ascii="宋体" w:hAnsi="宋体" w:cs="宋体"/>
                <w:bCs/>
                <w:szCs w:val="21"/>
                <w:highlight w:val="none"/>
                <w:vertAlign w:val="baseline"/>
                <w:lang w:val="en-US" w:eastAsia="zh-CN"/>
              </w:rPr>
              <w:t>施工</w:t>
            </w:r>
            <w:r>
              <w:rPr>
                <w:rFonts w:hint="eastAsia" w:ascii="宋体" w:hAnsi="宋体" w:eastAsia="宋体" w:cs="宋体"/>
                <w:bCs/>
                <w:szCs w:val="21"/>
                <w:highlight w:val="none"/>
                <w:vertAlign w:val="baseline"/>
                <w:lang w:eastAsia="zh-CN"/>
              </w:rPr>
              <w:t>工期，配置匹配长距离田间道路作业班组。</w:t>
            </w:r>
          </w:p>
        </w:tc>
      </w:tr>
      <w:tr w14:paraId="5E09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BD49CD2">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135A2004">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54B1929C">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4</w:t>
            </w:r>
            <w:r>
              <w:rPr>
                <w:rFonts w:hint="eastAsia" w:ascii="宋体" w:hAnsi="宋体" w:eastAsia="宋体" w:cs="宋体"/>
                <w:b/>
                <w:bCs w:val="0"/>
                <w:szCs w:val="21"/>
                <w:highlight w:val="none"/>
                <w:vertAlign w:val="baseline"/>
                <w:lang w:eastAsia="zh-CN"/>
              </w:rPr>
              <w:t>）确保工程质量的技术组织措施（满分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1831C770">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分）：质量管理制度不全，无针对路床压实、级配碎石、混凝土路面、石碴回填等关键工序管控措施。</w:t>
            </w:r>
          </w:p>
          <w:p w14:paraId="2EC5751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分）：具备基础质量管理体系；对基层、砼路面有质量控制，缺少石碴回填压实、伸缩缝、路面养护专项控制。</w:t>
            </w:r>
          </w:p>
          <w:p w14:paraId="01DAF1A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分）：质量管理机构、岗位职责齐全；设置路床压实、级配碎石摊铺、砼浇筑养护、石碴回填压实、伸缩缝等质量控制点，管控手段完整。</w:t>
            </w:r>
          </w:p>
          <w:p w14:paraId="6C993E6E">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分）：质量管理体系完整；明确原材料进场检验、砼强度、回填密实度检测要求；针对乡村道路易出现路面开裂、压实不足制定预防措施。</w:t>
            </w:r>
          </w:p>
        </w:tc>
      </w:tr>
      <w:tr w14:paraId="5387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1E9ABCF">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572F04EC">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3531B08E">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）确保安全生产的技术组织措施（满分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64AB54B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分）：安全管理架构不完整，无田间道路机械作业、行人农机通行防护，应急处置内容缺失。</w:t>
            </w:r>
          </w:p>
          <w:p w14:paraId="29691275">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分）：配置专职安全员，基础安全管理制度齐全；机械作业有基本管控，缺少村屯田间农机、行人通行防护措施。</w:t>
            </w:r>
          </w:p>
          <w:p w14:paraId="44B1113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分）：安全管理制度、岗位职责齐全；落实机械作业、临时用电管控；考虑田间村屯场景，设置通行警示防护，具备基础应急救援方案。</w:t>
            </w:r>
          </w:p>
          <w:p w14:paraId="1B07029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分）：安全管理体系完整；机械、临时用电防护措施到位；针对田间甘蔗地、村民农机过往设置围挡、警示、通行疏导；应急组织、处置流程、物资清单完整。</w:t>
            </w:r>
          </w:p>
        </w:tc>
      </w:tr>
      <w:tr w14:paraId="0E28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20E1473B">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0FC848E3">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1100BF7A">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6</w:t>
            </w:r>
            <w:r>
              <w:rPr>
                <w:rFonts w:hint="eastAsia" w:ascii="宋体" w:hAnsi="宋体" w:eastAsia="宋体" w:cs="宋体"/>
                <w:b/>
                <w:bCs w:val="0"/>
                <w:szCs w:val="21"/>
                <w:highlight w:val="none"/>
                <w:vertAlign w:val="baseline"/>
                <w:lang w:eastAsia="zh-CN"/>
              </w:rPr>
              <w:t>）确保工期的技术组织措施（满分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574D249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分）：工期保障措施空泛，未结合</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工期、长距离道路特点，无分阶段进度安排。</w:t>
            </w:r>
          </w:p>
          <w:p w14:paraId="5497892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分）：有总体工期保障措施，简单划分施工阶段，基本满足</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工期。</w:t>
            </w:r>
          </w:p>
          <w:p w14:paraId="417EAA8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分）：以</w:t>
            </w:r>
            <w:r>
              <w:rPr>
                <w:rFonts w:hint="eastAsia" w:ascii="宋体" w:hAnsi="宋体" w:cs="宋体"/>
                <w:bCs/>
                <w:szCs w:val="21"/>
                <w:highlight w:val="none"/>
                <w:vertAlign w:val="baseline"/>
                <w:lang w:val="en-US" w:eastAsia="zh-CN"/>
              </w:rPr>
              <w:t>项目施工</w:t>
            </w:r>
            <w:r>
              <w:rPr>
                <w:rFonts w:hint="eastAsia" w:ascii="宋体" w:hAnsi="宋体" w:eastAsia="宋体" w:cs="宋体"/>
                <w:bCs/>
                <w:szCs w:val="21"/>
                <w:highlight w:val="none"/>
                <w:vertAlign w:val="baseline"/>
                <w:lang w:eastAsia="zh-CN"/>
              </w:rPr>
              <w:t>总工期为目标，分解路床、基层、砼面层、附属工程关键阶段，具备进度滞后纠偏措施。</w:t>
            </w:r>
          </w:p>
          <w:p w14:paraId="201102A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分）：结合野外田间雨季影响，编制分阶段进度计划；设置进度预警，明确人员、设备增配赶工措施，计划可匹配总进度网络图。</w:t>
            </w:r>
          </w:p>
        </w:tc>
      </w:tr>
      <w:tr w14:paraId="2F3D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C90F359">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31ED74E3">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3731F96D">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7</w:t>
            </w:r>
            <w:r>
              <w:rPr>
                <w:rFonts w:hint="eastAsia" w:ascii="宋体" w:hAnsi="宋体" w:eastAsia="宋体" w:cs="宋体"/>
                <w:b/>
                <w:bCs w:val="0"/>
                <w:szCs w:val="21"/>
                <w:highlight w:val="none"/>
                <w:vertAlign w:val="baseline"/>
                <w:lang w:eastAsia="zh-CN"/>
              </w:rPr>
              <w:t>）确保文明施工、环境保护及水土保持技术组织措施（满分</w:t>
            </w:r>
            <w:r>
              <w:rPr>
                <w:rFonts w:hint="eastAsia" w:ascii="宋体" w:hAnsi="宋体" w:eastAsia="宋体" w:cs="宋体"/>
                <w:b/>
                <w:bCs w:val="0"/>
                <w:szCs w:val="21"/>
                <w:highlight w:val="none"/>
                <w:vertAlign w:val="baseline"/>
                <w:lang w:val="en-US" w:eastAsia="zh-CN"/>
              </w:rPr>
              <w:t>10</w:t>
            </w:r>
            <w:r>
              <w:rPr>
                <w:rFonts w:hint="eastAsia" w:ascii="宋体" w:hAnsi="宋体" w:eastAsia="宋体" w:cs="宋体"/>
                <w:b/>
                <w:bCs w:val="0"/>
                <w:szCs w:val="21"/>
                <w:highlight w:val="none"/>
                <w:vertAlign w:val="baseline"/>
                <w:lang w:eastAsia="zh-CN"/>
              </w:rPr>
              <w:t>分）</w:t>
            </w:r>
          </w:p>
          <w:p w14:paraId="2BFA8FA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差（2 分）：文明施工、环保、水保措施缺失；土石方、石碴乱堆乱放，施工污水随意排放，无管控目标。</w:t>
            </w:r>
          </w:p>
          <w:p w14:paraId="6C42A94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中（6 分）：落实文明施工、环保水保基本要求；扬尘、石碴弃渣、施工废水具备基础管控，满足田间道路现场基础管理。</w:t>
            </w:r>
          </w:p>
          <w:p w14:paraId="73753636">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良（8 分）：文明施工、环保水保措施完善；砂石、石碴物料堆放规整；对施工地表扰动做防护，降低对周边甘蔗农田、村屯环境扰动。</w:t>
            </w:r>
          </w:p>
          <w:p w14:paraId="2409F64C">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优（10 分）：扬尘、砼废水、石碴及建筑垃圾管控措施明确；落实临时占地水土保持防护；明确完工后渣土清理、临时场地原貌恢复的具体做法。</w:t>
            </w:r>
          </w:p>
        </w:tc>
      </w:tr>
      <w:tr w14:paraId="4894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15527167">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684FDFA0">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482433B7">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8</w:t>
            </w:r>
            <w:r>
              <w:rPr>
                <w:rFonts w:hint="eastAsia" w:ascii="宋体" w:hAnsi="宋体" w:eastAsia="宋体" w:cs="宋体"/>
                <w:b/>
                <w:bCs w:val="0"/>
                <w:szCs w:val="21"/>
                <w:highlight w:val="none"/>
                <w:vertAlign w:val="baseline"/>
                <w:lang w:eastAsia="zh-CN"/>
              </w:rPr>
              <w:t>）工程施工的重点和难点及保证措施（满分</w:t>
            </w:r>
            <w:r>
              <w:rPr>
                <w:rFonts w:hint="eastAsia" w:ascii="宋体" w:hAnsi="宋体" w:eastAsia="宋体" w:cs="宋体"/>
                <w:b/>
                <w:bCs w:val="0"/>
                <w:szCs w:val="21"/>
                <w:highlight w:val="none"/>
                <w:vertAlign w:val="baseline"/>
                <w:lang w:val="en-US" w:eastAsia="zh-CN"/>
              </w:rPr>
              <w:t>5</w:t>
            </w:r>
            <w:r>
              <w:rPr>
                <w:rFonts w:hint="eastAsia" w:ascii="宋体" w:hAnsi="宋体" w:eastAsia="宋体" w:cs="宋体"/>
                <w:b/>
                <w:bCs w:val="0"/>
                <w:szCs w:val="21"/>
                <w:highlight w:val="none"/>
                <w:vertAlign w:val="baseline"/>
                <w:lang w:eastAsia="zh-CN"/>
              </w:rPr>
              <w:t>分）</w:t>
            </w:r>
          </w:p>
          <w:p w14:paraId="691F729C">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差（</w:t>
            </w:r>
            <w:r>
              <w:rPr>
                <w:rFonts w:hint="eastAsia" w:ascii="宋体" w:hAnsi="宋体" w:eastAsia="宋体" w:cs="宋体"/>
                <w:b w:val="0"/>
                <w:bCs/>
                <w:szCs w:val="21"/>
                <w:highlight w:val="none"/>
                <w:vertAlign w:val="baseline"/>
                <w:lang w:val="en-US" w:eastAsia="zh-CN"/>
              </w:rPr>
              <w:t>1</w:t>
            </w:r>
            <w:r>
              <w:rPr>
                <w:rFonts w:hint="eastAsia" w:ascii="宋体" w:hAnsi="宋体" w:eastAsia="宋体" w:cs="宋体"/>
                <w:b w:val="0"/>
                <w:bCs/>
                <w:szCs w:val="21"/>
                <w:highlight w:val="none"/>
                <w:vertAlign w:val="baseline"/>
                <w:lang w:eastAsia="zh-CN"/>
              </w:rPr>
              <w:t>分）：未针对该项目的难点、重点进行分析，未考虑各部分施工如何相互交叉和衔接，施工质量效果和设计效果的无法统一。</w:t>
            </w:r>
          </w:p>
          <w:p w14:paraId="05A864CD">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中（</w:t>
            </w:r>
            <w:r>
              <w:rPr>
                <w:rFonts w:hint="eastAsia" w:ascii="宋体" w:hAnsi="宋体" w:eastAsia="宋体" w:cs="宋体"/>
                <w:b w:val="0"/>
                <w:bCs/>
                <w:szCs w:val="21"/>
                <w:highlight w:val="none"/>
                <w:vertAlign w:val="baseline"/>
                <w:lang w:val="en-US" w:eastAsia="zh-CN"/>
              </w:rPr>
              <w:t>3</w:t>
            </w:r>
            <w:r>
              <w:rPr>
                <w:rFonts w:hint="eastAsia" w:ascii="宋体" w:hAnsi="宋体" w:eastAsia="宋体" w:cs="宋体"/>
                <w:b w:val="0"/>
                <w:bCs/>
                <w:szCs w:val="21"/>
                <w:highlight w:val="none"/>
                <w:vertAlign w:val="baseline"/>
                <w:lang w:eastAsia="zh-CN"/>
              </w:rPr>
              <w:t>分）：针对该项目的难点、重点分析不具体，各部分施工如何相互交叉和衔接不合理，施工质量效果和设计效果有较大差距。</w:t>
            </w:r>
          </w:p>
          <w:p w14:paraId="29227F2D">
            <w:pPr>
              <w:spacing w:line="360" w:lineRule="auto"/>
              <w:rPr>
                <w:rFonts w:hint="eastAsia" w:ascii="宋体" w:hAnsi="宋体" w:eastAsia="宋体" w:cs="宋体"/>
                <w:b w:val="0"/>
                <w:bCs/>
                <w:szCs w:val="21"/>
                <w:highlight w:val="none"/>
                <w:vertAlign w:val="baseline"/>
                <w:lang w:eastAsia="zh-CN"/>
              </w:rPr>
            </w:pPr>
            <w:r>
              <w:rPr>
                <w:rFonts w:hint="eastAsia" w:ascii="宋体" w:hAnsi="宋体" w:eastAsia="宋体" w:cs="宋体"/>
                <w:b w:val="0"/>
                <w:bCs/>
                <w:szCs w:val="21"/>
                <w:highlight w:val="none"/>
                <w:vertAlign w:val="baseline"/>
                <w:lang w:eastAsia="zh-CN"/>
              </w:rPr>
              <w:t>良（</w:t>
            </w:r>
            <w:r>
              <w:rPr>
                <w:rFonts w:hint="eastAsia" w:ascii="宋体" w:hAnsi="宋体" w:eastAsia="宋体" w:cs="宋体"/>
                <w:b w:val="0"/>
                <w:bCs/>
                <w:szCs w:val="21"/>
                <w:highlight w:val="none"/>
                <w:vertAlign w:val="baseline"/>
                <w:lang w:val="en-US" w:eastAsia="zh-CN"/>
              </w:rPr>
              <w:t>4</w:t>
            </w:r>
            <w:r>
              <w:rPr>
                <w:rFonts w:hint="eastAsia" w:ascii="宋体" w:hAnsi="宋体" w:eastAsia="宋体" w:cs="宋体"/>
                <w:b w:val="0"/>
                <w:bCs/>
                <w:szCs w:val="21"/>
                <w:highlight w:val="none"/>
                <w:vertAlign w:val="baseline"/>
                <w:lang w:eastAsia="zh-CN"/>
              </w:rPr>
              <w:t>分）：针对该项目的难点、重点分析简单，未重点考虑各部分施工如何相互交叉和衔接，施工质量效果基本达到设计效果。</w:t>
            </w:r>
          </w:p>
          <w:p w14:paraId="2EBF5F4A">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 w:val="0"/>
                <w:bCs/>
                <w:szCs w:val="21"/>
                <w:highlight w:val="none"/>
                <w:vertAlign w:val="baseline"/>
                <w:lang w:eastAsia="zh-CN"/>
              </w:rPr>
              <w:t>优（</w:t>
            </w:r>
            <w:r>
              <w:rPr>
                <w:rFonts w:hint="eastAsia" w:ascii="宋体" w:hAnsi="宋体" w:eastAsia="宋体" w:cs="宋体"/>
                <w:b w:val="0"/>
                <w:bCs/>
                <w:szCs w:val="21"/>
                <w:highlight w:val="none"/>
                <w:vertAlign w:val="baseline"/>
                <w:lang w:val="en-US" w:eastAsia="zh-CN"/>
              </w:rPr>
              <w:t>5</w:t>
            </w:r>
            <w:r>
              <w:rPr>
                <w:rFonts w:hint="eastAsia" w:ascii="宋体" w:hAnsi="宋体" w:eastAsia="宋体" w:cs="宋体"/>
                <w:b w:val="0"/>
                <w:bCs/>
                <w:szCs w:val="21"/>
                <w:highlight w:val="none"/>
                <w:vertAlign w:val="baseline"/>
                <w:lang w:eastAsia="zh-CN"/>
              </w:rPr>
              <w:t>分）：针对该项目的难点、重点详细分析，重点考虑各部分施工如何相互交叉和衔接，以保证施工质量效果和设计效果的完美统一。</w:t>
            </w:r>
          </w:p>
        </w:tc>
      </w:tr>
      <w:tr w14:paraId="100D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58655CF3">
            <w:pPr>
              <w:spacing w:line="360" w:lineRule="auto"/>
              <w:rPr>
                <w:rFonts w:hint="eastAsia" w:ascii="宋体" w:hAnsi="宋体" w:eastAsia="宋体" w:cs="宋体"/>
                <w:bCs/>
                <w:szCs w:val="21"/>
                <w:highlight w:val="none"/>
                <w:vertAlign w:val="baseline"/>
                <w:lang w:eastAsia="zh-CN"/>
              </w:rPr>
            </w:pPr>
          </w:p>
        </w:tc>
        <w:tc>
          <w:tcPr>
            <w:tcW w:w="1366" w:type="dxa"/>
            <w:vMerge w:val="continue"/>
            <w:noWrap w:val="0"/>
            <w:vAlign w:val="top"/>
          </w:tcPr>
          <w:p w14:paraId="4F8ED164">
            <w:pPr>
              <w:spacing w:line="360" w:lineRule="auto"/>
              <w:rPr>
                <w:rFonts w:hint="eastAsia" w:ascii="宋体" w:hAnsi="宋体" w:eastAsia="宋体" w:cs="宋体"/>
                <w:bCs/>
                <w:szCs w:val="21"/>
                <w:highlight w:val="none"/>
                <w:vertAlign w:val="baseline"/>
                <w:lang w:eastAsia="zh-CN"/>
              </w:rPr>
            </w:pPr>
          </w:p>
        </w:tc>
        <w:tc>
          <w:tcPr>
            <w:tcW w:w="7669" w:type="dxa"/>
            <w:noWrap w:val="0"/>
            <w:vAlign w:val="top"/>
          </w:tcPr>
          <w:p w14:paraId="29CAC37E">
            <w:pPr>
              <w:spacing w:line="360" w:lineRule="auto"/>
              <w:rPr>
                <w:rFonts w:hint="eastAsia" w:ascii="宋体" w:hAnsi="宋体" w:eastAsia="宋体" w:cs="宋体"/>
                <w:b/>
                <w:bCs w:val="0"/>
                <w:szCs w:val="21"/>
                <w:highlight w:val="none"/>
                <w:vertAlign w:val="baseline"/>
                <w:lang w:eastAsia="zh-CN"/>
              </w:rPr>
            </w:pPr>
            <w:r>
              <w:rPr>
                <w:rFonts w:hint="eastAsia" w:ascii="宋体" w:hAnsi="宋体" w:eastAsia="宋体" w:cs="宋体"/>
                <w:b/>
                <w:bCs w:val="0"/>
                <w:szCs w:val="21"/>
                <w:highlight w:val="none"/>
                <w:vertAlign w:val="baseline"/>
                <w:lang w:eastAsia="zh-CN"/>
              </w:rPr>
              <w:t>（</w:t>
            </w:r>
            <w:r>
              <w:rPr>
                <w:rFonts w:hint="eastAsia" w:ascii="宋体" w:hAnsi="宋体" w:eastAsia="宋体" w:cs="宋体"/>
                <w:b/>
                <w:bCs w:val="0"/>
                <w:szCs w:val="21"/>
                <w:highlight w:val="none"/>
                <w:vertAlign w:val="baseline"/>
                <w:lang w:val="en-US" w:eastAsia="zh-CN"/>
              </w:rPr>
              <w:t>9</w:t>
            </w:r>
            <w:r>
              <w:rPr>
                <w:rFonts w:hint="eastAsia" w:ascii="宋体" w:hAnsi="宋体" w:eastAsia="宋体" w:cs="宋体"/>
                <w:b/>
                <w:bCs w:val="0"/>
                <w:szCs w:val="21"/>
                <w:highlight w:val="none"/>
                <w:vertAlign w:val="baseline"/>
                <w:lang w:eastAsia="zh-CN"/>
              </w:rPr>
              <w:t>）施工总平面布置图（满分5分）</w:t>
            </w:r>
          </w:p>
          <w:p w14:paraId="55F2A5A3">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差（1 分）：总平面布置不合理，未考虑长距离线性道路特点，材料堆场、机械停放位置不合理。</w:t>
            </w:r>
          </w:p>
          <w:p w14:paraId="136A4E39">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中（3 分）：总平面布置要素基本完整，临时设施、材料、机械堆放位置基本合理，满足施工。</w:t>
            </w:r>
          </w:p>
          <w:p w14:paraId="3BA83292">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良（4 分）：总平面布置要素齐全；结合线性道路特点合理规划砂石、砼材料堆场、机械停放、临时生产生活场地。</w:t>
            </w:r>
          </w:p>
          <w:p w14:paraId="55D0C874">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szCs w:val="21"/>
                <w:highlight w:val="none"/>
                <w:vertAlign w:val="baseline"/>
                <w:lang w:eastAsia="zh-CN"/>
              </w:rPr>
              <w:t>优（5 分）：平面布置贴合野外甘蔗田间场地条件；统筹材料堆场、机械停放、临时排水、废料弃置，尽量少占用甘蔗农田。</w:t>
            </w:r>
          </w:p>
        </w:tc>
      </w:tr>
      <w:tr w14:paraId="6363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5FCC1992">
            <w:pPr>
              <w:spacing w:line="360" w:lineRule="auto"/>
              <w:rPr>
                <w:rFonts w:hint="eastAsia" w:ascii="宋体" w:hAnsi="宋体" w:eastAsia="宋体" w:cs="宋体"/>
                <w:bCs/>
                <w:color w:val="auto"/>
                <w:szCs w:val="21"/>
                <w:highlight w:val="none"/>
                <w:vertAlign w:val="baseline"/>
                <w:lang w:val="en-US" w:eastAsia="zh-CN"/>
              </w:rPr>
            </w:pPr>
          </w:p>
          <w:p w14:paraId="7F89C226">
            <w:pPr>
              <w:spacing w:line="360" w:lineRule="auto"/>
              <w:rPr>
                <w:rFonts w:hint="eastAsia" w:ascii="宋体" w:hAnsi="宋体" w:eastAsia="宋体" w:cs="宋体"/>
                <w:bCs/>
                <w:color w:val="auto"/>
                <w:szCs w:val="21"/>
                <w:highlight w:val="none"/>
                <w:vertAlign w:val="baseline"/>
                <w:lang w:val="en-US" w:eastAsia="zh-CN"/>
              </w:rPr>
            </w:pPr>
          </w:p>
          <w:p w14:paraId="6D2FC89F">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26C39DA3">
            <w:pPr>
              <w:spacing w:line="360" w:lineRule="auto"/>
              <w:rPr>
                <w:rFonts w:hint="eastAsia" w:ascii="宋体" w:hAnsi="宋体" w:eastAsia="宋体" w:cs="宋体"/>
                <w:bCs/>
                <w:color w:val="auto"/>
                <w:szCs w:val="21"/>
                <w:highlight w:val="none"/>
                <w:vertAlign w:val="baseline"/>
                <w:lang w:val="en-US" w:eastAsia="zh-CN"/>
              </w:rPr>
            </w:pPr>
          </w:p>
          <w:p w14:paraId="29AB4C57">
            <w:pPr>
              <w:spacing w:line="360" w:lineRule="auto"/>
              <w:rPr>
                <w:rFonts w:hint="eastAsia" w:ascii="宋体" w:hAnsi="宋体" w:eastAsia="宋体" w:cs="宋体"/>
                <w:bCs/>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业绩分（4分）</w:t>
            </w:r>
          </w:p>
        </w:tc>
        <w:tc>
          <w:tcPr>
            <w:tcW w:w="7669" w:type="dxa"/>
            <w:noWrap w:val="0"/>
            <w:vAlign w:val="top"/>
          </w:tcPr>
          <w:p w14:paraId="409BC6D5">
            <w:pPr>
              <w:spacing w:line="360" w:lineRule="auto"/>
              <w:rPr>
                <w:rFonts w:hint="eastAsia" w:ascii="宋体" w:hAnsi="宋体" w:eastAsia="宋体" w:cs="宋体"/>
                <w:b/>
                <w:bCs w:val="0"/>
                <w:szCs w:val="21"/>
                <w:highlight w:val="none"/>
                <w:vertAlign w:val="baseline"/>
                <w:lang w:val="en-US" w:eastAsia="zh-CN"/>
              </w:rPr>
            </w:pPr>
            <w:r>
              <w:rPr>
                <w:rFonts w:hint="eastAsia" w:ascii="宋体" w:hAnsi="宋体" w:eastAsia="宋体" w:cs="宋体"/>
                <w:b w:val="0"/>
                <w:bCs/>
                <w:szCs w:val="21"/>
                <w:highlight w:val="none"/>
                <w:vertAlign w:val="baseline"/>
                <w:lang w:val="en-US" w:eastAsia="zh-CN"/>
              </w:rPr>
              <w:t>供应商在2023年0</w:t>
            </w:r>
            <w:r>
              <w:rPr>
                <w:rFonts w:hint="eastAsia" w:ascii="宋体" w:hAnsi="宋体" w:cs="宋体"/>
                <w:b w:val="0"/>
                <w:bCs/>
                <w:szCs w:val="21"/>
                <w:highlight w:val="none"/>
                <w:vertAlign w:val="baseline"/>
                <w:lang w:val="en-US" w:eastAsia="zh-CN"/>
              </w:rPr>
              <w:t>9</w:t>
            </w:r>
            <w:r>
              <w:rPr>
                <w:rFonts w:hint="eastAsia" w:ascii="宋体" w:hAnsi="宋体" w:eastAsia="宋体" w:cs="宋体"/>
                <w:b w:val="0"/>
                <w:bCs/>
                <w:szCs w:val="21"/>
                <w:highlight w:val="none"/>
                <w:vertAlign w:val="baseline"/>
                <w:lang w:val="en-US" w:eastAsia="zh-CN"/>
              </w:rPr>
              <w:t>月01日至竞标截止之日前完成过质量合格的</w:t>
            </w:r>
            <w:r>
              <w:rPr>
                <w:rFonts w:hint="eastAsia" w:ascii="宋体" w:hAnsi="宋体" w:cs="宋体"/>
                <w:b w:val="0"/>
                <w:bCs/>
                <w:szCs w:val="21"/>
                <w:highlight w:val="none"/>
                <w:vertAlign w:val="baseline"/>
                <w:lang w:val="en-US" w:eastAsia="zh-CN"/>
              </w:rPr>
              <w:t>市政道路/农村公路/产业硬化道路等类似</w:t>
            </w:r>
            <w:r>
              <w:rPr>
                <w:rFonts w:hint="eastAsia" w:ascii="宋体" w:hAnsi="宋体" w:eastAsia="宋体" w:cs="宋体"/>
                <w:b w:val="0"/>
                <w:bCs/>
                <w:szCs w:val="21"/>
                <w:highlight w:val="none"/>
                <w:vertAlign w:val="baseline"/>
                <w:lang w:val="en-US" w:eastAsia="zh-CN"/>
              </w:rPr>
              <w:t>施工业绩的，得4分。满分4分。（需同时附以下两种材料复印件：①中标（成交）通知书或施工承包合同协议书②工程完工验收单或交（竣）工验收鉴定书）</w:t>
            </w:r>
          </w:p>
        </w:tc>
      </w:tr>
      <w:tr w14:paraId="04FE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3ED6A814">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bl>
    <w:p w14:paraId="20248594">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lang w:eastAsia="zh-CN"/>
        </w:rPr>
      </w:pPr>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79"/>
      <w:bookmarkEnd w:id="80"/>
      <w:bookmarkEnd w:id="81"/>
    </w:p>
    <w:p w14:paraId="26042413">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9"/>
        <w:pageBreakBefore w:val="0"/>
        <w:kinsoku/>
        <w:wordWrap/>
        <w:overflowPunct/>
        <w:topLinePunct w:val="0"/>
        <w:autoSpaceDE/>
        <w:autoSpaceDN/>
        <w:bidi w:val="0"/>
        <w:snapToGrid/>
        <w:spacing w:before="0" w:line="420" w:lineRule="exact"/>
        <w:ind w:firstLine="420"/>
        <w:textAlignment w:val="auto"/>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3"/>
        <w:pageBreakBefore w:val="0"/>
        <w:kinsoku/>
        <w:wordWrap/>
        <w:overflowPunct/>
        <w:topLinePunct w:val="0"/>
        <w:autoSpaceDE/>
        <w:autoSpaceDN/>
        <w:bidi w:val="0"/>
        <w:snapToGrid/>
        <w:spacing w:before="0" w:after="0" w:line="420" w:lineRule="exact"/>
        <w:ind w:firstLine="640" w:firstLineChars="200"/>
        <w:jc w:val="center"/>
        <w:textAlignment w:val="auto"/>
        <w:rPr>
          <w:rFonts w:hint="eastAsia" w:ascii="宋体" w:hAnsi="宋体" w:eastAsia="宋体" w:cs="宋体"/>
          <w:b w:val="0"/>
          <w:color w:val="auto"/>
          <w:highlight w:val="none"/>
        </w:rPr>
      </w:pPr>
      <w:bookmarkStart w:id="82" w:name="_Toc80205936"/>
      <w:bookmarkStart w:id="83" w:name="_Toc6990"/>
      <w:bookmarkStart w:id="84" w:name="_Toc32744"/>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2"/>
      <w:bookmarkEnd w:id="83"/>
      <w:bookmarkEnd w:id="84"/>
    </w:p>
    <w:p w14:paraId="4518EF3D">
      <w:pPr>
        <w:pageBreakBefore w:val="0"/>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pageBreakBefore w:val="0"/>
        <w:widowControl/>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pageBreakBefore w:val="0"/>
        <w:widowControl/>
        <w:kinsoku/>
        <w:wordWrap/>
        <w:overflowPunct/>
        <w:topLinePunct w:val="0"/>
        <w:autoSpaceDE/>
        <w:autoSpaceDN/>
        <w:bidi w:val="0"/>
        <w:snapToGrid/>
        <w:spacing w:line="420" w:lineRule="exact"/>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pageBreakBefore w:val="0"/>
        <w:kinsoku/>
        <w:wordWrap/>
        <w:overflowPunct/>
        <w:topLinePunct w:val="0"/>
        <w:autoSpaceDE/>
        <w:autoSpaceDN/>
        <w:bidi w:val="0"/>
        <w:snapToGrid/>
        <w:spacing w:line="420" w:lineRule="exact"/>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4406E76">
      <w:pPr>
        <w:spacing w:line="400" w:lineRule="exact"/>
        <w:ind w:firstLine="420" w:firstLineChars="200"/>
        <w:rPr>
          <w:rFonts w:hint="eastAsia" w:ascii="宋体" w:hAnsi="宋体" w:eastAsia="宋体" w:cs="宋体"/>
          <w:color w:val="auto"/>
          <w:highlight w:val="none"/>
        </w:rPr>
      </w:pPr>
    </w:p>
    <w:p w14:paraId="413217E7">
      <w:pPr>
        <w:outlineLvl w:val="9"/>
        <w:rPr>
          <w:rFonts w:hint="eastAsia" w:ascii="宋体" w:hAnsi="宋体" w:eastAsia="宋体" w:cs="宋体"/>
          <w:color w:val="auto"/>
          <w:highlight w:val="none"/>
        </w:rPr>
      </w:pPr>
    </w:p>
    <w:p w14:paraId="45104D3B">
      <w:pPr>
        <w:jc w:val="center"/>
        <w:outlineLvl w:val="9"/>
        <w:rPr>
          <w:rFonts w:hint="eastAsia" w:ascii="宋体" w:hAnsi="宋体" w:eastAsia="宋体" w:cs="宋体"/>
          <w:color w:val="auto"/>
          <w:highlight w:val="none"/>
        </w:rPr>
      </w:pPr>
    </w:p>
    <w:p w14:paraId="6E0BB34F">
      <w:pPr>
        <w:pStyle w:val="26"/>
        <w:rPr>
          <w:rFonts w:hint="eastAsia" w:ascii="宋体" w:hAnsi="宋体" w:eastAsia="宋体" w:cs="宋体"/>
          <w:color w:val="auto"/>
          <w:highlight w:val="none"/>
        </w:rPr>
      </w:pPr>
    </w:p>
    <w:p w14:paraId="3A0F5537">
      <w:pPr>
        <w:pStyle w:val="26"/>
        <w:rPr>
          <w:rFonts w:hint="eastAsia" w:ascii="宋体" w:hAnsi="宋体" w:eastAsia="宋体" w:cs="宋体"/>
          <w:color w:val="auto"/>
          <w:highlight w:val="none"/>
        </w:rPr>
      </w:pPr>
    </w:p>
    <w:p w14:paraId="54EC10A7">
      <w:pPr>
        <w:pStyle w:val="26"/>
        <w:rPr>
          <w:rFonts w:hint="eastAsia" w:ascii="宋体" w:hAnsi="宋体" w:eastAsia="宋体" w:cs="宋体"/>
          <w:color w:val="auto"/>
          <w:highlight w:val="none"/>
        </w:rPr>
      </w:pPr>
    </w:p>
    <w:p w14:paraId="5D1AEB4D">
      <w:pPr>
        <w:pStyle w:val="26"/>
        <w:rPr>
          <w:rFonts w:hint="eastAsia" w:ascii="宋体" w:hAnsi="宋体" w:eastAsia="宋体" w:cs="宋体"/>
          <w:color w:val="auto"/>
          <w:highlight w:val="none"/>
        </w:rPr>
      </w:pPr>
    </w:p>
    <w:p w14:paraId="4B4C1EFE">
      <w:pPr>
        <w:pStyle w:val="26"/>
        <w:rPr>
          <w:rFonts w:hint="eastAsia" w:ascii="宋体" w:hAnsi="宋体" w:eastAsia="宋体" w:cs="宋体"/>
          <w:color w:val="auto"/>
          <w:highlight w:val="none"/>
        </w:rPr>
      </w:pPr>
    </w:p>
    <w:p w14:paraId="160B42EF">
      <w:pPr>
        <w:pStyle w:val="26"/>
        <w:rPr>
          <w:rFonts w:hint="eastAsia" w:ascii="宋体" w:hAnsi="宋体" w:eastAsia="宋体" w:cs="宋体"/>
          <w:color w:val="auto"/>
          <w:highlight w:val="none"/>
        </w:rPr>
      </w:pPr>
    </w:p>
    <w:p w14:paraId="2DABD45C">
      <w:pPr>
        <w:pStyle w:val="26"/>
        <w:rPr>
          <w:rFonts w:hint="eastAsia" w:ascii="宋体" w:hAnsi="宋体" w:eastAsia="宋体" w:cs="宋体"/>
          <w:color w:val="auto"/>
          <w:highlight w:val="none"/>
        </w:rPr>
      </w:pPr>
    </w:p>
    <w:p w14:paraId="7F7D757C">
      <w:pPr>
        <w:pStyle w:val="26"/>
        <w:rPr>
          <w:rFonts w:hint="eastAsia" w:ascii="宋体" w:hAnsi="宋体" w:eastAsia="宋体" w:cs="宋体"/>
          <w:color w:val="auto"/>
          <w:highlight w:val="none"/>
        </w:rPr>
      </w:pPr>
    </w:p>
    <w:p w14:paraId="79AA95DF">
      <w:pPr>
        <w:pStyle w:val="26"/>
        <w:rPr>
          <w:rFonts w:hint="eastAsia" w:ascii="宋体" w:hAnsi="宋体" w:eastAsia="宋体" w:cs="宋体"/>
          <w:color w:val="auto"/>
          <w:highlight w:val="none"/>
        </w:rPr>
      </w:pPr>
    </w:p>
    <w:p w14:paraId="5FF715BC">
      <w:pPr>
        <w:pStyle w:val="26"/>
        <w:rPr>
          <w:rFonts w:hint="eastAsia" w:ascii="宋体" w:hAnsi="宋体" w:eastAsia="宋体" w:cs="宋体"/>
          <w:color w:val="auto"/>
          <w:highlight w:val="none"/>
        </w:rPr>
      </w:pPr>
    </w:p>
    <w:p w14:paraId="3046A0C8">
      <w:pPr>
        <w:pStyle w:val="26"/>
        <w:rPr>
          <w:rFonts w:hint="eastAsia" w:ascii="宋体" w:hAnsi="宋体" w:eastAsia="宋体" w:cs="宋体"/>
          <w:color w:val="auto"/>
          <w:highlight w:val="none"/>
        </w:rPr>
      </w:pPr>
    </w:p>
    <w:p w14:paraId="2CEBDA00">
      <w:pPr>
        <w:pStyle w:val="26"/>
        <w:rPr>
          <w:rFonts w:hint="eastAsia" w:ascii="宋体" w:hAnsi="宋体" w:eastAsia="宋体" w:cs="宋体"/>
          <w:color w:val="auto"/>
          <w:highlight w:val="none"/>
        </w:rPr>
      </w:pPr>
    </w:p>
    <w:p w14:paraId="6FEDF3F1">
      <w:pPr>
        <w:pStyle w:val="26"/>
        <w:rPr>
          <w:rFonts w:hint="eastAsia" w:ascii="宋体" w:hAnsi="宋体" w:eastAsia="宋体" w:cs="宋体"/>
          <w:color w:val="auto"/>
          <w:highlight w:val="none"/>
        </w:rPr>
      </w:pPr>
    </w:p>
    <w:p w14:paraId="6C3B64F0">
      <w:pPr>
        <w:pStyle w:val="26"/>
        <w:rPr>
          <w:rFonts w:hint="eastAsia" w:ascii="宋体" w:hAnsi="宋体" w:eastAsia="宋体" w:cs="宋体"/>
          <w:color w:val="auto"/>
          <w:highlight w:val="none"/>
        </w:rPr>
      </w:pPr>
    </w:p>
    <w:p w14:paraId="09604A19">
      <w:pPr>
        <w:pStyle w:val="26"/>
        <w:rPr>
          <w:rFonts w:hint="eastAsia" w:ascii="宋体" w:hAnsi="宋体" w:eastAsia="宋体" w:cs="宋体"/>
          <w:color w:val="auto"/>
          <w:highlight w:val="none"/>
        </w:rPr>
      </w:pPr>
    </w:p>
    <w:p w14:paraId="6E7588BC">
      <w:pPr>
        <w:pStyle w:val="26"/>
        <w:rPr>
          <w:rFonts w:hint="eastAsia" w:ascii="宋体" w:hAnsi="宋体" w:eastAsia="宋体" w:cs="宋体"/>
          <w:color w:val="auto"/>
          <w:highlight w:val="none"/>
        </w:rPr>
      </w:pPr>
    </w:p>
    <w:p w14:paraId="26630319">
      <w:pPr>
        <w:pStyle w:val="26"/>
        <w:rPr>
          <w:rFonts w:hint="eastAsia" w:ascii="宋体" w:hAnsi="宋体" w:eastAsia="宋体" w:cs="宋体"/>
          <w:color w:val="auto"/>
          <w:highlight w:val="none"/>
        </w:rPr>
      </w:pPr>
    </w:p>
    <w:p w14:paraId="3E5A92B7">
      <w:pPr>
        <w:pStyle w:val="26"/>
        <w:rPr>
          <w:rFonts w:hint="eastAsia" w:ascii="宋体" w:hAnsi="宋体" w:eastAsia="宋体" w:cs="宋体"/>
          <w:color w:val="auto"/>
          <w:highlight w:val="none"/>
        </w:rPr>
      </w:pPr>
    </w:p>
    <w:p w14:paraId="1B4B34B8">
      <w:pPr>
        <w:pStyle w:val="26"/>
        <w:rPr>
          <w:rFonts w:hint="eastAsia" w:ascii="宋体" w:hAnsi="宋体" w:eastAsia="宋体" w:cs="宋体"/>
          <w:color w:val="auto"/>
          <w:highlight w:val="none"/>
        </w:rPr>
      </w:pPr>
    </w:p>
    <w:p w14:paraId="7BFC3690">
      <w:pPr>
        <w:pStyle w:val="26"/>
        <w:rPr>
          <w:rFonts w:hint="eastAsia" w:ascii="宋体" w:hAnsi="宋体" w:eastAsia="宋体" w:cs="宋体"/>
          <w:color w:val="auto"/>
          <w:highlight w:val="none"/>
        </w:rPr>
      </w:pPr>
    </w:p>
    <w:p w14:paraId="3EE5FA26">
      <w:pPr>
        <w:pStyle w:val="26"/>
        <w:rPr>
          <w:rFonts w:hint="eastAsia" w:ascii="宋体" w:hAnsi="宋体" w:eastAsia="宋体" w:cs="宋体"/>
          <w:color w:val="auto"/>
          <w:highlight w:val="none"/>
        </w:rPr>
      </w:pPr>
    </w:p>
    <w:p w14:paraId="77E9809B">
      <w:pPr>
        <w:pStyle w:val="26"/>
        <w:rPr>
          <w:rFonts w:hint="eastAsia" w:ascii="宋体" w:hAnsi="宋体" w:eastAsia="宋体" w:cs="宋体"/>
          <w:color w:val="auto"/>
          <w:highlight w:val="none"/>
        </w:rPr>
      </w:pPr>
    </w:p>
    <w:p w14:paraId="76ADDAFB">
      <w:pPr>
        <w:pStyle w:val="26"/>
        <w:rPr>
          <w:rFonts w:hint="eastAsia" w:ascii="宋体" w:hAnsi="宋体" w:eastAsia="宋体" w:cs="宋体"/>
          <w:color w:val="auto"/>
          <w:highlight w:val="none"/>
        </w:rPr>
      </w:pPr>
    </w:p>
    <w:p w14:paraId="7812C2E0">
      <w:pPr>
        <w:pStyle w:val="14"/>
        <w:rPr>
          <w:rFonts w:hint="eastAsia" w:ascii="宋体" w:hAnsi="宋体" w:eastAsia="宋体" w:cs="宋体"/>
          <w:color w:val="auto"/>
          <w:highlight w:val="none"/>
        </w:rPr>
      </w:pPr>
    </w:p>
    <w:p w14:paraId="02AA4847">
      <w:pPr>
        <w:pStyle w:val="2"/>
        <w:jc w:val="center"/>
        <w:rPr>
          <w:rFonts w:hint="eastAsia" w:ascii="宋体" w:hAnsi="宋体" w:eastAsia="宋体" w:cs="宋体"/>
          <w:color w:val="auto"/>
          <w:highlight w:val="none"/>
        </w:rPr>
        <w:sectPr>
          <w:footerReference r:id="rId13" w:type="first"/>
          <w:footerReference r:id="rId12" w:type="default"/>
          <w:pgSz w:w="11910" w:h="16840"/>
          <w:pgMar w:top="1440" w:right="1080" w:bottom="1440" w:left="1080" w:header="720" w:footer="720" w:gutter="0"/>
          <w:pgNumType w:fmt="decimal"/>
          <w:cols w:space="720" w:num="1"/>
          <w:formProt w:val="0"/>
        </w:sectPr>
      </w:pPr>
      <w:bookmarkStart w:id="85" w:name="_Toc32723"/>
      <w:bookmarkStart w:id="86" w:name="_Toc32731"/>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5"/>
      <w:bookmarkEnd w:id="86"/>
    </w:p>
    <w:p w14:paraId="31253F59">
      <w:pPr>
        <w:pStyle w:val="3"/>
        <w:jc w:val="center"/>
        <w:rPr>
          <w:rFonts w:hint="eastAsia" w:ascii="宋体" w:hAnsi="宋体" w:eastAsia="宋体" w:cs="宋体"/>
          <w:b w:val="0"/>
          <w:color w:val="auto"/>
          <w:highlight w:val="none"/>
          <w:lang w:val="en-US" w:eastAsia="zh-CN"/>
        </w:rPr>
      </w:pPr>
      <w:bookmarkStart w:id="87" w:name="_Toc30065"/>
      <w:bookmarkStart w:id="88" w:name="_Toc80205938"/>
      <w:bookmarkStart w:id="89" w:name="_Toc17340"/>
      <w:r>
        <w:rPr>
          <w:rFonts w:hint="eastAsia" w:ascii="宋体" w:hAnsi="宋体" w:eastAsia="宋体" w:cs="宋体"/>
          <w:b w:val="0"/>
          <w:color w:val="auto"/>
          <w:highlight w:val="none"/>
          <w:lang w:val="en-US" w:eastAsia="zh-CN"/>
        </w:rPr>
        <w:t>第一节 封面格式</w:t>
      </w:r>
      <w:bookmarkEnd w:id="87"/>
      <w:bookmarkEnd w:id="88"/>
      <w:bookmarkEnd w:id="89"/>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1504BCAE">
      <w:pPr>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715AAA61">
      <w:pPr>
        <w:pStyle w:val="3"/>
        <w:jc w:val="center"/>
        <w:rPr>
          <w:rFonts w:hint="eastAsia" w:ascii="宋体" w:hAnsi="宋体" w:eastAsia="宋体" w:cs="宋体"/>
          <w:bCs w:val="0"/>
          <w:color w:val="auto"/>
          <w:highlight w:val="none"/>
        </w:rPr>
      </w:pPr>
      <w:bookmarkStart w:id="90" w:name="_Toc3025"/>
      <w:bookmarkStart w:id="91" w:name="_Toc10308"/>
      <w:bookmarkStart w:id="92" w:name="_Toc80205939"/>
      <w:r>
        <w:rPr>
          <w:rFonts w:hint="eastAsia" w:ascii="宋体" w:hAnsi="宋体" w:eastAsia="宋体" w:cs="宋体"/>
          <w:bCs w:val="0"/>
          <w:color w:val="auto"/>
          <w:highlight w:val="none"/>
        </w:rPr>
        <w:t>第二节 资格证明文件格式</w:t>
      </w:r>
      <w:bookmarkEnd w:id="90"/>
      <w:bookmarkEnd w:id="91"/>
      <w:bookmarkEnd w:id="92"/>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7"/>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7"/>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7"/>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7"/>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w:t>
      </w:r>
      <w:r>
        <w:rPr>
          <w:rFonts w:hint="eastAsia" w:ascii="宋体" w:hAnsi="宋体" w:eastAsia="宋体" w:cs="宋体"/>
          <w:color w:val="auto"/>
          <w:sz w:val="24"/>
          <w:highlight w:val="none"/>
        </w:rPr>
        <w:t>本项目的特定资格要求证明材料</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五</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六、中小企业声明函或监狱企业由省级以上监狱管理局、戒毒管理局（含新疆生产建设兵团）出具的属于监狱企业的证明文件或残疾人福利性单位声明函……（页码）</w:t>
      </w:r>
    </w:p>
    <w:p w14:paraId="4785E2F3">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sz w:val="24"/>
          <w:highlight w:val="none"/>
          <w:lang w:val="en-US" w:eastAsia="zh-CN"/>
        </w:rPr>
        <w:t>七.</w:t>
      </w:r>
      <w:r>
        <w:rPr>
          <w:rFonts w:hint="eastAsia" w:ascii="宋体" w:hAnsi="宋体" w:cs="宋体"/>
          <w:color w:val="auto"/>
          <w:sz w:val="24"/>
          <w:highlight w:val="none"/>
          <w:lang w:val="en-US" w:eastAsia="zh-CN"/>
        </w:rPr>
        <w:t>项目经理无在建项目、无中标（成交）未开工及未列为其他项目第一中标候选人承诺书</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lang w:val="en-US" w:eastAsia="zh-CN"/>
        </w:rPr>
        <w:t>……………………………………………………………………………（页码）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八</w:t>
      </w:r>
      <w:r>
        <w:rPr>
          <w:rFonts w:hint="eastAsia" w:ascii="宋体" w:hAnsi="宋体" w:eastAsia="宋体" w:cs="宋体"/>
          <w:color w:val="auto"/>
          <w:kern w:val="0"/>
          <w:sz w:val="24"/>
          <w:highlight w:val="none"/>
          <w:lang w:val="en-US" w:eastAsia="zh-CN"/>
        </w:rPr>
        <w:t>、除磋商文件规定必须提供以外，供应商认为需要提供的其他证明材料…（页码）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35DBFED">
      <w:pPr>
        <w:snapToGrid w:val="0"/>
        <w:spacing w:before="120" w:beforeLines="50" w:after="50"/>
        <w:rPr>
          <w:rFonts w:hint="eastAsia" w:ascii="宋体" w:hAnsi="宋体" w:eastAsia="宋体" w:cs="宋体"/>
          <w:color w:val="auto"/>
          <w:sz w:val="24"/>
          <w:szCs w:val="20"/>
          <w:highlight w:val="none"/>
        </w:rPr>
        <w:sectPr>
          <w:footerReference r:id="rId15" w:type="first"/>
          <w:footerReference r:id="rId14" w:type="default"/>
          <w:pgSz w:w="11910" w:h="16840"/>
          <w:pgMar w:top="1340" w:right="1500" w:bottom="280" w:left="1680" w:header="720" w:footer="720" w:gutter="0"/>
          <w:pgNumType w:fmt="decimal"/>
          <w:cols w:space="720" w:num="1"/>
          <w:formProt w:val="0"/>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4.我方具有符合采购文件资格要</w:t>
      </w:r>
      <w:r>
        <w:rPr>
          <w:rFonts w:hint="eastAsia" w:ascii="宋体" w:hAnsi="宋体" w:cs="宋体"/>
          <w:color w:val="auto"/>
          <w:kern w:val="0"/>
          <w:sz w:val="24"/>
          <w:szCs w:val="24"/>
          <w:highlight w:val="none"/>
          <w:lang w:val="en-US" w:eastAsia="zh-CN" w:bidi="ar"/>
        </w:rPr>
        <w:t>求和</w:t>
      </w:r>
      <w:r>
        <w:rPr>
          <w:rFonts w:hint="eastAsia" w:ascii="宋体" w:hAnsi="宋体" w:eastAsia="宋体" w:cs="宋体"/>
          <w:color w:val="auto"/>
          <w:kern w:val="0"/>
          <w:sz w:val="24"/>
          <w:szCs w:val="24"/>
          <w:highlight w:val="none"/>
          <w:lang w:val="en-US" w:eastAsia="zh-CN" w:bidi="ar"/>
        </w:rPr>
        <w:t xml:space="preserve">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w:t>
      </w:r>
      <w:r>
        <w:rPr>
          <w:rFonts w:hint="eastAsia" w:ascii="宋体" w:hAnsi="宋体" w:cs="宋体"/>
          <w:color w:val="auto"/>
          <w:kern w:val="0"/>
          <w:sz w:val="24"/>
          <w:szCs w:val="24"/>
          <w:highlight w:val="none"/>
          <w:lang w:val="en-US" w:eastAsia="zh-CN" w:bidi="ar"/>
        </w:rPr>
        <w:t>供应商名称（</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w:t>
      </w:r>
      <w:r>
        <w:rPr>
          <w:rFonts w:hint="eastAsia" w:ascii="宋体" w:hAnsi="宋体" w:cs="宋体"/>
          <w:b w:val="0"/>
          <w:bCs w:val="0"/>
          <w:color w:val="auto"/>
          <w:spacing w:val="6"/>
          <w:sz w:val="24"/>
          <w:szCs w:val="24"/>
          <w:highlight w:val="none"/>
          <w:u w:val="none"/>
          <w:lang w:val="en-US" w:eastAsia="zh-CN"/>
        </w:rPr>
        <w:t>包含</w:t>
      </w:r>
      <w:r>
        <w:rPr>
          <w:rFonts w:hint="eastAsia" w:ascii="宋体" w:hAnsi="宋体" w:eastAsia="宋体" w:cs="宋体"/>
          <w:b w:val="0"/>
          <w:bCs w:val="0"/>
          <w:color w:val="auto"/>
          <w:spacing w:val="6"/>
          <w:sz w:val="24"/>
          <w:szCs w:val="24"/>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w:t>
      </w:r>
      <w:r>
        <w:rPr>
          <w:rFonts w:hint="eastAsia" w:ascii="宋体" w:hAnsi="宋体" w:cs="宋体"/>
          <w:color w:val="auto"/>
          <w:kern w:val="0"/>
          <w:sz w:val="24"/>
          <w:highlight w:val="none"/>
          <w:lang w:eastAsia="zh-CN"/>
        </w:rPr>
        <w:t>股东会</w:t>
      </w:r>
      <w:r>
        <w:rPr>
          <w:rFonts w:hint="eastAsia" w:ascii="宋体" w:hAnsi="宋体" w:eastAsia="宋体" w:cs="宋体"/>
          <w:color w:val="auto"/>
          <w:kern w:val="0"/>
          <w:sz w:val="24"/>
          <w:highlight w:val="none"/>
        </w:rPr>
        <w:t>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20"/>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C860C6C">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0ED3DD0">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、本项目的特定资格要求证明材料</w:t>
      </w:r>
    </w:p>
    <w:p w14:paraId="7BA77B07">
      <w:pPr>
        <w:snapToGrid w:val="0"/>
        <w:spacing w:line="360" w:lineRule="auto"/>
        <w:rPr>
          <w:rFonts w:hint="eastAsia" w:ascii="宋体" w:hAnsi="宋体" w:eastAsia="宋体" w:cs="宋体"/>
          <w:color w:val="auto"/>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numPr>
          <w:ilvl w:val="0"/>
          <w:numId w:val="0"/>
        </w:numPr>
        <w:snapToGrid w:val="0"/>
        <w:spacing w:line="360" w:lineRule="auto"/>
        <w:rPr>
          <w:rFonts w:hint="eastAsia" w:ascii="宋体" w:hAnsi="宋体" w:eastAsia="宋体" w:cs="宋体"/>
          <w:b/>
          <w:color w:val="auto"/>
          <w:sz w:val="30"/>
          <w:szCs w:val="30"/>
          <w:highlight w:val="none"/>
        </w:rPr>
      </w:pP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20"/>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w:t>
      </w:r>
      <w:r>
        <w:rPr>
          <w:rFonts w:hint="eastAsia" w:ascii="宋体" w:hAnsi="宋体" w:cs="宋体"/>
          <w:b/>
          <w:color w:val="auto"/>
          <w:sz w:val="24"/>
          <w:highlight w:val="none"/>
          <w:lang w:eastAsia="zh-CN"/>
        </w:rPr>
        <w:t>相应</w:t>
      </w:r>
      <w:r>
        <w:rPr>
          <w:rFonts w:hint="eastAsia" w:ascii="宋体" w:hAnsi="宋体" w:eastAsia="宋体" w:cs="宋体"/>
          <w:b/>
          <w:color w:val="auto"/>
          <w:sz w:val="24"/>
          <w:highlight w:val="none"/>
        </w:rPr>
        <w:t>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3" w:name="_Toc7417"/>
      <w:bookmarkStart w:id="94" w:name="_Toc7122"/>
      <w:r>
        <w:rPr>
          <w:rFonts w:hint="eastAsia" w:ascii="宋体" w:hAnsi="宋体" w:eastAsia="宋体" w:cs="宋体"/>
          <w:b/>
          <w:bCs/>
          <w:color w:val="auto"/>
          <w:highlight w:val="none"/>
          <w:lang w:val="en-US" w:eastAsia="zh-CN"/>
        </w:rPr>
        <w:t>五、</w:t>
      </w:r>
      <w:r>
        <w:rPr>
          <w:rFonts w:hint="eastAsia" w:ascii="宋体" w:hAnsi="宋体" w:eastAsia="宋体" w:cs="宋体"/>
          <w:b/>
          <w:bCs/>
          <w:color w:val="auto"/>
          <w:highlight w:val="none"/>
          <w:lang w:eastAsia="zh-CN"/>
        </w:rPr>
        <w:t>农民工工资保证金承诺书</w:t>
      </w:r>
      <w:bookmarkEnd w:id="93"/>
      <w:bookmarkEnd w:id="94"/>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9"/>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9"/>
        <w:rPr>
          <w:rFonts w:hint="eastAsia" w:ascii="宋体" w:hAnsi="宋体" w:eastAsia="宋体" w:cs="宋体"/>
          <w:color w:val="auto"/>
          <w:sz w:val="20"/>
          <w:highlight w:val="none"/>
        </w:rPr>
      </w:pPr>
    </w:p>
    <w:p w14:paraId="585204C2">
      <w:pPr>
        <w:pStyle w:val="9"/>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六、中小企业声明函或监狱企业由省级以上监狱管理局、戒毒管理局（含新疆生产建设兵团）出具的属于监狱企业的证明文件或残疾人福利性单位声明函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rPr>
        <w:t>中小企业声明函（格式）</w:t>
      </w:r>
    </w:p>
    <w:p w14:paraId="4994CF2C">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9"/>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9"/>
        <w:spacing w:after="0" w:line="360" w:lineRule="auto"/>
        <w:ind w:left="3960" w:right="1808"/>
        <w:contextualSpacing/>
        <w:rPr>
          <w:rFonts w:hint="eastAsia" w:ascii="宋体" w:hAnsi="宋体" w:eastAsia="宋体" w:cs="宋体"/>
          <w:color w:val="auto"/>
          <w:highlight w:val="none"/>
        </w:rPr>
      </w:pPr>
    </w:p>
    <w:p w14:paraId="678AF55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cs="宋体"/>
          <w:color w:val="auto"/>
          <w:kern w:val="0"/>
          <w:sz w:val="24"/>
          <w:highlight w:val="none"/>
          <w:lang w:val="zh-CN"/>
        </w:rPr>
        <w:t>供应商名称（</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3.</w:t>
      </w: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0F40726">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57B6740">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七.</w:t>
      </w:r>
      <w:r>
        <w:rPr>
          <w:rFonts w:hint="eastAsia" w:ascii="宋体" w:hAnsi="宋体" w:cs="宋体"/>
          <w:b/>
          <w:bCs/>
          <w:color w:val="auto"/>
          <w:kern w:val="2"/>
          <w:sz w:val="32"/>
          <w:szCs w:val="32"/>
          <w:highlight w:val="none"/>
          <w:lang w:val="en-US" w:eastAsia="zh-CN" w:bidi="ar-SA"/>
        </w:rPr>
        <w:t>项目经理无在建项目、无中标（成交）未开工及未列为其他项目第一中标候选人承诺书</w:t>
      </w:r>
    </w:p>
    <w:p w14:paraId="16516C57">
      <w:pPr>
        <w:pStyle w:val="9"/>
        <w:spacing w:before="17"/>
        <w:jc w:val="center"/>
        <w:rPr>
          <w:rFonts w:hint="eastAsia" w:ascii="宋体" w:hAnsi="宋体" w:cs="宋体"/>
          <w:b/>
          <w:color w:val="auto"/>
          <w:sz w:val="28"/>
          <w:szCs w:val="28"/>
          <w:highlight w:val="none"/>
          <w:lang w:val="en-US" w:eastAsia="zh-CN"/>
        </w:rPr>
      </w:pPr>
    </w:p>
    <w:p w14:paraId="733F240F">
      <w:pPr>
        <w:pStyle w:val="9"/>
        <w:spacing w:before="17"/>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val="en-US" w:eastAsia="zh-CN"/>
        </w:rPr>
        <w:t>项目经理无在建项目、无中标（成交）未开工及未列为其他项目第一中标候选人承诺书</w:t>
      </w:r>
      <w:r>
        <w:rPr>
          <w:rFonts w:hint="eastAsia" w:ascii="宋体" w:hAnsi="宋体" w:eastAsia="宋体" w:cs="宋体"/>
          <w:b/>
          <w:color w:val="auto"/>
          <w:sz w:val="28"/>
          <w:szCs w:val="28"/>
          <w:highlight w:val="none"/>
          <w:lang w:val="en-US" w:eastAsia="zh-CN"/>
        </w:rPr>
        <w:t>（格式）</w:t>
      </w:r>
    </w:p>
    <w:p w14:paraId="1A36050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highlight w:val="none"/>
          <w:u w:val="single"/>
        </w:rPr>
      </w:pPr>
      <w:r>
        <w:rPr>
          <w:rFonts w:hint="eastAsia"/>
          <w:highlight w:val="none"/>
        </w:rPr>
        <w:t>致：</w:t>
      </w:r>
      <w:r>
        <w:rPr>
          <w:rFonts w:hint="eastAsia"/>
          <w:highlight w:val="none"/>
          <w:u w:val="single"/>
        </w:rPr>
        <w:t xml:space="preserve">  （采购人</w:t>
      </w:r>
      <w:r>
        <w:rPr>
          <w:rFonts w:hint="eastAsia"/>
          <w:highlight w:val="none"/>
          <w:u w:val="single"/>
          <w:lang w:val="en-US" w:eastAsia="zh-CN"/>
        </w:rPr>
        <w:t>名称</w:t>
      </w:r>
      <w:r>
        <w:rPr>
          <w:rFonts w:hint="eastAsia"/>
          <w:highlight w:val="none"/>
          <w:u w:val="single"/>
        </w:rPr>
        <w:t xml:space="preserve">）  </w:t>
      </w:r>
    </w:p>
    <w:p w14:paraId="43A99936">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本人__________（姓名），身份证号码：____________________，注册建造师证书编号：____________________，执业资格等级：__________，系____________________（</w:t>
      </w:r>
      <w:r>
        <w:rPr>
          <w:rFonts w:hint="eastAsia" w:ascii="宋体" w:hAnsi="宋体" w:eastAsia="宋体" w:cs="宋体"/>
          <w:kern w:val="0"/>
          <w:sz w:val="24"/>
          <w:szCs w:val="24"/>
          <w:highlight w:val="none"/>
          <w:lang w:val="en-US" w:eastAsia="zh-CN" w:bidi="ar"/>
        </w:rPr>
        <w:t>供应商名称</w:t>
      </w:r>
      <w:r>
        <w:rPr>
          <w:rFonts w:ascii="宋体" w:hAnsi="宋体" w:eastAsia="宋体" w:cs="宋体"/>
          <w:kern w:val="0"/>
          <w:sz w:val="24"/>
          <w:szCs w:val="24"/>
          <w:highlight w:val="none"/>
          <w:lang w:val="en-US" w:eastAsia="zh-CN" w:bidi="ar"/>
        </w:rPr>
        <w:t>）拟任__________（项目名称）项目经理。为真实、合规参与本项目建设，本人郑重作出如下承诺：</w:t>
      </w:r>
    </w:p>
    <w:p w14:paraId="71E3FDB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kern w:val="0"/>
          <w:sz w:val="24"/>
          <w:szCs w:val="24"/>
          <w:highlight w:val="none"/>
          <w:lang w:val="en-US" w:eastAsia="zh-CN" w:bidi="ar"/>
        </w:rPr>
        <w:t>一、本人目</w:t>
      </w:r>
      <w:r>
        <w:rPr>
          <w:rFonts w:ascii="宋体" w:hAnsi="宋体" w:eastAsia="宋体" w:cs="宋体"/>
          <w:b w:val="0"/>
          <w:bCs w:val="0"/>
          <w:kern w:val="0"/>
          <w:sz w:val="24"/>
          <w:szCs w:val="24"/>
          <w:highlight w:val="none"/>
          <w:lang w:val="en-US" w:eastAsia="zh-CN" w:bidi="ar"/>
        </w:rPr>
        <w:t>前</w:t>
      </w:r>
      <w:r>
        <w:rPr>
          <w:rStyle w:val="23"/>
          <w:rFonts w:ascii="宋体" w:hAnsi="宋体" w:eastAsia="宋体" w:cs="宋体"/>
          <w:b w:val="0"/>
          <w:bCs w:val="0"/>
          <w:kern w:val="0"/>
          <w:sz w:val="24"/>
          <w:szCs w:val="24"/>
          <w:highlight w:val="none"/>
          <w:lang w:val="en-US" w:eastAsia="zh-CN" w:bidi="ar"/>
        </w:rPr>
        <w:t>无任何在建施工项目</w:t>
      </w:r>
      <w:r>
        <w:rPr>
          <w:rFonts w:ascii="宋体" w:hAnsi="宋体" w:eastAsia="宋体" w:cs="宋体"/>
          <w:b w:val="0"/>
          <w:bCs w:val="0"/>
          <w:kern w:val="0"/>
          <w:sz w:val="24"/>
          <w:szCs w:val="24"/>
          <w:highlight w:val="none"/>
          <w:lang w:val="en-US" w:eastAsia="zh-CN" w:bidi="ar"/>
        </w:rPr>
        <w:t>，未在任何</w:t>
      </w:r>
      <w:r>
        <w:rPr>
          <w:rFonts w:hint="eastAsia" w:ascii="宋体" w:hAnsi="宋体" w:eastAsia="宋体" w:cs="宋体"/>
          <w:b w:val="0"/>
          <w:bCs w:val="0"/>
          <w:kern w:val="0"/>
          <w:sz w:val="24"/>
          <w:szCs w:val="24"/>
          <w:highlight w:val="none"/>
          <w:lang w:val="en-US" w:eastAsia="zh-CN" w:bidi="ar"/>
        </w:rPr>
        <w:t>已中标（成交）</w:t>
      </w:r>
      <w:r>
        <w:rPr>
          <w:rFonts w:ascii="宋体" w:hAnsi="宋体" w:eastAsia="宋体" w:cs="宋体"/>
          <w:b w:val="0"/>
          <w:bCs w:val="0"/>
          <w:kern w:val="0"/>
          <w:sz w:val="24"/>
          <w:szCs w:val="24"/>
          <w:highlight w:val="none"/>
          <w:lang w:val="en-US" w:eastAsia="zh-CN" w:bidi="ar"/>
        </w:rPr>
        <w:t>且尚未开工的工程项目中担任项目经理、项目负责人等在岗职务，不存在兼职多个项目、跨项目任职的情况。</w:t>
      </w:r>
    </w:p>
    <w:p w14:paraId="2B5C3B7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b w:val="0"/>
          <w:bCs w:val="0"/>
          <w:highlight w:val="none"/>
        </w:rPr>
      </w:pPr>
      <w:r>
        <w:rPr>
          <w:rFonts w:ascii="宋体" w:hAnsi="宋体" w:eastAsia="宋体" w:cs="宋体"/>
          <w:b w:val="0"/>
          <w:bCs w:val="0"/>
          <w:kern w:val="0"/>
          <w:sz w:val="24"/>
          <w:szCs w:val="24"/>
          <w:highlight w:val="none"/>
          <w:lang w:val="en-US" w:eastAsia="zh-CN" w:bidi="ar"/>
        </w:rPr>
        <w:t>二、本人截至本承诺书出具之日，</w:t>
      </w:r>
      <w:r>
        <w:rPr>
          <w:rStyle w:val="23"/>
          <w:rFonts w:ascii="宋体" w:hAnsi="宋体" w:eastAsia="宋体" w:cs="宋体"/>
          <w:b w:val="0"/>
          <w:bCs w:val="0"/>
          <w:kern w:val="0"/>
          <w:sz w:val="24"/>
          <w:szCs w:val="24"/>
          <w:highlight w:val="none"/>
          <w:lang w:val="en-US" w:eastAsia="zh-CN" w:bidi="ar"/>
        </w:rPr>
        <w:t>未被任何工程项目列为中标</w:t>
      </w:r>
      <w:r>
        <w:rPr>
          <w:rStyle w:val="23"/>
          <w:rFonts w:hint="eastAsia" w:ascii="宋体" w:hAnsi="宋体" w:eastAsia="宋体" w:cs="宋体"/>
          <w:b w:val="0"/>
          <w:bCs w:val="0"/>
          <w:kern w:val="0"/>
          <w:sz w:val="24"/>
          <w:szCs w:val="24"/>
          <w:highlight w:val="none"/>
          <w:lang w:val="en-US" w:eastAsia="zh-CN" w:bidi="ar"/>
        </w:rPr>
        <w:t>（成交）</w:t>
      </w:r>
      <w:r>
        <w:rPr>
          <w:rStyle w:val="23"/>
          <w:rFonts w:ascii="宋体" w:hAnsi="宋体" w:eastAsia="宋体" w:cs="宋体"/>
          <w:b w:val="0"/>
          <w:bCs w:val="0"/>
          <w:kern w:val="0"/>
          <w:sz w:val="24"/>
          <w:szCs w:val="24"/>
          <w:highlight w:val="none"/>
          <w:lang w:val="en-US" w:eastAsia="zh-CN" w:bidi="ar"/>
        </w:rPr>
        <w:t>候选人第一名</w:t>
      </w:r>
      <w:r>
        <w:rPr>
          <w:rFonts w:ascii="宋体" w:hAnsi="宋体" w:eastAsia="宋体" w:cs="宋体"/>
          <w:b w:val="0"/>
          <w:bCs w:val="0"/>
          <w:kern w:val="0"/>
          <w:sz w:val="24"/>
          <w:szCs w:val="24"/>
          <w:highlight w:val="none"/>
          <w:lang w:val="en-US" w:eastAsia="zh-CN" w:bidi="ar"/>
        </w:rPr>
        <w:t>，无其他项目中标</w:t>
      </w:r>
      <w:r>
        <w:rPr>
          <w:rFonts w:hint="eastAsia" w:ascii="宋体" w:hAnsi="宋体" w:eastAsia="宋体" w:cs="宋体"/>
          <w:b w:val="0"/>
          <w:bCs w:val="0"/>
          <w:kern w:val="0"/>
          <w:sz w:val="24"/>
          <w:szCs w:val="24"/>
          <w:highlight w:val="none"/>
          <w:lang w:val="en-US" w:eastAsia="zh-CN" w:bidi="ar"/>
        </w:rPr>
        <w:t>（成交）</w:t>
      </w:r>
      <w:r>
        <w:rPr>
          <w:rFonts w:ascii="宋体" w:hAnsi="宋体" w:eastAsia="宋体" w:cs="宋体"/>
          <w:b w:val="0"/>
          <w:bCs w:val="0"/>
          <w:kern w:val="0"/>
          <w:sz w:val="24"/>
          <w:szCs w:val="24"/>
          <w:highlight w:val="none"/>
          <w:lang w:val="en-US" w:eastAsia="zh-CN" w:bidi="ar"/>
        </w:rPr>
        <w:t>待公示、待签约、待开工情形，不存在影响本项目全职在岗履职的各类任职冲突情况。</w:t>
      </w:r>
    </w:p>
    <w:p w14:paraId="678CB659">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三、本人所提交的注册建造师证书、任职资格、在岗状态等全部信息真实、合法、有效，无证书挂靠、资质造假、信息隐瞒、虚假申报等违规违法行为。</w:t>
      </w:r>
    </w:p>
    <w:p w14:paraId="571D2EBB">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四、若本人成功中标</w:t>
      </w:r>
      <w:r>
        <w:rPr>
          <w:rFonts w:hint="eastAsia" w:ascii="宋体" w:hAnsi="宋体" w:eastAsia="宋体" w:cs="宋体"/>
          <w:kern w:val="0"/>
          <w:sz w:val="24"/>
          <w:szCs w:val="24"/>
          <w:highlight w:val="none"/>
          <w:lang w:val="en-US" w:eastAsia="zh-CN" w:bidi="ar"/>
        </w:rPr>
        <w:t>（成交）</w:t>
      </w:r>
      <w:r>
        <w:rPr>
          <w:rFonts w:ascii="宋体" w:hAnsi="宋体" w:eastAsia="宋体" w:cs="宋体"/>
          <w:kern w:val="0"/>
          <w:sz w:val="24"/>
          <w:szCs w:val="24"/>
          <w:highlight w:val="none"/>
          <w:lang w:val="en-US" w:eastAsia="zh-CN" w:bidi="ar"/>
        </w:rPr>
        <w:t>本项目，将严格遵守工程建设相关法律法规及</w:t>
      </w:r>
      <w:r>
        <w:rPr>
          <w:rFonts w:hint="eastAsia" w:ascii="宋体" w:hAnsi="宋体" w:eastAsia="宋体" w:cs="宋体"/>
          <w:kern w:val="0"/>
          <w:sz w:val="24"/>
          <w:szCs w:val="24"/>
          <w:highlight w:val="none"/>
          <w:lang w:val="en-US" w:eastAsia="zh-CN" w:bidi="ar"/>
        </w:rPr>
        <w:t>采购</w:t>
      </w:r>
      <w:r>
        <w:rPr>
          <w:rFonts w:ascii="宋体" w:hAnsi="宋体" w:eastAsia="宋体" w:cs="宋体"/>
          <w:kern w:val="0"/>
          <w:sz w:val="24"/>
          <w:szCs w:val="24"/>
          <w:highlight w:val="none"/>
          <w:lang w:val="en-US" w:eastAsia="zh-CN" w:bidi="ar"/>
        </w:rPr>
        <w:t>文件要求，全职在岗履职，全程负责本项目施工管理、质量安全、进度管控、竣工验收等全部工作，不擅自离岗、不私自更换、不兼任其他任何工程项目职务。</w:t>
      </w:r>
    </w:p>
    <w:p w14:paraId="13300B41">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五、本人充分知晓，若本次承诺内容存在虚假、隐瞒、不实，本人自愿接受</w:t>
      </w:r>
      <w:r>
        <w:rPr>
          <w:rFonts w:hint="eastAsia" w:ascii="宋体" w:hAnsi="宋体" w:cs="宋体"/>
          <w:kern w:val="0"/>
          <w:sz w:val="24"/>
          <w:szCs w:val="24"/>
          <w:highlight w:val="none"/>
          <w:lang w:val="en-US" w:eastAsia="zh-CN" w:bidi="ar"/>
        </w:rPr>
        <w:t>采购单位</w:t>
      </w:r>
      <w:r>
        <w:rPr>
          <w:rFonts w:ascii="宋体" w:hAnsi="宋体" w:eastAsia="宋体" w:cs="宋体"/>
          <w:kern w:val="0"/>
          <w:sz w:val="24"/>
          <w:szCs w:val="24"/>
          <w:highlight w:val="none"/>
          <w:lang w:val="en-US" w:eastAsia="zh-CN" w:bidi="ar"/>
        </w:rPr>
        <w:t>、行业主管部门的相关处罚，自愿放弃本项目</w:t>
      </w:r>
      <w:r>
        <w:rPr>
          <w:rFonts w:hint="eastAsia" w:ascii="宋体" w:hAnsi="宋体" w:eastAsia="宋体" w:cs="宋体"/>
          <w:kern w:val="0"/>
          <w:sz w:val="24"/>
          <w:szCs w:val="24"/>
          <w:highlight w:val="none"/>
          <w:lang w:val="en-US" w:eastAsia="zh-CN" w:bidi="ar"/>
        </w:rPr>
        <w:t>中标（成交）</w:t>
      </w:r>
      <w:r>
        <w:rPr>
          <w:rFonts w:ascii="宋体" w:hAnsi="宋体" w:eastAsia="宋体" w:cs="宋体"/>
          <w:kern w:val="0"/>
          <w:sz w:val="24"/>
          <w:szCs w:val="24"/>
          <w:highlight w:val="none"/>
          <w:lang w:val="en-US" w:eastAsia="zh-CN" w:bidi="ar"/>
        </w:rPr>
        <w:t>资格、解除施工合同，承担由此产生的一切经济损失、违约责任及全部法律责任，并记入个人不良执业记录。</w:t>
      </w:r>
    </w:p>
    <w:p w14:paraId="3F40B544">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highlight w:val="none"/>
        </w:rPr>
      </w:pPr>
      <w:r>
        <w:rPr>
          <w:rFonts w:ascii="宋体" w:hAnsi="宋体" w:eastAsia="宋体" w:cs="宋体"/>
          <w:kern w:val="0"/>
          <w:sz w:val="24"/>
          <w:szCs w:val="24"/>
          <w:highlight w:val="none"/>
          <w:lang w:val="en-US" w:eastAsia="zh-CN" w:bidi="ar"/>
        </w:rPr>
        <w:t>本承诺书内容真实有效，一经出具即刻生效，可作为本项目</w:t>
      </w:r>
      <w:r>
        <w:rPr>
          <w:rFonts w:hint="eastAsia" w:ascii="宋体" w:hAnsi="宋体" w:eastAsia="宋体" w:cs="宋体"/>
          <w:kern w:val="0"/>
          <w:sz w:val="24"/>
          <w:szCs w:val="24"/>
          <w:highlight w:val="none"/>
          <w:lang w:val="en-US" w:eastAsia="zh-CN" w:bidi="ar"/>
        </w:rPr>
        <w:t>竞标</w:t>
      </w:r>
      <w:r>
        <w:rPr>
          <w:rFonts w:ascii="宋体" w:hAnsi="宋体" w:eastAsia="宋体" w:cs="宋体"/>
          <w:kern w:val="0"/>
          <w:sz w:val="24"/>
          <w:szCs w:val="24"/>
          <w:highlight w:val="none"/>
          <w:lang w:val="en-US" w:eastAsia="zh-CN" w:bidi="ar"/>
        </w:rPr>
        <w:t>、签约、施工备案的有效依据</w:t>
      </w:r>
      <w:r>
        <w:rPr>
          <w:rFonts w:hint="eastAsia" w:ascii="宋体" w:hAnsi="宋体" w:eastAsia="宋体" w:cs="宋体"/>
          <w:kern w:val="0"/>
          <w:sz w:val="24"/>
          <w:szCs w:val="24"/>
          <w:highlight w:val="none"/>
          <w:lang w:val="en-US" w:eastAsia="zh-CN" w:bidi="ar"/>
        </w:rPr>
        <w:t>。</w:t>
      </w:r>
    </w:p>
    <w:p w14:paraId="60E4F07C">
      <w:pPr>
        <w:keepNext w:val="0"/>
        <w:keepLines w:val="0"/>
        <w:pageBreakBefore w:val="0"/>
        <w:widowControl/>
        <w:suppressLineNumbers w:val="0"/>
        <w:kinsoku/>
        <w:wordWrap w:val="0"/>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kern w:val="0"/>
          <w:sz w:val="24"/>
          <w:szCs w:val="24"/>
          <w:highlight w:val="none"/>
          <w:lang w:val="en-US" w:eastAsia="zh-CN" w:bidi="ar"/>
        </w:rPr>
      </w:pPr>
      <w:r>
        <w:rPr>
          <w:rFonts w:hint="default" w:ascii="宋体" w:hAnsi="宋体" w:eastAsia="宋体" w:cs="宋体"/>
          <w:kern w:val="0"/>
          <w:sz w:val="24"/>
          <w:szCs w:val="24"/>
          <w:highlight w:val="none"/>
          <w:lang w:val="en-US" w:eastAsia="zh-CN" w:bidi="ar"/>
        </w:rPr>
        <w:t>特此承诺！</w:t>
      </w:r>
    </w:p>
    <w:p w14:paraId="1E1FD4FD">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承诺人（项目经理签字）：__________</w:t>
      </w:r>
    </w:p>
    <w:p w14:paraId="34447E41">
      <w:pPr>
        <w:snapToGrid w:val="0"/>
        <w:spacing w:line="360" w:lineRule="auto"/>
        <w:jc w:val="righ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供应商名称（</w:t>
      </w:r>
      <w:r>
        <w:rPr>
          <w:rFonts w:hint="eastAsia" w:ascii="宋体" w:hAnsi="宋体" w:eastAsia="宋体" w:cs="宋体"/>
          <w:color w:val="auto"/>
          <w:kern w:val="0"/>
          <w:sz w:val="24"/>
          <w:highlight w:val="none"/>
        </w:rPr>
        <w:t>电子签章</w:t>
      </w:r>
      <w:r>
        <w:rPr>
          <w:rFonts w:hint="eastAsia" w:ascii="宋体" w:hAnsi="宋体" w:eastAsia="宋体" w:cs="宋体"/>
          <w:color w:val="auto"/>
          <w:sz w:val="24"/>
          <w:highlight w:val="none"/>
          <w:lang w:val="en-US" w:eastAsia="zh-CN"/>
        </w:rPr>
        <w:t>）：_________________</w:t>
      </w:r>
    </w:p>
    <w:p w14:paraId="3161D2F5">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日期：______年____月____日</w:t>
      </w:r>
    </w:p>
    <w:p w14:paraId="41EA9F77">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cs="宋体"/>
          <w:b/>
          <w:bCs/>
          <w:color w:val="auto"/>
          <w:kern w:val="2"/>
          <w:sz w:val="32"/>
          <w:szCs w:val="32"/>
          <w:highlight w:val="none"/>
          <w:lang w:val="en-US" w:eastAsia="zh-CN" w:bidi="ar-SA"/>
        </w:rPr>
        <w:t>八</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5446F766">
      <w:pPr>
        <w:pStyle w:val="3"/>
        <w:jc w:val="center"/>
        <w:rPr>
          <w:rFonts w:hint="eastAsia" w:ascii="宋体" w:hAnsi="宋体" w:eastAsia="宋体" w:cs="宋体"/>
          <w:b w:val="0"/>
          <w:bCs w:val="0"/>
          <w:color w:val="auto"/>
          <w:highlight w:val="none"/>
        </w:rPr>
        <w:sectPr>
          <w:pgSz w:w="11910" w:h="16840"/>
          <w:pgMar w:top="1340" w:right="1500" w:bottom="280" w:left="1680" w:header="720" w:footer="720" w:gutter="0"/>
          <w:pgNumType w:fmt="decimal"/>
          <w:cols w:space="720" w:num="1"/>
          <w:formProt w:val="0"/>
        </w:sectPr>
      </w:pPr>
      <w:bookmarkStart w:id="95" w:name="_Toc80205940"/>
    </w:p>
    <w:p w14:paraId="4C14A178">
      <w:pPr>
        <w:pStyle w:val="3"/>
        <w:jc w:val="center"/>
        <w:rPr>
          <w:rFonts w:hint="eastAsia" w:ascii="宋体" w:hAnsi="宋体" w:eastAsia="宋体" w:cs="宋体"/>
          <w:b/>
          <w:bCs/>
          <w:color w:val="auto"/>
          <w:highlight w:val="none"/>
        </w:rPr>
      </w:pPr>
      <w:bookmarkStart w:id="96" w:name="_Toc32666"/>
      <w:bookmarkStart w:id="97" w:name="_Toc2025"/>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5"/>
      <w:bookmarkEnd w:id="96"/>
      <w:bookmarkEnd w:id="97"/>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7"/>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7"/>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7"/>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32"/>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32"/>
        <w:spacing w:line="360" w:lineRule="auto"/>
        <w:rPr>
          <w:rFonts w:hint="eastAsia" w:ascii="宋体" w:hAnsi="宋体" w:eastAsia="宋体" w:cs="宋体"/>
          <w:color w:val="auto"/>
          <w:highlight w:val="none"/>
        </w:rPr>
      </w:pPr>
      <w:bookmarkStart w:id="98" w:name="OLE_LINK5"/>
      <w:bookmarkStart w:id="99" w:name="OLE_LINK7"/>
      <w:bookmarkStart w:id="100" w:name="OLE_LINK6"/>
      <w:r>
        <w:rPr>
          <w:rFonts w:hint="eastAsia" w:ascii="宋体" w:hAnsi="宋体" w:eastAsia="宋体" w:cs="宋体"/>
          <w:color w:val="auto"/>
          <w:highlight w:val="none"/>
        </w:rPr>
        <w:t>五、</w:t>
      </w:r>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98"/>
    <w:bookmarkEnd w:id="99"/>
    <w:bookmarkEnd w:id="100"/>
    <w:p w14:paraId="07E9006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32"/>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w:t>
      </w:r>
      <w:r>
        <w:rPr>
          <w:rFonts w:hint="eastAsia" w:ascii="宋体" w:hAnsi="宋体" w:cs="宋体"/>
          <w:color w:val="auto"/>
          <w:sz w:val="24"/>
          <w:highlight w:val="none"/>
          <w:lang w:eastAsia="zh-CN"/>
        </w:rPr>
        <w:t>理人</w:t>
      </w:r>
      <w:r>
        <w:rPr>
          <w:rFonts w:hint="eastAsia" w:ascii="宋体" w:hAnsi="宋体" w:eastAsia="宋体" w:cs="宋体"/>
          <w:color w:val="auto"/>
          <w:sz w:val="24"/>
          <w:highlight w:val="none"/>
        </w:rPr>
        <w:t>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25DBF8A3">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340" w:right="1500" w:bottom="280" w:left="1680" w:header="720" w:footer="720" w:gutter="0"/>
          <w:pgNumType w:fmt="decimal"/>
          <w:cols w:space="720" w:num="1"/>
          <w:formProt w:val="0"/>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20"/>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0"/>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采购需求”中的商务条款逐条作出明确响应，并作出偏离说明。</w:t>
      </w:r>
    </w:p>
    <w:p w14:paraId="5EC28654">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应当如实写明“负偏离”，否则视为虚假应标</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211A3A50">
      <w:pPr>
        <w:pStyle w:val="11"/>
        <w:spacing w:line="40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1906DD10">
      <w:pPr>
        <w:snapToGrid w:val="0"/>
        <w:spacing w:line="360" w:lineRule="auto"/>
        <w:ind w:firstLine="643" w:firstLineChars="2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w:t>
      </w:r>
      <w:r>
        <w:rPr>
          <w:rFonts w:hint="eastAsia" w:ascii="宋体" w:hAnsi="宋体" w:cs="宋体"/>
          <w:b/>
          <w:color w:val="auto"/>
          <w:sz w:val="32"/>
          <w:szCs w:val="32"/>
          <w:highlight w:val="none"/>
          <w:lang w:eastAsia="zh-CN"/>
        </w:rPr>
        <w:t>供应商</w:t>
      </w:r>
      <w:r>
        <w:rPr>
          <w:rFonts w:hint="eastAsia" w:ascii="宋体" w:hAnsi="宋体" w:eastAsia="宋体" w:cs="宋体"/>
          <w:b/>
          <w:color w:val="auto"/>
          <w:sz w:val="32"/>
          <w:szCs w:val="32"/>
          <w:highlight w:val="none"/>
        </w:rPr>
        <w:t>情况介绍</w:t>
      </w:r>
      <w:r>
        <w:rPr>
          <w:rFonts w:hint="eastAsia" w:ascii="宋体" w:hAnsi="宋体" w:eastAsia="宋体" w:cs="宋体"/>
          <w:b/>
          <w:color w:val="auto"/>
          <w:sz w:val="30"/>
          <w:szCs w:val="30"/>
          <w:highlight w:val="none"/>
        </w:rPr>
        <w:t>（格式自拟）</w:t>
      </w:r>
    </w:p>
    <w:p w14:paraId="3C9C6F58">
      <w:pPr>
        <w:snapToGrid w:val="0"/>
        <w:spacing w:line="360" w:lineRule="auto"/>
        <w:ind w:firstLine="602" w:firstLineChars="200"/>
        <w:rPr>
          <w:rFonts w:hint="eastAsia" w:ascii="宋体" w:hAnsi="宋体" w:eastAsia="宋体" w:cs="宋体"/>
          <w:b/>
          <w:color w:val="auto"/>
          <w:sz w:val="30"/>
          <w:szCs w:val="30"/>
          <w:highlight w:val="none"/>
        </w:rPr>
      </w:pPr>
    </w:p>
    <w:p w14:paraId="18A7AA33">
      <w:pPr>
        <w:pStyle w:val="26"/>
        <w:rPr>
          <w:rFonts w:hint="eastAsia"/>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9970A31">
      <w:pPr>
        <w:pStyle w:val="27"/>
        <w:rPr>
          <w:rFonts w:hint="eastAsia" w:ascii="宋体" w:hAnsi="宋体" w:eastAsia="宋体" w:cs="宋体"/>
          <w:color w:val="auto"/>
          <w:kern w:val="0"/>
          <w:sz w:val="24"/>
          <w:highlight w:val="none"/>
          <w:lang w:val="zh-CN"/>
        </w:rPr>
      </w:pPr>
    </w:p>
    <w:p w14:paraId="34728A6E">
      <w:pPr>
        <w:pStyle w:val="9"/>
        <w:rPr>
          <w:rFonts w:hint="eastAsia" w:ascii="宋体" w:hAnsi="宋体" w:eastAsia="宋体" w:cs="宋体"/>
          <w:color w:val="auto"/>
          <w:kern w:val="0"/>
          <w:sz w:val="24"/>
          <w:highlight w:val="none"/>
          <w:lang w:val="zh-CN"/>
        </w:rPr>
      </w:pPr>
    </w:p>
    <w:p w14:paraId="20755686">
      <w:pPr>
        <w:pStyle w:val="9"/>
        <w:rPr>
          <w:rFonts w:hint="eastAsia" w:ascii="宋体" w:hAnsi="宋体" w:eastAsia="宋体" w:cs="宋体"/>
          <w:color w:val="auto"/>
          <w:kern w:val="0"/>
          <w:sz w:val="24"/>
          <w:highlight w:val="none"/>
          <w:lang w:val="zh-CN"/>
        </w:rPr>
      </w:pPr>
    </w:p>
    <w:p w14:paraId="6B82169E">
      <w:pPr>
        <w:pStyle w:val="9"/>
        <w:rPr>
          <w:rFonts w:hint="eastAsia" w:ascii="宋体" w:hAnsi="宋体" w:eastAsia="宋体" w:cs="宋体"/>
          <w:color w:val="auto"/>
          <w:kern w:val="0"/>
          <w:sz w:val="24"/>
          <w:highlight w:val="none"/>
          <w:lang w:val="zh-CN"/>
        </w:rPr>
      </w:pPr>
    </w:p>
    <w:p w14:paraId="696BCCA0">
      <w:pPr>
        <w:pStyle w:val="9"/>
        <w:rPr>
          <w:rFonts w:hint="eastAsia" w:ascii="宋体" w:hAnsi="宋体" w:eastAsia="宋体" w:cs="宋体"/>
          <w:color w:val="auto"/>
          <w:kern w:val="0"/>
          <w:sz w:val="24"/>
          <w:highlight w:val="none"/>
          <w:lang w:val="zh-CN"/>
        </w:rPr>
      </w:pPr>
    </w:p>
    <w:p w14:paraId="2D5CB1E6">
      <w:pPr>
        <w:pStyle w:val="9"/>
        <w:rPr>
          <w:rFonts w:hint="eastAsia" w:ascii="宋体" w:hAnsi="宋体" w:eastAsia="宋体" w:cs="宋体"/>
          <w:color w:val="auto"/>
          <w:kern w:val="0"/>
          <w:sz w:val="24"/>
          <w:highlight w:val="none"/>
          <w:lang w:val="zh-CN"/>
        </w:rPr>
      </w:pPr>
    </w:p>
    <w:p w14:paraId="63956C28">
      <w:pPr>
        <w:pStyle w:val="9"/>
        <w:rPr>
          <w:rFonts w:hint="eastAsia" w:ascii="宋体" w:hAnsi="宋体" w:eastAsia="宋体" w:cs="宋体"/>
          <w:color w:val="auto"/>
          <w:kern w:val="0"/>
          <w:sz w:val="24"/>
          <w:highlight w:val="none"/>
          <w:lang w:val="zh-CN"/>
        </w:rPr>
      </w:pPr>
    </w:p>
    <w:p w14:paraId="63162FEB">
      <w:pPr>
        <w:pStyle w:val="9"/>
        <w:rPr>
          <w:rFonts w:hint="eastAsia" w:ascii="宋体" w:hAnsi="宋体" w:eastAsia="宋体" w:cs="宋体"/>
          <w:color w:val="auto"/>
          <w:kern w:val="0"/>
          <w:sz w:val="24"/>
          <w:highlight w:val="none"/>
          <w:lang w:val="zh-CN"/>
        </w:rPr>
      </w:pPr>
    </w:p>
    <w:p w14:paraId="3BEEF0F0">
      <w:pPr>
        <w:pStyle w:val="9"/>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D0EC6BC">
      <w:pPr>
        <w:pStyle w:val="32"/>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6405CE3F">
      <w:pPr>
        <w:pStyle w:val="26"/>
        <w:rPr>
          <w:rFonts w:hint="eastAsia"/>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32"/>
        <w:spacing w:line="360" w:lineRule="auto"/>
        <w:ind w:left="420" w:leftChars="200" w:firstLine="0" w:firstLineChars="0"/>
        <w:rPr>
          <w:rFonts w:hint="eastAsia" w:ascii="宋体" w:hAnsi="宋体" w:eastAsia="宋体" w:cs="宋体"/>
          <w:color w:val="auto"/>
          <w:highlight w:val="none"/>
        </w:rPr>
      </w:pPr>
    </w:p>
    <w:p w14:paraId="1D2BD99F">
      <w:pPr>
        <w:pStyle w:val="32"/>
        <w:spacing w:line="360" w:lineRule="auto"/>
        <w:ind w:left="420" w:leftChars="200" w:firstLine="0" w:firstLineChars="0"/>
        <w:rPr>
          <w:rFonts w:hint="eastAsia" w:ascii="宋体" w:hAnsi="宋体" w:eastAsia="宋体" w:cs="宋体"/>
          <w:color w:val="auto"/>
          <w:highlight w:val="none"/>
        </w:rPr>
      </w:pPr>
    </w:p>
    <w:p w14:paraId="459D0C47">
      <w:pPr>
        <w:pStyle w:val="32"/>
        <w:spacing w:line="360" w:lineRule="auto"/>
        <w:ind w:left="420" w:leftChars="200" w:firstLine="0" w:firstLineChars="0"/>
        <w:rPr>
          <w:rFonts w:hint="eastAsia" w:ascii="宋体" w:hAnsi="宋体" w:eastAsia="宋体" w:cs="宋体"/>
          <w:color w:val="auto"/>
          <w:highlight w:val="none"/>
        </w:rPr>
      </w:pPr>
    </w:p>
    <w:p w14:paraId="569D985E">
      <w:pPr>
        <w:pStyle w:val="32"/>
        <w:spacing w:line="360" w:lineRule="auto"/>
        <w:ind w:left="420" w:leftChars="200" w:firstLine="0" w:firstLineChars="0"/>
        <w:rPr>
          <w:rFonts w:hint="eastAsia" w:ascii="宋体" w:hAnsi="宋体" w:eastAsia="宋体" w:cs="宋体"/>
          <w:color w:val="auto"/>
          <w:highlight w:val="none"/>
        </w:rPr>
      </w:pPr>
    </w:p>
    <w:p w14:paraId="163847D2">
      <w:pPr>
        <w:pStyle w:val="32"/>
        <w:spacing w:line="360" w:lineRule="auto"/>
        <w:ind w:left="420" w:leftChars="200" w:firstLine="0" w:firstLineChars="0"/>
        <w:rPr>
          <w:rFonts w:hint="eastAsia" w:ascii="宋体" w:hAnsi="宋体" w:eastAsia="宋体" w:cs="宋体"/>
          <w:color w:val="auto"/>
          <w:highlight w:val="none"/>
        </w:rPr>
      </w:pPr>
    </w:p>
    <w:p w14:paraId="2EC738F4">
      <w:pPr>
        <w:pStyle w:val="32"/>
        <w:spacing w:line="360" w:lineRule="auto"/>
        <w:ind w:left="420" w:leftChars="200" w:firstLine="0" w:firstLineChars="0"/>
        <w:rPr>
          <w:rFonts w:hint="eastAsia" w:ascii="宋体" w:hAnsi="宋体" w:eastAsia="宋体" w:cs="宋体"/>
          <w:color w:val="auto"/>
          <w:highlight w:val="none"/>
        </w:rPr>
      </w:pPr>
    </w:p>
    <w:p w14:paraId="33708FFD">
      <w:pPr>
        <w:pStyle w:val="32"/>
        <w:spacing w:line="360" w:lineRule="auto"/>
        <w:ind w:left="420" w:leftChars="200" w:firstLine="0" w:firstLineChars="0"/>
        <w:rPr>
          <w:rFonts w:hint="eastAsia" w:ascii="宋体" w:hAnsi="宋体" w:eastAsia="宋体" w:cs="宋体"/>
          <w:color w:val="auto"/>
          <w:highlight w:val="none"/>
        </w:rPr>
      </w:pPr>
    </w:p>
    <w:p w14:paraId="6AEB0D9E">
      <w:pPr>
        <w:pStyle w:val="32"/>
        <w:spacing w:line="360" w:lineRule="auto"/>
        <w:ind w:left="420" w:leftChars="200" w:firstLine="0" w:firstLineChars="0"/>
        <w:rPr>
          <w:rFonts w:hint="eastAsia" w:ascii="宋体" w:hAnsi="宋体" w:eastAsia="宋体" w:cs="宋体"/>
          <w:color w:val="auto"/>
          <w:highlight w:val="none"/>
        </w:rPr>
      </w:pPr>
    </w:p>
    <w:p w14:paraId="1A155B29">
      <w:pPr>
        <w:pStyle w:val="32"/>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1" w:name="_Toc251052187"/>
            <w:r>
              <w:rPr>
                <w:rFonts w:hint="eastAsia" w:ascii="宋体" w:hAnsi="宋体" w:eastAsia="宋体" w:cs="宋体"/>
                <w:color w:val="auto"/>
                <w:highlight w:val="none"/>
              </w:rPr>
              <w:t>姓名</w:t>
            </w:r>
            <w:bookmarkEnd w:id="101"/>
          </w:p>
        </w:tc>
        <w:tc>
          <w:tcPr>
            <w:tcW w:w="816"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2" w:name="_Toc251052188"/>
            <w:r>
              <w:rPr>
                <w:rFonts w:hint="eastAsia" w:ascii="宋体" w:hAnsi="宋体" w:eastAsia="宋体" w:cs="宋体"/>
                <w:color w:val="auto"/>
                <w:highlight w:val="none"/>
              </w:rPr>
              <w:t>职称</w:t>
            </w:r>
            <w:bookmarkEnd w:id="102"/>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3" w:name="_Toc251052189"/>
            <w:r>
              <w:rPr>
                <w:rFonts w:hint="eastAsia" w:ascii="宋体" w:hAnsi="宋体" w:eastAsia="宋体" w:cs="宋体"/>
                <w:color w:val="auto"/>
                <w:highlight w:val="none"/>
              </w:rPr>
              <w:t>执业或职业资格证明</w:t>
            </w:r>
            <w:bookmarkEnd w:id="103"/>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829"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816"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4" w:name="_Toc251052192"/>
            <w:r>
              <w:rPr>
                <w:rFonts w:hint="eastAsia" w:ascii="宋体" w:hAnsi="宋体" w:eastAsia="宋体" w:cs="宋体"/>
                <w:color w:val="auto"/>
                <w:highlight w:val="none"/>
              </w:rPr>
              <w:t>证书名称</w:t>
            </w:r>
            <w:bookmarkEnd w:id="104"/>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5" w:name="_Toc251052193"/>
            <w:r>
              <w:rPr>
                <w:rFonts w:hint="eastAsia" w:ascii="宋体" w:hAnsi="宋体" w:eastAsia="宋体" w:cs="宋体"/>
                <w:color w:val="auto"/>
                <w:highlight w:val="none"/>
              </w:rPr>
              <w:t>级别</w:t>
            </w:r>
            <w:bookmarkEnd w:id="105"/>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6" w:name="_Toc251052194"/>
            <w:r>
              <w:rPr>
                <w:rFonts w:hint="eastAsia" w:ascii="宋体" w:hAnsi="宋体" w:eastAsia="宋体" w:cs="宋体"/>
                <w:color w:val="auto"/>
                <w:highlight w:val="none"/>
              </w:rPr>
              <w:t>证号</w:t>
            </w:r>
            <w:bookmarkEnd w:id="106"/>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7" w:name="_Toc251052195"/>
            <w:r>
              <w:rPr>
                <w:rFonts w:hint="eastAsia" w:ascii="宋体" w:hAnsi="宋体" w:eastAsia="宋体" w:cs="宋体"/>
                <w:color w:val="auto"/>
                <w:highlight w:val="none"/>
              </w:rPr>
              <w:t>专业</w:t>
            </w:r>
            <w:bookmarkEnd w:id="107"/>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59F88AF">
            <w:pPr>
              <w:ind w:left="223" w:hanging="222" w:hangingChars="106"/>
              <w:jc w:val="center"/>
              <w:rPr>
                <w:rFonts w:hint="eastAsia" w:ascii="宋体" w:hAnsi="宋体" w:eastAsia="宋体" w:cs="宋体"/>
                <w:color w:val="auto"/>
                <w:highlight w:val="none"/>
              </w:rPr>
            </w:pPr>
          </w:p>
        </w:tc>
        <w:tc>
          <w:tcPr>
            <w:tcW w:w="829"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816"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738F452">
            <w:pPr>
              <w:ind w:left="223" w:hanging="222" w:hangingChars="106"/>
              <w:jc w:val="center"/>
              <w:rPr>
                <w:rFonts w:hint="eastAsia" w:ascii="宋体" w:hAnsi="宋体" w:eastAsia="宋体" w:cs="宋体"/>
                <w:color w:val="auto"/>
                <w:highlight w:val="none"/>
              </w:rPr>
            </w:pPr>
          </w:p>
        </w:tc>
        <w:tc>
          <w:tcPr>
            <w:tcW w:w="829"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816"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576AFE3">
            <w:pPr>
              <w:ind w:left="223" w:hanging="222" w:hangingChars="106"/>
              <w:jc w:val="center"/>
              <w:rPr>
                <w:rFonts w:hint="eastAsia" w:ascii="宋体" w:hAnsi="宋体" w:eastAsia="宋体" w:cs="宋体"/>
                <w:color w:val="auto"/>
                <w:highlight w:val="none"/>
              </w:rPr>
            </w:pPr>
          </w:p>
        </w:tc>
        <w:tc>
          <w:tcPr>
            <w:tcW w:w="829"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816"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08"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08"/>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B33B264">
      <w:p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注：附拟投入人员身份证、资格证或岗位证及供应商为其缴纳近1个月（2026年</w:t>
      </w:r>
      <w:r>
        <w:rPr>
          <w:rFonts w:hint="eastAsia" w:ascii="宋体" w:hAnsi="宋体" w:cs="宋体"/>
          <w:color w:val="auto"/>
          <w:highlight w:val="none"/>
          <w:lang w:val="en-US" w:eastAsia="zh-CN"/>
        </w:rPr>
        <w:t>8</w:t>
      </w:r>
      <w:r>
        <w:rPr>
          <w:rFonts w:hint="eastAsia" w:ascii="宋体" w:hAnsi="宋体" w:eastAsia="宋体" w:cs="宋体"/>
          <w:color w:val="auto"/>
          <w:highlight w:val="none"/>
          <w:lang w:val="en-US" w:eastAsia="zh-CN"/>
        </w:rPr>
        <w:t>月至响应文件提交截止时间止任意一个月社保）社会保险的证明材料，并明显标注拟投入人员社保证明所在位置。</w:t>
      </w: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C24AD75">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cs="宋体"/>
                <w:color w:val="auto"/>
                <w:highlight w:val="none"/>
                <w:lang w:eastAsia="zh-CN"/>
              </w:rPr>
              <w:t>(kW)</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3"/>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32"/>
        <w:spacing w:line="360" w:lineRule="auto"/>
        <w:ind w:left="420" w:leftChars="20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AA1C0D0">
      <w:pPr>
        <w:pStyle w:val="32"/>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32"/>
        <w:spacing w:line="360" w:lineRule="auto"/>
        <w:ind w:left="420" w:leftChars="200" w:firstLine="0" w:firstLineChars="0"/>
        <w:rPr>
          <w:rFonts w:hint="eastAsia" w:ascii="宋体" w:hAnsi="宋体" w:eastAsia="宋体" w:cs="宋体"/>
          <w:color w:val="auto"/>
          <w:highlight w:val="none"/>
        </w:rPr>
      </w:pPr>
    </w:p>
    <w:p w14:paraId="1E29BFC6">
      <w:pPr>
        <w:pStyle w:val="32"/>
        <w:spacing w:line="360" w:lineRule="auto"/>
        <w:ind w:left="420" w:leftChars="200" w:firstLine="0" w:firstLineChars="0"/>
        <w:rPr>
          <w:rFonts w:hint="eastAsia" w:ascii="宋体" w:hAnsi="宋体" w:eastAsia="宋体" w:cs="宋体"/>
          <w:color w:val="auto"/>
          <w:highlight w:val="none"/>
        </w:rPr>
      </w:pPr>
    </w:p>
    <w:p w14:paraId="6265A909">
      <w:pPr>
        <w:pStyle w:val="32"/>
        <w:spacing w:line="360" w:lineRule="auto"/>
        <w:ind w:left="420" w:leftChars="200" w:firstLine="0" w:firstLineChars="0"/>
        <w:rPr>
          <w:rFonts w:hint="eastAsia" w:ascii="宋体" w:hAnsi="宋体" w:eastAsia="宋体" w:cs="宋体"/>
          <w:color w:val="auto"/>
          <w:highlight w:val="none"/>
        </w:rPr>
      </w:pPr>
    </w:p>
    <w:p w14:paraId="585B3D37">
      <w:pPr>
        <w:pStyle w:val="32"/>
        <w:spacing w:line="360" w:lineRule="auto"/>
        <w:ind w:left="420" w:leftChars="200" w:firstLine="0" w:firstLineChars="0"/>
        <w:rPr>
          <w:rFonts w:hint="eastAsia" w:ascii="宋体" w:hAnsi="宋体" w:eastAsia="宋体" w:cs="宋体"/>
          <w:color w:val="auto"/>
          <w:highlight w:val="none"/>
        </w:rPr>
      </w:pPr>
    </w:p>
    <w:p w14:paraId="17F85835">
      <w:pPr>
        <w:pStyle w:val="32"/>
        <w:spacing w:line="360" w:lineRule="auto"/>
        <w:ind w:left="420" w:leftChars="200" w:firstLine="0" w:firstLineChars="0"/>
        <w:rPr>
          <w:rFonts w:hint="eastAsia" w:ascii="宋体" w:hAnsi="宋体" w:eastAsia="宋体" w:cs="宋体"/>
          <w:color w:val="auto"/>
          <w:highlight w:val="none"/>
        </w:rPr>
      </w:pPr>
    </w:p>
    <w:p w14:paraId="74420A09">
      <w:pPr>
        <w:pStyle w:val="32"/>
        <w:spacing w:line="360" w:lineRule="auto"/>
        <w:ind w:left="420" w:leftChars="200" w:firstLine="0" w:firstLineChars="0"/>
        <w:rPr>
          <w:rFonts w:hint="eastAsia" w:ascii="宋体" w:hAnsi="宋体" w:eastAsia="宋体" w:cs="宋体"/>
          <w:color w:val="auto"/>
          <w:highlight w:val="none"/>
        </w:rPr>
      </w:pPr>
    </w:p>
    <w:p w14:paraId="545314BE">
      <w:pPr>
        <w:pStyle w:val="32"/>
        <w:spacing w:line="360" w:lineRule="auto"/>
        <w:ind w:left="420" w:leftChars="200" w:firstLine="0" w:firstLineChars="0"/>
        <w:rPr>
          <w:rFonts w:hint="eastAsia" w:ascii="宋体" w:hAnsi="宋体" w:eastAsia="宋体" w:cs="宋体"/>
          <w:color w:val="auto"/>
          <w:highlight w:val="none"/>
        </w:rPr>
      </w:pPr>
    </w:p>
    <w:p w14:paraId="69A919FA">
      <w:pPr>
        <w:pStyle w:val="32"/>
        <w:spacing w:line="360" w:lineRule="auto"/>
        <w:ind w:left="420" w:leftChars="200" w:firstLine="0" w:firstLineChars="0"/>
        <w:rPr>
          <w:rFonts w:hint="eastAsia" w:ascii="宋体" w:hAnsi="宋体" w:eastAsia="宋体" w:cs="宋体"/>
          <w:color w:val="auto"/>
          <w:highlight w:val="none"/>
        </w:rPr>
      </w:pPr>
    </w:p>
    <w:p w14:paraId="176E66C1">
      <w:pPr>
        <w:pStyle w:val="32"/>
        <w:spacing w:line="360" w:lineRule="auto"/>
        <w:ind w:left="420" w:leftChars="200" w:firstLine="0" w:firstLineChars="0"/>
        <w:rPr>
          <w:rFonts w:hint="eastAsia" w:ascii="宋体" w:hAnsi="宋体" w:eastAsia="宋体" w:cs="宋体"/>
          <w:color w:val="auto"/>
          <w:highlight w:val="none"/>
        </w:rPr>
      </w:pPr>
    </w:p>
    <w:p w14:paraId="3ECCE384">
      <w:pPr>
        <w:pStyle w:val="32"/>
        <w:spacing w:line="360" w:lineRule="auto"/>
        <w:ind w:left="420" w:leftChars="200" w:firstLine="0" w:firstLineChars="0"/>
        <w:rPr>
          <w:rFonts w:hint="eastAsia" w:ascii="宋体" w:hAnsi="宋体" w:eastAsia="宋体" w:cs="宋体"/>
          <w:color w:val="auto"/>
          <w:highlight w:val="none"/>
        </w:rPr>
      </w:pPr>
    </w:p>
    <w:p w14:paraId="130F3E1D">
      <w:pPr>
        <w:pStyle w:val="32"/>
        <w:spacing w:line="360" w:lineRule="auto"/>
        <w:ind w:left="420" w:leftChars="200" w:firstLine="0" w:firstLineChars="0"/>
        <w:rPr>
          <w:rFonts w:hint="eastAsia" w:ascii="宋体" w:hAnsi="宋体" w:eastAsia="宋体" w:cs="宋体"/>
          <w:color w:val="auto"/>
          <w:highlight w:val="none"/>
        </w:rPr>
      </w:pPr>
    </w:p>
    <w:p w14:paraId="04529977">
      <w:pPr>
        <w:pStyle w:val="32"/>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4"/>
        <w:rPr>
          <w:rFonts w:hint="eastAsia" w:ascii="宋体" w:hAnsi="宋体" w:eastAsia="宋体" w:cs="宋体"/>
          <w:color w:val="auto"/>
          <w:sz w:val="24"/>
          <w:highlight w:val="none"/>
        </w:rPr>
      </w:pPr>
    </w:p>
    <w:p w14:paraId="5026337E">
      <w:pPr>
        <w:pStyle w:val="14"/>
        <w:rPr>
          <w:rFonts w:hint="eastAsia" w:ascii="宋体" w:hAnsi="宋体" w:eastAsia="宋体" w:cs="宋体"/>
          <w:color w:val="auto"/>
          <w:sz w:val="24"/>
          <w:highlight w:val="none"/>
        </w:rPr>
      </w:pPr>
    </w:p>
    <w:p w14:paraId="13181C37">
      <w:pPr>
        <w:pStyle w:val="14"/>
        <w:rPr>
          <w:rFonts w:hint="eastAsia" w:ascii="宋体" w:hAnsi="宋体" w:eastAsia="宋体" w:cs="宋体"/>
          <w:color w:val="auto"/>
          <w:sz w:val="24"/>
          <w:highlight w:val="none"/>
        </w:rPr>
      </w:pPr>
    </w:p>
    <w:p w14:paraId="1335E164">
      <w:pPr>
        <w:pStyle w:val="14"/>
        <w:rPr>
          <w:rFonts w:hint="eastAsia" w:ascii="宋体" w:hAnsi="宋体" w:eastAsia="宋体" w:cs="宋体"/>
          <w:color w:val="auto"/>
          <w:sz w:val="24"/>
          <w:highlight w:val="none"/>
        </w:rPr>
      </w:pPr>
    </w:p>
    <w:p w14:paraId="451E597D">
      <w:pPr>
        <w:pStyle w:val="14"/>
        <w:rPr>
          <w:rFonts w:hint="eastAsia" w:ascii="宋体" w:hAnsi="宋体" w:eastAsia="宋体" w:cs="宋体"/>
          <w:color w:val="auto"/>
          <w:sz w:val="24"/>
          <w:highlight w:val="none"/>
        </w:rPr>
      </w:pPr>
    </w:p>
    <w:p w14:paraId="06F9474B">
      <w:pPr>
        <w:pStyle w:val="14"/>
        <w:rPr>
          <w:rFonts w:hint="eastAsia" w:ascii="宋体" w:hAnsi="宋体" w:eastAsia="宋体" w:cs="宋体"/>
          <w:color w:val="auto"/>
          <w:sz w:val="24"/>
          <w:highlight w:val="none"/>
        </w:rPr>
      </w:pPr>
    </w:p>
    <w:p w14:paraId="32EFB704">
      <w:pPr>
        <w:pStyle w:val="14"/>
        <w:rPr>
          <w:rFonts w:hint="eastAsia" w:ascii="宋体" w:hAnsi="宋体" w:eastAsia="宋体" w:cs="宋体"/>
          <w:color w:val="auto"/>
          <w:sz w:val="24"/>
          <w:highlight w:val="none"/>
        </w:rPr>
      </w:pPr>
    </w:p>
    <w:p w14:paraId="66C957F9">
      <w:pPr>
        <w:pStyle w:val="14"/>
        <w:rPr>
          <w:rFonts w:hint="eastAsia" w:ascii="宋体" w:hAnsi="宋体" w:eastAsia="宋体" w:cs="宋体"/>
          <w:color w:val="auto"/>
          <w:sz w:val="24"/>
          <w:highlight w:val="none"/>
        </w:rPr>
      </w:pPr>
    </w:p>
    <w:p w14:paraId="28DADAF6">
      <w:pPr>
        <w:pStyle w:val="14"/>
        <w:rPr>
          <w:rFonts w:hint="eastAsia" w:ascii="宋体" w:hAnsi="宋体" w:eastAsia="宋体" w:cs="宋体"/>
          <w:color w:val="auto"/>
          <w:sz w:val="24"/>
          <w:highlight w:val="none"/>
        </w:rPr>
      </w:pPr>
    </w:p>
    <w:p w14:paraId="1F3575D6">
      <w:pPr>
        <w:pStyle w:val="14"/>
        <w:rPr>
          <w:rFonts w:hint="eastAsia" w:ascii="宋体" w:hAnsi="宋体" w:eastAsia="宋体" w:cs="宋体"/>
          <w:color w:val="auto"/>
          <w:sz w:val="24"/>
          <w:highlight w:val="none"/>
        </w:rPr>
      </w:pPr>
    </w:p>
    <w:p w14:paraId="3E2335F6">
      <w:pPr>
        <w:pStyle w:val="3"/>
        <w:jc w:val="center"/>
        <w:rPr>
          <w:rFonts w:hint="eastAsia" w:ascii="宋体" w:hAnsi="宋体" w:eastAsia="宋体" w:cs="宋体"/>
          <w:color w:val="auto"/>
          <w:highlight w:val="none"/>
        </w:rPr>
      </w:pPr>
      <w:bookmarkStart w:id="109" w:name="_Toc7327"/>
      <w:bookmarkStart w:id="110" w:name="_Toc12495"/>
      <w:bookmarkStart w:id="111" w:name="_Toc15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09"/>
      <w:bookmarkEnd w:id="110"/>
      <w:bookmarkEnd w:id="111"/>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7"/>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7"/>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7"/>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1"/>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1"/>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1"/>
        <w:spacing w:line="500" w:lineRule="exact"/>
        <w:rPr>
          <w:rFonts w:hint="eastAsia" w:ascii="宋体" w:hAnsi="宋体" w:eastAsia="宋体" w:cs="宋体"/>
          <w:color w:val="auto"/>
          <w:sz w:val="32"/>
          <w:highlight w:val="none"/>
        </w:rPr>
      </w:pPr>
    </w:p>
    <w:p w14:paraId="49C711B1">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7BA668AA">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1"/>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1"/>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1"/>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hAnsi="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1"/>
        <w:numPr>
          <w:ilvl w:val="0"/>
          <w:numId w:val="4"/>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1"/>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1"/>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1"/>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1"/>
        <w:spacing w:line="360" w:lineRule="auto"/>
        <w:ind w:firstLine="420"/>
        <w:rPr>
          <w:rFonts w:hint="eastAsia" w:ascii="宋体" w:hAnsi="宋体" w:eastAsia="宋体" w:cs="宋体"/>
          <w:color w:val="auto"/>
          <w:highlight w:val="none"/>
        </w:rPr>
      </w:pPr>
      <w:r>
        <w:rPr>
          <w:rFonts w:hint="eastAsia" w:hAnsi="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63FE353">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D5B1AFC">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5A1DEC97">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53BB2C2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8A89337">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29FFFDFB">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52B0DF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44470468">
      <w:pPr>
        <w:pStyle w:val="12"/>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1"/>
        <w:spacing w:line="360" w:lineRule="auto"/>
        <w:ind w:firstLine="420"/>
        <w:rPr>
          <w:rFonts w:hint="eastAsia" w:ascii="宋体" w:hAnsi="宋体" w:eastAsia="宋体" w:cs="宋体"/>
          <w:color w:val="auto"/>
          <w:highlight w:val="none"/>
        </w:rPr>
      </w:pPr>
    </w:p>
    <w:p w14:paraId="37700173">
      <w:pPr>
        <w:spacing w:line="520" w:lineRule="exact"/>
        <w:ind w:firstLine="420" w:firstLineChars="200"/>
        <w:rPr>
          <w:rFonts w:hint="eastAsia" w:ascii="宋体" w:hAnsi="宋体" w:eastAsia="宋体" w:cs="宋体"/>
          <w:color w:val="auto"/>
          <w:highlight w:val="none"/>
        </w:rPr>
        <w:sectPr>
          <w:pgSz w:w="11910" w:h="16840"/>
          <w:pgMar w:top="1340" w:right="1500" w:bottom="280" w:left="1680" w:header="720" w:footer="720" w:gutter="0"/>
          <w:pgNumType w:fmt="decimal"/>
          <w:cols w:space="720" w:num="1"/>
          <w:formProt w:val="0"/>
        </w:sectPr>
      </w:pPr>
    </w:p>
    <w:p w14:paraId="537CC844">
      <w:pPr>
        <w:pStyle w:val="11"/>
        <w:spacing w:line="500" w:lineRule="exact"/>
        <w:ind w:firstLine="602" w:firstLineChars="200"/>
        <w:rPr>
          <w:rFonts w:hint="eastAsia" w:ascii="宋体" w:hAnsi="宋体" w:eastAsia="宋体" w:cs="宋体"/>
          <w:b/>
          <w:color w:val="auto"/>
          <w:kern w:val="2"/>
          <w:sz w:val="30"/>
          <w:szCs w:val="30"/>
          <w:highlight w:val="none"/>
        </w:rPr>
      </w:pPr>
    </w:p>
    <w:p w14:paraId="19B302A9">
      <w:pPr>
        <w:pStyle w:val="11"/>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7C3B74D5">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23CC7D1">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1155"/>
      </w:tblGrid>
      <w:tr w14:paraId="1365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65CC50C">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8729A6">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299576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E223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09E83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9571A2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1C85565D">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56909242">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6F3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2F4C6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7262FD">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9DF61C6">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24F7A2">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18EF88">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9DB20B5">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FE2A661">
            <w:pPr>
              <w:rPr>
                <w:rFonts w:hint="eastAsia" w:ascii="宋体" w:hAnsi="宋体" w:eastAsia="宋体" w:cs="宋体"/>
                <w:color w:val="auto"/>
                <w:szCs w:val="22"/>
                <w:highlight w:val="none"/>
              </w:rPr>
            </w:pPr>
          </w:p>
        </w:tc>
      </w:tr>
      <w:tr w14:paraId="57C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F6A7DE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7122F5">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597295E9">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E879B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844123">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21E43A6">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4D7B797E">
            <w:pPr>
              <w:rPr>
                <w:rFonts w:hint="eastAsia" w:ascii="宋体" w:hAnsi="宋体" w:eastAsia="宋体" w:cs="宋体"/>
                <w:color w:val="auto"/>
                <w:szCs w:val="22"/>
                <w:highlight w:val="none"/>
              </w:rPr>
            </w:pPr>
          </w:p>
        </w:tc>
      </w:tr>
      <w:tr w14:paraId="17F2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3F37A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1F5A2B">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61F49F0">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51F8A7">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DBE3DC">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1BABD9F">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B2ACB30">
            <w:pPr>
              <w:rPr>
                <w:rFonts w:hint="eastAsia" w:ascii="宋体" w:hAnsi="宋体" w:eastAsia="宋体" w:cs="宋体"/>
                <w:color w:val="auto"/>
                <w:szCs w:val="22"/>
                <w:highlight w:val="none"/>
              </w:rPr>
            </w:pPr>
          </w:p>
        </w:tc>
      </w:tr>
      <w:tr w14:paraId="0DCD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832F0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5C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631CB7C2">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48A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477A9709">
            <w:pPr>
              <w:pStyle w:val="11"/>
              <w:spacing w:line="360" w:lineRule="exact"/>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7F95DD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0A80F374">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zh-CN"/>
        </w:rPr>
        <w:t>1.</w:t>
      </w:r>
      <w:r>
        <w:rPr>
          <w:rFonts w:hint="eastAsia" w:ascii="宋体" w:hAnsi="宋体" w:eastAsia="宋体" w:cs="宋体"/>
          <w:color w:val="auto"/>
          <w:kern w:val="0"/>
          <w:sz w:val="24"/>
          <w:highlight w:val="none"/>
          <w:lang w:val="zh-CN"/>
        </w:rPr>
        <w:t>供应商需按本表格式填写，不得自行更改，也不得留空</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如有多分标，按分标分别提供响应报价表</w:t>
      </w:r>
      <w:r>
        <w:rPr>
          <w:rFonts w:hint="eastAsia" w:ascii="宋体" w:hAnsi="宋体" w:eastAsia="宋体" w:cs="宋体"/>
          <w:b/>
          <w:color w:val="auto"/>
          <w:kern w:val="0"/>
          <w:sz w:val="24"/>
          <w:highlight w:val="none"/>
          <w:lang w:val="zh-CN"/>
        </w:rPr>
        <w:t>。</w:t>
      </w:r>
    </w:p>
    <w:p w14:paraId="0DDC1365">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以上表格要求细分项目及报价，在“</w:t>
      </w:r>
      <w:r>
        <w:rPr>
          <w:rFonts w:hint="eastAsia" w:ascii="宋体" w:hAnsi="宋体" w:eastAsia="宋体" w:cs="宋体"/>
          <w:color w:val="auto"/>
          <w:kern w:val="0"/>
          <w:sz w:val="24"/>
          <w:highlight w:val="none"/>
          <w:lang w:val="en-US" w:eastAsia="zh-CN"/>
        </w:rPr>
        <w:t>项目</w:t>
      </w:r>
      <w:r>
        <w:rPr>
          <w:rFonts w:hint="eastAsia" w:ascii="宋体" w:hAnsi="宋体" w:eastAsia="宋体" w:cs="宋体"/>
          <w:color w:val="auto"/>
          <w:kern w:val="0"/>
          <w:sz w:val="24"/>
          <w:highlight w:val="none"/>
          <w:lang w:val="zh-CN"/>
        </w:rPr>
        <w:t>内容”一栏中，填写</w:t>
      </w:r>
      <w:r>
        <w:rPr>
          <w:rFonts w:hint="eastAsia" w:ascii="宋体" w:hAnsi="宋体" w:eastAsia="宋体" w:cs="宋体"/>
          <w:color w:val="auto"/>
          <w:kern w:val="0"/>
          <w:sz w:val="24"/>
          <w:highlight w:val="none"/>
          <w:lang w:val="en-US" w:eastAsia="zh-CN"/>
        </w:rPr>
        <w:t>采购内</w:t>
      </w:r>
      <w:r>
        <w:rPr>
          <w:rFonts w:hint="eastAsia" w:ascii="宋体" w:hAnsi="宋体" w:eastAsia="宋体" w:cs="宋体"/>
          <w:b w:val="0"/>
          <w:bCs w:val="0"/>
          <w:color w:val="auto"/>
          <w:kern w:val="0"/>
          <w:sz w:val="24"/>
          <w:highlight w:val="none"/>
          <w:lang w:val="en-US" w:eastAsia="zh-CN"/>
        </w:rPr>
        <w:t>容</w:t>
      </w:r>
      <w:r>
        <w:rPr>
          <w:rFonts w:hint="eastAsia" w:ascii="宋体" w:hAnsi="宋体" w:eastAsia="宋体" w:cs="宋体"/>
          <w:b/>
          <w:color w:val="auto"/>
          <w:kern w:val="0"/>
          <w:sz w:val="24"/>
          <w:highlight w:val="none"/>
          <w:lang w:val="zh-CN"/>
        </w:rPr>
        <w:t>。</w:t>
      </w:r>
    </w:p>
    <w:p w14:paraId="2B8A4F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1F6BFE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CC9396">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C0DD729">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1"/>
        <w:spacing w:line="500" w:lineRule="exact"/>
        <w:ind w:firstLine="602" w:firstLineChars="200"/>
        <w:rPr>
          <w:rFonts w:hint="eastAsia" w:ascii="宋体" w:hAnsi="宋体" w:eastAsia="宋体" w:cs="宋体"/>
          <w:b/>
          <w:color w:val="auto"/>
          <w:kern w:val="2"/>
          <w:sz w:val="30"/>
          <w:szCs w:val="30"/>
          <w:highlight w:val="none"/>
        </w:rPr>
      </w:pPr>
    </w:p>
    <w:p w14:paraId="02E0C878">
      <w:pPr>
        <w:pStyle w:val="11"/>
        <w:spacing w:line="500" w:lineRule="exact"/>
        <w:ind w:firstLine="602" w:firstLineChars="200"/>
        <w:rPr>
          <w:rFonts w:hint="eastAsia" w:ascii="宋体" w:hAnsi="宋体" w:eastAsia="宋体" w:cs="宋体"/>
          <w:b/>
          <w:color w:val="auto"/>
          <w:kern w:val="2"/>
          <w:sz w:val="30"/>
          <w:szCs w:val="30"/>
          <w:highlight w:val="none"/>
        </w:rPr>
      </w:pPr>
    </w:p>
    <w:p w14:paraId="5D69E1E3">
      <w:pPr>
        <w:pStyle w:val="11"/>
        <w:spacing w:line="500" w:lineRule="exact"/>
        <w:ind w:firstLine="602" w:firstLineChars="200"/>
        <w:rPr>
          <w:rFonts w:hint="eastAsia" w:ascii="宋体" w:hAnsi="宋体" w:eastAsia="宋体" w:cs="宋体"/>
          <w:b/>
          <w:color w:val="auto"/>
          <w:kern w:val="2"/>
          <w:sz w:val="30"/>
          <w:szCs w:val="30"/>
          <w:highlight w:val="none"/>
        </w:rPr>
      </w:pPr>
    </w:p>
    <w:p w14:paraId="130298AA">
      <w:pPr>
        <w:pStyle w:val="5"/>
        <w:rPr>
          <w:rFonts w:hint="eastAsia" w:ascii="宋体" w:hAnsi="宋体" w:eastAsia="宋体" w:cs="宋体"/>
          <w:b/>
          <w:color w:val="auto"/>
          <w:kern w:val="2"/>
          <w:sz w:val="30"/>
          <w:szCs w:val="30"/>
          <w:highlight w:val="none"/>
        </w:rPr>
      </w:pPr>
    </w:p>
    <w:p w14:paraId="5857533F">
      <w:pPr>
        <w:rPr>
          <w:rFonts w:hint="eastAsia" w:ascii="宋体" w:hAnsi="宋体" w:eastAsia="宋体" w:cs="宋体"/>
          <w:b/>
          <w:color w:val="auto"/>
          <w:kern w:val="2"/>
          <w:sz w:val="30"/>
          <w:szCs w:val="30"/>
          <w:highlight w:val="none"/>
        </w:rPr>
      </w:pPr>
    </w:p>
    <w:p w14:paraId="146B5298">
      <w:pPr>
        <w:rPr>
          <w:rFonts w:hint="eastAsia" w:ascii="宋体" w:hAnsi="宋体" w:eastAsia="宋体" w:cs="宋体"/>
          <w:b/>
          <w:color w:val="auto"/>
          <w:kern w:val="2"/>
          <w:sz w:val="30"/>
          <w:szCs w:val="30"/>
          <w:highlight w:val="none"/>
        </w:rPr>
      </w:pPr>
    </w:p>
    <w:p w14:paraId="1D6E2EBE">
      <w:pPr>
        <w:ind w:right="384" w:rightChars="183"/>
        <w:jc w:val="center"/>
        <w:rPr>
          <w:rFonts w:hint="eastAsia" w:ascii="宋体" w:hAnsi="宋体" w:eastAsia="宋体" w:cs="宋体"/>
          <w:b/>
          <w:bCs/>
          <w:color w:val="auto"/>
          <w:sz w:val="28"/>
          <w:szCs w:val="28"/>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tbl>
      <w:tblPr>
        <w:tblStyle w:val="20"/>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3" w:type="dxa"/>
            <w:tcBorders>
              <w:bottom w:val="single" w:color="000000" w:sz="6" w:space="0"/>
              <w:right w:val="single" w:color="000000" w:sz="6" w:space="0"/>
            </w:tcBorders>
            <w:noWrap w:val="0"/>
            <w:vAlign w:val="center"/>
          </w:tcPr>
          <w:p w14:paraId="6C9D8A85">
            <w:pPr>
              <w:pStyle w:val="34"/>
              <w:spacing w:before="1"/>
              <w:ind w:left="160" w:right="149"/>
              <w:jc w:val="center"/>
              <w:rPr>
                <w:rFonts w:hint="eastAsia" w:ascii="仿宋" w:hAnsi="仿宋" w:eastAsia="仿宋" w:cs="仿宋"/>
                <w:color w:val="auto"/>
                <w:sz w:val="24"/>
                <w:highlight w:val="none"/>
              </w:rPr>
            </w:pPr>
          </w:p>
          <w:p w14:paraId="22DAEDB3">
            <w:pPr>
              <w:pStyle w:val="34"/>
              <w:spacing w:before="1"/>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top"/>
          </w:tcPr>
          <w:p w14:paraId="4C640913">
            <w:pPr>
              <w:pStyle w:val="34"/>
              <w:spacing w:before="1"/>
              <w:ind w:left="792"/>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 目 内 容</w:t>
            </w:r>
          </w:p>
        </w:tc>
        <w:tc>
          <w:tcPr>
            <w:tcW w:w="4065" w:type="dxa"/>
            <w:tcBorders>
              <w:left w:val="single" w:color="000000" w:sz="6" w:space="0"/>
              <w:bottom w:val="single" w:color="000000" w:sz="6" w:space="0"/>
            </w:tcBorders>
            <w:noWrap w:val="0"/>
            <w:vAlign w:val="top"/>
          </w:tcPr>
          <w:p w14:paraId="7DCFB3ED">
            <w:pPr>
              <w:pStyle w:val="34"/>
              <w:spacing w:before="1"/>
              <w:ind w:right="153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104ADC97">
            <w:pPr>
              <w:pStyle w:val="34"/>
              <w:spacing w:before="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4"/>
              <w:spacing w:before="1"/>
              <w:ind w:left="105"/>
              <w:rPr>
                <w:rFonts w:hint="eastAsia" w:ascii="仿宋" w:hAnsi="仿宋" w:eastAsia="仿宋" w:cs="仿宋"/>
                <w:color w:val="auto"/>
                <w:sz w:val="24"/>
                <w:highlight w:val="none"/>
              </w:rPr>
            </w:pPr>
          </w:p>
          <w:p w14:paraId="66E83209">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29182154">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26DB5199">
            <w:pPr>
              <w:pStyle w:val="34"/>
              <w:spacing w:before="1"/>
              <w:ind w:left="105"/>
              <w:rPr>
                <w:rFonts w:hint="eastAsia" w:ascii="仿宋" w:hAnsi="仿宋" w:eastAsia="仿宋" w:cs="仿宋"/>
                <w:color w:val="auto"/>
                <w:sz w:val="24"/>
                <w:highlight w:val="none"/>
              </w:rPr>
            </w:pPr>
          </w:p>
          <w:p w14:paraId="678A9C5A">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注册编号：</w:t>
            </w:r>
            <w:r>
              <w:rPr>
                <w:rFonts w:hint="eastAsia" w:ascii="仿宋" w:hAnsi="仿宋" w:eastAsia="仿宋" w:cs="仿宋"/>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0CC15757">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4"/>
              <w:spacing w:before="1"/>
              <w:ind w:left="105"/>
              <w:rPr>
                <w:rFonts w:hint="eastAsia" w:ascii="仿宋" w:hAnsi="仿宋" w:eastAsia="仿宋" w:cs="仿宋"/>
                <w:color w:val="auto"/>
                <w:sz w:val="24"/>
                <w:highlight w:val="none"/>
              </w:rPr>
            </w:pPr>
          </w:p>
          <w:p w14:paraId="44993B60">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6FD30E07">
            <w:pPr>
              <w:pStyle w:val="34"/>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12D4B8AD">
            <w:pPr>
              <w:pStyle w:val="34"/>
              <w:spacing w:before="1"/>
              <w:ind w:left="105"/>
              <w:rPr>
                <w:rFonts w:hint="eastAsia" w:ascii="仿宋" w:hAnsi="仿宋" w:eastAsia="仿宋" w:cs="仿宋"/>
                <w:color w:val="auto"/>
                <w:sz w:val="24"/>
                <w:highlight w:val="none"/>
              </w:rPr>
            </w:pPr>
          </w:p>
          <w:p w14:paraId="3E96CDA1">
            <w:pPr>
              <w:pStyle w:val="34"/>
              <w:spacing w:before="1"/>
              <w:ind w:left="105"/>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lang w:val="en-US" w:eastAsia="zh-CN"/>
              </w:rPr>
              <w:t>证书编号：</w:t>
            </w:r>
            <w:r>
              <w:rPr>
                <w:rFonts w:hint="eastAsia" w:ascii="仿宋" w:hAnsi="仿宋" w:eastAsia="仿宋" w:cs="仿宋"/>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0E9E0CDE">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A06FAAE">
            <w:pPr>
              <w:pStyle w:val="34"/>
              <w:spacing w:before="1"/>
              <w:ind w:left="105"/>
              <w:rPr>
                <w:rFonts w:hint="eastAsia" w:ascii="仿宋" w:hAnsi="仿宋" w:eastAsia="仿宋" w:cs="仿宋"/>
                <w:color w:val="auto"/>
                <w:sz w:val="24"/>
                <w:highlight w:val="none"/>
              </w:rPr>
            </w:pPr>
          </w:p>
          <w:p w14:paraId="3FD1F73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质量保修金</w:t>
            </w:r>
          </w:p>
        </w:tc>
        <w:tc>
          <w:tcPr>
            <w:tcW w:w="4065" w:type="dxa"/>
            <w:tcBorders>
              <w:top w:val="single" w:color="000000" w:sz="6" w:space="0"/>
              <w:left w:val="single" w:color="000000" w:sz="6" w:space="0"/>
            </w:tcBorders>
            <w:noWrap w:val="0"/>
            <w:vAlign w:val="top"/>
          </w:tcPr>
          <w:p w14:paraId="34E48F66">
            <w:pPr>
              <w:pStyle w:val="34"/>
              <w:spacing w:before="1"/>
              <w:ind w:left="105"/>
              <w:rPr>
                <w:rFonts w:hint="eastAsia" w:ascii="仿宋" w:hAnsi="仿宋" w:eastAsia="仿宋" w:cs="仿宋"/>
                <w:color w:val="auto"/>
                <w:sz w:val="24"/>
                <w:highlight w:val="none"/>
              </w:rPr>
            </w:pPr>
          </w:p>
          <w:p w14:paraId="1F0FD09B">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结算价的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5349D38C">
            <w:pPr>
              <w:pStyle w:val="34"/>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35264A3C">
            <w:pPr>
              <w:pStyle w:val="34"/>
              <w:spacing w:before="1"/>
              <w:ind w:left="105"/>
              <w:rPr>
                <w:rFonts w:hint="eastAsia" w:ascii="仿宋" w:hAnsi="仿宋" w:eastAsia="仿宋" w:cs="仿宋"/>
                <w:color w:val="auto"/>
                <w:sz w:val="24"/>
                <w:highlight w:val="none"/>
              </w:rPr>
            </w:pPr>
          </w:p>
          <w:p w14:paraId="5C541DF2">
            <w:pPr>
              <w:pStyle w:val="34"/>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合同履约期限</w:t>
            </w:r>
          </w:p>
        </w:tc>
        <w:tc>
          <w:tcPr>
            <w:tcW w:w="4065" w:type="dxa"/>
            <w:tcBorders>
              <w:left w:val="single" w:color="000000" w:sz="6" w:space="0"/>
              <w:bottom w:val="single" w:color="000000" w:sz="6" w:space="0"/>
            </w:tcBorders>
            <w:noWrap w:val="0"/>
            <w:vAlign w:val="top"/>
          </w:tcPr>
          <w:p w14:paraId="6DCB0556">
            <w:pPr>
              <w:pStyle w:val="34"/>
              <w:spacing w:before="1"/>
              <w:ind w:left="105"/>
              <w:rPr>
                <w:rFonts w:hint="eastAsia" w:ascii="仿宋" w:hAnsi="仿宋" w:eastAsia="仿宋" w:cs="仿宋"/>
                <w:color w:val="auto"/>
                <w:sz w:val="24"/>
                <w:highlight w:val="none"/>
              </w:rPr>
            </w:pPr>
          </w:p>
          <w:p w14:paraId="0D8CB35F">
            <w:pPr>
              <w:pStyle w:val="34"/>
              <w:spacing w:before="1"/>
              <w:ind w:left="10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u w:val="none"/>
                <w:lang w:val="en-US" w:eastAsia="zh-CN"/>
              </w:rPr>
              <w:t>工期</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日历天</w:t>
            </w:r>
            <w:r>
              <w:rPr>
                <w:rFonts w:hint="eastAsia" w:ascii="仿宋" w:hAnsi="仿宋" w:eastAsia="仿宋" w:cs="仿宋"/>
                <w:color w:val="auto"/>
                <w:sz w:val="24"/>
                <w:highlight w:val="none"/>
                <w:u w:val="none"/>
              </w:rPr>
              <w:t xml:space="preserve"> </w:t>
            </w:r>
            <w:r>
              <w:rPr>
                <w:rFonts w:hint="eastAsia" w:ascii="仿宋" w:hAnsi="仿宋" w:eastAsia="仿宋" w:cs="仿宋"/>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403C12DE">
            <w:pPr>
              <w:pStyle w:val="34"/>
              <w:spacing w:before="197"/>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7636" w:type="dxa"/>
            <w:gridSpan w:val="2"/>
            <w:tcBorders>
              <w:top w:val="single" w:color="000000" w:sz="6" w:space="0"/>
              <w:left w:val="single" w:color="000000" w:sz="6" w:space="0"/>
            </w:tcBorders>
            <w:noWrap w:val="0"/>
            <w:vAlign w:val="top"/>
          </w:tcPr>
          <w:p w14:paraId="0B13F283">
            <w:pPr>
              <w:pStyle w:val="34"/>
              <w:rPr>
                <w:rFonts w:hint="eastAsia" w:ascii="仿宋" w:hAnsi="仿宋" w:eastAsia="仿宋" w:cs="仿宋"/>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注：</w:t>
      </w:r>
    </w:p>
    <w:p w14:paraId="0F214AA7">
      <w:pPr>
        <w:numPr>
          <w:ilvl w:val="0"/>
          <w:numId w:val="5"/>
        </w:num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本表由供应商在本表空白处予以补充填写。</w:t>
      </w:r>
    </w:p>
    <w:p w14:paraId="4A04D521">
      <w:pPr>
        <w:pStyle w:val="27"/>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61DC451">
      <w:pPr>
        <w:pStyle w:val="9"/>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pStyle w:val="5"/>
        <w:rPr>
          <w:rFonts w:hint="eastAsia"/>
          <w:color w:val="auto"/>
          <w:highlight w:val="none"/>
        </w:rPr>
      </w:pPr>
    </w:p>
    <w:p w14:paraId="42424311">
      <w:pPr>
        <w:pStyle w:val="11"/>
        <w:spacing w:line="500" w:lineRule="exact"/>
        <w:rPr>
          <w:rFonts w:hint="eastAsia" w:ascii="宋体" w:hAnsi="宋体" w:eastAsia="宋体" w:cs="宋体"/>
          <w:b/>
          <w:color w:val="auto"/>
          <w:kern w:val="2"/>
          <w:sz w:val="30"/>
          <w:szCs w:val="30"/>
          <w:highlight w:val="none"/>
        </w:rPr>
      </w:pPr>
    </w:p>
    <w:p w14:paraId="2A01FAC5">
      <w:pPr>
        <w:pStyle w:val="11"/>
        <w:spacing w:line="500" w:lineRule="exact"/>
        <w:rPr>
          <w:rFonts w:hint="eastAsia" w:ascii="宋体" w:hAnsi="宋体" w:eastAsia="宋体" w:cs="宋体"/>
          <w:b/>
          <w:color w:val="auto"/>
          <w:kern w:val="2"/>
          <w:sz w:val="30"/>
          <w:szCs w:val="30"/>
          <w:highlight w:val="none"/>
        </w:rPr>
      </w:pPr>
    </w:p>
    <w:p w14:paraId="22F846F8">
      <w:pPr>
        <w:numPr>
          <w:ilvl w:val="0"/>
          <w:numId w:val="6"/>
        </w:numPr>
        <w:spacing w:line="360" w:lineRule="auto"/>
        <w:jc w:val="center"/>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t xml:space="preserve"> 合同文本</w:t>
      </w:r>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2F3C869F">
      <w:pPr>
        <w:spacing w:line="820" w:lineRule="exact"/>
        <w:jc w:val="center"/>
        <w:rPr>
          <w:rFonts w:hint="eastAsia" w:ascii="宋体" w:hAnsi="宋体" w:cs="宋体"/>
          <w:b/>
          <w:bCs/>
          <w:color w:val="auto"/>
          <w:sz w:val="32"/>
          <w:szCs w:val="32"/>
          <w:highlight w:val="none"/>
          <w:lang w:eastAsia="zh-CN"/>
        </w:rPr>
      </w:pPr>
    </w:p>
    <w:p w14:paraId="7473987A">
      <w:pPr>
        <w:jc w:val="center"/>
        <w:rPr>
          <w:rFonts w:ascii="Times New Roman" w:hAnsi="Times New Roman" w:eastAsia="华文中宋"/>
          <w:b/>
          <w:color w:val="auto"/>
          <w:sz w:val="52"/>
          <w:szCs w:val="52"/>
          <w:highlight w:val="none"/>
        </w:rPr>
      </w:pPr>
    </w:p>
    <w:p w14:paraId="49E2C5B5">
      <w:pPr>
        <w:jc w:val="center"/>
        <w:rPr>
          <w:rFonts w:ascii="Times New Roman" w:hAnsi="Times New Roman" w:eastAsia="华文中宋"/>
          <w:b/>
          <w:color w:val="auto"/>
          <w:sz w:val="52"/>
          <w:szCs w:val="52"/>
          <w:highlight w:val="none"/>
        </w:rPr>
      </w:pPr>
      <w:r>
        <w:rPr>
          <w:rFonts w:ascii="Times New Roman" w:hAnsi="Times New Roman" w:eastAsia="华文中宋"/>
          <w:b/>
          <w:color w:val="auto"/>
          <w:sz w:val="72"/>
          <w:szCs w:val="52"/>
          <w:highlight w:val="none"/>
        </w:rPr>
        <w:t>建设工程施工合同</w:t>
      </w:r>
      <w:r>
        <w:rPr>
          <w:rFonts w:ascii="Times New Roman" w:hAnsi="Times New Roman" w:eastAsia="华文中宋"/>
          <w:b/>
          <w:color w:val="auto"/>
          <w:sz w:val="52"/>
          <w:szCs w:val="52"/>
          <w:highlight w:val="none"/>
        </w:rPr>
        <w:br w:type="textWrapping"/>
      </w:r>
    </w:p>
    <w:p w14:paraId="07C57F54">
      <w:pPr>
        <w:jc w:val="center"/>
        <w:rPr>
          <w:rFonts w:ascii="Times New Roman" w:hAnsi="Times New Roman" w:eastAsia="华文中宋"/>
          <w:b/>
          <w:color w:val="auto"/>
          <w:sz w:val="52"/>
          <w:szCs w:val="52"/>
          <w:highlight w:val="none"/>
        </w:rPr>
      </w:pPr>
    </w:p>
    <w:p w14:paraId="0E7C5E80">
      <w:pPr>
        <w:jc w:val="center"/>
        <w:rPr>
          <w:rFonts w:ascii="Times New Roman" w:hAnsi="Times New Roman" w:eastAsia="黑体"/>
          <w:b/>
          <w:color w:val="auto"/>
          <w:sz w:val="72"/>
          <w:szCs w:val="72"/>
          <w:highlight w:val="none"/>
        </w:rPr>
      </w:pPr>
    </w:p>
    <w:p w14:paraId="79EDAEF8">
      <w:pPr>
        <w:jc w:val="center"/>
        <w:rPr>
          <w:rFonts w:ascii="Times New Roman" w:hAnsi="Times New Roman" w:eastAsia="楷体_GB2312"/>
          <w:b/>
          <w:color w:val="auto"/>
          <w:sz w:val="72"/>
          <w:szCs w:val="72"/>
          <w:highlight w:val="none"/>
        </w:rPr>
      </w:pPr>
    </w:p>
    <w:p w14:paraId="6E2C717F">
      <w:pPr>
        <w:jc w:val="center"/>
        <w:rPr>
          <w:rFonts w:ascii="Times New Roman" w:hAnsi="Times New Roman" w:eastAsia="黑体"/>
          <w:b/>
          <w:color w:val="auto"/>
          <w:sz w:val="52"/>
          <w:szCs w:val="52"/>
          <w:highlight w:val="none"/>
        </w:rPr>
      </w:pPr>
    </w:p>
    <w:p w14:paraId="7E168AEF">
      <w:pPr>
        <w:rPr>
          <w:rFonts w:ascii="Times New Roman" w:hAnsi="Times New Roman"/>
          <w:b/>
          <w:color w:val="auto"/>
          <w:sz w:val="28"/>
          <w:szCs w:val="28"/>
          <w:highlight w:val="none"/>
        </w:rPr>
      </w:pPr>
    </w:p>
    <w:p w14:paraId="599833D0">
      <w:pPr>
        <w:rPr>
          <w:rFonts w:ascii="Times New Roman" w:hAnsi="Times New Roman"/>
          <w:b/>
          <w:color w:val="auto"/>
          <w:sz w:val="28"/>
          <w:szCs w:val="28"/>
          <w:highlight w:val="none"/>
        </w:rPr>
      </w:pPr>
    </w:p>
    <w:p w14:paraId="2269C832">
      <w:pPr>
        <w:rPr>
          <w:rFonts w:ascii="Times New Roman" w:hAnsi="Times New Roman"/>
          <w:b/>
          <w:color w:val="auto"/>
          <w:sz w:val="28"/>
          <w:szCs w:val="28"/>
          <w:highlight w:val="none"/>
        </w:rPr>
      </w:pPr>
    </w:p>
    <w:p w14:paraId="70C930FA">
      <w:pPr>
        <w:rPr>
          <w:rFonts w:ascii="Times New Roman" w:hAnsi="Times New Roman"/>
          <w:b/>
          <w:color w:val="auto"/>
          <w:sz w:val="28"/>
          <w:szCs w:val="28"/>
          <w:highlight w:val="none"/>
        </w:rPr>
      </w:pPr>
    </w:p>
    <w:p w14:paraId="43621020">
      <w:pPr>
        <w:rPr>
          <w:rFonts w:ascii="Times New Roman" w:hAnsi="Times New Roman"/>
          <w:b/>
          <w:color w:val="auto"/>
          <w:sz w:val="28"/>
          <w:szCs w:val="28"/>
          <w:highlight w:val="none"/>
        </w:rPr>
      </w:pPr>
    </w:p>
    <w:p w14:paraId="410BC31A">
      <w:pPr>
        <w:rPr>
          <w:rFonts w:ascii="Times New Roman" w:hAnsi="Times New Roman"/>
          <w:b/>
          <w:color w:val="auto"/>
          <w:sz w:val="28"/>
          <w:szCs w:val="28"/>
          <w:highlight w:val="none"/>
        </w:rPr>
      </w:pPr>
    </w:p>
    <w:p w14:paraId="73A83B10">
      <w:pPr>
        <w:rPr>
          <w:rFonts w:ascii="Times New Roman" w:hAnsi="Times New Roman"/>
          <w:b/>
          <w:color w:val="auto"/>
          <w:sz w:val="28"/>
          <w:szCs w:val="28"/>
          <w:highlight w:val="none"/>
        </w:rPr>
      </w:pPr>
    </w:p>
    <w:p w14:paraId="4CF06E7C">
      <w:pPr>
        <w:rPr>
          <w:rFonts w:ascii="Times New Roman" w:hAnsi="Times New Roman"/>
          <w:b/>
          <w:color w:val="auto"/>
          <w:sz w:val="28"/>
          <w:szCs w:val="28"/>
          <w:highlight w:val="none"/>
        </w:rPr>
      </w:pPr>
    </w:p>
    <w:p w14:paraId="7015027D">
      <w:pPr>
        <w:ind w:right="2719" w:rightChars="1295" w:firstLine="2738" w:firstLineChars="1304"/>
        <w:jc w:val="distribute"/>
        <w:rPr>
          <w:rFonts w:ascii="Times New Roman" w:hAnsi="Times New Roman"/>
          <w:b/>
          <w:color w:val="auto"/>
          <w:sz w:val="32"/>
          <w:szCs w:val="28"/>
          <w:highlight w:val="none"/>
        </w:rPr>
      </w:pPr>
      <w:r>
        <w:rPr>
          <w:rFonts w:ascii="Times New Roman" w:hAnsi="Times New Roman"/>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5578FD0E">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540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5IdkigkCAAAaBAAADgAAAAAAAAABACAA&#10;AAAnAQAAZHJzL2Uyb0RvYy54bWxQSwUGAAAAAAYABgBZAQAAogUAAAAA&#10;">
                <v:fill on="f" focussize="0,0"/>
                <v:stroke color="#FFFFFF" joinstyle="miter"/>
                <v:imagedata o:title=""/>
                <o:lock v:ext="edit" aspectratio="f"/>
                <v:textbox>
                  <w:txbxContent>
                    <w:p w14:paraId="5578FD0E">
                      <w:pPr>
                        <w:rPr>
                          <w:rFonts w:hint="eastAsia"/>
                          <w:b/>
                          <w:bCs/>
                          <w:sz w:val="32"/>
                        </w:rPr>
                      </w:pPr>
                      <w:r>
                        <w:rPr>
                          <w:rFonts w:hint="eastAsia"/>
                          <w:b/>
                          <w:bCs/>
                          <w:sz w:val="32"/>
                        </w:rPr>
                        <w:t>制定</w:t>
                      </w:r>
                    </w:p>
                  </w:txbxContent>
                </v:textbox>
              </v:shape>
            </w:pict>
          </mc:Fallback>
        </mc:AlternateContent>
      </w:r>
      <w:r>
        <w:rPr>
          <w:rFonts w:ascii="Times New Roman" w:hAnsi="Times New Roman"/>
          <w:b/>
          <w:color w:val="auto"/>
          <w:sz w:val="32"/>
          <w:szCs w:val="28"/>
          <w:highlight w:val="none"/>
        </w:rPr>
        <w:t>住房城乡建设部</w:t>
      </w:r>
    </w:p>
    <w:p w14:paraId="0B8133EC">
      <w:pPr>
        <w:jc w:val="center"/>
        <w:rPr>
          <w:rFonts w:ascii="Times New Roman" w:hAnsi="Times New Roman" w:eastAsia="仿宋_GB2312" w:cs="Times New Roman"/>
          <w:b/>
          <w:bCs w:val="0"/>
          <w:color w:val="auto"/>
          <w:sz w:val="32"/>
          <w:szCs w:val="32"/>
          <w:highlight w:val="none"/>
        </w:rPr>
      </w:pPr>
      <w:r>
        <w:rPr>
          <w:rFonts w:hint="eastAsia" w:ascii="宋体" w:hAnsi="宋体" w:eastAsia="宋体" w:cs="宋体"/>
          <w:b/>
          <w:bCs w:val="0"/>
          <w:color w:val="auto"/>
          <w:sz w:val="32"/>
          <w:szCs w:val="32"/>
          <w:highlight w:val="none"/>
        </w:rPr>
        <w:t>国家工商行政管理总局</w:t>
      </w:r>
    </w:p>
    <w:p w14:paraId="1E588433">
      <w:pPr>
        <w:pStyle w:val="7"/>
        <w:rPr>
          <w:rFonts w:hint="eastAsia" w:ascii="宋体" w:hAnsi="宋体" w:eastAsia="宋体" w:cs="宋体"/>
          <w:color w:val="auto"/>
          <w:highlight w:val="none"/>
        </w:rPr>
      </w:pPr>
    </w:p>
    <w:p w14:paraId="357E777B">
      <w:pPr>
        <w:pStyle w:val="4"/>
        <w:numPr>
          <w:ilvl w:val="0"/>
          <w:numId w:val="7"/>
        </w:numPr>
        <w:ind w:firstLine="3534" w:firstLineChars="1100"/>
        <w:rPr>
          <w:rFonts w:hint="eastAsia" w:ascii="宋体" w:hAnsi="宋体" w:eastAsia="宋体" w:cs="宋体"/>
          <w:color w:val="auto"/>
          <w:szCs w:val="28"/>
          <w:highlight w:val="none"/>
        </w:rPr>
        <w:sectPr>
          <w:headerReference r:id="rId16" w:type="default"/>
          <w:footerReference r:id="rId17" w:type="default"/>
          <w:pgSz w:w="11906" w:h="16838"/>
          <w:pgMar w:top="1440" w:right="1800" w:bottom="1440" w:left="1800" w:header="851" w:footer="992" w:gutter="0"/>
          <w:cols w:space="720" w:num="1"/>
          <w:formProt w:val="0"/>
          <w:docGrid w:type="lines" w:linePitch="312" w:charSpace="0"/>
        </w:sectPr>
      </w:pPr>
      <w:bookmarkStart w:id="112" w:name="_Toc31613"/>
      <w:bookmarkStart w:id="113" w:name="_Toc20666"/>
    </w:p>
    <w:p w14:paraId="1860E3FE">
      <w:pPr>
        <w:pStyle w:val="4"/>
        <w:pageBreakBefore w:val="0"/>
        <w:numPr>
          <w:ilvl w:val="0"/>
          <w:numId w:val="7"/>
        </w:numPr>
        <w:kinsoku/>
        <w:wordWrap w:val="0"/>
        <w:overflowPunct/>
        <w:topLinePunct w:val="0"/>
        <w:bidi w:val="0"/>
        <w:spacing w:line="360" w:lineRule="auto"/>
        <w:ind w:firstLine="3534" w:firstLineChars="1100"/>
        <w:rPr>
          <w:rFonts w:hint="eastAsia" w:ascii="宋体" w:hAnsi="宋体" w:eastAsia="宋体" w:cs="宋体"/>
          <w:color w:val="auto"/>
          <w:szCs w:val="28"/>
          <w:highlight w:val="none"/>
        </w:rPr>
      </w:pPr>
      <w:r>
        <w:rPr>
          <w:rFonts w:hint="eastAsia" w:ascii="宋体" w:hAnsi="宋体" w:eastAsia="宋体" w:cs="宋体"/>
          <w:color w:val="auto"/>
          <w:szCs w:val="28"/>
          <w:highlight w:val="none"/>
        </w:rPr>
        <w:t>协议书</w:t>
      </w:r>
      <w:bookmarkEnd w:id="112"/>
      <w:bookmarkEnd w:id="113"/>
    </w:p>
    <w:p w14:paraId="2909F424">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eastAsia" w:ascii="宋体" w:hAnsi="宋体" w:eastAsia="宋体" w:cs="宋体"/>
          <w:b/>
          <w:bCs/>
          <w:color w:val="auto"/>
          <w:sz w:val="21"/>
          <w:szCs w:val="21"/>
          <w:highlight w:val="none"/>
          <w:u w:val="single"/>
          <w:lang w:eastAsia="zh-CN"/>
        </w:rPr>
      </w:pPr>
      <w:r>
        <w:rPr>
          <w:rFonts w:hint="eastAsia" w:ascii="宋体" w:hAnsi="宋体" w:eastAsia="宋体" w:cs="宋体"/>
          <w:b/>
          <w:bCs/>
          <w:color w:val="auto"/>
          <w:sz w:val="21"/>
          <w:szCs w:val="21"/>
          <w:highlight w:val="none"/>
        </w:rPr>
        <w:t>发包人（全称）</w:t>
      </w:r>
      <w:r>
        <w:rPr>
          <w:rFonts w:hint="eastAsia" w:ascii="宋体" w:hAnsi="宋体" w:eastAsia="宋体" w:cs="宋体"/>
          <w:b/>
          <w:bCs/>
          <w:color w:val="auto"/>
          <w:sz w:val="21"/>
          <w:szCs w:val="21"/>
          <w:highlight w:val="none"/>
          <w:u w:val="none"/>
        </w:rPr>
        <w:t>：</w:t>
      </w:r>
      <w:r>
        <w:rPr>
          <w:rFonts w:hint="eastAsia" w:ascii="宋体" w:hAnsi="宋体" w:cs="宋体"/>
          <w:b/>
          <w:bCs/>
          <w:color w:val="auto"/>
          <w:sz w:val="21"/>
          <w:szCs w:val="21"/>
          <w:highlight w:val="none"/>
          <w:u w:val="single"/>
          <w:lang w:eastAsia="zh-CN"/>
        </w:rPr>
        <w:t>崇左市江州区农业农村局</w:t>
      </w:r>
    </w:p>
    <w:p w14:paraId="1ECF021E">
      <w:pPr>
        <w:keepNext w:val="0"/>
        <w:keepLines w:val="0"/>
        <w:pageBreakBefore w:val="0"/>
        <w:kinsoku/>
        <w:wordWrap w:val="0"/>
        <w:overflowPunct/>
        <w:topLinePunct w:val="0"/>
        <w:autoSpaceDE/>
        <w:autoSpaceDN/>
        <w:bidi w:val="0"/>
        <w:adjustRightInd/>
        <w:snapToGrid/>
        <w:spacing w:line="360" w:lineRule="auto"/>
        <w:ind w:firstLine="475"/>
        <w:textAlignment w:val="auto"/>
        <w:rPr>
          <w:rFonts w:hint="default" w:ascii="宋体" w:hAnsi="宋体" w:eastAsia="宋体" w:cs="宋体"/>
          <w:b/>
          <w:bCs/>
          <w:color w:val="auto"/>
          <w:sz w:val="21"/>
          <w:szCs w:val="21"/>
          <w:highlight w:val="none"/>
          <w:u w:val="single"/>
          <w:lang w:val="en-US" w:eastAsia="zh-CN"/>
        </w:rPr>
      </w:pPr>
      <w:r>
        <w:rPr>
          <w:rFonts w:hint="eastAsia" w:ascii="宋体" w:hAnsi="宋体" w:eastAsia="宋体" w:cs="宋体"/>
          <w:b/>
          <w:bCs/>
          <w:color w:val="auto"/>
          <w:sz w:val="21"/>
          <w:szCs w:val="21"/>
          <w:highlight w:val="none"/>
        </w:rPr>
        <w:t>承包人（全称）</w:t>
      </w:r>
      <w:r>
        <w:rPr>
          <w:rFonts w:hint="eastAsia" w:ascii="宋体" w:hAnsi="宋体" w:eastAsia="宋体" w:cs="宋体"/>
          <w:b/>
          <w:bCs/>
          <w:color w:val="auto"/>
          <w:sz w:val="21"/>
          <w:szCs w:val="21"/>
          <w:highlight w:val="none"/>
          <w:u w:val="none"/>
        </w:rPr>
        <w:t>：</w:t>
      </w:r>
      <w:r>
        <w:rPr>
          <w:rFonts w:hint="eastAsia" w:ascii="宋体" w:hAnsi="宋体" w:eastAsia="宋体" w:cs="宋体"/>
          <w:b/>
          <w:bCs/>
          <w:color w:val="auto"/>
          <w:sz w:val="21"/>
          <w:szCs w:val="21"/>
          <w:highlight w:val="none"/>
          <w:u w:val="single"/>
          <w:lang w:val="en-US" w:eastAsia="zh-CN"/>
        </w:rPr>
        <w:t xml:space="preserve"> </w:t>
      </w:r>
      <w:r>
        <w:rPr>
          <w:rFonts w:hint="eastAsia" w:ascii="宋体" w:hAnsi="宋体" w:cs="宋体"/>
          <w:b/>
          <w:bCs/>
          <w:color w:val="auto"/>
          <w:sz w:val="21"/>
          <w:szCs w:val="21"/>
          <w:highlight w:val="none"/>
          <w:u w:val="single"/>
          <w:lang w:val="en-US" w:eastAsia="zh-CN"/>
        </w:rPr>
        <w:t xml:space="preserve">                    </w:t>
      </w:r>
    </w:p>
    <w:p w14:paraId="330FFDD0">
      <w:pPr>
        <w:keepNext w:val="0"/>
        <w:keepLines w:val="0"/>
        <w:pageBreakBefore w:val="0"/>
        <w:kinsoku/>
        <w:wordWrap w:val="0"/>
        <w:overflowPunct/>
        <w:topLinePunct w:val="0"/>
        <w:bidi w:val="0"/>
        <w:snapToGri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依照《中华人民共和国</w:t>
      </w:r>
      <w:r>
        <w:rPr>
          <w:rFonts w:hint="eastAsia" w:ascii="宋体" w:hAnsi="宋体" w:eastAsia="宋体" w:cs="宋体"/>
          <w:color w:val="auto"/>
          <w:sz w:val="21"/>
          <w:szCs w:val="21"/>
          <w:highlight w:val="none"/>
          <w:lang w:eastAsia="zh-CN"/>
        </w:rPr>
        <w:t>民法典</w:t>
      </w:r>
      <w:r>
        <w:rPr>
          <w:rFonts w:hint="eastAsia" w:ascii="宋体" w:hAnsi="宋体" w:eastAsia="宋体" w:cs="宋体"/>
          <w:color w:val="auto"/>
          <w:sz w:val="21"/>
          <w:szCs w:val="21"/>
          <w:highlight w:val="none"/>
        </w:rPr>
        <w:t>》、《中华人民共和国建筑法》及其他有关法律、行政法规，遵循平等、自愿、公平和诚实信用的原则，双方就</w:t>
      </w:r>
      <w:r>
        <w:rPr>
          <w:rFonts w:hint="eastAsia" w:ascii="宋体" w:hAnsi="宋体" w:cs="宋体"/>
          <w:b w:val="0"/>
          <w:bCs w:val="0"/>
          <w:color w:val="auto"/>
          <w:sz w:val="21"/>
          <w:szCs w:val="21"/>
          <w:highlight w:val="none"/>
          <w:u w:val="single"/>
          <w:lang w:val="en-US" w:eastAsia="zh-CN"/>
        </w:rPr>
        <w:t>左江华侨农场渌旺分场甘蔗产业路硬化建设项目</w:t>
      </w:r>
      <w:r>
        <w:rPr>
          <w:rFonts w:hint="eastAsia" w:ascii="宋体" w:hAnsi="宋体" w:eastAsia="宋体" w:cs="宋体"/>
          <w:color w:val="auto"/>
          <w:sz w:val="21"/>
          <w:szCs w:val="21"/>
          <w:highlight w:val="none"/>
        </w:rPr>
        <w:t>施工事项协商一致，订立本合同。</w:t>
      </w:r>
    </w:p>
    <w:p w14:paraId="33D8A1B4">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4" w:name="_Toc459738620"/>
      <w:r>
        <w:rPr>
          <w:rFonts w:hint="eastAsia" w:ascii="宋体" w:hAnsi="宋体" w:eastAsia="宋体" w:cs="宋体"/>
          <w:b/>
          <w:color w:val="auto"/>
          <w:sz w:val="21"/>
          <w:szCs w:val="21"/>
          <w:highlight w:val="none"/>
        </w:rPr>
        <w:t>一、工程概况</w:t>
      </w:r>
      <w:bookmarkEnd w:id="114"/>
    </w:p>
    <w:p w14:paraId="54FF95F9">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rPr>
        <w:t>工程名称</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左江华侨农场渌旺分场甘蔗产业路硬化建设项目</w:t>
      </w:r>
    </w:p>
    <w:p w14:paraId="030CEB9F">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工程地点：</w:t>
      </w:r>
      <w:r>
        <w:rPr>
          <w:rFonts w:hint="eastAsia" w:ascii="宋体" w:hAnsi="宋体" w:cs="宋体"/>
          <w:b w:val="0"/>
          <w:bCs w:val="0"/>
          <w:color w:val="auto"/>
          <w:sz w:val="21"/>
          <w:szCs w:val="21"/>
          <w:highlight w:val="none"/>
          <w:u w:val="single"/>
          <w:lang w:val="en-US" w:eastAsia="zh-CN"/>
        </w:rPr>
        <w:t>左江华侨农场渌旺分场</w:t>
      </w:r>
      <w:r>
        <w:rPr>
          <w:rFonts w:hint="eastAsia" w:ascii="宋体" w:hAnsi="宋体" w:eastAsia="宋体" w:cs="宋体"/>
          <w:b w:val="0"/>
          <w:bCs w:val="0"/>
          <w:color w:val="auto"/>
          <w:sz w:val="21"/>
          <w:szCs w:val="21"/>
          <w:highlight w:val="none"/>
          <w:u w:val="none"/>
          <w:lang w:val="en-US" w:eastAsia="zh-CN"/>
        </w:rPr>
        <w:t>。</w:t>
      </w:r>
    </w:p>
    <w:p w14:paraId="54C6EF22">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工程内容</w:t>
      </w:r>
      <w:r>
        <w:rPr>
          <w:rFonts w:hint="eastAsia" w:ascii="宋体" w:hAnsi="宋体" w:eastAsia="宋体" w:cs="宋体"/>
          <w:b w:val="0"/>
          <w:bCs w:val="0"/>
          <w:color w:val="auto"/>
          <w:sz w:val="21"/>
          <w:szCs w:val="21"/>
          <w:highlight w:val="none"/>
          <w:lang w:eastAsia="zh-CN"/>
        </w:rPr>
        <w:t>：</w:t>
      </w:r>
      <w:r>
        <w:rPr>
          <w:rFonts w:hint="eastAsia" w:ascii="宋体" w:hAnsi="宋体" w:cs="宋体"/>
          <w:b w:val="0"/>
          <w:bCs w:val="0"/>
          <w:color w:val="auto"/>
          <w:sz w:val="21"/>
          <w:szCs w:val="21"/>
          <w:highlight w:val="none"/>
          <w:u w:val="single"/>
          <w:lang w:val="en-US" w:eastAsia="zh-CN"/>
        </w:rPr>
        <w:t>改建5条硬化甘蔗产业道路，总长为1702m。以工程量清单和图纸包含的内容为准</w:t>
      </w:r>
      <w:r>
        <w:rPr>
          <w:rFonts w:hint="eastAsia" w:ascii="宋体" w:hAnsi="宋体" w:eastAsia="宋体" w:cs="宋体"/>
          <w:b w:val="0"/>
          <w:bCs w:val="0"/>
          <w:color w:val="auto"/>
          <w:sz w:val="21"/>
          <w:szCs w:val="21"/>
          <w:highlight w:val="none"/>
          <w:u w:val="none"/>
          <w:lang w:eastAsia="zh-CN"/>
        </w:rPr>
        <w:t>。</w:t>
      </w:r>
    </w:p>
    <w:p w14:paraId="5A768D1D">
      <w:pPr>
        <w:keepNext w:val="0"/>
        <w:keepLines w:val="0"/>
        <w:pageBreakBefore w:val="0"/>
        <w:widowControl/>
        <w:suppressLineNumbers w:val="0"/>
        <w:kinsoku/>
        <w:wordWrap w:val="0"/>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b w:val="0"/>
          <w:bCs w:val="0"/>
          <w:color w:val="auto"/>
          <w:sz w:val="21"/>
          <w:szCs w:val="21"/>
          <w:highlight w:val="none"/>
          <w:u w:val="single"/>
          <w:lang w:val="en-US" w:eastAsia="zh-CN"/>
        </w:rPr>
      </w:pPr>
      <w:r>
        <w:rPr>
          <w:rFonts w:hint="eastAsia" w:ascii="宋体" w:hAnsi="宋体" w:eastAsia="宋体" w:cs="宋体"/>
          <w:b w:val="0"/>
          <w:bCs w:val="0"/>
          <w:color w:val="auto"/>
          <w:sz w:val="21"/>
          <w:szCs w:val="21"/>
          <w:highlight w:val="none"/>
        </w:rPr>
        <w:t>资金来源</w:t>
      </w:r>
      <w:r>
        <w:rPr>
          <w:rFonts w:hint="eastAsia" w:ascii="宋体" w:hAnsi="宋体" w:eastAsia="宋体" w:cs="宋体"/>
          <w:b w:val="0"/>
          <w:bCs w:val="0"/>
          <w:color w:val="auto"/>
          <w:sz w:val="21"/>
          <w:szCs w:val="21"/>
          <w:highlight w:val="none"/>
          <w:u w:val="none"/>
          <w:lang w:eastAsia="zh-CN"/>
        </w:rPr>
        <w:t>：</w:t>
      </w:r>
      <w:r>
        <w:rPr>
          <w:rFonts w:hint="eastAsia" w:ascii="宋体" w:hAnsi="宋体" w:cs="宋体"/>
          <w:b w:val="0"/>
          <w:bCs w:val="0"/>
          <w:color w:val="auto"/>
          <w:sz w:val="21"/>
          <w:szCs w:val="21"/>
          <w:highlight w:val="none"/>
          <w:u w:val="single"/>
          <w:lang w:val="en-US" w:eastAsia="zh-CN"/>
        </w:rPr>
        <w:t>财政资金</w:t>
      </w:r>
    </w:p>
    <w:p w14:paraId="1363A955">
      <w:pPr>
        <w:keepNext w:val="0"/>
        <w:keepLines w:val="0"/>
        <w:pageBreakBefore w:val="0"/>
        <w:kinsoku/>
        <w:wordWrap w:val="0"/>
        <w:overflowPunct/>
        <w:topLinePunct w:val="0"/>
        <w:autoSpaceDE/>
        <w:autoSpaceDN/>
        <w:bidi w:val="0"/>
        <w:adjustRightInd/>
        <w:snapToGrid/>
        <w:spacing w:line="360" w:lineRule="auto"/>
        <w:ind w:firstLine="504" w:firstLineChars="240"/>
        <w:textAlignment w:val="auto"/>
        <w:outlineLvl w:val="0"/>
        <w:rPr>
          <w:rFonts w:hint="eastAsia" w:ascii="宋体" w:hAnsi="宋体" w:eastAsia="宋体" w:cs="宋体"/>
          <w:b w:val="0"/>
          <w:bCs w:val="0"/>
          <w:color w:val="auto"/>
          <w:sz w:val="21"/>
          <w:szCs w:val="21"/>
          <w:highlight w:val="none"/>
        </w:rPr>
      </w:pPr>
      <w:bookmarkStart w:id="115" w:name="_Toc459738621"/>
      <w:r>
        <w:rPr>
          <w:rFonts w:hint="eastAsia" w:ascii="宋体" w:hAnsi="宋体" w:eastAsia="宋体" w:cs="宋体"/>
          <w:b w:val="0"/>
          <w:bCs w:val="0"/>
          <w:color w:val="auto"/>
          <w:sz w:val="21"/>
          <w:szCs w:val="21"/>
          <w:highlight w:val="none"/>
        </w:rPr>
        <w:t>二、工程承包范围</w:t>
      </w:r>
      <w:bookmarkEnd w:id="115"/>
    </w:p>
    <w:p w14:paraId="33C462CD">
      <w:pPr>
        <w:keepNext w:val="0"/>
        <w:keepLines w:val="0"/>
        <w:pageBreakBefore w:val="0"/>
        <w:widowControl/>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u w:val="single"/>
          <w:lang w:eastAsia="zh-CN"/>
        </w:rPr>
      </w:pPr>
      <w:r>
        <w:rPr>
          <w:rFonts w:hint="eastAsia" w:ascii="宋体" w:hAnsi="宋体" w:eastAsia="宋体" w:cs="宋体"/>
          <w:b w:val="0"/>
          <w:bCs w:val="0"/>
          <w:color w:val="auto"/>
          <w:sz w:val="21"/>
          <w:szCs w:val="21"/>
          <w:highlight w:val="none"/>
        </w:rPr>
        <w:t>承包范围</w:t>
      </w:r>
      <w:r>
        <w:rPr>
          <w:rFonts w:hint="eastAsia" w:ascii="宋体" w:hAnsi="宋体" w:eastAsia="宋体" w:cs="宋体"/>
          <w:b w:val="0"/>
          <w:bCs w:val="0"/>
          <w:color w:val="auto"/>
          <w:sz w:val="21"/>
          <w:szCs w:val="21"/>
          <w:highlight w:val="none"/>
          <w:u w:val="none"/>
        </w:rPr>
        <w:t>：</w:t>
      </w:r>
      <w:r>
        <w:rPr>
          <w:rFonts w:hint="eastAsia" w:ascii="宋体" w:hAnsi="宋体" w:cs="宋体"/>
          <w:b w:val="0"/>
          <w:bCs w:val="0"/>
          <w:color w:val="auto"/>
          <w:sz w:val="21"/>
          <w:szCs w:val="21"/>
          <w:highlight w:val="none"/>
          <w:u w:val="single"/>
          <w:lang w:val="en-US" w:eastAsia="zh-CN"/>
        </w:rPr>
        <w:t>改建5条硬化甘蔗产业道路，总长为1702m。以工程量清单和图纸包含的内容为准</w:t>
      </w:r>
      <w:r>
        <w:rPr>
          <w:rFonts w:hint="eastAsia" w:ascii="宋体" w:hAnsi="宋体" w:eastAsia="宋体" w:cs="宋体"/>
          <w:b w:val="0"/>
          <w:bCs w:val="0"/>
          <w:color w:val="auto"/>
          <w:sz w:val="21"/>
          <w:szCs w:val="21"/>
          <w:highlight w:val="none"/>
          <w:u w:val="single"/>
          <w:lang w:eastAsia="zh-CN"/>
        </w:rPr>
        <w:t>。</w:t>
      </w:r>
    </w:p>
    <w:p w14:paraId="7BEF1525">
      <w:pPr>
        <w:keepNext w:val="0"/>
        <w:keepLines w:val="0"/>
        <w:pageBreakBefore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6" w:name="_Toc459738622"/>
      <w:r>
        <w:rPr>
          <w:rFonts w:hint="eastAsia" w:ascii="宋体" w:hAnsi="宋体" w:eastAsia="宋体" w:cs="宋体"/>
          <w:b/>
          <w:color w:val="auto"/>
          <w:sz w:val="21"/>
          <w:szCs w:val="21"/>
          <w:highlight w:val="none"/>
        </w:rPr>
        <w:t>三、合同工期</w:t>
      </w:r>
      <w:bookmarkEnd w:id="116"/>
    </w:p>
    <w:p w14:paraId="03B1E3C3">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3FE3991D">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竣工日期：</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46AB4101">
      <w:pPr>
        <w:keepNext w:val="0"/>
        <w:keepLines w:val="0"/>
        <w:pageBreakBefore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合同工期总日历天</w:t>
      </w:r>
      <w:r>
        <w:rPr>
          <w:rFonts w:hint="eastAsia" w:ascii="宋体" w:hAnsi="宋体" w:eastAsia="宋体" w:cs="宋体"/>
          <w:color w:val="auto"/>
          <w:sz w:val="21"/>
          <w:szCs w:val="21"/>
          <w:highlight w:val="none"/>
          <w:lang w:eastAsia="zh-CN"/>
        </w:rPr>
        <w:t>为</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日历天</w:t>
      </w:r>
      <w:r>
        <w:rPr>
          <w:rFonts w:hint="eastAsia" w:ascii="宋体" w:hAnsi="宋体" w:eastAsia="宋体" w:cs="宋体"/>
          <w:color w:val="auto"/>
          <w:sz w:val="21"/>
          <w:szCs w:val="21"/>
          <w:highlight w:val="none"/>
        </w:rPr>
        <w:t>。</w:t>
      </w:r>
    </w:p>
    <w:p w14:paraId="25F67D61">
      <w:pPr>
        <w:pStyle w:val="27"/>
        <w:keepNext w:val="0"/>
        <w:keepLines w:val="0"/>
        <w:pageBreakBefore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实际开工日期以甲方签发的开工令为准。</w:t>
      </w:r>
    </w:p>
    <w:p w14:paraId="644275E9">
      <w:pPr>
        <w:keepNext w:val="0"/>
        <w:keepLines w:val="0"/>
        <w:pageBreakBefore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17" w:name="_Toc459738623"/>
      <w:r>
        <w:rPr>
          <w:rFonts w:hint="eastAsia" w:ascii="宋体" w:hAnsi="宋体" w:eastAsia="宋体" w:cs="宋体"/>
          <w:b/>
          <w:color w:val="auto"/>
          <w:sz w:val="21"/>
          <w:szCs w:val="21"/>
          <w:highlight w:val="none"/>
        </w:rPr>
        <w:t>四、质量标准</w:t>
      </w:r>
      <w:bookmarkEnd w:id="117"/>
    </w:p>
    <w:p w14:paraId="5A6BC8D4">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工程质量标准</w:t>
      </w:r>
      <w:r>
        <w:rPr>
          <w:rFonts w:hint="eastAsia" w:ascii="宋体" w:hAnsi="宋体" w:eastAsia="宋体" w:cs="宋体"/>
          <w:color w:val="auto"/>
          <w:sz w:val="21"/>
          <w:szCs w:val="21"/>
          <w:highlight w:val="none"/>
          <w:u w:val="single"/>
        </w:rPr>
        <w:t>：</w:t>
      </w:r>
      <w:r>
        <w:rPr>
          <w:rFonts w:hint="eastAsia" w:ascii="宋体" w:hAnsi="宋体" w:eastAsia="宋体" w:cs="宋体"/>
          <w:bCs/>
          <w:color w:val="auto"/>
          <w:sz w:val="21"/>
          <w:szCs w:val="21"/>
          <w:highlight w:val="none"/>
          <w:u w:val="single"/>
        </w:rPr>
        <w:t>达到国家竣工验收规范合格标准</w:t>
      </w:r>
      <w:r>
        <w:rPr>
          <w:rFonts w:hint="eastAsia" w:ascii="宋体" w:hAnsi="宋体" w:eastAsia="宋体" w:cs="宋体"/>
          <w:color w:val="auto"/>
          <w:sz w:val="21"/>
          <w:szCs w:val="21"/>
          <w:highlight w:val="none"/>
          <w:u w:val="single"/>
        </w:rPr>
        <w:t>。</w:t>
      </w:r>
    </w:p>
    <w:p w14:paraId="1F67C290">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18" w:name="_Toc459738624"/>
      <w:r>
        <w:rPr>
          <w:rFonts w:hint="eastAsia" w:ascii="宋体" w:hAnsi="宋体" w:eastAsia="宋体" w:cs="宋体"/>
          <w:b/>
          <w:color w:val="auto"/>
          <w:sz w:val="21"/>
          <w:szCs w:val="21"/>
          <w:highlight w:val="none"/>
        </w:rPr>
        <w:t>五、合同价款</w:t>
      </w:r>
      <w:bookmarkEnd w:id="118"/>
    </w:p>
    <w:p w14:paraId="00C339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vertAlign w:val="baseline"/>
          <w:lang w:val="en-US" w:eastAsia="zh-CN" w:bidi="ar-SA"/>
        </w:rPr>
        <w:t>金额：</w:t>
      </w:r>
      <w:r>
        <w:rPr>
          <w:rFonts w:hint="eastAsia" w:ascii="宋体" w:hAnsi="宋体" w:cs="宋体"/>
          <w:color w:val="auto"/>
          <w:kern w:val="0"/>
          <w:sz w:val="21"/>
          <w:szCs w:val="21"/>
          <w:highlight w:val="none"/>
          <w:u w:val="single"/>
          <w:vertAlign w:val="baseline"/>
          <w:lang w:val="en-US" w:eastAsia="zh-CN" w:bidi="ar-SA"/>
        </w:rPr>
        <w:t xml:space="preserve">       </w:t>
      </w:r>
      <w:r>
        <w:rPr>
          <w:rFonts w:hint="eastAsia" w:ascii="宋体" w:hAnsi="宋体" w:eastAsia="宋体" w:cs="宋体"/>
          <w:color w:val="auto"/>
          <w:kern w:val="0"/>
          <w:sz w:val="21"/>
          <w:szCs w:val="21"/>
          <w:highlight w:val="none"/>
          <w:u w:val="single"/>
          <w:vertAlign w:val="baseline"/>
          <w:lang w:val="en-US" w:eastAsia="zh-CN" w:bidi="ar-SA"/>
        </w:rPr>
        <w:t>元</w:t>
      </w:r>
      <w:r>
        <w:rPr>
          <w:rFonts w:hint="eastAsia" w:ascii="宋体" w:hAnsi="宋体" w:cs="宋体"/>
          <w:color w:val="auto"/>
          <w:kern w:val="0"/>
          <w:sz w:val="21"/>
          <w:szCs w:val="21"/>
          <w:highlight w:val="none"/>
          <w:u w:val="single"/>
          <w:vertAlign w:val="baseline"/>
          <w:lang w:val="en-US" w:eastAsia="zh-CN" w:bidi="ar-SA"/>
        </w:rPr>
        <w:t>（大写：           ）</w:t>
      </w:r>
      <w:r>
        <w:rPr>
          <w:rFonts w:hint="eastAsia" w:ascii="宋体" w:hAnsi="宋体" w:eastAsia="宋体" w:cs="宋体"/>
          <w:color w:val="auto"/>
          <w:kern w:val="0"/>
          <w:sz w:val="21"/>
          <w:szCs w:val="21"/>
          <w:highlight w:val="none"/>
          <w:vertAlign w:val="baseline"/>
          <w:lang w:val="en-US" w:eastAsia="zh-CN" w:bidi="ar-SA"/>
        </w:rPr>
        <w:t xml:space="preserve">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3"/>
        <w:gridCol w:w="2555"/>
        <w:gridCol w:w="1364"/>
      </w:tblGrid>
      <w:tr w14:paraId="297F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03" w:type="dxa"/>
            <w:noWrap w:val="0"/>
            <w:vAlign w:val="top"/>
          </w:tcPr>
          <w:p w14:paraId="0512CE0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项目内容</w:t>
            </w:r>
          </w:p>
        </w:tc>
        <w:tc>
          <w:tcPr>
            <w:tcW w:w="2555" w:type="dxa"/>
            <w:noWrap w:val="0"/>
            <w:vAlign w:val="top"/>
          </w:tcPr>
          <w:p w14:paraId="1C0ECFDD">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金额（元）</w:t>
            </w:r>
          </w:p>
        </w:tc>
        <w:tc>
          <w:tcPr>
            <w:tcW w:w="1364" w:type="dxa"/>
            <w:noWrap w:val="0"/>
            <w:vAlign w:val="top"/>
          </w:tcPr>
          <w:p w14:paraId="0D40961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43E9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center"/>
          </w:tcPr>
          <w:p w14:paraId="360ABF1B">
            <w:pPr>
              <w:keepNext w:val="0"/>
              <w:keepLines w:val="0"/>
              <w:pageBreakBefore w:val="0"/>
              <w:widowControl/>
              <w:suppressLineNumbers w:val="0"/>
              <w:kinsoku/>
              <w:wordWrap w:val="0"/>
              <w:overflowPunct/>
              <w:topLinePunct w:val="0"/>
              <w:bidi w:val="0"/>
              <w:snapToGrid/>
              <w:spacing w:line="360" w:lineRule="auto"/>
              <w:jc w:val="left"/>
              <w:textAlignment w:val="center"/>
              <w:rPr>
                <w:rFonts w:hint="eastAsia" w:ascii="宋体" w:hAnsi="宋体" w:eastAsia="宋体" w:cs="宋体"/>
                <w:color w:val="auto"/>
                <w:kern w:val="0"/>
                <w:sz w:val="21"/>
                <w:szCs w:val="21"/>
                <w:highlight w:val="none"/>
                <w:vertAlign w:val="baseline"/>
                <w:lang w:val="en-US" w:eastAsia="zh-CN" w:bidi="ar-SA"/>
              </w:rPr>
            </w:pPr>
          </w:p>
        </w:tc>
        <w:tc>
          <w:tcPr>
            <w:tcW w:w="2555" w:type="dxa"/>
            <w:noWrap w:val="0"/>
            <w:vAlign w:val="center"/>
          </w:tcPr>
          <w:p w14:paraId="6A01E04F">
            <w:pPr>
              <w:keepNext w:val="0"/>
              <w:keepLines w:val="0"/>
              <w:pageBreakBefore w:val="0"/>
              <w:widowControl/>
              <w:suppressLineNumbers w:val="0"/>
              <w:kinsoku/>
              <w:wordWrap w:val="0"/>
              <w:overflowPunct/>
              <w:topLinePunct w:val="0"/>
              <w:bidi w:val="0"/>
              <w:snapToGrid/>
              <w:spacing w:line="360" w:lineRule="auto"/>
              <w:jc w:val="center"/>
              <w:textAlignment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35F65F2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w:t>
            </w:r>
          </w:p>
        </w:tc>
      </w:tr>
      <w:tr w14:paraId="78BF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3" w:type="dxa"/>
            <w:noWrap w:val="0"/>
            <w:vAlign w:val="top"/>
          </w:tcPr>
          <w:p w14:paraId="6B575756">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r>
              <w:rPr>
                <w:rFonts w:hint="eastAsia" w:ascii="宋体" w:hAnsi="宋体" w:eastAsia="宋体" w:cs="宋体"/>
                <w:color w:val="auto"/>
                <w:kern w:val="0"/>
                <w:sz w:val="21"/>
                <w:szCs w:val="21"/>
                <w:highlight w:val="none"/>
                <w:vertAlign w:val="baseline"/>
                <w:lang w:val="en-US" w:eastAsia="zh-CN" w:bidi="ar-SA"/>
              </w:rPr>
              <w:t>合计</w:t>
            </w:r>
          </w:p>
        </w:tc>
        <w:tc>
          <w:tcPr>
            <w:tcW w:w="2555" w:type="dxa"/>
            <w:noWrap w:val="0"/>
            <w:vAlign w:val="top"/>
          </w:tcPr>
          <w:p w14:paraId="56DB72FB">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kern w:val="0"/>
                <w:sz w:val="21"/>
                <w:szCs w:val="21"/>
                <w:highlight w:val="none"/>
                <w:vertAlign w:val="baseline"/>
                <w:lang w:val="en-US" w:eastAsia="zh-CN" w:bidi="ar-SA"/>
              </w:rPr>
            </w:pPr>
          </w:p>
        </w:tc>
        <w:tc>
          <w:tcPr>
            <w:tcW w:w="1364" w:type="dxa"/>
            <w:noWrap w:val="0"/>
            <w:vAlign w:val="top"/>
          </w:tcPr>
          <w:p w14:paraId="50F5D040">
            <w:pPr>
              <w:pStyle w:val="9"/>
              <w:keepNext w:val="0"/>
              <w:keepLines w:val="0"/>
              <w:pageBreakBefore w:val="0"/>
              <w:kinsoku/>
              <w:wordWrap w:val="0"/>
              <w:overflowPunct/>
              <w:topLinePunct w:val="0"/>
              <w:bidi w:val="0"/>
              <w:snapToGrid/>
              <w:spacing w:line="360" w:lineRule="auto"/>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w:t>
            </w:r>
          </w:p>
        </w:tc>
      </w:tr>
      <w:tr w14:paraId="7E45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3"/>
            <w:noWrap w:val="0"/>
            <w:vAlign w:val="top"/>
          </w:tcPr>
          <w:p w14:paraId="039C259E">
            <w:pPr>
              <w:pStyle w:val="9"/>
              <w:keepNext w:val="0"/>
              <w:keepLines w:val="0"/>
              <w:pageBreakBefore w:val="0"/>
              <w:kinsoku/>
              <w:wordWrap w:val="0"/>
              <w:overflowPunct/>
              <w:topLinePunct w:val="0"/>
              <w:bidi w:val="0"/>
              <w:snapToGrid/>
              <w:spacing w:line="360" w:lineRule="auto"/>
              <w:jc w:val="both"/>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工程总价：人民币</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color w:val="auto"/>
                <w:sz w:val="21"/>
                <w:szCs w:val="21"/>
                <w:highlight w:val="none"/>
                <w:u w:val="none"/>
                <w:vertAlign w:val="baseline"/>
                <w:lang w:val="en-US" w:eastAsia="zh-CN"/>
              </w:rPr>
              <w:t xml:space="preserve">元      </w:t>
            </w:r>
          </w:p>
        </w:tc>
      </w:tr>
    </w:tbl>
    <w:p w14:paraId="2D2955C5">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bCs/>
          <w:color w:val="auto"/>
          <w:sz w:val="21"/>
          <w:szCs w:val="21"/>
          <w:highlight w:val="none"/>
        </w:rPr>
      </w:pPr>
      <w:bookmarkStart w:id="119" w:name="_Toc459738625"/>
      <w:r>
        <w:rPr>
          <w:rFonts w:hint="eastAsia" w:ascii="宋体" w:hAnsi="宋体" w:eastAsia="宋体" w:cs="宋体"/>
          <w:b/>
          <w:bCs/>
          <w:color w:val="auto"/>
          <w:sz w:val="21"/>
          <w:szCs w:val="21"/>
          <w:highlight w:val="none"/>
        </w:rPr>
        <w:t>六、组成合同的文件</w:t>
      </w:r>
      <w:bookmarkEnd w:id="119"/>
    </w:p>
    <w:p w14:paraId="2084501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组成本合同的文件包括：</w:t>
      </w:r>
    </w:p>
    <w:p w14:paraId="56BB9D1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1、本合同协议书</w:t>
      </w:r>
    </w:p>
    <w:p w14:paraId="3ADF2832">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2、成交通知书</w:t>
      </w:r>
    </w:p>
    <w:p w14:paraId="15853C9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3、响应文件及其附件</w:t>
      </w:r>
    </w:p>
    <w:p w14:paraId="6E220BA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4、本合同专用条款</w:t>
      </w:r>
    </w:p>
    <w:p w14:paraId="5FE92741">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5、本合同通用条款</w:t>
      </w:r>
    </w:p>
    <w:p w14:paraId="248CF9BA">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6、标准、规范及有关技术文件</w:t>
      </w:r>
    </w:p>
    <w:p w14:paraId="2D253746">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7、工程量清单</w:t>
      </w:r>
    </w:p>
    <w:p w14:paraId="5C895C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双方有关工程听洽商、变更等书面协议或文件视为本合同的组成部分。</w:t>
      </w:r>
    </w:p>
    <w:p w14:paraId="452C9AEC">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0" w:name="_Toc459738626"/>
      <w:r>
        <w:rPr>
          <w:rFonts w:hint="eastAsia" w:ascii="宋体" w:hAnsi="宋体" w:eastAsia="宋体" w:cs="宋体"/>
          <w:b/>
          <w:color w:val="auto"/>
          <w:sz w:val="21"/>
          <w:szCs w:val="21"/>
          <w:highlight w:val="none"/>
        </w:rPr>
        <w:t>七、本协议书中有关词语定义与本合同第二部分《通用条款》中分别赋予它们的定义相同。</w:t>
      </w:r>
      <w:bookmarkEnd w:id="120"/>
    </w:p>
    <w:p w14:paraId="1DE959A8">
      <w:pPr>
        <w:keepNext w:val="0"/>
        <w:keepLines w:val="0"/>
        <w:pageBreakBefore w:val="0"/>
        <w:widowControl w:val="0"/>
        <w:kinsoku/>
        <w:wordWrap w:val="0"/>
        <w:overflowPunct/>
        <w:topLinePunct w:val="0"/>
        <w:autoSpaceDE/>
        <w:autoSpaceDN/>
        <w:bidi w:val="0"/>
        <w:adjustRightInd/>
        <w:snapToGrid/>
        <w:spacing w:line="360" w:lineRule="auto"/>
        <w:ind w:firstLine="520"/>
        <w:textAlignment w:val="auto"/>
        <w:outlineLvl w:val="0"/>
        <w:rPr>
          <w:rFonts w:hint="eastAsia" w:ascii="宋体" w:hAnsi="宋体" w:eastAsia="宋体" w:cs="宋体"/>
          <w:b/>
          <w:color w:val="auto"/>
          <w:sz w:val="21"/>
          <w:szCs w:val="21"/>
          <w:highlight w:val="none"/>
        </w:rPr>
      </w:pPr>
      <w:bookmarkStart w:id="121" w:name="_Toc459738627"/>
      <w:r>
        <w:rPr>
          <w:rFonts w:hint="eastAsia" w:ascii="宋体" w:hAnsi="宋体" w:eastAsia="宋体" w:cs="宋体"/>
          <w:b/>
          <w:color w:val="auto"/>
          <w:sz w:val="21"/>
          <w:szCs w:val="21"/>
          <w:highlight w:val="none"/>
        </w:rPr>
        <w:t>八、承包人向发包人承诺按照合同约定进行施工、竣工并在质量保修期内承担工程质量保修责任。</w:t>
      </w:r>
      <w:bookmarkEnd w:id="121"/>
    </w:p>
    <w:p w14:paraId="3FC420F7">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bookmarkStart w:id="122" w:name="_Toc459738628"/>
      <w:r>
        <w:rPr>
          <w:rFonts w:hint="eastAsia" w:ascii="宋体" w:hAnsi="宋体" w:eastAsia="宋体" w:cs="宋体"/>
          <w:b/>
          <w:color w:val="auto"/>
          <w:sz w:val="21"/>
          <w:szCs w:val="21"/>
          <w:highlight w:val="none"/>
        </w:rPr>
        <w:t>九、发包人向承包人承诺按照合同约定的期限和方式支付合同价款及其他应当支付的款项。</w:t>
      </w:r>
      <w:bookmarkEnd w:id="122"/>
      <w:bookmarkStart w:id="123" w:name="_Toc459738629"/>
    </w:p>
    <w:p w14:paraId="770D3968">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outlineLvl w:val="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十、合同生效</w:t>
      </w:r>
      <w:bookmarkEnd w:id="123"/>
    </w:p>
    <w:p w14:paraId="444E655E">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合同订立时间：</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w:t>
      </w:r>
    </w:p>
    <w:p w14:paraId="2DAA3A3D">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合同订立地点：</w:t>
      </w:r>
      <w:r>
        <w:rPr>
          <w:rFonts w:hint="eastAsia" w:ascii="宋体" w:hAnsi="宋体" w:eastAsia="宋体" w:cs="宋体"/>
          <w:color w:val="auto"/>
          <w:sz w:val="21"/>
          <w:szCs w:val="21"/>
          <w:highlight w:val="none"/>
          <w:lang w:val="en-US" w:eastAsia="zh-CN"/>
        </w:rPr>
        <w:t>广西政府采购云平台</w:t>
      </w:r>
    </w:p>
    <w:p w14:paraId="136F4DDC">
      <w:pPr>
        <w:keepNext w:val="0"/>
        <w:keepLines w:val="0"/>
        <w:pageBreakBefore w:val="0"/>
        <w:widowControl w:val="0"/>
        <w:kinsoku/>
        <w:wordWrap w:val="0"/>
        <w:overflowPunct/>
        <w:topLinePunct w:val="0"/>
        <w:autoSpaceDE/>
        <w:autoSpaceDN/>
        <w:bidi w:val="0"/>
        <w:adjustRightInd/>
        <w:snapToGrid/>
        <w:spacing w:line="360" w:lineRule="auto"/>
        <w:ind w:firstLine="510"/>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本合同双方约定</w:t>
      </w:r>
      <w:r>
        <w:rPr>
          <w:rFonts w:hint="eastAsia" w:ascii="宋体" w:hAnsi="宋体" w:eastAsia="宋体" w:cs="宋体"/>
          <w:color w:val="auto"/>
          <w:sz w:val="21"/>
          <w:szCs w:val="21"/>
          <w:highlight w:val="none"/>
          <w:u w:val="single"/>
        </w:rPr>
        <w:t>双方法定代表人或其授权代理人签字或盖章并加盖单位公章</w:t>
      </w:r>
      <w:r>
        <w:rPr>
          <w:rFonts w:hint="eastAsia" w:ascii="宋体" w:hAnsi="宋体" w:eastAsia="宋体" w:cs="宋体"/>
          <w:color w:val="auto"/>
          <w:sz w:val="21"/>
          <w:szCs w:val="21"/>
          <w:highlight w:val="none"/>
        </w:rPr>
        <w:t>后生效。</w:t>
      </w:r>
    </w:p>
    <w:p w14:paraId="4A1BB857">
      <w:pPr>
        <w:pStyle w:val="9"/>
        <w:pageBreakBefore w:val="0"/>
        <w:kinsoku/>
        <w:wordWrap w:val="0"/>
        <w:overflowPunct/>
        <w:topLinePunct w:val="0"/>
        <w:bidi w:val="0"/>
        <w:spacing w:line="360" w:lineRule="auto"/>
        <w:rPr>
          <w:rFonts w:hint="eastAsia" w:ascii="宋体" w:hAnsi="宋体" w:eastAsia="宋体" w:cs="宋体"/>
          <w:color w:val="auto"/>
          <w:highlight w:val="none"/>
        </w:rPr>
      </w:pPr>
    </w:p>
    <w:tbl>
      <w:tblPr>
        <w:tblStyle w:val="21"/>
        <w:tblW w:w="90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24"/>
        <w:gridCol w:w="5258"/>
      </w:tblGrid>
      <w:tr w14:paraId="7167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1CFA817">
            <w:pPr>
              <w:pageBreakBefore w:val="0"/>
              <w:kinsoku/>
              <w:wordWrap w:val="0"/>
              <w:overflowPunct/>
              <w:topLinePunct w:val="0"/>
              <w:bidi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br w:type="page"/>
            </w:r>
            <w:r>
              <w:rPr>
                <w:rFonts w:hint="eastAsia" w:ascii="宋体" w:hAnsi="宋体" w:eastAsia="宋体" w:cs="宋体"/>
                <w:color w:val="auto"/>
                <w:sz w:val="21"/>
                <w:szCs w:val="21"/>
                <w:highlight w:val="none"/>
              </w:rPr>
              <w:t>发</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r>
              <w:rPr>
                <w:rFonts w:hint="eastAsia" w:ascii="宋体" w:hAnsi="宋体" w:cs="宋体"/>
                <w:color w:val="auto"/>
                <w:sz w:val="21"/>
                <w:szCs w:val="21"/>
                <w:highlight w:val="none"/>
                <w:lang w:eastAsia="zh-CN"/>
              </w:rPr>
              <w:t>崇左市江州区农业农村局</w:t>
            </w:r>
          </w:p>
        </w:tc>
        <w:tc>
          <w:tcPr>
            <w:tcW w:w="5258" w:type="dxa"/>
            <w:noWrap w:val="0"/>
            <w:vAlign w:val="top"/>
          </w:tcPr>
          <w:p w14:paraId="1A73BBC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承</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包</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人：（公章）</w:t>
            </w:r>
          </w:p>
        </w:tc>
      </w:tr>
      <w:tr w14:paraId="576D0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3824" w:type="dxa"/>
            <w:noWrap w:val="0"/>
            <w:vAlign w:val="top"/>
          </w:tcPr>
          <w:p w14:paraId="4790C1FA">
            <w:pPr>
              <w:pStyle w:val="11"/>
              <w:snapToGrid w:val="0"/>
              <w:spacing w:line="360" w:lineRule="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  址：崇左市江州区滨江路31号丽江大厦8楼农业农村局</w:t>
            </w:r>
          </w:p>
        </w:tc>
        <w:tc>
          <w:tcPr>
            <w:tcW w:w="5258" w:type="dxa"/>
            <w:noWrap w:val="0"/>
            <w:vAlign w:val="top"/>
          </w:tcPr>
          <w:p w14:paraId="45257E7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地</w:t>
            </w:r>
            <w:r>
              <w:rPr>
                <w:rFonts w:hint="eastAsia" w:ascii="宋体" w:hAnsi="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址：</w:t>
            </w:r>
          </w:p>
        </w:tc>
      </w:tr>
      <w:tr w14:paraId="68C7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1B47A9F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c>
          <w:tcPr>
            <w:tcW w:w="5258" w:type="dxa"/>
            <w:noWrap w:val="0"/>
            <w:vAlign w:val="top"/>
          </w:tcPr>
          <w:p w14:paraId="0E7A067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法定代表人：</w:t>
            </w:r>
          </w:p>
        </w:tc>
      </w:tr>
      <w:tr w14:paraId="14132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0B5AEF6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委托代理人：</w:t>
            </w:r>
          </w:p>
        </w:tc>
        <w:tc>
          <w:tcPr>
            <w:tcW w:w="5258" w:type="dxa"/>
            <w:noWrap w:val="0"/>
            <w:vAlign w:val="top"/>
          </w:tcPr>
          <w:p w14:paraId="4C2A141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rPr>
              <w:t>委托代理人：</w:t>
            </w:r>
          </w:p>
        </w:tc>
      </w:tr>
      <w:tr w14:paraId="389B3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824" w:type="dxa"/>
            <w:noWrap w:val="0"/>
            <w:vAlign w:val="top"/>
          </w:tcPr>
          <w:p w14:paraId="2C51AB8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c>
          <w:tcPr>
            <w:tcW w:w="5258" w:type="dxa"/>
            <w:noWrap w:val="0"/>
            <w:vAlign w:val="top"/>
          </w:tcPr>
          <w:p w14:paraId="20266E98">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电      话：</w:t>
            </w:r>
          </w:p>
        </w:tc>
      </w:tr>
      <w:tr w14:paraId="67C5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3824" w:type="dxa"/>
            <w:noWrap w:val="0"/>
            <w:vAlign w:val="top"/>
          </w:tcPr>
          <w:p w14:paraId="5DFF60C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 xml:space="preserve">传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真：</w:t>
            </w:r>
          </w:p>
        </w:tc>
        <w:tc>
          <w:tcPr>
            <w:tcW w:w="5258" w:type="dxa"/>
            <w:noWrap w:val="0"/>
            <w:vAlign w:val="top"/>
          </w:tcPr>
          <w:p w14:paraId="556FC20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传      真：</w:t>
            </w:r>
          </w:p>
        </w:tc>
      </w:tr>
      <w:tr w14:paraId="76A9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3824" w:type="dxa"/>
            <w:noWrap w:val="0"/>
            <w:vAlign w:val="top"/>
          </w:tcPr>
          <w:p w14:paraId="7A7F593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 xml:space="preserve">开 户 银 行： </w:t>
            </w:r>
          </w:p>
        </w:tc>
        <w:tc>
          <w:tcPr>
            <w:tcW w:w="5258" w:type="dxa"/>
            <w:noWrap w:val="0"/>
            <w:vAlign w:val="top"/>
          </w:tcPr>
          <w:p w14:paraId="158EECF4">
            <w:pPr>
              <w:pageBreakBefore w:val="0"/>
              <w:kinsoku/>
              <w:wordWrap w:val="0"/>
              <w:overflowPunct/>
              <w:topLinePunct w:val="0"/>
              <w:bidi w:val="0"/>
              <w:snapToGrid/>
              <w:spacing w:line="360" w:lineRule="auto"/>
              <w:ind w:left="6090" w:hanging="5394" w:hangingChars="2900"/>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开 户 银 行：</w:t>
            </w:r>
          </w:p>
        </w:tc>
      </w:tr>
      <w:tr w14:paraId="4644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2EB10E99">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c>
          <w:tcPr>
            <w:tcW w:w="5258" w:type="dxa"/>
            <w:noWrap w:val="0"/>
            <w:vAlign w:val="top"/>
          </w:tcPr>
          <w:p w14:paraId="70D6ACE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账        号：</w:t>
            </w:r>
          </w:p>
        </w:tc>
      </w:tr>
      <w:tr w14:paraId="563B3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824" w:type="dxa"/>
            <w:noWrap w:val="0"/>
            <w:vAlign w:val="top"/>
          </w:tcPr>
          <w:p w14:paraId="3370D0B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c>
          <w:tcPr>
            <w:tcW w:w="5258" w:type="dxa"/>
            <w:noWrap w:val="0"/>
            <w:vAlign w:val="top"/>
          </w:tcPr>
          <w:p w14:paraId="0F8788DE">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pacing w:val="-12"/>
                <w:sz w:val="21"/>
                <w:szCs w:val="21"/>
                <w:highlight w:val="none"/>
              </w:rPr>
              <w:t>邮 政 编 号：</w:t>
            </w:r>
          </w:p>
        </w:tc>
      </w:tr>
    </w:tbl>
    <w:p w14:paraId="456A7C6B">
      <w:pPr>
        <w:keepNext w:val="0"/>
        <w:keepLines w:val="0"/>
        <w:pageBreakBefore w:val="0"/>
        <w:widowControl w:val="0"/>
        <w:kinsoku/>
        <w:wordWrap w:val="0"/>
        <w:overflowPunct/>
        <w:topLinePunct w:val="0"/>
        <w:autoSpaceDE/>
        <w:autoSpaceDN/>
        <w:bidi w:val="0"/>
        <w:adjustRightInd/>
        <w:snapToGrid/>
        <w:spacing w:line="360" w:lineRule="auto"/>
        <w:ind w:left="7159" w:leftChars="209" w:hanging="6720" w:hangingChars="3200"/>
        <w:textAlignment w:val="auto"/>
        <w:rPr>
          <w:rFonts w:hint="eastAsia" w:ascii="宋体" w:hAnsi="宋体" w:eastAsia="宋体" w:cs="宋体"/>
          <w:color w:val="auto"/>
          <w:sz w:val="21"/>
          <w:szCs w:val="21"/>
          <w:highlight w:val="none"/>
        </w:rPr>
      </w:pPr>
    </w:p>
    <w:p w14:paraId="500FAE3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bookmarkStart w:id="124" w:name="_Toc26396"/>
      <w:bookmarkStart w:id="125" w:name="_Toc21163"/>
      <w:bookmarkStart w:id="126" w:name="_Toc459738630"/>
      <w:bookmarkStart w:id="127" w:name="_Toc134096509"/>
      <w:bookmarkStart w:id="128" w:name="_Toc198464830"/>
    </w:p>
    <w:p w14:paraId="4762746F">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04D84A43">
      <w:pPr>
        <w:pageBreakBefore w:val="0"/>
        <w:kinsoku/>
        <w:wordWrap w:val="0"/>
        <w:overflowPunct/>
        <w:topLinePunct w:val="0"/>
        <w:bidi w:val="0"/>
        <w:spacing w:line="360" w:lineRule="auto"/>
        <w:rPr>
          <w:rFonts w:hint="eastAsia" w:ascii="宋体" w:hAnsi="宋体" w:eastAsia="宋体" w:cs="宋体"/>
          <w:color w:val="auto"/>
          <w:highlight w:val="none"/>
          <w:lang w:val="en-US" w:eastAsia="zh-CN"/>
        </w:rPr>
      </w:pPr>
    </w:p>
    <w:p w14:paraId="3F3C70CF">
      <w:pPr>
        <w:pStyle w:val="26"/>
        <w:rPr>
          <w:rFonts w:hint="eastAsia" w:ascii="宋体" w:hAnsi="宋体" w:eastAsia="宋体" w:cs="宋体"/>
          <w:color w:val="auto"/>
          <w:highlight w:val="none"/>
          <w:lang w:val="en-US" w:eastAsia="zh-CN"/>
        </w:rPr>
      </w:pPr>
    </w:p>
    <w:p w14:paraId="0E560E6C">
      <w:pPr>
        <w:pStyle w:val="26"/>
        <w:rPr>
          <w:rFonts w:hint="eastAsia" w:ascii="宋体" w:hAnsi="宋体" w:eastAsia="宋体" w:cs="宋体"/>
          <w:color w:val="auto"/>
          <w:highlight w:val="none"/>
          <w:lang w:val="en-US" w:eastAsia="zh-CN"/>
        </w:rPr>
      </w:pPr>
    </w:p>
    <w:p w14:paraId="31CF05B0">
      <w:pPr>
        <w:pStyle w:val="26"/>
        <w:rPr>
          <w:rFonts w:hint="eastAsia" w:ascii="宋体" w:hAnsi="宋体" w:eastAsia="宋体" w:cs="宋体"/>
          <w:color w:val="auto"/>
          <w:highlight w:val="none"/>
          <w:lang w:val="en-US" w:eastAsia="zh-CN"/>
        </w:rPr>
      </w:pPr>
    </w:p>
    <w:p w14:paraId="3C233D48">
      <w:pPr>
        <w:pStyle w:val="26"/>
        <w:rPr>
          <w:rFonts w:hint="eastAsia" w:ascii="宋体" w:hAnsi="宋体" w:eastAsia="宋体" w:cs="宋体"/>
          <w:color w:val="auto"/>
          <w:highlight w:val="none"/>
          <w:lang w:val="en-US" w:eastAsia="zh-CN"/>
        </w:rPr>
      </w:pPr>
    </w:p>
    <w:p w14:paraId="713985F1">
      <w:pPr>
        <w:pStyle w:val="26"/>
        <w:rPr>
          <w:rFonts w:hint="eastAsia" w:ascii="宋体" w:hAnsi="宋体" w:eastAsia="宋体" w:cs="宋体"/>
          <w:color w:val="auto"/>
          <w:highlight w:val="none"/>
          <w:lang w:val="en-US" w:eastAsia="zh-CN"/>
        </w:rPr>
      </w:pPr>
    </w:p>
    <w:bookmarkEnd w:id="124"/>
    <w:bookmarkEnd w:id="125"/>
    <w:bookmarkEnd w:id="126"/>
    <w:bookmarkEnd w:id="127"/>
    <w:bookmarkEnd w:id="128"/>
    <w:p w14:paraId="465AFF33">
      <w:pPr>
        <w:pStyle w:val="4"/>
        <w:pageBreakBefore w:val="0"/>
        <w:widowControl w:val="0"/>
        <w:kinsoku/>
        <w:wordWrap w:val="0"/>
        <w:overflowPunct/>
        <w:topLinePunct w:val="0"/>
        <w:bidi w:val="0"/>
        <w:spacing w:line="480" w:lineRule="exact"/>
        <w:jc w:val="center"/>
        <w:textAlignment w:val="auto"/>
        <w:rPr>
          <w:rFonts w:hint="eastAsia" w:ascii="宋体" w:hAnsi="宋体" w:eastAsia="宋体" w:cs="宋体"/>
          <w:b/>
          <w:bCs w:val="0"/>
          <w:color w:val="auto"/>
          <w:kern w:val="0"/>
          <w:sz w:val="30"/>
          <w:szCs w:val="30"/>
          <w:highlight w:val="none"/>
          <w:lang w:val="en-US" w:eastAsia="zh-CN" w:bidi="hi-IN"/>
        </w:rPr>
      </w:pPr>
      <w:r>
        <w:rPr>
          <w:rFonts w:hint="eastAsia" w:ascii="宋体" w:hAnsi="宋体" w:eastAsia="宋体" w:cs="宋体"/>
          <w:b/>
          <w:bCs w:val="0"/>
          <w:color w:val="auto"/>
          <w:kern w:val="0"/>
          <w:sz w:val="30"/>
          <w:szCs w:val="30"/>
          <w:highlight w:val="none"/>
          <w:lang w:val="en-US" w:eastAsia="zh-CN" w:bidi="hi-IN"/>
        </w:rPr>
        <w:t>第二部分：合同通用条款</w:t>
      </w:r>
    </w:p>
    <w:p w14:paraId="3CAD7272">
      <w:pPr>
        <w:pageBreakBefore w:val="0"/>
        <w:widowControl w:val="0"/>
        <w:kinsoku/>
        <w:wordWrap w:val="0"/>
        <w:overflowPunct/>
        <w:topLinePunct w:val="0"/>
        <w:bidi w:val="0"/>
        <w:snapToGrid w:val="0"/>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“合同通用条款”，采用国家工商行政管理局和建设部颁发的《建设工程施工合同（示范文本）》（GF-2017-0201）的“合同通用条款”。</w:t>
      </w:r>
    </w:p>
    <w:p w14:paraId="1FB24A40">
      <w:pPr>
        <w:pStyle w:val="2"/>
        <w:keepNext w:val="0"/>
        <w:keepLines w:val="0"/>
        <w:pageBreakBefore w:val="0"/>
        <w:widowControl w:val="0"/>
        <w:kinsoku/>
        <w:wordWrap w:val="0"/>
        <w:overflowPunct/>
        <w:topLinePunct w:val="0"/>
        <w:bidi w:val="0"/>
        <w:spacing w:line="480" w:lineRule="exact"/>
        <w:jc w:val="center"/>
        <w:textAlignment w:val="auto"/>
        <w:rPr>
          <w:rFonts w:hint="eastAsia" w:ascii="宋体" w:hAnsi="宋体" w:eastAsia="宋体" w:cs="宋体"/>
          <w:color w:val="auto"/>
          <w:sz w:val="30"/>
          <w:szCs w:val="30"/>
          <w:highlight w:val="none"/>
        </w:rPr>
      </w:pPr>
      <w:bookmarkStart w:id="129" w:name="_Toc9850521"/>
      <w:bookmarkStart w:id="130" w:name="_Toc389065257"/>
      <w:bookmarkStart w:id="131" w:name="_Toc407135193"/>
      <w:r>
        <w:rPr>
          <w:rFonts w:hint="eastAsia" w:ascii="宋体" w:hAnsi="宋体" w:eastAsia="宋体" w:cs="宋体"/>
          <w:color w:val="auto"/>
          <w:sz w:val="30"/>
          <w:szCs w:val="30"/>
          <w:highlight w:val="none"/>
        </w:rPr>
        <w:t>第三部分 专用合同条款</w:t>
      </w:r>
      <w:bookmarkEnd w:id="129"/>
      <w:bookmarkEnd w:id="130"/>
      <w:bookmarkEnd w:id="131"/>
    </w:p>
    <w:p w14:paraId="3A681D17">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32" w:name="_Toc9850522"/>
      <w:bookmarkStart w:id="133" w:name="_Toc389065258"/>
      <w:bookmarkStart w:id="134" w:name="_Toc373227692"/>
      <w:bookmarkStart w:id="135" w:name="_Toc351203633"/>
      <w:bookmarkStart w:id="136" w:name="_Toc407135194"/>
      <w:bookmarkStart w:id="137" w:name="_Toc373478339"/>
      <w:r>
        <w:rPr>
          <w:rFonts w:hint="eastAsia" w:ascii="宋体" w:hAnsi="宋体" w:eastAsia="宋体" w:cs="宋体"/>
          <w:color w:val="auto"/>
          <w:highlight w:val="none"/>
        </w:rPr>
        <w:t>1</w:t>
      </w:r>
      <w:bookmarkStart w:id="138" w:name="_Toc292559361"/>
      <w:bookmarkStart w:id="139" w:name="_Toc297120456"/>
      <w:bookmarkStart w:id="140" w:name="_Toc296891196"/>
      <w:bookmarkStart w:id="141" w:name="_Toc296347155"/>
      <w:bookmarkStart w:id="142" w:name="_Toc296944495"/>
      <w:bookmarkStart w:id="143" w:name="_Toc296503156"/>
      <w:bookmarkStart w:id="144" w:name="_Toc292559866"/>
      <w:bookmarkStart w:id="145" w:name="_Toc296890984"/>
      <w:bookmarkStart w:id="146" w:name="_Toc297048342"/>
      <w:bookmarkStart w:id="147" w:name="_Toc296346657"/>
      <w:r>
        <w:rPr>
          <w:rFonts w:hint="eastAsia" w:ascii="宋体" w:hAnsi="宋体" w:eastAsia="宋体" w:cs="宋体"/>
          <w:color w:val="auto"/>
          <w:highlight w:val="none"/>
        </w:rPr>
        <w:t>. 一般约定</w:t>
      </w:r>
      <w:bookmarkEnd w:id="132"/>
      <w:bookmarkEnd w:id="133"/>
      <w:bookmarkEnd w:id="134"/>
      <w:bookmarkEnd w:id="135"/>
      <w:bookmarkEnd w:id="136"/>
      <w:bookmarkEnd w:id="137"/>
    </w:p>
    <w:bookmarkEnd w:id="138"/>
    <w:bookmarkEnd w:id="139"/>
    <w:bookmarkEnd w:id="140"/>
    <w:bookmarkEnd w:id="141"/>
    <w:bookmarkEnd w:id="142"/>
    <w:bookmarkEnd w:id="143"/>
    <w:bookmarkEnd w:id="144"/>
    <w:bookmarkEnd w:id="145"/>
    <w:bookmarkEnd w:id="146"/>
    <w:bookmarkEnd w:id="147"/>
    <w:p w14:paraId="634DA67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48" w:name="_Toc407135195"/>
      <w:bookmarkStart w:id="149" w:name="_Toc373227693"/>
      <w:bookmarkStart w:id="150" w:name="_Toc9850523"/>
      <w:bookmarkStart w:id="151" w:name="_Toc373478340"/>
      <w:bookmarkStart w:id="152" w:name="_Toc389065259"/>
      <w:r>
        <w:rPr>
          <w:rFonts w:hint="eastAsia" w:ascii="宋体" w:hAnsi="宋体" w:eastAsia="宋体" w:cs="宋体"/>
          <w:color w:val="auto"/>
          <w:highlight w:val="none"/>
        </w:rPr>
        <w:t>1.1 词语定义</w:t>
      </w:r>
      <w:bookmarkEnd w:id="148"/>
      <w:bookmarkEnd w:id="149"/>
      <w:bookmarkEnd w:id="150"/>
      <w:bookmarkEnd w:id="151"/>
      <w:bookmarkEnd w:id="152"/>
    </w:p>
    <w:p w14:paraId="6CFC09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1.1.1 合同</w:t>
      </w:r>
    </w:p>
    <w:p w14:paraId="1473B27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其他合同文件包括：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采购文件、工程量清单、招标控制价、施工图图纸、工程量清单报价、投标文件、中标通知书、双方签署的合同协议书</w:t>
      </w:r>
      <w:r>
        <w:rPr>
          <w:rFonts w:hint="eastAsia" w:ascii="宋体" w:hAnsi="宋体" w:eastAsia="宋体" w:cs="宋体"/>
          <w:color w:val="auto"/>
          <w:sz w:val="21"/>
          <w:szCs w:val="21"/>
          <w:highlight w:val="none"/>
        </w:rPr>
        <w:t>。</w:t>
      </w:r>
    </w:p>
    <w:p w14:paraId="17F784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合同当事人及其他相关方</w:t>
      </w:r>
    </w:p>
    <w:p w14:paraId="787F08D1">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监理人：</w:t>
      </w:r>
    </w:p>
    <w:p w14:paraId="3E7AA2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BAF52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4D9B8D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cs="宋体"/>
          <w:color w:val="auto"/>
          <w:sz w:val="21"/>
          <w:szCs w:val="21"/>
          <w:highlight w:val="non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C94DAB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6DBCA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ED400EA">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设计人：</w:t>
      </w:r>
    </w:p>
    <w:p w14:paraId="7B2231E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F811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资质类别和等级：</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2499C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180F2C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C5E4B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06E126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 工程和设备</w:t>
      </w:r>
    </w:p>
    <w:p w14:paraId="7971A9F9">
      <w:pPr>
        <w:pageBreakBefore w:val="0"/>
        <w:widowControl w:val="0"/>
        <w:kinsoku/>
        <w:wordWrap w:val="0"/>
        <w:overflowPunct/>
        <w:topLinePunct w:val="0"/>
        <w:bidi w:val="0"/>
        <w:snapToGrid/>
        <w:spacing w:line="480" w:lineRule="exact"/>
        <w:ind w:firstLine="420" w:firstLineChars="200"/>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 xml:space="preserve"> 作为施工现场组成部分的其他场所包括：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2A379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8</w:t>
      </w:r>
      <w:r>
        <w:rPr>
          <w:rFonts w:hint="eastAsia" w:ascii="宋体" w:hAnsi="宋体" w:eastAsia="宋体" w:cs="宋体"/>
          <w:color w:val="auto"/>
          <w:kern w:val="0"/>
          <w:sz w:val="21"/>
          <w:szCs w:val="21"/>
          <w:highlight w:val="none"/>
        </w:rPr>
        <w:t xml:space="preserve"> 永久占地包括：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CBC2FF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1.1.</w:t>
      </w:r>
      <w:r>
        <w:rPr>
          <w:rFonts w:hint="eastAsia" w:ascii="宋体" w:hAnsi="宋体" w:eastAsia="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 xml:space="preserve"> 临时占地包括：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7869514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3" w:name="_Toc407135196"/>
      <w:bookmarkStart w:id="154" w:name="_Toc389065260"/>
      <w:bookmarkStart w:id="155" w:name="_Toc373478341"/>
      <w:bookmarkStart w:id="156" w:name="_Toc373227694"/>
      <w:bookmarkStart w:id="157" w:name="_Toc9850524"/>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法律</w:t>
      </w:r>
      <w:bookmarkEnd w:id="153"/>
      <w:bookmarkEnd w:id="154"/>
      <w:bookmarkEnd w:id="155"/>
      <w:bookmarkEnd w:id="156"/>
      <w:bookmarkEnd w:id="157"/>
    </w:p>
    <w:p w14:paraId="2B7D6B64">
      <w:pPr>
        <w:pageBreakBefore w:val="0"/>
        <w:widowControl w:val="0"/>
        <w:kinsoku/>
        <w:wordWrap w:val="0"/>
        <w:overflowPunct/>
        <w:topLinePunct w:val="0"/>
        <w:autoSpaceDE w:val="0"/>
        <w:autoSpaceDN w:val="0"/>
        <w:bidi w:val="0"/>
        <w:adjustRightInd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适用于合同的其他规范性文件：</w:t>
      </w:r>
      <w:r>
        <w:rPr>
          <w:rFonts w:hint="eastAsia" w:ascii="宋体" w:hAnsi="宋体" w:eastAsia="宋体" w:cs="宋体"/>
          <w:color w:val="auto"/>
          <w:sz w:val="22"/>
          <w:szCs w:val="22"/>
          <w:highlight w:val="none"/>
          <w:u w:val="single"/>
        </w:rPr>
        <w:t>现行的国家法律和行政法规，工程所在地政府的有关法规和规章</w:t>
      </w:r>
      <w:r>
        <w:rPr>
          <w:rFonts w:hint="eastAsia" w:ascii="宋体" w:hAnsi="宋体" w:eastAsia="宋体" w:cs="宋体"/>
          <w:color w:val="auto"/>
          <w:sz w:val="21"/>
          <w:szCs w:val="21"/>
          <w:highlight w:val="none"/>
        </w:rPr>
        <w:t>。</w:t>
      </w:r>
    </w:p>
    <w:p w14:paraId="7BC1A85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58" w:name="_Toc373227695"/>
      <w:bookmarkStart w:id="159" w:name="_Toc9850525"/>
      <w:bookmarkStart w:id="160" w:name="_Toc389065261"/>
      <w:bookmarkStart w:id="161" w:name="_Toc373478342"/>
      <w:bookmarkStart w:id="162" w:name="_Toc407135197"/>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标准和规范</w:t>
      </w:r>
      <w:bookmarkEnd w:id="158"/>
      <w:bookmarkEnd w:id="159"/>
      <w:bookmarkEnd w:id="160"/>
      <w:bookmarkEnd w:id="161"/>
      <w:bookmarkEnd w:id="162"/>
    </w:p>
    <w:p w14:paraId="398C4F4C">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适用于工程的标准规范包括：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2"/>
          <w:szCs w:val="22"/>
          <w:highlight w:val="none"/>
          <w:u w:val="single"/>
        </w:rPr>
        <w:t>现行的国家标准、规范、行业标准、规范等</w:t>
      </w:r>
      <w:r>
        <w:rPr>
          <w:rFonts w:hint="eastAsia" w:ascii="宋体" w:hAnsi="宋体" w:eastAsia="宋体" w:cs="宋体"/>
          <w:color w:val="auto"/>
          <w:sz w:val="22"/>
          <w:szCs w:val="22"/>
          <w:highlight w:val="none"/>
          <w:u w:val="single"/>
          <w:lang w:eastAsia="zh-CN"/>
        </w:rPr>
        <w:t>文件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9266A2">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.2 发包人提供国外标准、规范的名称：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BFC33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发包人提供国外标准、规范的份数：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C0C28C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发包人提供国外标准、规范的名称：</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C45AF11">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.3 发包人对工程的技术标准和功能要求的特殊要求：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F3684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3" w:name="_Toc389065262"/>
      <w:bookmarkStart w:id="164" w:name="_Toc373478343"/>
      <w:bookmarkStart w:id="165" w:name="_Toc373227696"/>
      <w:bookmarkStart w:id="166" w:name="_Toc9850526"/>
      <w:bookmarkStart w:id="167" w:name="_Toc407135198"/>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合同文件的优先顺序</w:t>
      </w:r>
      <w:bookmarkEnd w:id="163"/>
      <w:bookmarkEnd w:id="164"/>
      <w:bookmarkEnd w:id="165"/>
      <w:bookmarkEnd w:id="166"/>
      <w:bookmarkEnd w:id="167"/>
    </w:p>
    <w:p w14:paraId="1A8F903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合同文件组成及优先顺序为：</w:t>
      </w:r>
    </w:p>
    <w:p w14:paraId="20DEBFE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（1）合同协议书；</w:t>
      </w:r>
    </w:p>
    <w:p w14:paraId="6DBB3C6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（2）中标通知书（如有）；</w:t>
      </w:r>
    </w:p>
    <w:p w14:paraId="7731EEF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（3）投标函及其附录（如有）；</w:t>
      </w:r>
    </w:p>
    <w:p w14:paraId="1372A69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（4）专用合同条款及其附件；</w:t>
      </w:r>
    </w:p>
    <w:p w14:paraId="286586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（5）通用合同条款；</w:t>
      </w:r>
    </w:p>
    <w:p w14:paraId="35AE21B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w:t>
      </w:r>
      <w:r>
        <w:rPr>
          <w:rFonts w:hint="eastAsia" w:ascii="宋体" w:hAnsi="宋体" w:eastAsia="宋体" w:cs="宋体"/>
          <w:color w:val="auto"/>
          <w:kern w:val="0"/>
          <w:sz w:val="21"/>
          <w:szCs w:val="21"/>
          <w:highlight w:val="none"/>
          <w:u w:val="single"/>
        </w:rPr>
        <w:t xml:space="preserve"> 技术标准和要求</w:t>
      </w:r>
      <w:r>
        <w:rPr>
          <w:rFonts w:hint="eastAsia" w:ascii="宋体" w:hAnsi="宋体" w:eastAsia="宋体" w:cs="宋体"/>
          <w:color w:val="auto"/>
          <w:kern w:val="0"/>
          <w:sz w:val="21"/>
          <w:szCs w:val="21"/>
          <w:highlight w:val="none"/>
        </w:rPr>
        <w:t>；</w:t>
      </w:r>
    </w:p>
    <w:p w14:paraId="129F957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w:t>
      </w:r>
      <w:r>
        <w:rPr>
          <w:rFonts w:hint="eastAsia" w:ascii="宋体" w:hAnsi="宋体" w:eastAsia="宋体" w:cs="宋体"/>
          <w:color w:val="auto"/>
          <w:kern w:val="0"/>
          <w:sz w:val="21"/>
          <w:szCs w:val="21"/>
          <w:highlight w:val="none"/>
          <w:u w:val="single"/>
        </w:rPr>
        <w:t xml:space="preserve">  图纸 ；</w:t>
      </w:r>
    </w:p>
    <w:p w14:paraId="43DF0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u w:val="single"/>
        </w:rPr>
        <w:t xml:space="preserve"> 已标价工程量清单或预算书</w:t>
      </w:r>
      <w:r>
        <w:rPr>
          <w:rFonts w:hint="eastAsia" w:ascii="宋体" w:hAnsi="宋体" w:eastAsia="宋体" w:cs="宋体"/>
          <w:color w:val="auto"/>
          <w:kern w:val="0"/>
          <w:sz w:val="21"/>
          <w:szCs w:val="21"/>
          <w:highlight w:val="none"/>
        </w:rPr>
        <w:t>；</w:t>
      </w:r>
    </w:p>
    <w:p w14:paraId="5408CA6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（9）</w:t>
      </w:r>
      <w:r>
        <w:rPr>
          <w:rFonts w:hint="eastAsia" w:ascii="宋体" w:hAnsi="宋体" w:eastAsia="宋体" w:cs="宋体"/>
          <w:color w:val="auto"/>
          <w:kern w:val="0"/>
          <w:sz w:val="21"/>
          <w:szCs w:val="21"/>
          <w:highlight w:val="none"/>
          <w:u w:val="single"/>
        </w:rPr>
        <w:t xml:space="preserve"> 其他合同文件（如有） 。</w:t>
      </w:r>
    </w:p>
    <w:p w14:paraId="487BB9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建设工程工程量清单计价规范（GB50500-2013）》及其广西实施细则及《关于建筑业实施营业税改征增值税后广西壮族自治区建设工程计价依据调整的通知》（桂建标〔2016〕17号）、《自治区住房城乡建设厅关于调整建设工程计价增值税税率的通知》（桂建标〔2018〕14号）、《建设工程工程量清单计算规范（GB50854~50862-2013）》及其广西实施细则（修订本）。</w:t>
      </w:r>
    </w:p>
    <w:p w14:paraId="1362BB1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说明：（6）、（7）、（8）、（9）填空内容分别限于技术标准和要求、图纸、已标价工程量清单或预算书、其他合同文件四者之一，其优先顺序可根据采取的不同合同方式由双方约定。</w:t>
      </w:r>
    </w:p>
    <w:p w14:paraId="674F0E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68" w:name="_Toc9850527"/>
      <w:bookmarkStart w:id="169" w:name="_Toc373478344"/>
      <w:bookmarkStart w:id="170" w:name="_Toc373227697"/>
      <w:bookmarkStart w:id="171" w:name="_Toc407135199"/>
      <w:bookmarkStart w:id="172" w:name="_Toc389065263"/>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图纸和承包人文件</w:t>
      </w:r>
      <w:bookmarkEnd w:id="168"/>
      <w:bookmarkEnd w:id="169"/>
      <w:bookmarkEnd w:id="170"/>
      <w:bookmarkEnd w:id="171"/>
      <w:bookmarkEnd w:id="172"/>
      <w:r>
        <w:rPr>
          <w:rFonts w:hint="eastAsia" w:ascii="宋体" w:hAnsi="宋体" w:eastAsia="宋体" w:cs="宋体"/>
          <w:color w:val="auto"/>
          <w:highlight w:val="none"/>
        </w:rPr>
        <w:tab/>
      </w:r>
    </w:p>
    <w:p w14:paraId="009CA1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5.1</w:t>
      </w:r>
      <w:r>
        <w:rPr>
          <w:rFonts w:hint="eastAsia" w:ascii="宋体" w:hAnsi="宋体" w:eastAsia="宋体" w:cs="宋体"/>
          <w:color w:val="auto"/>
          <w:sz w:val="21"/>
          <w:szCs w:val="21"/>
          <w:highlight w:val="none"/>
        </w:rPr>
        <w:t xml:space="preserve"> 图纸的提供</w:t>
      </w:r>
    </w:p>
    <w:p w14:paraId="707FFD9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771393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发包人向承包人提供图纸的数量：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套（承包人需要增加图纸套数的，发包人应代为复制，复制费用由承包人承担）；</w:t>
      </w:r>
    </w:p>
    <w:p w14:paraId="22B7DD3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发包人向承包人提供图纸的内容：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全套施工图图纸</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D722EA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5.2</w:t>
      </w:r>
      <w:r>
        <w:rPr>
          <w:rFonts w:hint="eastAsia" w:ascii="宋体" w:hAnsi="宋体" w:eastAsia="宋体" w:cs="宋体"/>
          <w:color w:val="auto"/>
          <w:sz w:val="21"/>
          <w:szCs w:val="21"/>
          <w:highlight w:val="none"/>
        </w:rPr>
        <w:t>承包人文件</w:t>
      </w:r>
    </w:p>
    <w:p w14:paraId="30AD13C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需要由承包人提供的文件，包括：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906810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承包人提供的文件的期限为：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1AA23C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承包人提供的文件的数量为：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73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承包人提供的文件的形式为：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CD2F5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发包人审批承包人文件的期限：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接到发包人通知后</w:t>
      </w:r>
      <w:r>
        <w:rPr>
          <w:rFonts w:hint="eastAsia" w:ascii="宋体" w:hAnsi="宋体" w:eastAsia="宋体" w:cs="宋体"/>
          <w:color w:val="auto"/>
          <w:sz w:val="21"/>
          <w:szCs w:val="21"/>
          <w:highlight w:val="none"/>
          <w:u w:val="single"/>
          <w:lang w:val="en-US" w:eastAsia="zh-CN"/>
        </w:rPr>
        <w:t>1个工作日内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D181F3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5.3</w:t>
      </w:r>
      <w:r>
        <w:rPr>
          <w:rFonts w:hint="eastAsia" w:ascii="宋体" w:hAnsi="宋体" w:eastAsia="宋体" w:cs="宋体"/>
          <w:color w:val="auto"/>
          <w:sz w:val="21"/>
          <w:szCs w:val="21"/>
          <w:highlight w:val="none"/>
        </w:rPr>
        <w:t xml:space="preserve"> 现场图纸准备</w:t>
      </w:r>
    </w:p>
    <w:p w14:paraId="5D3B8C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关于现场图纸准备的约定：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施工期间现场至少保留2套完整的图纸  。</w:t>
      </w:r>
    </w:p>
    <w:p w14:paraId="6D48EA5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3" w:name="_Toc373478345"/>
      <w:bookmarkStart w:id="174" w:name="_Toc389065264"/>
      <w:bookmarkStart w:id="175" w:name="_Toc373227698"/>
      <w:bookmarkStart w:id="176" w:name="_Toc9850528"/>
      <w:bookmarkStart w:id="177" w:name="_Toc407135200"/>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联络</w:t>
      </w:r>
      <w:bookmarkEnd w:id="173"/>
      <w:bookmarkEnd w:id="174"/>
      <w:bookmarkEnd w:id="175"/>
      <w:bookmarkEnd w:id="176"/>
      <w:bookmarkEnd w:id="177"/>
    </w:p>
    <w:p w14:paraId="037B83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.1发包人和承包人应当在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天内将与合同有关的通知、批准、证明、证书、指示、指令、要求、请求、同意、意见、确定和决定等书面函件送达对方当事人。</w:t>
      </w:r>
    </w:p>
    <w:p w14:paraId="1FA6661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.2 发包人接收文件的地点：</w:t>
      </w:r>
      <w:r>
        <w:rPr>
          <w:rFonts w:hint="eastAsia" w:ascii="宋体" w:hAnsi="宋体" w:eastAsia="宋体" w:cs="宋体"/>
          <w:color w:val="auto"/>
          <w:sz w:val="21"/>
          <w:szCs w:val="21"/>
          <w:highlight w:val="none"/>
          <w:u w:val="single"/>
        </w:rPr>
        <w:t xml:space="preserve">  崇左市江州区丽江大厦3楼  </w:t>
      </w:r>
      <w:r>
        <w:rPr>
          <w:rFonts w:hint="eastAsia" w:ascii="宋体" w:hAnsi="宋体" w:eastAsia="宋体" w:cs="宋体"/>
          <w:color w:val="auto"/>
          <w:kern w:val="0"/>
          <w:sz w:val="21"/>
          <w:szCs w:val="21"/>
          <w:highlight w:val="none"/>
        </w:rPr>
        <w:t>；</w:t>
      </w:r>
    </w:p>
    <w:p w14:paraId="045E52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6913428">
      <w:pPr>
        <w:pageBreakBefore w:val="0"/>
        <w:widowControl w:val="0"/>
        <w:kinsoku/>
        <w:wordWrap w:val="0"/>
        <w:overflowPunct/>
        <w:topLinePunct w:val="0"/>
        <w:bidi w:val="0"/>
        <w:snapToGrid/>
        <w:spacing w:line="480" w:lineRule="exact"/>
        <w:ind w:firstLine="420" w:firstLineChars="200"/>
        <w:textAlignment w:val="auto"/>
        <w:rPr>
          <w:rFonts w:hint="default"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承包人接收文件的地点：</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none"/>
          <w:lang w:val="en-US" w:eastAsia="zh-CN"/>
        </w:rPr>
        <w:t>；</w:t>
      </w:r>
    </w:p>
    <w:p w14:paraId="0A4951F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658AF4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监理人接收文件的地点：</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70797EA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监理人指定的接收人为：</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27192FA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78" w:name="_Toc9850529"/>
      <w:bookmarkStart w:id="179" w:name="_Toc389065265"/>
      <w:bookmarkStart w:id="180" w:name="_Toc373478346"/>
      <w:bookmarkStart w:id="181" w:name="_Toc407135201"/>
      <w:bookmarkStart w:id="182" w:name="_Toc373227699"/>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交通运输</w:t>
      </w:r>
      <w:bookmarkEnd w:id="178"/>
      <w:bookmarkEnd w:id="179"/>
      <w:bookmarkEnd w:id="180"/>
      <w:bookmarkEnd w:id="181"/>
      <w:bookmarkEnd w:id="182"/>
    </w:p>
    <w:p w14:paraId="349707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3" w:name="_Toc312677986"/>
      <w:bookmarkStart w:id="184" w:name="_Toc303539100"/>
      <w:bookmarkStart w:id="185" w:name="_Toc304295521"/>
      <w:bookmarkStart w:id="186" w:name="_Toc300934943"/>
      <w:bookmarkStart w:id="187" w:name="_Toc318581155"/>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7.1</w:t>
      </w:r>
      <w:r>
        <w:rPr>
          <w:rFonts w:hint="eastAsia" w:ascii="宋体" w:hAnsi="宋体" w:eastAsia="宋体" w:cs="宋体"/>
          <w:color w:val="auto"/>
          <w:sz w:val="21"/>
          <w:szCs w:val="21"/>
          <w:highlight w:val="none"/>
        </w:rPr>
        <w:t xml:space="preserve"> 出入现场的权利</w:t>
      </w:r>
    </w:p>
    <w:p w14:paraId="4A4FBF1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关于出入现场的权利的约定：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183"/>
    <w:bookmarkEnd w:id="184"/>
    <w:bookmarkEnd w:id="185"/>
    <w:bookmarkEnd w:id="186"/>
    <w:bookmarkEnd w:id="187"/>
    <w:p w14:paraId="5141784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188" w:name="_Toc312677987"/>
      <w:bookmarkStart w:id="189" w:name="_Toc303539101"/>
      <w:bookmarkStart w:id="190" w:name="_Toc318581156"/>
      <w:bookmarkStart w:id="191" w:name="_Toc300934944"/>
      <w:bookmarkStart w:id="192" w:name="_Toc304295522"/>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7.2</w:t>
      </w:r>
      <w:r>
        <w:rPr>
          <w:rFonts w:hint="eastAsia" w:ascii="宋体" w:hAnsi="宋体" w:eastAsia="宋体" w:cs="宋体"/>
          <w:color w:val="auto"/>
          <w:sz w:val="21"/>
          <w:szCs w:val="21"/>
          <w:highlight w:val="none"/>
        </w:rPr>
        <w:t xml:space="preserve"> 场内交通</w:t>
      </w:r>
    </w:p>
    <w:p w14:paraId="003A91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关于场外交通和场内交通的边界的约定：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E78D0D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关于发包人向承包人免费提供满足工程施工需要的场内道路和交通设施的约定：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188"/>
      <w:bookmarkEnd w:id="189"/>
      <w:bookmarkEnd w:id="190"/>
      <w:bookmarkEnd w:id="191"/>
      <w:bookmarkEnd w:id="192"/>
      <w:bookmarkStart w:id="193" w:name="_Toc318581157"/>
    </w:p>
    <w:p w14:paraId="2656686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7.3</w:t>
      </w:r>
      <w:r>
        <w:rPr>
          <w:rFonts w:hint="eastAsia" w:ascii="宋体" w:hAnsi="宋体" w:eastAsia="宋体" w:cs="宋体"/>
          <w:color w:val="auto"/>
          <w:sz w:val="21"/>
          <w:szCs w:val="21"/>
          <w:highlight w:val="none"/>
        </w:rPr>
        <w:t xml:space="preserve"> 超大件和超重件的运输</w:t>
      </w:r>
    </w:p>
    <w:p w14:paraId="12160D6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运输超大件或超重件所需的道路和桥梁临时加固改造费用和其他有关费用由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承担。</w:t>
      </w:r>
    </w:p>
    <w:bookmarkEnd w:id="193"/>
    <w:p w14:paraId="070CE30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4" w:name="_Toc373227700"/>
      <w:bookmarkStart w:id="195" w:name="_Toc9850530"/>
      <w:bookmarkStart w:id="196" w:name="_Toc389065266"/>
      <w:bookmarkStart w:id="197" w:name="_Toc373478347"/>
      <w:bookmarkStart w:id="198" w:name="_Toc407135202"/>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 知识产权</w:t>
      </w:r>
      <w:bookmarkEnd w:id="194"/>
      <w:bookmarkEnd w:id="195"/>
      <w:bookmarkEnd w:id="196"/>
      <w:bookmarkEnd w:id="197"/>
      <w:bookmarkEnd w:id="198"/>
    </w:p>
    <w:p w14:paraId="23FD27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630949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11046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 关于承包人为实施工程所编制文件的著作权的归属：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发包人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BC1294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按照通用条款和现行法律法规相关规定执行。</w:t>
      </w:r>
    </w:p>
    <w:p w14:paraId="4DF5685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承包人在施工过程中所采用的专利、专有技术、技术秘密的使用费的承担方式：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58B6F6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99" w:name="_Toc389065267"/>
      <w:bookmarkStart w:id="200" w:name="_Toc373227701"/>
      <w:bookmarkStart w:id="201" w:name="_Toc407135203"/>
      <w:bookmarkStart w:id="202" w:name="_Toc373478348"/>
      <w:bookmarkStart w:id="203" w:name="_Toc9850531"/>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工程量清单错误的修正</w:t>
      </w:r>
      <w:bookmarkEnd w:id="199"/>
      <w:bookmarkEnd w:id="200"/>
      <w:bookmarkEnd w:id="201"/>
      <w:bookmarkEnd w:id="202"/>
      <w:bookmarkEnd w:id="203"/>
    </w:p>
    <w:p w14:paraId="083C3C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04" w:name="_Toc9850532"/>
      <w:bookmarkStart w:id="205" w:name="_Toc351203634"/>
      <w:bookmarkStart w:id="206" w:name="_Toc407135204"/>
      <w:bookmarkStart w:id="207" w:name="_Toc389065268"/>
      <w:bookmarkStart w:id="208" w:name="_Toc373478349"/>
      <w:bookmarkStart w:id="209" w:name="_Toc373227702"/>
      <w:r>
        <w:rPr>
          <w:rFonts w:hint="eastAsia" w:ascii="宋体" w:hAnsi="宋体" w:eastAsia="宋体" w:cs="宋体"/>
          <w:color w:val="auto"/>
          <w:sz w:val="21"/>
          <w:szCs w:val="21"/>
          <w:highlight w:val="none"/>
        </w:rPr>
        <w:t>出现工程量清单工程量偏差时，是否调整合同价格：</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允许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不允许      </w:t>
      </w:r>
      <w:r>
        <w:rPr>
          <w:rFonts w:hint="eastAsia" w:ascii="宋体" w:hAnsi="宋体" w:eastAsia="宋体" w:cs="宋体"/>
          <w:color w:val="auto"/>
          <w:kern w:val="0"/>
          <w:sz w:val="21"/>
          <w:szCs w:val="21"/>
          <w:highlight w:val="none"/>
        </w:rPr>
        <w:t>。</w:t>
      </w:r>
    </w:p>
    <w:p w14:paraId="7016C1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允许调整合同价格的工程量偏差范围及其调整办法：</w:t>
      </w:r>
    </w:p>
    <w:p w14:paraId="2EFFD0E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除严重不平衡报价外，无论分部分项工程量清单项目中的工程量变化多少均不调整</w:t>
      </w:r>
      <w:r>
        <w:rPr>
          <w:rFonts w:hint="eastAsia" w:ascii="宋体" w:hAnsi="宋体" w:eastAsia="宋体" w:cs="宋体"/>
          <w:color w:val="auto"/>
          <w:kern w:val="0"/>
          <w:sz w:val="21"/>
          <w:szCs w:val="21"/>
          <w:highlight w:val="none"/>
        </w:rPr>
        <w:t>。</w:t>
      </w:r>
    </w:p>
    <w:p w14:paraId="45D2920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承包人实际完成的某单项清单项目工程量与招标工程量清单工程量偏差超过</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%且该单项清单造价超过合同总价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%以上的，超过后增加部分工程量或减少后剩余部分工程量的综合单价按以下方法调整：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0C002B2F">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bookmarkStart w:id="210" w:name="_Toc297120457"/>
      <w:bookmarkStart w:id="211" w:name="_Toc297048343"/>
      <w:bookmarkStart w:id="212" w:name="_Toc296346658"/>
      <w:bookmarkStart w:id="213" w:name="_Toc296503157"/>
      <w:bookmarkStart w:id="214" w:name="_Toc296891197"/>
      <w:bookmarkStart w:id="215" w:name="_Toc296347156"/>
      <w:bookmarkStart w:id="216" w:name="_Toc296890985"/>
      <w:bookmarkStart w:id="217" w:name="_Toc292559362"/>
      <w:bookmarkStart w:id="218" w:name="_Toc296944496"/>
      <w:bookmarkStart w:id="219" w:name="_Toc292559867"/>
      <w:r>
        <w:rPr>
          <w:rFonts w:hint="eastAsia" w:ascii="宋体" w:hAnsi="宋体" w:eastAsia="宋体" w:cs="宋体"/>
          <w:color w:val="auto"/>
          <w:highlight w:val="none"/>
        </w:rPr>
        <w:t>. 发包人</w:t>
      </w:r>
      <w:bookmarkEnd w:id="204"/>
      <w:bookmarkEnd w:id="205"/>
      <w:bookmarkEnd w:id="206"/>
      <w:bookmarkEnd w:id="207"/>
      <w:bookmarkEnd w:id="208"/>
      <w:bookmarkEnd w:id="209"/>
    </w:p>
    <w:bookmarkEnd w:id="210"/>
    <w:bookmarkEnd w:id="211"/>
    <w:bookmarkEnd w:id="212"/>
    <w:bookmarkEnd w:id="213"/>
    <w:bookmarkEnd w:id="214"/>
    <w:bookmarkEnd w:id="215"/>
    <w:bookmarkEnd w:id="216"/>
    <w:bookmarkEnd w:id="217"/>
    <w:bookmarkEnd w:id="218"/>
    <w:bookmarkEnd w:id="219"/>
    <w:p w14:paraId="57A72D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0" w:name="_Toc407135205"/>
      <w:bookmarkStart w:id="221" w:name="_Toc373227703"/>
      <w:bookmarkStart w:id="222" w:name="_Toc373478350"/>
      <w:bookmarkStart w:id="223" w:name="_Toc9850533"/>
      <w:bookmarkStart w:id="224" w:name="_Toc389065269"/>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发包人代表</w:t>
      </w:r>
      <w:bookmarkEnd w:id="220"/>
      <w:bookmarkEnd w:id="221"/>
      <w:bookmarkEnd w:id="222"/>
      <w:bookmarkEnd w:id="223"/>
      <w:bookmarkEnd w:id="224"/>
    </w:p>
    <w:p w14:paraId="06C48CE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发包人代表：</w:t>
      </w:r>
    </w:p>
    <w:p w14:paraId="42695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2E0B4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7E543E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E6BDF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w:t>
      </w:r>
      <w:r>
        <w:rPr>
          <w:rFonts w:hint="eastAsia" w:hAnsi="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D6FC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5D71C8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发包人对发包人代表的授权范围如下：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0D105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25" w:name="_Toc9850534"/>
      <w:bookmarkStart w:id="226" w:name="_Toc373227704"/>
      <w:bookmarkStart w:id="227" w:name="_Toc407135206"/>
      <w:bookmarkStart w:id="228" w:name="_Toc389065270"/>
      <w:bookmarkStart w:id="229" w:name="_Toc373478351"/>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施工现场、施工条件和基础资料的提供</w:t>
      </w:r>
      <w:bookmarkEnd w:id="225"/>
      <w:bookmarkEnd w:id="226"/>
      <w:bookmarkEnd w:id="227"/>
      <w:bookmarkEnd w:id="228"/>
      <w:bookmarkEnd w:id="229"/>
    </w:p>
    <w:p w14:paraId="5EF65AF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提供施工现场</w:t>
      </w:r>
    </w:p>
    <w:p w14:paraId="1C652A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关于发包人移交施工现场的期限要求：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在开工日期前</w:t>
      </w:r>
      <w:r>
        <w:rPr>
          <w:rFonts w:hint="eastAsia" w:ascii="宋体" w:hAnsi="宋体" w:eastAsia="宋体" w:cs="宋体"/>
          <w:color w:val="auto"/>
          <w:sz w:val="21"/>
          <w:szCs w:val="21"/>
          <w:highlight w:val="none"/>
          <w:u w:val="single"/>
          <w:lang w:val="en-US" w:eastAsia="zh-CN"/>
        </w:rPr>
        <w:t>3个工作日</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F81B4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提供施工条件</w:t>
      </w:r>
    </w:p>
    <w:p w14:paraId="7A3BEBF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关于发包人应负责提供施工所需要的条件，包括：</w:t>
      </w:r>
      <w:r>
        <w:rPr>
          <w:rFonts w:hint="eastAsia" w:ascii="宋体" w:hAnsi="宋体" w:eastAsia="宋体" w:cs="宋体"/>
          <w:color w:val="auto"/>
          <w:sz w:val="21"/>
          <w:szCs w:val="21"/>
          <w:highlight w:val="none"/>
          <w:u w:val="single"/>
          <w:lang w:eastAsia="zh-CN"/>
        </w:rPr>
        <w:t xml:space="preserve">  水、电等施工管线在承包人进入工地前由发包人按有关规定提供挂表位置，符合施工要求，并能满足施工期间的需要。</w:t>
      </w:r>
    </w:p>
    <w:p w14:paraId="11F5F79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0" w:name="_Toc9850535"/>
      <w:bookmarkStart w:id="231" w:name="_Toc407135207"/>
      <w:bookmarkStart w:id="232" w:name="_Toc373478352"/>
      <w:bookmarkStart w:id="233" w:name="_Toc373227705"/>
      <w:bookmarkStart w:id="234" w:name="_Toc389065271"/>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资金来源证明及支付担保</w:t>
      </w:r>
      <w:bookmarkEnd w:id="230"/>
      <w:bookmarkEnd w:id="231"/>
      <w:bookmarkEnd w:id="232"/>
      <w:bookmarkEnd w:id="233"/>
      <w:bookmarkEnd w:id="234"/>
    </w:p>
    <w:p w14:paraId="3DFBBAB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发包人提供资金来源证明的期限要求：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9C8452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发包人是否提供支付担保：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不提供</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EB143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发包人提供支付担保的形式：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4359F2">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35" w:name="_Toc9850536"/>
      <w:bookmarkStart w:id="236" w:name="_Toc351203635"/>
      <w:bookmarkStart w:id="237" w:name="_Toc407135208"/>
      <w:bookmarkStart w:id="238" w:name="_Toc373478353"/>
      <w:bookmarkStart w:id="239" w:name="_Toc373227706"/>
      <w:bookmarkStart w:id="240" w:name="_Toc389065272"/>
      <w:r>
        <w:rPr>
          <w:rFonts w:hint="eastAsia" w:ascii="宋体" w:hAnsi="宋体" w:eastAsia="宋体" w:cs="宋体"/>
          <w:color w:val="auto"/>
          <w:highlight w:val="none"/>
        </w:rPr>
        <w:t>3</w:t>
      </w:r>
      <w:bookmarkStart w:id="241" w:name="_Toc296891198"/>
      <w:bookmarkStart w:id="242" w:name="_Toc296346659"/>
      <w:bookmarkStart w:id="243" w:name="_Toc296503158"/>
      <w:bookmarkStart w:id="244" w:name="_Toc292559868"/>
      <w:bookmarkStart w:id="245" w:name="_Toc296944497"/>
      <w:bookmarkStart w:id="246" w:name="_Toc296890986"/>
      <w:bookmarkStart w:id="247" w:name="_Toc297120458"/>
      <w:bookmarkStart w:id="248" w:name="_Toc296347157"/>
      <w:bookmarkStart w:id="249" w:name="_Toc297048344"/>
      <w:bookmarkStart w:id="250" w:name="_Toc292559363"/>
      <w:r>
        <w:rPr>
          <w:rFonts w:hint="eastAsia" w:ascii="宋体" w:hAnsi="宋体" w:eastAsia="宋体" w:cs="宋体"/>
          <w:color w:val="auto"/>
          <w:highlight w:val="none"/>
        </w:rPr>
        <w:t>. 承包人</w:t>
      </w:r>
      <w:bookmarkEnd w:id="235"/>
      <w:bookmarkEnd w:id="236"/>
      <w:bookmarkEnd w:id="237"/>
      <w:bookmarkEnd w:id="238"/>
      <w:bookmarkEnd w:id="239"/>
      <w:bookmarkEnd w:id="240"/>
    </w:p>
    <w:bookmarkEnd w:id="241"/>
    <w:bookmarkEnd w:id="242"/>
    <w:bookmarkEnd w:id="243"/>
    <w:bookmarkEnd w:id="244"/>
    <w:bookmarkEnd w:id="245"/>
    <w:bookmarkEnd w:id="246"/>
    <w:bookmarkEnd w:id="247"/>
    <w:bookmarkEnd w:id="248"/>
    <w:bookmarkEnd w:id="249"/>
    <w:bookmarkEnd w:id="250"/>
    <w:p w14:paraId="333775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1" w:name="_Toc373227707"/>
      <w:bookmarkStart w:id="252" w:name="_Toc9850537"/>
      <w:bookmarkStart w:id="253" w:name="_Toc389065273"/>
      <w:bookmarkStart w:id="254" w:name="_Toc407135209"/>
      <w:bookmarkStart w:id="255" w:name="_Toc373478354"/>
      <w:r>
        <w:rPr>
          <w:rFonts w:hint="eastAsia" w:ascii="宋体" w:hAnsi="宋体" w:eastAsia="宋体" w:cs="宋体"/>
          <w:color w:val="auto"/>
          <w:highlight w:val="none"/>
        </w:rPr>
        <w:t>3.1 承包人的一般义务</w:t>
      </w:r>
      <w:bookmarkEnd w:id="251"/>
      <w:bookmarkEnd w:id="252"/>
      <w:bookmarkEnd w:id="253"/>
      <w:bookmarkEnd w:id="254"/>
      <w:bookmarkEnd w:id="255"/>
    </w:p>
    <w:p w14:paraId="6A013BA2">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承包人提交的竣工资料的内容：</w:t>
      </w:r>
      <w:r>
        <w:rPr>
          <w:rFonts w:hint="eastAsia" w:ascii="宋体" w:hAnsi="宋体" w:eastAsia="宋体" w:cs="宋体"/>
          <w:color w:val="auto"/>
          <w:sz w:val="21"/>
          <w:szCs w:val="21"/>
          <w:highlight w:val="none"/>
          <w:lang w:eastAsia="zh-CN"/>
        </w:rPr>
        <w:t>按</w:t>
      </w:r>
      <w:r>
        <w:rPr>
          <w:rFonts w:hint="eastAsia" w:ascii="宋体" w:hAnsi="宋体" w:eastAsia="宋体" w:cs="宋体"/>
          <w:color w:val="auto"/>
          <w:sz w:val="21"/>
          <w:szCs w:val="21"/>
          <w:highlight w:val="none"/>
          <w:u w:val="single"/>
        </w:rPr>
        <w:t>国家有关规范要求执行，包括与本工程有</w:t>
      </w:r>
    </w:p>
    <w:p w14:paraId="351253C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关的所有竣工图纸、变更</w:t>
      </w:r>
      <w:r>
        <w:rPr>
          <w:rFonts w:hint="eastAsia" w:ascii="宋体" w:hAnsi="宋体" w:eastAsia="宋体" w:cs="宋体"/>
          <w:color w:val="auto"/>
          <w:sz w:val="21"/>
          <w:szCs w:val="21"/>
          <w:highlight w:val="none"/>
          <w:u w:val="single"/>
          <w:lang w:eastAsia="zh-CN"/>
        </w:rPr>
        <w:t>、结算书</w:t>
      </w:r>
      <w:r>
        <w:rPr>
          <w:rFonts w:hint="eastAsia" w:ascii="宋体" w:hAnsi="宋体" w:eastAsia="宋体" w:cs="宋体"/>
          <w:color w:val="auto"/>
          <w:sz w:val="21"/>
          <w:szCs w:val="21"/>
          <w:highlight w:val="none"/>
          <w:u w:val="single"/>
        </w:rPr>
        <w:t>等</w:t>
      </w:r>
      <w:r>
        <w:rPr>
          <w:rFonts w:hint="eastAsia" w:ascii="宋体" w:hAnsi="宋体" w:eastAsia="宋体" w:cs="宋体"/>
          <w:color w:val="auto"/>
          <w:sz w:val="21"/>
          <w:szCs w:val="21"/>
          <w:highlight w:val="none"/>
        </w:rPr>
        <w:t>。</w:t>
      </w:r>
    </w:p>
    <w:p w14:paraId="1167C72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承包人需要提交的竣工资料套数：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2套，如发包人有需要另行约定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C1F5504">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承包人提交的竣工资料的费用承担：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8DB367">
      <w:pPr>
        <w:pageBreakBefore w:val="0"/>
        <w:widowControl w:val="0"/>
        <w:kinsoku/>
        <w:wordWrap w:val="0"/>
        <w:overflowPunct/>
        <w:topLinePunct w:val="0"/>
        <w:bidi w:val="0"/>
        <w:snapToGrid/>
        <w:spacing w:line="480" w:lineRule="exact"/>
        <w:ind w:left="424" w:left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承包人提交的竣工资料移交时间：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竣工结束后</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7D2C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承包人提交的竣工资料形式要求：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书面形式和可编辑的电子版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3B5A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）承包人应履行的其他义务：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）承包人应采取一切合理的预防措施，防止人员伤亡、财产损失事故，费用由承包人承担。 (</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)承包人施工时应探明并负责保护且承担费用，施工时如损坏地下管线、邻近建筑物、构筑物，所发生费用由承包人承担。(</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lang w:eastAsia="zh-CN"/>
        </w:rPr>
        <w:t>)由于施工造成的环境污染，其责任和费用均由承包人承担。（</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）配合发包人取得本工程施工所需临时用水、临时用电、 中断道路交通、临时占用土地（不包括发包人指定的取土场和弃土场）等使用权。</w:t>
      </w:r>
    </w:p>
    <w:p w14:paraId="5772D3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56" w:name="_Toc9850538"/>
      <w:bookmarkStart w:id="257" w:name="_Toc389065274"/>
      <w:bookmarkStart w:id="258" w:name="_Toc373227708"/>
      <w:bookmarkStart w:id="259" w:name="_Toc373478355"/>
      <w:bookmarkStart w:id="260" w:name="_Toc407135210"/>
      <w:r>
        <w:rPr>
          <w:rFonts w:hint="eastAsia" w:ascii="宋体" w:hAnsi="宋体" w:eastAsia="宋体" w:cs="宋体"/>
          <w:color w:val="auto"/>
          <w:highlight w:val="none"/>
        </w:rPr>
        <w:t>3.2 项目经理</w:t>
      </w:r>
      <w:bookmarkEnd w:id="256"/>
      <w:bookmarkEnd w:id="257"/>
      <w:bookmarkEnd w:id="258"/>
      <w:bookmarkEnd w:id="259"/>
      <w:bookmarkEnd w:id="260"/>
    </w:p>
    <w:p w14:paraId="4DBFC27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3.2.1 </w:t>
      </w:r>
      <w:r>
        <w:rPr>
          <w:rFonts w:hint="eastAsia" w:ascii="宋体" w:hAnsi="宋体" w:eastAsia="宋体" w:cs="宋体"/>
          <w:color w:val="auto"/>
          <w:sz w:val="21"/>
          <w:szCs w:val="21"/>
          <w:highlight w:val="none"/>
        </w:rPr>
        <w:t>项目经理：</w:t>
      </w:r>
    </w:p>
    <w:p w14:paraId="2D67A9A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DEECAA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129E44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建造师执业资格等级：</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05463F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建造师注册证书号：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A331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建造师执业印章号：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5286F78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安全生产考核合格证书号：</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47CA2B5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w:t>
      </w:r>
      <w:r>
        <w:rPr>
          <w:rFonts w:hint="eastAsia" w:ascii="宋体" w:hAnsi="宋体" w:eastAsia="宋体" w:cs="宋体"/>
          <w:color w:val="auto"/>
          <w:highlight w:val="none"/>
          <w:u w:val="single"/>
        </w:rPr>
        <w:t xml:space="preserve"> </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C7EA2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lang w:val="en-US" w:eastAsia="zh-CN"/>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4CF7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highlight w:val="none"/>
          <w:u w:val="single"/>
        </w:rPr>
        <w:t></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70945084">
      <w:pPr>
        <w:pageBreakBefore w:val="0"/>
        <w:widowControl w:val="0"/>
        <w:kinsoku/>
        <w:wordWrap w:val="0"/>
        <w:overflowPunct/>
        <w:topLinePunct w:val="0"/>
        <w:bidi w:val="0"/>
        <w:snapToGrid/>
        <w:spacing w:line="480" w:lineRule="exact"/>
        <w:ind w:firstLine="420" w:firstLineChars="200"/>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承包人对项目经理的授权范围如下：</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lang w:eastAsia="zh-CN"/>
        </w:rPr>
        <w:t>）对本工程的施工进行全面全面管理包括对</w:t>
      </w:r>
      <w:r>
        <w:rPr>
          <w:rFonts w:hint="eastAsia" w:ascii="宋体" w:hAnsi="宋体" w:eastAsia="宋体" w:cs="宋体"/>
          <w:color w:val="auto"/>
          <w:sz w:val="21"/>
          <w:szCs w:val="21"/>
          <w:highlight w:val="none"/>
          <w:u w:val="single"/>
        </w:rPr>
        <w:t>工程质量、进度、安全、成本等进行管理，</w:t>
      </w:r>
      <w:r>
        <w:rPr>
          <w:rFonts w:hint="eastAsia" w:ascii="宋体" w:hAnsi="宋体" w:eastAsia="宋体" w:cs="宋体"/>
          <w:color w:val="auto"/>
          <w:sz w:val="21"/>
          <w:szCs w:val="21"/>
          <w:highlight w:val="none"/>
          <w:u w:val="single"/>
          <w:lang w:eastAsia="zh-CN"/>
        </w:rPr>
        <w:t>行使</w:t>
      </w:r>
      <w:r>
        <w:rPr>
          <w:rFonts w:hint="eastAsia" w:ascii="宋体" w:hAnsi="宋体" w:eastAsia="宋体" w:cs="宋体"/>
          <w:color w:val="auto"/>
          <w:sz w:val="21"/>
          <w:szCs w:val="21"/>
          <w:highlight w:val="none"/>
          <w:u w:val="single"/>
        </w:rPr>
        <w:t>施工合同约定的权利，履行施工合同约定的义务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（2）施工合同约定由承包人采购的材料、工程设备，项日经理参与选择物资供应单位</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）代表承包人应工程施工中的相关事务（本授权第一项约定的事务)进行协商，代表承包人参加发包人组织与本工程有关会议</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lang w:eastAsia="zh-CN"/>
        </w:rPr>
        <w:t>）负责与发包人、监理人办理设计必更、现场签证等手续，及时办理本工程相关索赔；（</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u w:val="single"/>
          <w:lang w:eastAsia="zh-CN"/>
        </w:rPr>
        <w:t>）负责签收发包人、监理人往往来函件，承包人的要求、通知均应以书面形式由承包人项且经理签字并加盖承包人公司公章递交发包人；（</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lang w:eastAsia="zh-CN"/>
        </w:rPr>
        <w:t>）代表承包人接受监理工程师或发包人现场代表发出的指示和指令。但未经承包人盖章同意不得以承包人和（或本工程项目部》名义向外融资、采购材料设备、租用建筑周转材料、雇佣劳动力、签订分包合同等从事一切为承包人设立义务或责任的行为。</w:t>
      </w:r>
    </w:p>
    <w:p w14:paraId="0AB97977">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highlight w:val="none"/>
        </w:rPr>
        <w:t>关于项目经理每月在施工现场的时间要求：</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项</w:t>
      </w:r>
      <w:r>
        <w:rPr>
          <w:rFonts w:hint="eastAsia" w:ascii="宋体" w:hAnsi="宋体" w:eastAsia="宋体" w:cs="宋体"/>
          <w:color w:val="auto"/>
          <w:sz w:val="21"/>
          <w:szCs w:val="21"/>
          <w:highlight w:val="none"/>
          <w:u w:val="single"/>
          <w:lang w:eastAsia="zh-CN"/>
        </w:rPr>
        <w:t>目经理须常驻现场，且在施工现场的时间不得少于合同约定的合同工期数。</w:t>
      </w:r>
    </w:p>
    <w:p w14:paraId="2935277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承包人未提交劳动合同，以及没有为项目经理缴纳社会保险证明的违约责任：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按照通用条款和现行法律法规要求承担违约责任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CB0423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项目经理未经批准，擅自离开施工现场的违约责任：</w:t>
      </w:r>
      <w:r>
        <w:rPr>
          <w:rFonts w:hint="eastAsia" w:ascii="宋体" w:hAnsi="宋体" w:eastAsia="宋体" w:cs="宋体"/>
          <w:color w:val="auto"/>
          <w:sz w:val="21"/>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w:t>
      </w:r>
      <w:r>
        <w:rPr>
          <w:rFonts w:hint="eastAsia" w:ascii="宋体" w:hAnsi="宋体" w:eastAsia="宋体" w:cs="宋体"/>
          <w:color w:val="auto"/>
          <w:sz w:val="21"/>
          <w:szCs w:val="21"/>
          <w:highlight w:val="none"/>
          <w:u w:val="single"/>
          <w:lang w:val="en-US" w:eastAsia="zh-CN"/>
        </w:rPr>
        <w:t>2000</w:t>
      </w:r>
      <w:r>
        <w:rPr>
          <w:rFonts w:hint="eastAsia" w:ascii="宋体" w:hAnsi="宋体" w:eastAsia="宋体" w:cs="宋体"/>
          <w:color w:val="auto"/>
          <w:sz w:val="21"/>
          <w:szCs w:val="21"/>
          <w:highlight w:val="none"/>
          <w:u w:val="single"/>
        </w:rPr>
        <w:t xml:space="preserve">   元/日（人民币）  </w:t>
      </w:r>
      <w:r>
        <w:rPr>
          <w:rFonts w:hint="eastAsia" w:ascii="宋体" w:hAnsi="宋体" w:eastAsia="宋体" w:cs="宋体"/>
          <w:color w:val="auto"/>
          <w:sz w:val="21"/>
          <w:szCs w:val="21"/>
          <w:highlight w:val="none"/>
        </w:rPr>
        <w:t>。</w:t>
      </w:r>
    </w:p>
    <w:p w14:paraId="69FD592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承包人擅自更换项目经理的违约责任：</w:t>
      </w:r>
      <w:r>
        <w:rPr>
          <w:rFonts w:hint="eastAsia" w:ascii="宋体" w:hAnsi="宋体" w:eastAsia="宋体" w:cs="宋体"/>
          <w:color w:val="auto"/>
          <w:sz w:val="21"/>
          <w:szCs w:val="21"/>
          <w:highlight w:val="none"/>
          <w:u w:val="single"/>
        </w:rPr>
        <w:t>承包人项目经理必须与承包人投标时所承诺的人员一致，并在  （开工日期）  前到任。在监理人向承包人颁发    （竣工证明材料名称）    前，项目经理不得同时兼任其他任何项目的项目经理</w:t>
      </w:r>
      <w:r>
        <w:rPr>
          <w:rFonts w:hint="eastAsia" w:ascii="宋体" w:hAnsi="宋体" w:eastAsia="宋体" w:cs="宋体"/>
          <w:color w:val="auto"/>
          <w:kern w:val="0"/>
          <w:sz w:val="21"/>
          <w:szCs w:val="21"/>
          <w:highlight w:val="none"/>
          <w:u w:val="single"/>
        </w:rPr>
        <w:t>（符合桂建管</w:t>
      </w:r>
      <w:r>
        <w:rPr>
          <w:rFonts w:hint="eastAsia" w:ascii="宋体" w:hAnsi="宋体" w:eastAsia="宋体" w:cs="宋体"/>
          <w:color w:val="auto"/>
          <w:sz w:val="21"/>
          <w:szCs w:val="21"/>
          <w:highlight w:val="none"/>
          <w:u w:val="single"/>
        </w:rPr>
        <w:t>﹝2013﹞</w:t>
      </w:r>
      <w:r>
        <w:rPr>
          <w:rFonts w:hint="eastAsia" w:ascii="宋体" w:hAnsi="宋体" w:eastAsia="宋体" w:cs="宋体"/>
          <w:color w:val="auto"/>
          <w:kern w:val="0"/>
          <w:sz w:val="21"/>
          <w:szCs w:val="21"/>
          <w:highlight w:val="none"/>
          <w:u w:val="single"/>
        </w:rPr>
        <w:t>17号和</w:t>
      </w:r>
      <w:r>
        <w:rPr>
          <w:rFonts w:hint="eastAsia" w:ascii="宋体" w:hAnsi="宋体" w:eastAsia="宋体" w:cs="宋体"/>
          <w:color w:val="auto"/>
          <w:sz w:val="21"/>
          <w:szCs w:val="21"/>
          <w:highlight w:val="none"/>
          <w:u w:val="single"/>
        </w:rPr>
        <w:t>桂建管﹝2014﹞25号</w:t>
      </w:r>
      <w:r>
        <w:rPr>
          <w:rFonts w:hint="eastAsia" w:ascii="宋体" w:hAnsi="宋体" w:eastAsia="宋体" w:cs="宋体"/>
          <w:color w:val="auto"/>
          <w:kern w:val="0"/>
          <w:sz w:val="21"/>
          <w:szCs w:val="21"/>
          <w:highlight w:val="none"/>
          <w:u w:val="single"/>
        </w:rPr>
        <w:t>文除外）</w:t>
      </w:r>
      <w:r>
        <w:rPr>
          <w:rFonts w:hint="eastAsia" w:ascii="宋体" w:hAnsi="宋体" w:eastAsia="宋体" w:cs="宋体"/>
          <w:color w:val="auto"/>
          <w:sz w:val="21"/>
          <w:szCs w:val="21"/>
          <w:highlight w:val="none"/>
          <w:u w:val="single"/>
        </w:rPr>
        <w:t xml:space="preserve">。未经发包人书面同意，承包人擅自更换项目经理的视为违约，违约金处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23A04B1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1"/>
          <w:szCs w:val="21"/>
          <w:highlight w:val="none"/>
        </w:rPr>
        <w:t>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承包人无正当理由拒绝更换项目经理的违约责任：</w:t>
      </w:r>
      <w:r>
        <w:rPr>
          <w:rFonts w:hint="eastAsia" w:ascii="宋体" w:hAnsi="宋体" w:eastAsia="宋体" w:cs="宋体"/>
          <w:color w:val="auto"/>
          <w:sz w:val="21"/>
          <w:szCs w:val="21"/>
          <w:highlight w:val="none"/>
          <w:u w:val="single"/>
        </w:rPr>
        <w:t xml:space="preserve">因承包人项目经理不称职，发包人要求调换而未及时调换的，视为承包人违约，必须向发包人交纳处罚金 </w:t>
      </w:r>
      <w:r>
        <w:rPr>
          <w:rFonts w:hint="eastAsia" w:ascii="宋体" w:hAnsi="宋体" w:eastAsia="宋体" w:cs="宋体"/>
          <w:color w:val="auto"/>
          <w:sz w:val="21"/>
          <w:szCs w:val="21"/>
          <w:highlight w:val="none"/>
          <w:u w:val="single"/>
          <w:lang w:val="en-US" w:eastAsia="zh-CN"/>
        </w:rPr>
        <w:t>1000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17A04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261" w:name="_Toc389065275"/>
      <w:bookmarkStart w:id="262" w:name="_Toc373478356"/>
      <w:bookmarkStart w:id="263" w:name="_Toc9850539"/>
      <w:bookmarkStart w:id="264" w:name="_Toc373227709"/>
      <w:bookmarkStart w:id="265" w:name="_Toc407135211"/>
      <w:r>
        <w:rPr>
          <w:rFonts w:hint="eastAsia" w:ascii="宋体" w:hAnsi="宋体" w:eastAsia="宋体" w:cs="宋体"/>
          <w:color w:val="auto"/>
          <w:highlight w:val="none"/>
        </w:rPr>
        <w:t>3.3 承包人人员</w:t>
      </w:r>
      <w:bookmarkEnd w:id="261"/>
      <w:bookmarkEnd w:id="262"/>
      <w:bookmarkEnd w:id="263"/>
      <w:bookmarkEnd w:id="264"/>
      <w:bookmarkEnd w:id="265"/>
    </w:p>
    <w:p w14:paraId="163D183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266" w:name="_Toc389065276"/>
      <w:bookmarkStart w:id="267" w:name="_Toc9850540"/>
      <w:bookmarkStart w:id="268" w:name="_Toc373227710"/>
      <w:bookmarkStart w:id="269" w:name="_Toc407135212"/>
      <w:bookmarkStart w:id="270" w:name="_Toc373478357"/>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承包人提交项目管理机构及施工现场管理人员安排报告的期限：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接到开工令的七日内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13DB0A">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承包人无正当理由拒绝撤换主要施工管理人员的违约责任：</w:t>
      </w:r>
      <w:r>
        <w:rPr>
          <w:rFonts w:hint="eastAsia" w:ascii="宋体" w:hAnsi="宋体" w:eastAsia="宋体" w:cs="宋体"/>
          <w:color w:val="auto"/>
          <w:sz w:val="21"/>
          <w:szCs w:val="21"/>
          <w:highlight w:val="none"/>
          <w:u w:val="single"/>
        </w:rPr>
        <w:t xml:space="preserve">因承包人主要施工管理人员不称职，发包人要求调换而无正当理由拒绝撤换或未及时调换的，视为承包人违约，必须向发包人交纳处罚金，处罚标准：技术负责人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元/人•次（人民币）；专业工程师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FB1509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承包人主要施工管理人员离开施工现场的批准要求：</w:t>
      </w:r>
      <w:r>
        <w:rPr>
          <w:rFonts w:hint="eastAsia" w:ascii="宋体" w:hAnsi="宋体" w:eastAsia="宋体" w:cs="宋体"/>
          <w:color w:val="auto"/>
          <w:sz w:val="21"/>
          <w:szCs w:val="21"/>
          <w:highlight w:val="none"/>
          <w:u w:val="single"/>
          <w:lang w:eastAsia="zh-CN"/>
        </w:rPr>
        <w:t>必须以书面形式提出且</w:t>
      </w:r>
      <w:r>
        <w:rPr>
          <w:rFonts w:hint="eastAsia" w:ascii="宋体" w:hAnsi="宋体" w:eastAsia="宋体" w:cs="宋体"/>
          <w:color w:val="auto"/>
          <w:sz w:val="21"/>
          <w:szCs w:val="21"/>
          <w:highlight w:val="none"/>
          <w:u w:val="single"/>
          <w:lang w:val="en-US" w:eastAsia="zh-CN"/>
        </w:rPr>
        <w:t>经发包人同意</w:t>
      </w:r>
      <w:r>
        <w:rPr>
          <w:rFonts w:hint="eastAsia" w:ascii="宋体" w:hAnsi="宋体" w:eastAsia="宋体" w:cs="宋体"/>
          <w:color w:val="auto"/>
          <w:sz w:val="21"/>
          <w:szCs w:val="21"/>
          <w:highlight w:val="none"/>
          <w:u w:val="single"/>
          <w:lang w:eastAsia="zh-CN"/>
        </w:rPr>
        <w:t>后</w:t>
      </w:r>
      <w:r>
        <w:rPr>
          <w:rFonts w:hint="eastAsia" w:ascii="宋体" w:hAnsi="宋体" w:eastAsia="宋体" w:cs="宋体"/>
          <w:color w:val="auto"/>
          <w:sz w:val="21"/>
          <w:szCs w:val="21"/>
          <w:highlight w:val="none"/>
        </w:rPr>
        <w:t>。</w:t>
      </w:r>
    </w:p>
    <w:p w14:paraId="29C4DA62">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承包人擅自更换主要施工管理人员的违约责任：</w:t>
      </w:r>
      <w:r>
        <w:rPr>
          <w:rFonts w:hint="eastAsia" w:ascii="宋体" w:hAnsi="宋体" w:eastAsia="宋体" w:cs="宋体"/>
          <w:color w:val="auto"/>
          <w:sz w:val="21"/>
          <w:szCs w:val="21"/>
          <w:highlight w:val="none"/>
          <w:u w:val="single"/>
        </w:rPr>
        <w:t xml:space="preserve">项目技术负责人、专职安全员及其承诺的其它在场管理人员未经发包人书面同意不准擅自更换，擅自更换项目技术负责人处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元/人•次（人民币）违约金；擅自更换专职安全员处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元/人•次（人民币）违约金；擅自更换其它在场管理人员处</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元/人•次（人民币）违约金</w:t>
      </w:r>
      <w:r>
        <w:rPr>
          <w:rFonts w:hint="eastAsia" w:ascii="宋体" w:hAnsi="宋体" w:eastAsia="宋体" w:cs="宋体"/>
          <w:color w:val="auto"/>
          <w:sz w:val="21"/>
          <w:szCs w:val="21"/>
          <w:highlight w:val="none"/>
        </w:rPr>
        <w:t>。</w:t>
      </w:r>
    </w:p>
    <w:p w14:paraId="6A1BB41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承包人主要施工管理人员擅自离开施工现场的违约责任：</w:t>
      </w:r>
      <w:r>
        <w:rPr>
          <w:rFonts w:hint="eastAsia" w:ascii="宋体" w:hAnsi="宋体" w:eastAsia="宋体" w:cs="宋体"/>
          <w:color w:val="auto"/>
          <w:sz w:val="21"/>
          <w:szCs w:val="21"/>
          <w:highlight w:val="none"/>
          <w:u w:val="single"/>
        </w:rPr>
        <w:t xml:space="preserve">未经发包人同意，项目技术负责人擅自离岗的，视为承包人违约，发包人有权处违约金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元/人•次（人民币）；未经发包人同意，专职安全员擅自离岗的，视为承包人违约，发包人有权处违约金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元/人•次（人民币）；其它在场管理人员擅自离岗的，视为承包人违约，发包人有权处违约金   </w:t>
      </w:r>
      <w:r>
        <w:rPr>
          <w:rFonts w:hint="eastAsia" w:ascii="宋体" w:hAnsi="宋体" w:eastAsia="宋体" w:cs="宋体"/>
          <w:color w:val="auto"/>
          <w:sz w:val="21"/>
          <w:szCs w:val="21"/>
          <w:highlight w:val="none"/>
          <w:u w:val="single"/>
          <w:lang w:val="en-US" w:eastAsia="zh-CN"/>
        </w:rPr>
        <w:t>500</w:t>
      </w:r>
      <w:r>
        <w:rPr>
          <w:rFonts w:hint="eastAsia" w:ascii="宋体" w:hAnsi="宋体" w:eastAsia="宋体" w:cs="宋体"/>
          <w:color w:val="auto"/>
          <w:sz w:val="21"/>
          <w:szCs w:val="21"/>
          <w:highlight w:val="none"/>
          <w:u w:val="single"/>
        </w:rPr>
        <w:t xml:space="preserve"> 元/人•次（人民币）</w:t>
      </w:r>
      <w:r>
        <w:rPr>
          <w:rFonts w:hint="eastAsia" w:ascii="宋体" w:hAnsi="宋体" w:eastAsia="宋体" w:cs="宋体"/>
          <w:color w:val="auto"/>
          <w:sz w:val="21"/>
          <w:szCs w:val="21"/>
          <w:highlight w:val="none"/>
        </w:rPr>
        <w:t>。</w:t>
      </w:r>
    </w:p>
    <w:p w14:paraId="58F1FB3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bookmarkStart w:id="271" w:name="_Toc300934945"/>
      <w:bookmarkStart w:id="272" w:name="_Toc296891199"/>
      <w:bookmarkStart w:id="273" w:name="_Toc296503159"/>
      <w:bookmarkStart w:id="274" w:name="_Toc292559364"/>
      <w:bookmarkStart w:id="275" w:name="_Toc297048345"/>
      <w:bookmarkStart w:id="276" w:name="_Toc296346660"/>
      <w:bookmarkStart w:id="277" w:name="_Toc297120459"/>
      <w:bookmarkStart w:id="278" w:name="_Toc292559869"/>
      <w:bookmarkStart w:id="279" w:name="_Toc296347158"/>
      <w:bookmarkStart w:id="280" w:name="_Toc312677988"/>
      <w:bookmarkStart w:id="281" w:name="_Toc296890987"/>
      <w:bookmarkStart w:id="282" w:name="_Toc304295523"/>
      <w:bookmarkStart w:id="283" w:name="_Toc297216151"/>
      <w:bookmarkStart w:id="284" w:name="_Toc303539102"/>
      <w:bookmarkStart w:id="285" w:name="_Toc297123492"/>
      <w:bookmarkStart w:id="286" w:name="_Toc296944498"/>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分包</w:t>
      </w:r>
      <w:bookmarkEnd w:id="266"/>
      <w:bookmarkEnd w:id="267"/>
      <w:bookmarkEnd w:id="268"/>
      <w:bookmarkEnd w:id="269"/>
      <w:bookmarkEnd w:id="270"/>
    </w:p>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14:paraId="289D26A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287" w:name="_Toc297048346"/>
      <w:bookmarkStart w:id="288" w:name="_Toc297120460"/>
      <w:bookmarkStart w:id="289" w:name="_Toc296503160"/>
      <w:bookmarkStart w:id="290" w:name="_Toc292559365"/>
      <w:bookmarkStart w:id="291" w:name="_Toc296346661"/>
      <w:bookmarkStart w:id="292" w:name="_Toc300934946"/>
      <w:bookmarkStart w:id="293" w:name="_Toc303539103"/>
      <w:bookmarkStart w:id="294" w:name="_Toc296347159"/>
      <w:bookmarkStart w:id="295" w:name="_Toc296891200"/>
      <w:bookmarkStart w:id="296" w:name="_Toc297123493"/>
      <w:bookmarkStart w:id="297" w:name="_Toc312677989"/>
      <w:bookmarkStart w:id="298" w:name="_Toc296890988"/>
      <w:bookmarkStart w:id="299" w:name="_Toc318581158"/>
      <w:bookmarkStart w:id="300" w:name="_Toc292559870"/>
      <w:bookmarkStart w:id="301" w:name="_Toc304295524"/>
      <w:bookmarkStart w:id="302" w:name="_Toc296944499"/>
      <w:bookmarkStart w:id="303" w:name="_Toc297216152"/>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分包的一般约定</w:t>
      </w:r>
    </w:p>
    <w:p w14:paraId="2D8E341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禁止分包的工程包括：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本工程不允许分包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D04DE2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主体结构、关键性工作的范围：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4A3F109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Start w:id="304" w:name="_Toc312677990"/>
      <w:bookmarkStart w:id="305" w:name="_Toc318581159"/>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分包的确定</w:t>
      </w:r>
    </w:p>
    <w:p w14:paraId="527951C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允许分包的专业工程包括：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C36D0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其他关于分包的约定：</w:t>
      </w:r>
    </w:p>
    <w:p w14:paraId="7D276EC8">
      <w:pPr>
        <w:pageBreakBefore w:val="0"/>
        <w:widowControl w:val="0"/>
        <w:numPr>
          <w:ilvl w:val="0"/>
          <w:numId w:val="8"/>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前款约定的分包内容外，经过发包人和监理人同意，承包人可以将其他非主体、非关键性工作分包给第三人，但分包人应当经过发包人和监理人审批。发包人和监理人有权拒绝承包人的分包请求和承包人选择的分包人。</w:t>
      </w:r>
    </w:p>
    <w:p w14:paraId="43B2D920">
      <w:pPr>
        <w:pageBreakBefore w:val="0"/>
        <w:widowControl w:val="0"/>
        <w:numPr>
          <w:ilvl w:val="0"/>
          <w:numId w:val="0"/>
        </w:numPr>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（2）在相关分包合同签订并报送有关建设行政主管部门备案后7天内，承包人应当将一份副本提交给监理人，承包人应保障分包工作不得再次分包。</w:t>
      </w:r>
    </w:p>
    <w:p w14:paraId="3EC0F52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（3）未经承包人和监理人审批同意的分包工程和分包人，承包人有权拒绝验收分包工程和支付相应款项，由此引起的发包人费用增加和(或)延误的工期由发包人承担。</w:t>
      </w:r>
    </w:p>
    <w:p w14:paraId="1C3859E8">
      <w:pPr>
        <w:pStyle w:val="11"/>
        <w:pageBreakBefore w:val="0"/>
        <w:widowControl w:val="0"/>
        <w:kinsoku/>
        <w:wordWrap w:val="0"/>
        <w:overflowPunct/>
        <w:topLinePunct w:val="0"/>
        <w:bidi w:val="0"/>
        <w:snapToGrid/>
        <w:spacing w:line="48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（4）承包人有以下情况之一者，发包人有权解除合同，并视情况扣除其履约保证金：</w:t>
      </w:r>
    </w:p>
    <w:p w14:paraId="6A9B2688">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①个人承包工程，包括本人单位及外单位人员承包，发包人不承认其个人拥有任何资质等级及营业许可资格。没收全部履约保证金。</w:t>
      </w:r>
    </w:p>
    <w:p w14:paraId="6B0D0875">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②几个人联合承包工程，就地组织暗分包队伍，不具备完成本工程的技术、机械能力，被发包人判定为没有能力履行的承包人。没收全部履约保证金。</w:t>
      </w:r>
    </w:p>
    <w:p w14:paraId="5CE5345F">
      <w:pPr>
        <w:pStyle w:val="11"/>
        <w:pageBreakBefore w:val="0"/>
        <w:widowControl w:val="0"/>
        <w:kinsoku/>
        <w:wordWrap w:val="0"/>
        <w:overflowPunct/>
        <w:topLinePunct w:val="0"/>
        <w:bidi w:val="0"/>
        <w:snapToGrid/>
        <w:spacing w:line="480" w:lineRule="exact"/>
        <w:ind w:firstLine="462" w:firstLineChars="21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③就地转包全部的工程，以谋取高额转让费、管理费的承包人。没收全部履约保证金。</w:t>
      </w:r>
    </w:p>
    <w:p w14:paraId="5F77233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741764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分包合同价款</w:t>
      </w:r>
    </w:p>
    <w:bookmarkEnd w:id="304"/>
    <w:bookmarkEnd w:id="305"/>
    <w:p w14:paraId="658642A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highlight w:val="none"/>
        </w:rPr>
      </w:pPr>
      <w:bookmarkStart w:id="306" w:name="_Toc373478358"/>
      <w:bookmarkStart w:id="307" w:name="_Toc389065277"/>
      <w:bookmarkStart w:id="308" w:name="_Toc373227711"/>
      <w:r>
        <w:rPr>
          <w:rFonts w:hint="eastAsia" w:ascii="宋体" w:hAnsi="宋体" w:eastAsia="宋体" w:cs="宋体"/>
          <w:color w:val="auto"/>
          <w:sz w:val="21"/>
          <w:szCs w:val="21"/>
          <w:highlight w:val="none"/>
        </w:rPr>
        <w:t>关于分包合同价款支付的约定：</w:t>
      </w:r>
      <w:r>
        <w:rPr>
          <w:rFonts w:hint="eastAsia" w:ascii="宋体" w:hAnsi="宋体" w:eastAsia="宋体" w:cs="宋体"/>
          <w:color w:val="auto"/>
          <w:sz w:val="21"/>
          <w:szCs w:val="21"/>
          <w:highlight w:val="none"/>
          <w:u w:val="single"/>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w:t>
      </w:r>
      <w:r>
        <w:rPr>
          <w:rFonts w:hint="eastAsia" w:ascii="宋体" w:hAnsi="宋体" w:eastAsia="宋体" w:cs="宋体"/>
          <w:color w:val="auto"/>
          <w:highlight w:val="none"/>
          <w:u w:val="single"/>
        </w:rPr>
        <w:t>工程款项而影响承包人工作的，所造成的承包人费用增加和（或）延误的工期由发包人承担。</w:t>
      </w:r>
    </w:p>
    <w:p w14:paraId="27F7C1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09" w:name="_Toc407135213"/>
      <w:bookmarkStart w:id="310" w:name="_Toc9850541"/>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工程照管与成品、半成品保护</w:t>
      </w:r>
      <w:bookmarkEnd w:id="306"/>
      <w:bookmarkEnd w:id="307"/>
      <w:bookmarkEnd w:id="308"/>
      <w:bookmarkEnd w:id="309"/>
      <w:bookmarkEnd w:id="310"/>
    </w:p>
    <w:p w14:paraId="619FBBFB">
      <w:pPr>
        <w:pageBreakBefore w:val="0"/>
        <w:widowControl w:val="0"/>
        <w:kinsoku/>
        <w:wordWrap w:val="0"/>
        <w:overflowPunct/>
        <w:topLinePunct w:val="0"/>
        <w:bidi w:val="0"/>
        <w:snapToGrid/>
        <w:spacing w:before="120" w:after="120" w:line="480" w:lineRule="exact"/>
        <w:ind w:firstLine="420" w:firstLineChars="200"/>
        <w:textAlignment w:val="auto"/>
        <w:outlineLvl w:val="9"/>
        <w:rPr>
          <w:rFonts w:hint="eastAsia" w:ascii="宋体" w:hAnsi="宋体" w:eastAsia="宋体" w:cs="宋体"/>
          <w:color w:val="auto"/>
          <w:kern w:val="0"/>
          <w:sz w:val="24"/>
          <w:szCs w:val="24"/>
          <w:highlight w:val="none"/>
          <w:u w:val="single"/>
          <w:lang w:eastAsia="zh-CN"/>
        </w:rPr>
      </w:pPr>
      <w:r>
        <w:rPr>
          <w:rFonts w:hint="eastAsia" w:ascii="宋体" w:hAnsi="宋体" w:eastAsia="宋体" w:cs="宋体"/>
          <w:color w:val="auto"/>
          <w:kern w:val="0"/>
          <w:sz w:val="21"/>
          <w:szCs w:val="21"/>
          <w:highlight w:val="none"/>
        </w:rPr>
        <w:t>承包人负责照管工程及工程相关的材料、工程设备的起始时间：</w:t>
      </w:r>
      <w:r>
        <w:rPr>
          <w:rFonts w:hint="eastAsia" w:ascii="宋体" w:hAnsi="宋体" w:eastAsia="宋体" w:cs="宋体"/>
          <w:color w:val="auto"/>
          <w:kern w:val="0"/>
          <w:sz w:val="21"/>
          <w:szCs w:val="21"/>
          <w:highlight w:val="none"/>
          <w:u w:val="single"/>
        </w:rPr>
        <w:t>从开工之日起承包人应全面负责照管本合同工程及将用于和施工在本合同工程中的成品、半成品、材料、设备等直到本合同工程《质量保修书》签发之日为止，并承担此期间发生的相关费用，发包人不再另行签证费用。发包人要求采取特殊措施保护的工程部位（此为非正常施工程序所</w:t>
      </w:r>
      <w:r>
        <w:rPr>
          <w:rFonts w:hint="eastAsia" w:ascii="宋体" w:hAnsi="宋体" w:eastAsia="宋体" w:cs="宋体"/>
          <w:color w:val="auto"/>
          <w:kern w:val="0"/>
          <w:sz w:val="21"/>
          <w:szCs w:val="21"/>
          <w:highlight w:val="none"/>
          <w:u w:val="single"/>
          <w:lang w:eastAsia="zh-CN"/>
        </w:rPr>
        <w:t>需</w:t>
      </w:r>
      <w:r>
        <w:rPr>
          <w:rFonts w:hint="eastAsia" w:ascii="宋体" w:hAnsi="宋体" w:eastAsia="宋体" w:cs="宋体"/>
          <w:color w:val="auto"/>
          <w:kern w:val="0"/>
          <w:sz w:val="21"/>
          <w:szCs w:val="21"/>
          <w:highlight w:val="none"/>
          <w:u w:val="single"/>
        </w:rPr>
        <w:t>采取的特别保护，不含发包人指定的分包方进场施工过程中承包人所需采取的必要配合保护)，所发生费用经发包人确认后由发包人承担</w:t>
      </w:r>
      <w:r>
        <w:rPr>
          <w:rFonts w:hint="eastAsia" w:ascii="宋体" w:hAnsi="宋体" w:eastAsia="宋体" w:cs="宋体"/>
          <w:color w:val="auto"/>
          <w:kern w:val="0"/>
          <w:sz w:val="21"/>
          <w:szCs w:val="21"/>
          <w:highlight w:val="none"/>
          <w:u w:val="single"/>
          <w:lang w:eastAsia="zh-CN"/>
        </w:rPr>
        <w:t>。</w:t>
      </w:r>
    </w:p>
    <w:p w14:paraId="67A0AEF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11" w:name="_Toc373227712"/>
      <w:bookmarkStart w:id="312" w:name="_Toc389065278"/>
      <w:bookmarkStart w:id="313" w:name="_Toc373478359"/>
      <w:bookmarkStart w:id="314" w:name="_Toc407135214"/>
      <w:bookmarkStart w:id="315" w:name="_Toc9850542"/>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履约</w:t>
      </w:r>
      <w:bookmarkEnd w:id="311"/>
      <w:bookmarkEnd w:id="312"/>
      <w:bookmarkEnd w:id="313"/>
      <w:r>
        <w:rPr>
          <w:rFonts w:hint="eastAsia" w:ascii="宋体" w:hAnsi="宋体" w:eastAsia="宋体" w:cs="宋体"/>
          <w:color w:val="auto"/>
          <w:highlight w:val="none"/>
        </w:rPr>
        <w:t>保证金</w:t>
      </w:r>
      <w:bookmarkEnd w:id="314"/>
      <w:bookmarkEnd w:id="315"/>
    </w:p>
    <w:p w14:paraId="7E957D6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316" w:name="_Toc351203636"/>
      <w:bookmarkStart w:id="317" w:name="_Toc373478360"/>
      <w:bookmarkStart w:id="318" w:name="_Toc373227713"/>
      <w:bookmarkStart w:id="319" w:name="_Toc389065279"/>
      <w:r>
        <w:rPr>
          <w:rFonts w:hint="eastAsia" w:ascii="宋体" w:hAnsi="宋体" w:eastAsia="宋体" w:cs="宋体"/>
          <w:color w:val="auto"/>
          <w:sz w:val="21"/>
          <w:szCs w:val="21"/>
          <w:highlight w:val="none"/>
        </w:rPr>
        <w:t>承包人提供履约担保的形式、金额及期限的：</w:t>
      </w:r>
      <w:r>
        <w:rPr>
          <w:rFonts w:hint="eastAsia" w:ascii="宋体" w:hAnsi="宋体" w:eastAsia="宋体" w:cs="宋体"/>
          <w:color w:val="auto"/>
          <w:sz w:val="21"/>
          <w:szCs w:val="21"/>
          <w:highlight w:val="none"/>
          <w:u w:val="single"/>
        </w:rPr>
        <w:t>承包人在收到中标通知书后，须在</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日内向发包人提交合同价款扣除发包人材料设备价款、暂估专业工程、暂列金额后的</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的履约担保。履约担保的有效期应当自本合同生效之日起至发包人签认并由监理人向承包人出具（竣工证明材料名称）之日止。如果承包人无法获得一份不带具体截止日期的担保，履约担保中应当有“变更工程竣工日期的，保证期间按照变更后的竣工日期做相应调整”或类似约定的条款。</w:t>
      </w:r>
    </w:p>
    <w:p w14:paraId="5AB9DF8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竣工验收合格并对验收发现的问题完成整改后的7个日历天内，发包人支付履约保证金的50%；承包人向发包人完成（施工）竣工资料移交手续后，可向发包人申请退还剩余履约保证金，发包人应在收到申请之日起28个日历天内扣减承包人赔偿金和其他应从承包人扣回的款项后，将履约保证金的余额退还给承包人。</w:t>
      </w:r>
    </w:p>
    <w:p w14:paraId="2FF5750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承包人在中标后7个工作日内，按 </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市住房城乡建设行政主管部门规定将农民工工资保障金存入帐户。工程竣工验收结算经审定后，按照规定程序，将农民工工资保障金没有使用或剩余的金额退还给承包人。</w:t>
      </w:r>
    </w:p>
    <w:p w14:paraId="559ED93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20" w:name="_Toc9850543"/>
      <w:bookmarkStart w:id="321" w:name="_Toc407135215"/>
      <w:r>
        <w:rPr>
          <w:rFonts w:hint="eastAsia" w:ascii="宋体" w:hAnsi="宋体" w:eastAsia="宋体" w:cs="宋体"/>
          <w:color w:val="auto"/>
          <w:highlight w:val="none"/>
        </w:rPr>
        <w:t>4</w:t>
      </w:r>
      <w:bookmarkStart w:id="322" w:name="_Toc267251413"/>
      <w:bookmarkStart w:id="323" w:name="_Toc296503162"/>
      <w:bookmarkStart w:id="324" w:name="_Toc292559366"/>
      <w:bookmarkStart w:id="325" w:name="_Toc292559871"/>
      <w:bookmarkStart w:id="326" w:name="_Toc296346663"/>
      <w:bookmarkStart w:id="327" w:name="_Toc297048348"/>
      <w:bookmarkStart w:id="328" w:name="_Toc296890990"/>
      <w:bookmarkStart w:id="329" w:name="_Toc296891202"/>
      <w:bookmarkStart w:id="330" w:name="_Toc296347161"/>
      <w:bookmarkStart w:id="331" w:name="_Toc296944501"/>
      <w:bookmarkStart w:id="332" w:name="_Toc297120462"/>
      <w:r>
        <w:rPr>
          <w:rFonts w:hint="eastAsia" w:ascii="宋体" w:hAnsi="宋体" w:eastAsia="宋体" w:cs="宋体"/>
          <w:color w:val="auto"/>
          <w:highlight w:val="none"/>
        </w:rPr>
        <w:t>. 监</w:t>
      </w:r>
      <w:bookmarkEnd w:id="322"/>
      <w:bookmarkEnd w:id="323"/>
      <w:bookmarkEnd w:id="324"/>
      <w:bookmarkEnd w:id="325"/>
      <w:bookmarkEnd w:id="326"/>
      <w:bookmarkEnd w:id="327"/>
      <w:bookmarkEnd w:id="328"/>
      <w:bookmarkEnd w:id="329"/>
      <w:bookmarkEnd w:id="330"/>
      <w:bookmarkEnd w:id="331"/>
      <w:bookmarkEnd w:id="332"/>
      <w:r>
        <w:rPr>
          <w:rFonts w:hint="eastAsia" w:ascii="宋体" w:hAnsi="宋体" w:eastAsia="宋体" w:cs="宋体"/>
          <w:color w:val="auto"/>
          <w:highlight w:val="none"/>
        </w:rPr>
        <w:t>理人</w:t>
      </w:r>
      <w:bookmarkEnd w:id="316"/>
      <w:bookmarkEnd w:id="317"/>
      <w:bookmarkEnd w:id="318"/>
      <w:bookmarkEnd w:id="319"/>
      <w:bookmarkEnd w:id="320"/>
      <w:bookmarkEnd w:id="321"/>
    </w:p>
    <w:p w14:paraId="1BAF7BD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3" w:name="_Toc407135216"/>
      <w:bookmarkStart w:id="334" w:name="_Toc9850544"/>
      <w:bookmarkStart w:id="335" w:name="_Toc373227714"/>
      <w:bookmarkStart w:id="336" w:name="_Toc373478361"/>
      <w:bookmarkStart w:id="337" w:name="_Toc389065280"/>
      <w:r>
        <w:rPr>
          <w:rFonts w:hint="eastAsia" w:ascii="宋体" w:hAnsi="宋体" w:eastAsia="宋体" w:cs="宋体"/>
          <w:color w:val="auto"/>
          <w:highlight w:val="none"/>
        </w:rPr>
        <w:t>4.1 监理人的一般规定</w:t>
      </w:r>
      <w:bookmarkEnd w:id="333"/>
      <w:bookmarkEnd w:id="334"/>
      <w:bookmarkEnd w:id="335"/>
      <w:bookmarkEnd w:id="336"/>
      <w:bookmarkEnd w:id="337"/>
    </w:p>
    <w:p w14:paraId="0E4F3FE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关于监理人的监理内容：</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01286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关于监理人的监理权限：</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9AEC5D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关于监理人在施工现场的办公场所、生活场所的提供和费用承担的约定：</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4BA514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38" w:name="_Toc373478362"/>
      <w:bookmarkStart w:id="339" w:name="_Toc407135217"/>
      <w:bookmarkStart w:id="340" w:name="_Toc373227715"/>
      <w:bookmarkStart w:id="341" w:name="_Toc389065281"/>
      <w:bookmarkStart w:id="342" w:name="_Toc9850545"/>
      <w:r>
        <w:rPr>
          <w:rFonts w:hint="eastAsia" w:ascii="宋体" w:hAnsi="宋体" w:eastAsia="宋体" w:cs="宋体"/>
          <w:color w:val="auto"/>
          <w:highlight w:val="none"/>
        </w:rPr>
        <w:t>4.2 监理人员</w:t>
      </w:r>
      <w:bookmarkEnd w:id="338"/>
      <w:bookmarkEnd w:id="339"/>
      <w:bookmarkEnd w:id="340"/>
      <w:bookmarkEnd w:id="341"/>
      <w:bookmarkEnd w:id="342"/>
    </w:p>
    <w:p w14:paraId="56EF6C97">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总监理工程师：</w:t>
      </w:r>
    </w:p>
    <w:p w14:paraId="6796BC6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4B33A8B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75411F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监理工程师执业资格证书号：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3B2A6803">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4499B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电子信箱：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w:t>
      </w:r>
    </w:p>
    <w:p w14:paraId="19208BA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通信地址：</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23339A6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关于监理人的其他约定：</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p>
    <w:p w14:paraId="37D611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3" w:name="_Toc373227716"/>
      <w:bookmarkStart w:id="344" w:name="_Toc389065282"/>
      <w:bookmarkStart w:id="345" w:name="_Toc9850546"/>
      <w:bookmarkStart w:id="346" w:name="_Toc407135218"/>
      <w:bookmarkStart w:id="347" w:name="_Toc373478363"/>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商定或确定</w:t>
      </w:r>
      <w:bookmarkEnd w:id="343"/>
      <w:bookmarkEnd w:id="344"/>
      <w:bookmarkEnd w:id="345"/>
      <w:bookmarkEnd w:id="346"/>
      <w:bookmarkEnd w:id="347"/>
    </w:p>
    <w:p w14:paraId="6A7896CD">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348" w:name="_Toc267251418"/>
      <w:r>
        <w:rPr>
          <w:rFonts w:hint="eastAsia" w:ascii="宋体" w:hAnsi="宋体" w:eastAsia="宋体" w:cs="宋体"/>
          <w:color w:val="auto"/>
          <w:sz w:val="21"/>
          <w:szCs w:val="21"/>
          <w:highlight w:val="none"/>
        </w:rPr>
        <w:t>在发包人和承包人不能通过协商达成一致意见时，发包人授权监理人对以下事项进行确定：</w:t>
      </w:r>
    </w:p>
    <w:p w14:paraId="32CED52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4BD4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3A125D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5A5AB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49" w:name="_Toc389065283"/>
      <w:bookmarkStart w:id="350" w:name="_Toc9850547"/>
      <w:bookmarkStart w:id="351" w:name="_Toc373478364"/>
      <w:bookmarkStart w:id="352" w:name="_Toc373227717"/>
      <w:bookmarkStart w:id="353" w:name="_Toc407135219"/>
      <w:bookmarkStart w:id="354" w:name="_Toc351203637"/>
      <w:r>
        <w:rPr>
          <w:rFonts w:hint="eastAsia" w:ascii="宋体" w:hAnsi="宋体" w:eastAsia="宋体" w:cs="宋体"/>
          <w:color w:val="auto"/>
          <w:highlight w:val="none"/>
        </w:rPr>
        <w:t>5</w:t>
      </w:r>
      <w:bookmarkEnd w:id="348"/>
      <w:bookmarkStart w:id="355" w:name="_Toc292559872"/>
      <w:bookmarkStart w:id="356" w:name="_Toc296891203"/>
      <w:bookmarkStart w:id="357" w:name="_Toc296346664"/>
      <w:bookmarkStart w:id="358" w:name="_Toc297048349"/>
      <w:bookmarkStart w:id="359" w:name="_Toc296944502"/>
      <w:bookmarkStart w:id="360" w:name="_Toc296347162"/>
      <w:bookmarkStart w:id="361" w:name="_Toc296503163"/>
      <w:bookmarkStart w:id="362" w:name="_Toc296890991"/>
      <w:bookmarkStart w:id="363" w:name="_Toc297120463"/>
      <w:bookmarkStart w:id="364" w:name="_Toc292559367"/>
      <w:r>
        <w:rPr>
          <w:rFonts w:hint="eastAsia" w:ascii="宋体" w:hAnsi="宋体" w:eastAsia="宋体" w:cs="宋体"/>
          <w:color w:val="auto"/>
          <w:highlight w:val="none"/>
        </w:rPr>
        <w:t>. 工程质量</w:t>
      </w:r>
      <w:bookmarkEnd w:id="349"/>
      <w:bookmarkEnd w:id="350"/>
      <w:bookmarkEnd w:id="351"/>
      <w:bookmarkEnd w:id="352"/>
      <w:bookmarkEnd w:id="353"/>
      <w:bookmarkEnd w:id="354"/>
    </w:p>
    <w:p w14:paraId="016BBB7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65" w:name="_Toc389065284"/>
      <w:bookmarkStart w:id="366" w:name="_Toc9850548"/>
      <w:bookmarkStart w:id="367" w:name="_Toc373478365"/>
      <w:bookmarkStart w:id="368" w:name="_Toc373227718"/>
      <w:bookmarkStart w:id="369" w:name="_Toc407135220"/>
      <w:r>
        <w:rPr>
          <w:rFonts w:hint="eastAsia" w:ascii="宋体" w:hAnsi="宋体" w:eastAsia="宋体" w:cs="宋体"/>
          <w:color w:val="auto"/>
          <w:highlight w:val="none"/>
        </w:rPr>
        <w:t>5.1 质量要求</w:t>
      </w:r>
      <w:bookmarkEnd w:id="365"/>
      <w:bookmarkEnd w:id="366"/>
      <w:bookmarkEnd w:id="367"/>
      <w:bookmarkEnd w:id="368"/>
      <w:bookmarkEnd w:id="369"/>
    </w:p>
    <w:p w14:paraId="57F14C0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bookmarkStart w:id="370" w:name="_Toc318581164"/>
      <w:bookmarkStart w:id="371" w:name="_Toc312677997"/>
      <w:bookmarkStart w:id="372" w:name="_Toc300934949"/>
      <w:bookmarkStart w:id="373" w:name="_Toc297123496"/>
      <w:bookmarkStart w:id="374" w:name="_Toc304295527"/>
      <w:bookmarkStart w:id="375" w:name="_Toc303539106"/>
      <w:bookmarkStart w:id="376" w:name="_Toc297216155"/>
      <w:r>
        <w:rPr>
          <w:rFonts w:hint="eastAsia" w:ascii="宋体" w:hAnsi="宋体" w:eastAsia="宋体" w:cs="宋体"/>
          <w:color w:val="auto"/>
          <w:sz w:val="21"/>
          <w:szCs w:val="21"/>
          <w:highlight w:val="none"/>
        </w:rPr>
        <w:t>.1.1 特殊质量标准和要求：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另行约定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69A8FA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关于工程奖项的约定： 如果工程获得</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，给予承包人合同价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%的奖励。</w:t>
      </w:r>
    </w:p>
    <w:p w14:paraId="76D77CE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 xml:space="preserve"> 隐蔽工程检查</w:t>
      </w:r>
    </w:p>
    <w:p w14:paraId="212218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18BE5B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监理人不能按时进行检查时，应提前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小时提交书面延期要求。</w:t>
      </w:r>
    </w:p>
    <w:p w14:paraId="7AC2539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67F5C1C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77" w:name="_Toc351203638"/>
      <w:bookmarkStart w:id="378" w:name="_Toc373478366"/>
      <w:bookmarkStart w:id="379" w:name="_Toc373227719"/>
      <w:bookmarkStart w:id="380" w:name="_Toc9850549"/>
      <w:bookmarkStart w:id="381" w:name="_Toc389065285"/>
      <w:bookmarkStart w:id="382" w:name="_Toc407135221"/>
      <w:r>
        <w:rPr>
          <w:rFonts w:hint="eastAsia" w:ascii="宋体" w:hAnsi="宋体" w:eastAsia="宋体" w:cs="宋体"/>
          <w:color w:val="auto"/>
          <w:highlight w:val="none"/>
        </w:rPr>
        <w:t>6. 安全文明施工与环境保护</w:t>
      </w:r>
      <w:bookmarkEnd w:id="377"/>
      <w:bookmarkEnd w:id="378"/>
      <w:bookmarkEnd w:id="379"/>
      <w:bookmarkEnd w:id="380"/>
      <w:bookmarkEnd w:id="381"/>
      <w:bookmarkEnd w:id="382"/>
    </w:p>
    <w:p w14:paraId="4C9504B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83" w:name="_Toc407135222"/>
      <w:bookmarkStart w:id="384" w:name="_Toc389065286"/>
      <w:bookmarkStart w:id="385" w:name="_Toc373478367"/>
      <w:bookmarkStart w:id="386" w:name="_Toc373227720"/>
      <w:bookmarkStart w:id="387" w:name="_Toc9850550"/>
      <w:r>
        <w:rPr>
          <w:rFonts w:hint="eastAsia" w:ascii="宋体" w:hAnsi="宋体" w:eastAsia="宋体" w:cs="宋体"/>
          <w:color w:val="auto"/>
          <w:highlight w:val="none"/>
        </w:rPr>
        <w:t>6.1 安全文明施工</w:t>
      </w:r>
      <w:bookmarkEnd w:id="383"/>
      <w:bookmarkEnd w:id="384"/>
      <w:bookmarkEnd w:id="385"/>
      <w:bookmarkEnd w:id="386"/>
      <w:bookmarkEnd w:id="387"/>
    </w:p>
    <w:p w14:paraId="1176BB51">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bookmarkStart w:id="388" w:name="_Toc407135223"/>
      <w:bookmarkStart w:id="389" w:name="_Toc373227721"/>
      <w:bookmarkStart w:id="390" w:name="_Toc9850551"/>
      <w:bookmarkStart w:id="391" w:name="_Toc373478368"/>
      <w:bookmarkStart w:id="392" w:name="_Toc389065287"/>
      <w:r>
        <w:rPr>
          <w:rFonts w:hint="eastAsia" w:ascii="宋体" w:hAnsi="宋体" w:eastAsia="宋体" w:cs="宋体"/>
          <w:color w:val="auto"/>
          <w:sz w:val="21"/>
          <w:szCs w:val="21"/>
          <w:highlight w:val="none"/>
        </w:rPr>
        <w:t>6.1.1 项目安全生产的达标目标及相应事项的约定：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rPr>
        <w:t>。</w:t>
      </w:r>
    </w:p>
    <w:p w14:paraId="521772A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 xml:space="preserve"> 承包人应承担施工安全保卫工作及非夜间施工照明的责任，承包人应采取一切合理的预防措施，防止人员伤亡、财产损失事故，费用由承包人承担。承包人生活设施及施工场应自费配备消防设备，防止火灾发生 </w:t>
      </w:r>
      <w:r>
        <w:rPr>
          <w:rFonts w:hint="eastAsia" w:ascii="宋体" w:hAnsi="宋体" w:eastAsia="宋体" w:cs="宋体"/>
          <w:color w:val="auto"/>
          <w:sz w:val="21"/>
          <w:szCs w:val="21"/>
          <w:highlight w:val="none"/>
        </w:rPr>
        <w:t>。</w:t>
      </w:r>
    </w:p>
    <w:p w14:paraId="5411DBE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关于安全文明施工奖项的约定：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按通用条款及崇左市有关规定执行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4F523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 关于治安保卫的特别约定：</w:t>
      </w:r>
      <w:r>
        <w:rPr>
          <w:rFonts w:hint="eastAsia" w:ascii="宋体" w:hAnsi="宋体" w:eastAsia="宋体" w:cs="宋体"/>
          <w:color w:val="auto"/>
          <w:sz w:val="21"/>
          <w:szCs w:val="21"/>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32DE16B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关于编制施工场地治安管理计划的约定：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由承包人按照固定编制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ABB7DA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文明施工</w:t>
      </w:r>
    </w:p>
    <w:p w14:paraId="7D7D26C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合同当事人对文明施工的要求：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6B70A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kern w:val="0"/>
          <w:sz w:val="21"/>
          <w:szCs w:val="21"/>
          <w:highlight w:val="none"/>
        </w:rPr>
        <w:t>关于安全生产费总额、支付比例、支付期限、转入和结余收回的约定：</w:t>
      </w:r>
    </w:p>
    <w:p w14:paraId="72D1D74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（1）本合同价款已包含安全文明施工费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元。</w:t>
      </w:r>
    </w:p>
    <w:p w14:paraId="40D76E4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（2）使用要求：专款专用。具体按</w:t>
      </w:r>
      <w:r>
        <w:rPr>
          <w:rFonts w:hint="eastAsia" w:ascii="宋体" w:hAnsi="宋体" w:eastAsia="宋体" w:cs="宋体"/>
          <w:color w:val="auto"/>
          <w:kern w:val="0"/>
          <w:sz w:val="21"/>
          <w:szCs w:val="21"/>
          <w:highlight w:val="none"/>
          <w:u w:val="single"/>
        </w:rPr>
        <w:t>《广西壮族自治区建设工程安全文明施工费使用管理细则》（桂建质〔2015〕16号）</w:t>
      </w:r>
      <w:r>
        <w:rPr>
          <w:rFonts w:hint="eastAsia" w:ascii="宋体" w:hAnsi="宋体" w:eastAsia="宋体" w:cs="宋体"/>
          <w:color w:val="auto"/>
          <w:kern w:val="0"/>
          <w:sz w:val="21"/>
          <w:szCs w:val="21"/>
          <w:highlight w:val="none"/>
        </w:rPr>
        <w:t>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崇左</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市相关规定执行。</w:t>
      </w:r>
    </w:p>
    <w:p w14:paraId="264954C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（3）支付约定：在本合同签订后</w:t>
      </w:r>
      <w:r>
        <w:rPr>
          <w:rFonts w:hint="eastAsia" w:ascii="宋体" w:hAnsi="宋体" w:eastAsia="宋体" w:cs="宋体"/>
          <w:color w:val="auto"/>
          <w:kern w:val="0"/>
          <w:sz w:val="21"/>
          <w:szCs w:val="21"/>
          <w:highlight w:val="none"/>
          <w:lang w:val="en-US" w:eastAsia="zh-CN"/>
        </w:rPr>
        <w:t>10</w:t>
      </w:r>
      <w:r>
        <w:rPr>
          <w:rFonts w:hint="eastAsia" w:ascii="宋体" w:hAnsi="宋体" w:eastAsia="宋体" w:cs="宋体"/>
          <w:color w:val="auto"/>
          <w:kern w:val="0"/>
          <w:sz w:val="21"/>
          <w:szCs w:val="21"/>
          <w:highlight w:val="none"/>
        </w:rPr>
        <w:t>个工作日内，预付安全文明施工费总额的</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%，其余部分与进度款同期支付，安全文明施工费预付款在工程进度款累计金额超过合同价的</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%时开始起扣，每月从支付给承包商的工程款内按安全文明预付款占合同总价的同一百分比扣回。</w:t>
      </w:r>
      <w:r>
        <w:rPr>
          <w:rFonts w:hint="eastAsia" w:ascii="宋体" w:hAnsi="宋体" w:cs="宋体"/>
          <w:color w:val="auto"/>
          <w:kern w:val="0"/>
          <w:sz w:val="21"/>
          <w:szCs w:val="21"/>
          <w:highlight w:val="none"/>
          <w:lang w:val="en-US" w:eastAsia="zh-CN"/>
        </w:rPr>
        <w:t xml:space="preserve"> </w:t>
      </w:r>
    </w:p>
    <w:p w14:paraId="70CB9A3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（4）建设单位按规定将安全生产费用转入施工单位设立的安全生产费用专户。</w:t>
      </w:r>
    </w:p>
    <w:p w14:paraId="1940BA90">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（5）工程施工完成后安全生产费用尚有结余的，结余部分由建设单位收回。</w:t>
      </w:r>
    </w:p>
    <w:p w14:paraId="2A06BAC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（6）施工单位将安全生产费用使用情况定期报告建设单位和监理单位，并提供相应的材料接受建设行政主管部门对此事项监管。</w:t>
      </w:r>
    </w:p>
    <w:p w14:paraId="75AD2A33">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（7）安全生产费用专户：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账号：</w:t>
      </w:r>
      <w:r>
        <w:rPr>
          <w:rFonts w:hint="eastAsia" w:ascii="宋体" w:hAnsi="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lang w:val="en-US" w:eastAsia="zh-CN"/>
        </w:rPr>
        <w:t>；开户名：</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55AE999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环境保护</w:t>
      </w:r>
      <w:bookmarkEnd w:id="388"/>
      <w:bookmarkEnd w:id="389"/>
      <w:bookmarkEnd w:id="390"/>
      <w:bookmarkEnd w:id="391"/>
      <w:bookmarkEnd w:id="392"/>
    </w:p>
    <w:p w14:paraId="107F4DF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因施工需要，经发包人批准，由承包人办理有关施工场地交通、环卫和施工噪音管理等手续，费用由承包人负责。</w:t>
      </w:r>
    </w:p>
    <w:p w14:paraId="7CF9BA7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经过城市道路的施工车辆，必须按交警、城管、运输等部门相关规定执行。由于施工车辆造成的道路、环境等污染，其责任和费用均由承包人承担。</w:t>
      </w:r>
    </w:p>
    <w:bookmarkEnd w:id="370"/>
    <w:bookmarkEnd w:id="371"/>
    <w:bookmarkEnd w:id="372"/>
    <w:bookmarkEnd w:id="373"/>
    <w:bookmarkEnd w:id="374"/>
    <w:bookmarkEnd w:id="375"/>
    <w:bookmarkEnd w:id="376"/>
    <w:p w14:paraId="5A02688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3" w:name="_Toc407135224"/>
      <w:bookmarkStart w:id="394" w:name="_Toc389065288"/>
      <w:bookmarkStart w:id="395" w:name="_Toc373478369"/>
      <w:bookmarkStart w:id="396" w:name="_Toc373227722"/>
      <w:bookmarkStart w:id="397" w:name="_Toc351203639"/>
      <w:bookmarkStart w:id="398" w:name="_Toc9850552"/>
      <w:r>
        <w:rPr>
          <w:rFonts w:hint="eastAsia" w:ascii="宋体" w:hAnsi="宋体" w:eastAsia="宋体" w:cs="宋体"/>
          <w:color w:val="auto"/>
          <w:highlight w:val="none"/>
        </w:rPr>
        <w:t>7. 工期和进度</w:t>
      </w:r>
      <w:bookmarkEnd w:id="393"/>
      <w:bookmarkEnd w:id="394"/>
      <w:bookmarkEnd w:id="395"/>
      <w:bookmarkEnd w:id="396"/>
      <w:bookmarkEnd w:id="397"/>
      <w:bookmarkEnd w:id="398"/>
    </w:p>
    <w:p w14:paraId="03FB1D8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399" w:name="_Toc407135225"/>
      <w:bookmarkStart w:id="400" w:name="_Toc9850553"/>
      <w:bookmarkStart w:id="401" w:name="_Toc373227723"/>
      <w:bookmarkStart w:id="402" w:name="_Toc389065289"/>
      <w:bookmarkStart w:id="403" w:name="_Toc373478370"/>
      <w:r>
        <w:rPr>
          <w:rFonts w:hint="eastAsia" w:ascii="宋体" w:hAnsi="宋体" w:eastAsia="宋体" w:cs="宋体"/>
          <w:color w:val="auto"/>
          <w:highlight w:val="none"/>
        </w:rPr>
        <w:t>7.1 施工组织设计</w:t>
      </w:r>
      <w:bookmarkEnd w:id="399"/>
      <w:bookmarkEnd w:id="400"/>
      <w:bookmarkEnd w:id="401"/>
      <w:bookmarkEnd w:id="402"/>
      <w:bookmarkEnd w:id="403"/>
    </w:p>
    <w:p w14:paraId="641B9A7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outlineLvl w:val="9"/>
        <w:rPr>
          <w:rFonts w:hint="eastAsia" w:ascii="宋体" w:hAnsi="宋体" w:eastAsia="宋体" w:cs="宋体"/>
          <w:color w:val="auto"/>
          <w:kern w:val="0"/>
          <w:sz w:val="21"/>
          <w:szCs w:val="21"/>
          <w:highlight w:val="none"/>
          <w:lang w:eastAsia="zh-CN"/>
        </w:rPr>
      </w:pPr>
      <w:bookmarkStart w:id="404" w:name="_Toc373478371"/>
      <w:bookmarkStart w:id="405" w:name="_Toc9850554"/>
      <w:bookmarkStart w:id="406" w:name="_Toc389065290"/>
      <w:bookmarkStart w:id="407" w:name="_Toc407135226"/>
      <w:bookmarkStart w:id="408" w:name="_Toc373227724"/>
      <w:r>
        <w:rPr>
          <w:rFonts w:hint="eastAsia" w:ascii="宋体" w:hAnsi="宋体" w:eastAsia="宋体" w:cs="宋体"/>
          <w:color w:val="auto"/>
          <w:sz w:val="21"/>
          <w:szCs w:val="21"/>
          <w:highlight w:val="none"/>
        </w:rPr>
        <w:t>7.1.1 合</w:t>
      </w:r>
      <w:r>
        <w:rPr>
          <w:rFonts w:hint="eastAsia" w:ascii="宋体" w:hAnsi="宋体" w:eastAsia="宋体" w:cs="宋体"/>
          <w:color w:val="auto"/>
          <w:kern w:val="0"/>
          <w:sz w:val="21"/>
          <w:szCs w:val="21"/>
          <w:highlight w:val="none"/>
        </w:rPr>
        <w:t>同当事人约定的施工组织设计应包括的其他内容：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u w:val="single"/>
        </w:rPr>
        <w:t>施工组织设计</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工程进度计划</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3、管理人员名单、职称、职务、上岗证等</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4、安全文明施工措施</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质量保证体系</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专项施工方案及其它</w:t>
      </w:r>
      <w:r>
        <w:rPr>
          <w:rFonts w:hint="eastAsia" w:ascii="宋体" w:hAnsi="宋体" w:eastAsia="宋体" w:cs="宋体"/>
          <w:color w:val="auto"/>
          <w:sz w:val="21"/>
          <w:szCs w:val="21"/>
          <w:highlight w:val="none"/>
          <w:u w:val="single"/>
          <w:lang w:eastAsia="zh-CN"/>
        </w:rPr>
        <w:t>。</w:t>
      </w:r>
    </w:p>
    <w:p w14:paraId="0D7CA2F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7.1.2 </w:t>
      </w:r>
      <w:r>
        <w:rPr>
          <w:rFonts w:hint="eastAsia" w:ascii="宋体" w:hAnsi="宋体" w:eastAsia="宋体" w:cs="宋体"/>
          <w:color w:val="auto"/>
          <w:kern w:val="0"/>
          <w:sz w:val="21"/>
          <w:szCs w:val="21"/>
          <w:highlight w:val="none"/>
        </w:rPr>
        <w:t>施工组织设计的提交和修改</w:t>
      </w:r>
    </w:p>
    <w:p w14:paraId="1B9EF7F8">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kern w:val="0"/>
          <w:sz w:val="21"/>
          <w:szCs w:val="21"/>
          <w:highlight w:val="none"/>
        </w:rPr>
        <w:t>承包人提交详细施工组织设计的期限的约定：</w:t>
      </w:r>
      <w:r>
        <w:rPr>
          <w:rFonts w:hint="eastAsia" w:ascii="宋体" w:hAnsi="宋体" w:eastAsia="宋体" w:cs="宋体"/>
          <w:color w:val="auto"/>
          <w:sz w:val="21"/>
          <w:szCs w:val="21"/>
          <w:highlight w:val="none"/>
          <w:u w:val="single"/>
        </w:rPr>
        <w:t xml:space="preserve">  在图纸会审后7天内，提交详细的符合本合同工期及发包人要求的施工组织设计和进度计划等专项施工方案(工程招标时采用的施工组织设计不作为结算依据）</w:t>
      </w:r>
      <w:r>
        <w:rPr>
          <w:rFonts w:hint="eastAsia" w:ascii="宋体" w:hAnsi="宋体" w:eastAsia="宋体" w:cs="宋体"/>
          <w:color w:val="auto"/>
          <w:sz w:val="21"/>
          <w:szCs w:val="21"/>
          <w:highlight w:val="none"/>
          <w:u w:val="single"/>
          <w:lang w:eastAsia="zh-CN"/>
        </w:rPr>
        <w:t>。</w:t>
      </w:r>
    </w:p>
    <w:p w14:paraId="6A754BE4">
      <w:pPr>
        <w:pageBreakBefore w:val="0"/>
        <w:widowControl w:val="0"/>
        <w:kinsoku/>
        <w:wordWrap w:val="0"/>
        <w:overflowPunct/>
        <w:topLinePunct w:val="0"/>
        <w:bidi w:val="0"/>
        <w:snapToGrid/>
        <w:spacing w:line="48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发包人和监理人在收到详细的施工组织设计后确认或提出修改意见的期限：</w:t>
      </w:r>
      <w:r>
        <w:rPr>
          <w:rFonts w:hint="eastAsia" w:ascii="宋体" w:hAnsi="宋体" w:eastAsia="宋体" w:cs="宋体"/>
          <w:color w:val="auto"/>
          <w:sz w:val="21"/>
          <w:szCs w:val="21"/>
          <w:highlight w:val="none"/>
          <w:u w:val="single"/>
        </w:rPr>
        <w:t xml:space="preserve"> 收到上述文件后7天内，审查批准或提出修改意见，途期既不审批又不提出修改意见，则视为已同意该施工组织设计或进度计划</w:t>
      </w:r>
      <w:r>
        <w:rPr>
          <w:rFonts w:hint="eastAsia" w:ascii="宋体" w:hAnsi="宋体" w:eastAsia="宋体" w:cs="宋体"/>
          <w:color w:val="auto"/>
          <w:sz w:val="21"/>
          <w:szCs w:val="21"/>
          <w:highlight w:val="none"/>
          <w:u w:val="single"/>
          <w:lang w:eastAsia="zh-CN"/>
        </w:rPr>
        <w:t>。</w:t>
      </w:r>
    </w:p>
    <w:p w14:paraId="008617E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09" w:name="_Toc304295541"/>
      <w:bookmarkStart w:id="410" w:name="_Toc312678005"/>
      <w:bookmarkStart w:id="411" w:name="_Toc312677479"/>
      <w:bookmarkStart w:id="412" w:name="_Toc300934966"/>
      <w:bookmarkStart w:id="413" w:name="_Toc297123514"/>
      <w:bookmarkStart w:id="414" w:name="_Toc303539123"/>
      <w:bookmarkStart w:id="415" w:name="_Toc297216173"/>
      <w:r>
        <w:rPr>
          <w:rFonts w:hint="eastAsia" w:ascii="宋体" w:hAnsi="宋体" w:eastAsia="宋体" w:cs="宋体"/>
          <w:color w:val="auto"/>
          <w:highlight w:val="none"/>
        </w:rPr>
        <w:t>.2 施工进度计划</w:t>
      </w:r>
      <w:bookmarkEnd w:id="404"/>
      <w:bookmarkEnd w:id="405"/>
      <w:bookmarkEnd w:id="406"/>
      <w:bookmarkEnd w:id="407"/>
      <w:bookmarkEnd w:id="408"/>
    </w:p>
    <w:p w14:paraId="1C890F2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施工进度计划的修订</w:t>
      </w:r>
    </w:p>
    <w:p w14:paraId="4E510C0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发包人和监理人在收到修订的施工进度计划后确认或提出修改意见的期限：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收到承包人提交的施工进度计划后</w:t>
      </w:r>
      <w:r>
        <w:rPr>
          <w:rFonts w:hint="eastAsia" w:ascii="宋体" w:hAnsi="宋体" w:eastAsia="宋体" w:cs="宋体"/>
          <w:color w:val="auto"/>
          <w:sz w:val="21"/>
          <w:szCs w:val="21"/>
          <w:highlight w:val="none"/>
          <w:u w:val="single"/>
          <w:lang w:val="en-US" w:eastAsia="zh-CN"/>
        </w:rPr>
        <w:t>7天内审查批准或提出修改意见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245857E">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16" w:name="_Toc373227725"/>
      <w:bookmarkStart w:id="417" w:name="_Toc373478372"/>
      <w:bookmarkStart w:id="418" w:name="_Toc9850555"/>
      <w:bookmarkStart w:id="419" w:name="_Toc407135227"/>
      <w:bookmarkStart w:id="420" w:name="_Toc389065291"/>
      <w:r>
        <w:rPr>
          <w:rFonts w:hint="eastAsia" w:ascii="宋体" w:hAnsi="宋体" w:eastAsia="宋体" w:cs="宋体"/>
          <w:color w:val="auto"/>
          <w:highlight w:val="none"/>
        </w:rPr>
        <w:t>7.3 开工</w:t>
      </w:r>
      <w:bookmarkEnd w:id="416"/>
      <w:bookmarkEnd w:id="417"/>
      <w:bookmarkEnd w:id="418"/>
      <w:bookmarkEnd w:id="419"/>
      <w:bookmarkEnd w:id="420"/>
    </w:p>
    <w:p w14:paraId="1058B48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 开工准备</w:t>
      </w:r>
    </w:p>
    <w:p w14:paraId="4954C373">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关于承包人提交</w:t>
      </w:r>
      <w:r>
        <w:rPr>
          <w:rFonts w:hint="eastAsia" w:ascii="宋体" w:hAnsi="宋体" w:eastAsia="宋体" w:cs="宋体"/>
          <w:color w:val="auto"/>
          <w:kern w:val="0"/>
          <w:sz w:val="21"/>
          <w:szCs w:val="21"/>
          <w:highlight w:val="none"/>
        </w:rPr>
        <w:t>工程开工报审表的期限：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60A9EE0">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关于发包人应完成的其他开工准备工作及期限：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138DFB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关于承包人应完成的其他开工准备工作及期限：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0194DC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7.3.2 开工通知</w:t>
      </w:r>
    </w:p>
    <w:p w14:paraId="61B4912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因发包人原因造成监理人未能在计划开工日期之日起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天内发出开工通知的，承包人有权提出价格调整要求，或者解除合同。</w:t>
      </w:r>
    </w:p>
    <w:bookmarkEnd w:id="409"/>
    <w:bookmarkEnd w:id="410"/>
    <w:bookmarkEnd w:id="411"/>
    <w:bookmarkEnd w:id="412"/>
    <w:bookmarkEnd w:id="413"/>
    <w:bookmarkEnd w:id="414"/>
    <w:bookmarkEnd w:id="415"/>
    <w:p w14:paraId="43573E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1" w:name="_Toc389065292"/>
      <w:bookmarkStart w:id="422" w:name="_Toc407135228"/>
      <w:bookmarkStart w:id="423" w:name="_Toc9850556"/>
      <w:bookmarkStart w:id="424" w:name="_Toc373227726"/>
      <w:bookmarkStart w:id="425" w:name="_Toc373478373"/>
      <w:r>
        <w:rPr>
          <w:rFonts w:hint="eastAsia" w:ascii="宋体" w:hAnsi="宋体" w:eastAsia="宋体" w:cs="宋体"/>
          <w:color w:val="auto"/>
          <w:highlight w:val="none"/>
        </w:rPr>
        <w:t>7.4 测量放线</w:t>
      </w:r>
      <w:bookmarkEnd w:id="421"/>
      <w:bookmarkEnd w:id="422"/>
      <w:bookmarkEnd w:id="423"/>
      <w:bookmarkEnd w:id="424"/>
      <w:bookmarkEnd w:id="425"/>
    </w:p>
    <w:p w14:paraId="5AC403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7.4.1发包人通过监理人向承包人提供测量基准点、基准线和水准点及其书面资料的期限：</w:t>
      </w:r>
    </w:p>
    <w:p w14:paraId="6BC19F58">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自合同签订之日起</w:t>
      </w:r>
      <w:r>
        <w:rPr>
          <w:rFonts w:hint="eastAsia" w:ascii="宋体" w:hAnsi="宋体" w:eastAsia="宋体" w:cs="宋体"/>
          <w:color w:val="auto"/>
          <w:sz w:val="21"/>
          <w:szCs w:val="21"/>
          <w:highlight w:val="none"/>
          <w:u w:val="single"/>
          <w:lang w:val="en-US" w:eastAsia="zh-CN"/>
        </w:rPr>
        <w:t>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AFECA7B">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26" w:name="_Toc373227727"/>
      <w:bookmarkStart w:id="427" w:name="_Toc373478374"/>
      <w:bookmarkStart w:id="428" w:name="_Toc9850557"/>
      <w:bookmarkStart w:id="429" w:name="_Toc407135229"/>
      <w:bookmarkStart w:id="430" w:name="_Toc389065293"/>
      <w:r>
        <w:rPr>
          <w:rFonts w:hint="eastAsia" w:ascii="宋体" w:hAnsi="宋体" w:eastAsia="宋体" w:cs="宋体"/>
          <w:color w:val="auto"/>
          <w:highlight w:val="none"/>
        </w:rPr>
        <w:t>7</w:t>
      </w:r>
      <w:bookmarkStart w:id="431" w:name="_Toc297216175"/>
      <w:bookmarkStart w:id="432" w:name="_Toc297123516"/>
      <w:bookmarkStart w:id="433" w:name="_Toc312678010"/>
      <w:bookmarkStart w:id="434" w:name="_Toc303539125"/>
      <w:bookmarkStart w:id="435" w:name="_Toc312677484"/>
      <w:bookmarkStart w:id="436" w:name="_Toc304295546"/>
      <w:bookmarkStart w:id="437" w:name="_Toc300934968"/>
      <w:r>
        <w:rPr>
          <w:rFonts w:hint="eastAsia" w:ascii="宋体" w:hAnsi="宋体" w:eastAsia="宋体" w:cs="宋体"/>
          <w:color w:val="auto"/>
          <w:highlight w:val="none"/>
        </w:rPr>
        <w:t>.5 工期延误</w:t>
      </w:r>
      <w:bookmarkEnd w:id="426"/>
      <w:bookmarkEnd w:id="427"/>
      <w:bookmarkEnd w:id="428"/>
      <w:bookmarkEnd w:id="429"/>
      <w:bookmarkEnd w:id="430"/>
    </w:p>
    <w:bookmarkEnd w:id="431"/>
    <w:bookmarkEnd w:id="432"/>
    <w:bookmarkEnd w:id="433"/>
    <w:bookmarkEnd w:id="434"/>
    <w:bookmarkEnd w:id="435"/>
    <w:bookmarkEnd w:id="436"/>
    <w:bookmarkEnd w:id="437"/>
    <w:p w14:paraId="7BFF51E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38" w:name="_Toc373227728"/>
      <w:bookmarkStart w:id="439" w:name="_Toc373478375"/>
      <w:bookmarkStart w:id="440" w:name="_Toc389065294"/>
      <w:bookmarkStart w:id="441" w:name="_Toc407135230"/>
      <w:bookmarkStart w:id="442" w:name="_Toc9850558"/>
      <w:r>
        <w:rPr>
          <w:rFonts w:hint="eastAsia" w:ascii="宋体" w:hAnsi="宋体" w:eastAsia="宋体" w:cs="宋体"/>
          <w:color w:val="auto"/>
          <w:sz w:val="21"/>
          <w:szCs w:val="21"/>
          <w:highlight w:val="none"/>
        </w:rPr>
        <w:t>7.5.1 因发包人原因导致工期延误</w:t>
      </w:r>
    </w:p>
    <w:p w14:paraId="2801570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因发包人原因导致工期延误的其他情形：</w:t>
      </w:r>
      <w:r>
        <w:rPr>
          <w:rFonts w:hint="eastAsia" w:ascii="宋体" w:hAnsi="宋体" w:eastAsia="宋体" w:cs="宋体"/>
          <w:color w:val="auto"/>
          <w:sz w:val="21"/>
          <w:szCs w:val="21"/>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sz w:val="21"/>
          <w:szCs w:val="21"/>
          <w:highlight w:val="none"/>
        </w:rPr>
        <w:t xml:space="preserve"> 。</w:t>
      </w:r>
    </w:p>
    <w:p w14:paraId="5152935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bookmarkStart w:id="443" w:name="_Toc318581169"/>
      <w:bookmarkStart w:id="444" w:name="_Toc312677486"/>
      <w:bookmarkStart w:id="445" w:name="_Toc312678012"/>
      <w:bookmarkStart w:id="446" w:name="_Toc303539127"/>
      <w:bookmarkStart w:id="447" w:name="_Toc297216177"/>
      <w:bookmarkStart w:id="448" w:name="_Toc304295548"/>
      <w:bookmarkStart w:id="449" w:name="_Toc300934970"/>
      <w:bookmarkStart w:id="450" w:name="_Toc297123518"/>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因承包人原因导致工期延误</w:t>
      </w:r>
    </w:p>
    <w:bookmarkEnd w:id="443"/>
    <w:bookmarkEnd w:id="444"/>
    <w:bookmarkEnd w:id="445"/>
    <w:p w14:paraId="174E686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双方约定经监理工程师确认，工期相应顺延的情况：</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B1A3BB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因</w:t>
      </w:r>
      <w:bookmarkStart w:id="451" w:name="_Toc312678013"/>
      <w:bookmarkStart w:id="452" w:name="_Toc318581170"/>
      <w:bookmarkStart w:id="453" w:name="_Toc312677487"/>
      <w:r>
        <w:rPr>
          <w:rFonts w:hint="eastAsia" w:ascii="宋体" w:hAnsi="宋体" w:eastAsia="宋体" w:cs="宋体"/>
          <w:color w:val="auto"/>
          <w:sz w:val="21"/>
          <w:szCs w:val="21"/>
          <w:highlight w:val="none"/>
        </w:rPr>
        <w:t>承包人原因造成工期延误，逾期竣工违约金的计算方法为：</w:t>
      </w:r>
      <w:r>
        <w:rPr>
          <w:rFonts w:hint="eastAsia" w:ascii="宋体" w:hAnsi="宋体" w:eastAsia="宋体" w:cs="宋体"/>
          <w:color w:val="auto"/>
          <w:sz w:val="21"/>
          <w:szCs w:val="21"/>
          <w:highlight w:val="none"/>
          <w:u w:val="single"/>
        </w:rPr>
        <w:t xml:space="preserve">按逾期竣工的单项工程罚款，每延误一天,按单项工程应支付给承包人的结算造价的万分之 </w:t>
      </w:r>
      <w:r>
        <w:rPr>
          <w:rFonts w:hint="eastAsia" w:ascii="宋体" w:hAnsi="宋体" w:cs="宋体"/>
          <w:color w:val="auto"/>
          <w:sz w:val="21"/>
          <w:szCs w:val="21"/>
          <w:highlight w:val="none"/>
          <w:u w:val="single"/>
          <w:lang w:val="en-US" w:eastAsia="zh-CN"/>
        </w:rPr>
        <w:t>四</w:t>
      </w:r>
      <w:r>
        <w:rPr>
          <w:rFonts w:hint="eastAsia" w:ascii="宋体" w:hAnsi="宋体" w:eastAsia="宋体" w:cs="宋体"/>
          <w:color w:val="auto"/>
          <w:sz w:val="21"/>
          <w:szCs w:val="21"/>
          <w:highlight w:val="none"/>
          <w:u w:val="single"/>
        </w:rPr>
        <w:t xml:space="preserve">  处罚,罚款直接从结算款中扣除。误期时间从规定竣工日期起直到实际竣工日期的天数（扣除发包人批准顺延的工期）。</w:t>
      </w:r>
      <w:bookmarkEnd w:id="446"/>
      <w:bookmarkEnd w:id="447"/>
      <w:bookmarkEnd w:id="448"/>
      <w:bookmarkEnd w:id="449"/>
      <w:bookmarkEnd w:id="450"/>
      <w:bookmarkEnd w:id="451"/>
      <w:bookmarkEnd w:id="452"/>
      <w:bookmarkEnd w:id="453"/>
      <w:r>
        <w:rPr>
          <w:rFonts w:hint="eastAsia" w:ascii="宋体" w:hAnsi="宋体" w:eastAsia="宋体" w:cs="宋体"/>
          <w:color w:val="auto"/>
          <w:sz w:val="21"/>
          <w:szCs w:val="21"/>
          <w:highlight w:val="none"/>
          <w:u w:val="single"/>
        </w:rPr>
        <w:t>因承包人原因造成工期延误，逾</w:t>
      </w:r>
      <w:bookmarkStart w:id="454" w:name="_Toc318581171"/>
      <w:bookmarkStart w:id="455" w:name="_Toc312678014"/>
      <w:r>
        <w:rPr>
          <w:rFonts w:hint="eastAsia" w:ascii="宋体" w:hAnsi="宋体" w:eastAsia="宋体" w:cs="宋体"/>
          <w:color w:val="auto"/>
          <w:sz w:val="21"/>
          <w:szCs w:val="21"/>
          <w:highlight w:val="none"/>
          <w:u w:val="single"/>
        </w:rPr>
        <w:t xml:space="preserve">期竣工违约金的上限：逾期竣工的单项工程结算造价的 </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rPr>
        <w:t xml:space="preserve"> %。</w:t>
      </w:r>
    </w:p>
    <w:bookmarkEnd w:id="454"/>
    <w:bookmarkEnd w:id="455"/>
    <w:p w14:paraId="73AF920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7</w:t>
      </w:r>
      <w:bookmarkStart w:id="456" w:name="_Toc312678015"/>
      <w:bookmarkStart w:id="457" w:name="_Toc297216178"/>
      <w:bookmarkStart w:id="458" w:name="_Toc303539128"/>
      <w:bookmarkStart w:id="459" w:name="_Toc304295549"/>
      <w:bookmarkStart w:id="460" w:name="_Toc297123519"/>
      <w:bookmarkStart w:id="461" w:name="_Toc300934971"/>
      <w:r>
        <w:rPr>
          <w:rFonts w:hint="eastAsia" w:ascii="宋体" w:hAnsi="宋体" w:eastAsia="宋体" w:cs="宋体"/>
          <w:color w:val="auto"/>
          <w:highlight w:val="none"/>
        </w:rPr>
        <w:t>.6 不</w:t>
      </w:r>
      <w:bookmarkEnd w:id="456"/>
      <w:bookmarkEnd w:id="457"/>
      <w:bookmarkEnd w:id="458"/>
      <w:bookmarkEnd w:id="459"/>
      <w:bookmarkEnd w:id="460"/>
      <w:bookmarkEnd w:id="461"/>
      <w:r>
        <w:rPr>
          <w:rFonts w:hint="eastAsia" w:ascii="宋体" w:hAnsi="宋体" w:eastAsia="宋体" w:cs="宋体"/>
          <w:color w:val="auto"/>
          <w:highlight w:val="none"/>
        </w:rPr>
        <w:t>利物质条件</w:t>
      </w:r>
      <w:bookmarkEnd w:id="438"/>
      <w:bookmarkEnd w:id="439"/>
      <w:bookmarkEnd w:id="440"/>
      <w:bookmarkEnd w:id="441"/>
      <w:bookmarkEnd w:id="442"/>
    </w:p>
    <w:p w14:paraId="391827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bookmarkStart w:id="462" w:name="_Toc318581172"/>
      <w:bookmarkStart w:id="463" w:name="_Toc312678016"/>
      <w:bookmarkStart w:id="464" w:name="_Toc297123520"/>
      <w:bookmarkStart w:id="465" w:name="_Toc300934972"/>
      <w:bookmarkStart w:id="466" w:name="_Toc304295550"/>
      <w:bookmarkStart w:id="467" w:name="_Toc297216179"/>
      <w:bookmarkStart w:id="468" w:name="_Toc303539129"/>
      <w:r>
        <w:rPr>
          <w:rFonts w:hint="eastAsia" w:ascii="宋体" w:hAnsi="宋体" w:eastAsia="宋体" w:cs="宋体"/>
          <w:color w:val="auto"/>
          <w:sz w:val="21"/>
          <w:szCs w:val="21"/>
          <w:highlight w:val="none"/>
        </w:rPr>
        <w:t>不利物质条件的其他情形和有关约定：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462"/>
    <w:bookmarkEnd w:id="463"/>
    <w:bookmarkEnd w:id="464"/>
    <w:bookmarkEnd w:id="465"/>
    <w:bookmarkEnd w:id="466"/>
    <w:bookmarkEnd w:id="467"/>
    <w:bookmarkEnd w:id="468"/>
    <w:p w14:paraId="1494725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69" w:name="_Toc9850559"/>
      <w:bookmarkStart w:id="470" w:name="_Toc373478376"/>
      <w:bookmarkStart w:id="471" w:name="_Toc407135231"/>
      <w:bookmarkStart w:id="472" w:name="_Toc373227729"/>
      <w:bookmarkStart w:id="473" w:name="_Toc389065295"/>
      <w:r>
        <w:rPr>
          <w:rFonts w:hint="eastAsia" w:ascii="宋体" w:hAnsi="宋体" w:eastAsia="宋体" w:cs="宋体"/>
          <w:color w:val="auto"/>
          <w:highlight w:val="none"/>
        </w:rPr>
        <w:t>7</w:t>
      </w:r>
      <w:bookmarkStart w:id="474" w:name="_Toc303539130"/>
      <w:bookmarkStart w:id="475" w:name="_Toc297123521"/>
      <w:bookmarkStart w:id="476" w:name="_Toc312678017"/>
      <w:bookmarkStart w:id="477" w:name="_Toc297216180"/>
      <w:bookmarkStart w:id="478" w:name="_Toc300934973"/>
      <w:bookmarkStart w:id="479" w:name="_Toc304295551"/>
      <w:r>
        <w:rPr>
          <w:rFonts w:hint="eastAsia" w:ascii="宋体" w:hAnsi="宋体" w:eastAsia="宋体" w:cs="宋体"/>
          <w:color w:val="auto"/>
          <w:highlight w:val="none"/>
        </w:rPr>
        <w:t>.7 异常恶劣的气候条件</w:t>
      </w:r>
      <w:bookmarkEnd w:id="469"/>
      <w:bookmarkEnd w:id="470"/>
      <w:bookmarkEnd w:id="471"/>
      <w:bookmarkEnd w:id="472"/>
      <w:bookmarkEnd w:id="473"/>
    </w:p>
    <w:bookmarkEnd w:id="474"/>
    <w:bookmarkEnd w:id="475"/>
    <w:bookmarkEnd w:id="476"/>
    <w:bookmarkEnd w:id="477"/>
    <w:bookmarkEnd w:id="478"/>
    <w:bookmarkEnd w:id="479"/>
    <w:p w14:paraId="170152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80" w:name="_Toc389065296"/>
      <w:bookmarkStart w:id="481" w:name="_Toc373478377"/>
      <w:bookmarkStart w:id="482" w:name="_Toc9850560"/>
      <w:bookmarkStart w:id="483" w:name="_Toc407135232"/>
      <w:bookmarkStart w:id="484" w:name="_Toc373227730"/>
      <w:r>
        <w:rPr>
          <w:rFonts w:hint="eastAsia" w:ascii="宋体" w:hAnsi="宋体" w:eastAsia="宋体" w:cs="宋体"/>
          <w:color w:val="auto"/>
          <w:sz w:val="21"/>
          <w:szCs w:val="21"/>
          <w:highlight w:val="none"/>
          <w:lang w:val="en-US" w:eastAsia="zh-CN"/>
        </w:rPr>
        <w:t>7.7.1</w:t>
      </w:r>
      <w:r>
        <w:rPr>
          <w:rFonts w:hint="eastAsia" w:ascii="宋体" w:hAnsi="宋体" w:eastAsia="宋体" w:cs="宋体"/>
          <w:color w:val="auto"/>
          <w:sz w:val="21"/>
          <w:szCs w:val="21"/>
          <w:highlight w:val="none"/>
        </w:rPr>
        <w:t>发包人和承包人同意以下情形视为异常恶劣的气候条件：</w:t>
      </w:r>
    </w:p>
    <w:p w14:paraId="434CAB7A">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连续2天日气温超过38°C或低于O°C</w:t>
      </w:r>
      <w:r>
        <w:rPr>
          <w:rFonts w:hint="eastAsia" w:ascii="宋体" w:hAnsi="宋体" w:eastAsia="宋体" w:cs="宋体"/>
          <w:color w:val="auto"/>
          <w:sz w:val="21"/>
          <w:szCs w:val="21"/>
          <w:highlight w:val="none"/>
        </w:rPr>
        <w:t>；</w:t>
      </w:r>
    </w:p>
    <w:p w14:paraId="27F0E433">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8级以上持续24小时的大风</w:t>
      </w:r>
      <w:r>
        <w:rPr>
          <w:rFonts w:hint="eastAsia" w:ascii="宋体" w:hAnsi="宋体" w:eastAsia="宋体" w:cs="宋体"/>
          <w:color w:val="auto"/>
          <w:sz w:val="21"/>
          <w:szCs w:val="21"/>
          <w:highlight w:val="none"/>
        </w:rPr>
        <w:t>；</w:t>
      </w:r>
    </w:p>
    <w:p w14:paraId="2BB234A6">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持续降雨 24小时且降兩量为200mm 以上</w:t>
      </w:r>
      <w:r>
        <w:rPr>
          <w:rFonts w:hint="eastAsia" w:ascii="宋体" w:hAnsi="宋体" w:eastAsia="宋体" w:cs="宋体"/>
          <w:color w:val="auto"/>
          <w:sz w:val="21"/>
          <w:szCs w:val="21"/>
          <w:highlight w:val="none"/>
          <w:u w:val="single"/>
          <w:lang w:eastAsia="zh-CN"/>
        </w:rPr>
        <w:t>或洪水紧急预报通知</w:t>
      </w:r>
      <w:r>
        <w:rPr>
          <w:rFonts w:hint="eastAsia" w:ascii="宋体" w:hAnsi="宋体" w:eastAsia="宋体" w:cs="宋体"/>
          <w:color w:val="auto"/>
          <w:sz w:val="21"/>
          <w:szCs w:val="21"/>
          <w:highlight w:val="none"/>
        </w:rPr>
        <w:t>。</w:t>
      </w:r>
    </w:p>
    <w:p w14:paraId="2A688527">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42摄氏度及以上持续24小时的高温：</w:t>
      </w:r>
    </w:p>
    <w:p w14:paraId="1E413920">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5摄氏度及以下持续24小时的低温。</w:t>
      </w:r>
    </w:p>
    <w:p w14:paraId="12E1425B">
      <w:pPr>
        <w:pageBreakBefore w:val="0"/>
        <w:widowControl w:val="0"/>
        <w:numPr>
          <w:ilvl w:val="0"/>
          <w:numId w:val="9"/>
        </w:numPr>
        <w:kinsoku/>
        <w:wordWrap w:val="0"/>
        <w:overflowPunct/>
        <w:topLinePunct w:val="0"/>
        <w:bidi w:val="0"/>
        <w:snapToGrid/>
        <w:spacing w:line="480" w:lineRule="exact"/>
        <w:ind w:left="425" w:leftChars="0" w:hanging="425" w:firstLineChars="0"/>
        <w:jc w:val="left"/>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龙卷风、施工场地受淹超过发包人提供设计图纸指明的设计洪水位以及因天气原因无法施工并经监理确认引起延误的情况</w:t>
      </w:r>
    </w:p>
    <w:p w14:paraId="1B8C2FC6">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t>7.</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lang w:val="en-US"/>
        </w:rPr>
        <w:t xml:space="preserve"> </w:t>
      </w:r>
      <w:r>
        <w:rPr>
          <w:rFonts w:hint="eastAsia" w:ascii="宋体" w:hAnsi="宋体" w:eastAsia="宋体" w:cs="宋体"/>
          <w:color w:val="auto"/>
          <w:highlight w:val="none"/>
        </w:rPr>
        <w:t>提前竣工</w:t>
      </w:r>
      <w:bookmarkEnd w:id="480"/>
      <w:bookmarkEnd w:id="481"/>
      <w:bookmarkEnd w:id="482"/>
      <w:bookmarkEnd w:id="483"/>
      <w:bookmarkEnd w:id="484"/>
    </w:p>
    <w:p w14:paraId="30E310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提前竣工（赶工）增加费的计算方法：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0090895">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85" w:name="_Toc373227731"/>
      <w:bookmarkStart w:id="486" w:name="_Toc389065297"/>
      <w:bookmarkStart w:id="487" w:name="_Toc9850561"/>
      <w:bookmarkStart w:id="488" w:name="_Toc373478378"/>
      <w:bookmarkStart w:id="489" w:name="_Toc351203640"/>
      <w:bookmarkStart w:id="490" w:name="_Toc407135233"/>
      <w:r>
        <w:rPr>
          <w:rFonts w:hint="eastAsia" w:ascii="宋体" w:hAnsi="宋体" w:eastAsia="宋体" w:cs="宋体"/>
          <w:color w:val="auto"/>
          <w:highlight w:val="none"/>
        </w:rPr>
        <w:t>8. 材料与设备</w:t>
      </w:r>
      <w:bookmarkEnd w:id="485"/>
      <w:bookmarkEnd w:id="486"/>
      <w:bookmarkEnd w:id="487"/>
      <w:bookmarkEnd w:id="488"/>
      <w:bookmarkEnd w:id="489"/>
      <w:bookmarkEnd w:id="490"/>
    </w:p>
    <w:bookmarkEnd w:id="355"/>
    <w:bookmarkEnd w:id="356"/>
    <w:bookmarkEnd w:id="357"/>
    <w:bookmarkEnd w:id="358"/>
    <w:bookmarkEnd w:id="359"/>
    <w:bookmarkEnd w:id="360"/>
    <w:bookmarkEnd w:id="361"/>
    <w:bookmarkEnd w:id="362"/>
    <w:bookmarkEnd w:id="363"/>
    <w:bookmarkEnd w:id="364"/>
    <w:p w14:paraId="30B9F0E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1" w:name="_Toc373478379"/>
      <w:bookmarkStart w:id="492" w:name="_Toc9850562"/>
      <w:bookmarkStart w:id="493" w:name="_Toc373227732"/>
      <w:bookmarkStart w:id="494" w:name="_Toc407135234"/>
      <w:bookmarkStart w:id="495" w:name="_Toc389065298"/>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承包人采购材料与工程设备</w:t>
      </w:r>
      <w:bookmarkEnd w:id="491"/>
      <w:bookmarkEnd w:id="492"/>
      <w:bookmarkEnd w:id="493"/>
      <w:bookmarkEnd w:id="494"/>
      <w:bookmarkEnd w:id="495"/>
    </w:p>
    <w:p w14:paraId="5AD0AE2A">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496" w:name="_Toc373478380"/>
      <w:bookmarkStart w:id="497" w:name="_Toc373227733"/>
      <w:bookmarkStart w:id="498" w:name="_Toc389065299"/>
      <w:r>
        <w:rPr>
          <w:rFonts w:hint="eastAsia" w:ascii="宋体" w:hAnsi="宋体" w:eastAsia="宋体" w:cs="宋体"/>
          <w:color w:val="auto"/>
          <w:sz w:val="21"/>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04C4C44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499" w:name="_Toc407135235"/>
      <w:bookmarkStart w:id="500" w:name="_Toc9850563"/>
      <w:r>
        <w:rPr>
          <w:rFonts w:hint="eastAsia" w:ascii="宋体" w:hAnsi="宋体" w:eastAsia="宋体" w:cs="宋体"/>
          <w:color w:val="auto"/>
          <w:highlight w:val="none"/>
        </w:rPr>
        <w:t>8</w:t>
      </w:r>
      <w:bookmarkStart w:id="501" w:name="_Toc312678019"/>
      <w:bookmarkStart w:id="502" w:name="_Toc297216186"/>
      <w:bookmarkStart w:id="503" w:name="_Toc296346668"/>
      <w:bookmarkStart w:id="504" w:name="_Toc312677493"/>
      <w:bookmarkStart w:id="505" w:name="_Toc297120467"/>
      <w:bookmarkStart w:id="506" w:name="_Toc296347166"/>
      <w:bookmarkStart w:id="507" w:name="_Toc303539136"/>
      <w:bookmarkStart w:id="508" w:name="_Toc280868654"/>
      <w:bookmarkStart w:id="509" w:name="_Toc304295556"/>
      <w:bookmarkStart w:id="510" w:name="_Toc296890995"/>
      <w:bookmarkStart w:id="511" w:name="_Toc292559877"/>
      <w:bookmarkStart w:id="512" w:name="_Toc296944506"/>
      <w:bookmarkStart w:id="513" w:name="_Toc300934979"/>
      <w:bookmarkStart w:id="514" w:name="_Toc297048353"/>
      <w:bookmarkStart w:id="515" w:name="_Toc296503167"/>
      <w:bookmarkStart w:id="516" w:name="_Toc297123527"/>
      <w:bookmarkStart w:id="517" w:name="_Toc296891207"/>
      <w:bookmarkStart w:id="518" w:name="_Toc292559372"/>
      <w:bookmarkStart w:id="519" w:name="_Toc280868656"/>
      <w:bookmarkStart w:id="520" w:name="_Toc267251424"/>
      <w:bookmarkStart w:id="521" w:name="_Toc280868655"/>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材料与工程设备的保管与使用</w:t>
      </w:r>
      <w:bookmarkEnd w:id="496"/>
      <w:bookmarkEnd w:id="497"/>
      <w:bookmarkEnd w:id="498"/>
      <w:bookmarkEnd w:id="499"/>
      <w:bookmarkEnd w:id="500"/>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14:paraId="1E1228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8</w:t>
      </w:r>
      <w:bookmarkStart w:id="522" w:name="_Toc292559373"/>
      <w:bookmarkStart w:id="523" w:name="_Toc292559878"/>
      <w:bookmarkStart w:id="524" w:name="_Toc304295557"/>
      <w:bookmarkStart w:id="525" w:name="_Toc296944507"/>
      <w:bookmarkStart w:id="526" w:name="_Toc297048354"/>
      <w:bookmarkStart w:id="527" w:name="_Toc296347167"/>
      <w:bookmarkStart w:id="528" w:name="_Toc300934980"/>
      <w:bookmarkStart w:id="529" w:name="_Toc297120468"/>
      <w:bookmarkStart w:id="530" w:name="_Toc303539137"/>
      <w:bookmarkStart w:id="531" w:name="_Toc296891208"/>
      <w:bookmarkStart w:id="532" w:name="_Toc297123528"/>
      <w:bookmarkStart w:id="533" w:name="_Toc318581173"/>
      <w:bookmarkStart w:id="534" w:name="_Toc296503168"/>
      <w:bookmarkStart w:id="535" w:name="_Toc297216187"/>
      <w:bookmarkStart w:id="536" w:name="_Toc312677494"/>
      <w:bookmarkStart w:id="537" w:name="_Toc296890996"/>
      <w:bookmarkStart w:id="538" w:name="_Toc296346669"/>
      <w:bookmarkStart w:id="539" w:name="_Toc312678020"/>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.1发包人供应的材料设备的保管费用的承担：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2"/>
    <w:bookmarkEnd w:id="523"/>
    <w:p w14:paraId="77B7A3D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0" w:name="_Toc407135236"/>
      <w:bookmarkStart w:id="541" w:name="_Toc389065300"/>
      <w:bookmarkStart w:id="542" w:name="_Toc373478381"/>
      <w:bookmarkStart w:id="543" w:name="_Toc373227734"/>
      <w:bookmarkStart w:id="544" w:name="_Toc9850564"/>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样品</w:t>
      </w:r>
      <w:bookmarkEnd w:id="540"/>
      <w:bookmarkEnd w:id="541"/>
      <w:bookmarkEnd w:id="542"/>
      <w:bookmarkEnd w:id="543"/>
      <w:bookmarkEnd w:id="544"/>
    </w:p>
    <w:p w14:paraId="49DCE01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样品的报送与封存</w:t>
      </w:r>
    </w:p>
    <w:p w14:paraId="48E322E7">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需要承包人报送样品的材料或工程设备，样品的种类、名称、规格、数量要求：</w:t>
      </w:r>
      <w:r>
        <w:rPr>
          <w:rFonts w:hint="eastAsia" w:ascii="宋体" w:hAnsi="宋体" w:eastAsia="宋体" w:cs="宋体"/>
          <w:color w:val="auto"/>
          <w:sz w:val="21"/>
          <w:szCs w:val="21"/>
          <w:highlight w:val="none"/>
          <w:u w:val="single"/>
        </w:rPr>
        <w:t>主要材料涉及品种、款式、颜色等方面内容的，承包人应提交准备合格的材料样品送发包人选定。</w:t>
      </w:r>
    </w:p>
    <w:p w14:paraId="73D6BD6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45" w:name="_Toc407135237"/>
      <w:bookmarkStart w:id="546" w:name="_Toc9850565"/>
      <w:bookmarkStart w:id="547" w:name="_Toc373227735"/>
      <w:bookmarkStart w:id="548" w:name="_Toc373478382"/>
      <w:bookmarkStart w:id="549" w:name="_Toc389065301"/>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施工设备和临时设施</w:t>
      </w:r>
      <w:bookmarkEnd w:id="545"/>
      <w:bookmarkEnd w:id="546"/>
      <w:bookmarkEnd w:id="547"/>
      <w:bookmarkEnd w:id="548"/>
      <w:bookmarkEnd w:id="549"/>
    </w:p>
    <w:p w14:paraId="0C09850D">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.1 承包人提供的施工设备和临时设施</w:t>
      </w:r>
    </w:p>
    <w:p w14:paraId="5EF2896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除专用合同条款另有约定的其他独立承包人和监理人指示的他人提供条件外，承包人运入施工场地的所有施工设备以及在施工场地建设的临时设施仅限于用于合同工程。关于修建临时设施费用承担的约定：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p>
    <w:p w14:paraId="4EBEC55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.2 发包人提供的施工设备和临时设施</w:t>
      </w:r>
    </w:p>
    <w:p w14:paraId="29FD6FE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发包人提供的施工设备和临时设施：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1780C8C">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rPr>
        <w:t>发包人提供的施工设备和临时设施的运行、维护、拆除、清运费用的承担人：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由承包人自行承担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3599E38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50" w:name="_Toc389065302"/>
      <w:bookmarkStart w:id="551" w:name="_Toc407135238"/>
      <w:bookmarkStart w:id="552" w:name="_Toc373227736"/>
      <w:bookmarkStart w:id="553" w:name="_Toc351203641"/>
      <w:bookmarkStart w:id="554" w:name="_Toc373478383"/>
      <w:bookmarkStart w:id="555" w:name="_Toc9850566"/>
      <w:r>
        <w:rPr>
          <w:rFonts w:hint="eastAsia" w:ascii="宋体" w:hAnsi="宋体" w:eastAsia="宋体" w:cs="宋体"/>
          <w:color w:val="auto"/>
          <w:highlight w:val="none"/>
        </w:rPr>
        <w:t>9</w:t>
      </w:r>
      <w:bookmarkEnd w:id="519"/>
      <w:bookmarkEnd w:id="520"/>
      <w:bookmarkEnd w:id="521"/>
      <w:bookmarkStart w:id="556" w:name="_Toc312678021"/>
      <w:bookmarkStart w:id="557" w:name="_Toc312677495"/>
      <w:bookmarkStart w:id="558" w:name="_Toc297123533"/>
      <w:bookmarkStart w:id="559" w:name="_Toc303539139"/>
      <w:bookmarkStart w:id="560" w:name="_Toc297216192"/>
      <w:bookmarkStart w:id="561" w:name="_Toc300934982"/>
      <w:bookmarkStart w:id="562" w:name="_Toc304295559"/>
      <w:bookmarkStart w:id="563" w:name="_Toc297048359"/>
      <w:bookmarkStart w:id="564" w:name="_Toc296944512"/>
      <w:bookmarkStart w:id="565" w:name="_Toc296891001"/>
      <w:bookmarkStart w:id="566" w:name="_Toc296503173"/>
      <w:bookmarkStart w:id="567" w:name="_Toc292559378"/>
      <w:bookmarkStart w:id="568" w:name="_Toc267251427"/>
      <w:bookmarkStart w:id="569" w:name="_Toc292559883"/>
      <w:bookmarkStart w:id="570" w:name="_Toc296891213"/>
      <w:bookmarkStart w:id="571" w:name="_Toc296346674"/>
      <w:bookmarkStart w:id="572" w:name="_Toc296347172"/>
      <w:bookmarkStart w:id="573" w:name="_Toc297120473"/>
      <w:bookmarkStart w:id="574" w:name="_Toc267251428"/>
      <w:r>
        <w:rPr>
          <w:rFonts w:hint="eastAsia" w:ascii="宋体" w:hAnsi="宋体" w:eastAsia="宋体" w:cs="宋体"/>
          <w:color w:val="auto"/>
          <w:highlight w:val="none"/>
        </w:rPr>
        <w:t>. 试验与检验</w:t>
      </w:r>
      <w:bookmarkEnd w:id="550"/>
      <w:bookmarkEnd w:id="551"/>
      <w:bookmarkEnd w:id="552"/>
      <w:bookmarkEnd w:id="553"/>
      <w:bookmarkEnd w:id="554"/>
      <w:bookmarkEnd w:id="555"/>
    </w:p>
    <w:bookmarkEnd w:id="556"/>
    <w:bookmarkEnd w:id="557"/>
    <w:bookmarkEnd w:id="558"/>
    <w:bookmarkEnd w:id="559"/>
    <w:bookmarkEnd w:id="560"/>
    <w:bookmarkEnd w:id="561"/>
    <w:bookmarkEnd w:id="562"/>
    <w:p w14:paraId="6B23366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575" w:name="_Toc407135239"/>
      <w:bookmarkStart w:id="576" w:name="_Toc373478384"/>
      <w:bookmarkStart w:id="577" w:name="_Toc9850567"/>
      <w:bookmarkStart w:id="578" w:name="_Toc389065303"/>
      <w:bookmarkStart w:id="579" w:name="_Toc373227737"/>
      <w:r>
        <w:rPr>
          <w:rFonts w:hint="eastAsia" w:ascii="宋体" w:hAnsi="宋体" w:eastAsia="宋体" w:cs="宋体"/>
          <w:color w:val="auto"/>
          <w:highlight w:val="none"/>
        </w:rPr>
        <w:t>9</w:t>
      </w:r>
      <w:bookmarkStart w:id="580" w:name="_Toc304295560"/>
      <w:bookmarkStart w:id="581" w:name="_Toc312677496"/>
      <w:bookmarkStart w:id="582" w:name="_Toc297216193"/>
      <w:bookmarkStart w:id="583" w:name="_Toc297123534"/>
      <w:bookmarkStart w:id="584" w:name="_Toc303539140"/>
      <w:bookmarkStart w:id="585" w:name="_Toc300934983"/>
      <w:bookmarkStart w:id="586" w:name="_Toc312678022"/>
      <w:r>
        <w:rPr>
          <w:rFonts w:hint="eastAsia" w:ascii="宋体" w:hAnsi="宋体" w:eastAsia="宋体" w:cs="宋体"/>
          <w:color w:val="auto"/>
          <w:highlight w:val="none"/>
        </w:rPr>
        <w:t>.1 试验设备与试验人员</w:t>
      </w:r>
      <w:bookmarkEnd w:id="575"/>
      <w:bookmarkEnd w:id="576"/>
      <w:bookmarkEnd w:id="577"/>
      <w:bookmarkEnd w:id="578"/>
      <w:bookmarkEnd w:id="579"/>
    </w:p>
    <w:bookmarkEnd w:id="580"/>
    <w:bookmarkEnd w:id="581"/>
    <w:bookmarkEnd w:id="582"/>
    <w:bookmarkEnd w:id="583"/>
    <w:bookmarkEnd w:id="584"/>
    <w:bookmarkEnd w:id="585"/>
    <w:bookmarkEnd w:id="586"/>
    <w:p w14:paraId="09BE562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bookmarkStart w:id="587" w:name="_Toc312677497"/>
      <w:bookmarkStart w:id="588" w:name="_Toc297123535"/>
      <w:bookmarkStart w:id="589" w:name="_Toc304295561"/>
      <w:bookmarkStart w:id="590" w:name="_Toc300934984"/>
      <w:bookmarkStart w:id="591" w:name="_Toc297216194"/>
      <w:bookmarkStart w:id="592" w:name="_Toc312678023"/>
      <w:bookmarkStart w:id="593" w:name="_Toc303539141"/>
      <w:bookmarkStart w:id="594" w:name="_Toc318581174"/>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 xml:space="preserve"> 试验设备</w:t>
      </w:r>
    </w:p>
    <w:p w14:paraId="03D134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施工现场需要配置的试验场所：</w:t>
      </w:r>
      <w:bookmarkEnd w:id="587"/>
      <w:bookmarkEnd w:id="588"/>
      <w:bookmarkEnd w:id="589"/>
      <w:bookmarkEnd w:id="590"/>
      <w:bookmarkEnd w:id="591"/>
      <w:bookmarkEnd w:id="592"/>
      <w:bookmarkEnd w:id="593"/>
      <w:bookmarkStart w:id="595" w:name="_Toc297216195"/>
      <w:bookmarkStart w:id="596" w:name="_Toc300934985"/>
      <w:bookmarkStart w:id="597" w:name="_Toc297123536"/>
      <w:bookmarkStart w:id="598" w:name="_Toc304295562"/>
      <w:bookmarkStart w:id="599" w:name="_Toc312678024"/>
      <w:bookmarkStart w:id="600" w:name="_Toc303539142"/>
      <w:bookmarkStart w:id="601" w:name="_Toc312677498"/>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3AFD51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施工现场需要配备的试验设备：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EDA852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2" w:name="_Toc389065304"/>
      <w:bookmarkStart w:id="603" w:name="_Toc9850568"/>
      <w:bookmarkStart w:id="604" w:name="_Toc373478385"/>
      <w:bookmarkStart w:id="605" w:name="_Toc407135240"/>
      <w:bookmarkStart w:id="606" w:name="_Toc373227738"/>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现场工艺试验</w:t>
      </w:r>
      <w:bookmarkEnd w:id="602"/>
      <w:bookmarkEnd w:id="603"/>
      <w:bookmarkEnd w:id="604"/>
      <w:bookmarkEnd w:id="605"/>
      <w:bookmarkEnd w:id="606"/>
      <w:r>
        <w:rPr>
          <w:rFonts w:hint="eastAsia" w:ascii="宋体" w:hAnsi="宋体" w:eastAsia="宋体" w:cs="宋体"/>
          <w:color w:val="auto"/>
          <w:highlight w:val="none"/>
        </w:rPr>
        <w:t xml:space="preserve"> </w:t>
      </w:r>
    </w:p>
    <w:p w14:paraId="1B510E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现场工艺试验的有关约定：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AE600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07" w:name="_Toc9850569"/>
      <w:bookmarkStart w:id="608" w:name="_Toc407135241"/>
      <w:bookmarkStart w:id="609" w:name="OLE_LINK1"/>
      <w:r>
        <w:rPr>
          <w:rFonts w:hint="eastAsia" w:ascii="宋体" w:hAnsi="宋体" w:eastAsia="宋体" w:cs="宋体"/>
          <w:color w:val="auto"/>
          <w:highlight w:val="none"/>
        </w:rPr>
        <w:t>9.</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检验费用</w:t>
      </w:r>
      <w:bookmarkEnd w:id="607"/>
      <w:bookmarkEnd w:id="608"/>
    </w:p>
    <w:p w14:paraId="4C823E2D">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建设工程质量检测管理办法》（建设部令第141号）以及《广西壮族自治区建设工程质量检测管理规定》（桂建管〔2013〕11号）规定，工程质量检测业务由发包人委托有相应资质的检测机构检测。费用从发包人的项目建设经费中支出并直接支付给检测机构，不计入合同价款内。</w:t>
      </w:r>
    </w:p>
    <w:bookmarkEnd w:id="594"/>
    <w:bookmarkEnd w:id="595"/>
    <w:bookmarkEnd w:id="596"/>
    <w:bookmarkEnd w:id="597"/>
    <w:bookmarkEnd w:id="598"/>
    <w:bookmarkEnd w:id="599"/>
    <w:bookmarkEnd w:id="600"/>
    <w:bookmarkEnd w:id="601"/>
    <w:bookmarkEnd w:id="609"/>
    <w:p w14:paraId="17F7624B">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10" w:name="_Toc373227739"/>
      <w:bookmarkStart w:id="611" w:name="_Toc9850570"/>
      <w:bookmarkStart w:id="612" w:name="_Toc373478386"/>
      <w:bookmarkStart w:id="613" w:name="_Toc389065305"/>
      <w:bookmarkStart w:id="614" w:name="_Toc351203642"/>
      <w:bookmarkStart w:id="615" w:name="_Toc407135242"/>
      <w:r>
        <w:rPr>
          <w:rFonts w:hint="eastAsia" w:ascii="宋体" w:hAnsi="宋体" w:eastAsia="宋体" w:cs="宋体"/>
          <w:color w:val="auto"/>
          <w:highlight w:val="none"/>
        </w:rPr>
        <w:t>1</w:t>
      </w:r>
      <w:bookmarkEnd w:id="563"/>
      <w:bookmarkEnd w:id="564"/>
      <w:bookmarkEnd w:id="565"/>
      <w:bookmarkEnd w:id="566"/>
      <w:bookmarkEnd w:id="567"/>
      <w:bookmarkEnd w:id="568"/>
      <w:bookmarkEnd w:id="569"/>
      <w:bookmarkEnd w:id="570"/>
      <w:bookmarkEnd w:id="571"/>
      <w:bookmarkEnd w:id="572"/>
      <w:bookmarkEnd w:id="573"/>
      <w:bookmarkEnd w:id="574"/>
      <w:bookmarkStart w:id="616" w:name="_Toc296944532"/>
      <w:bookmarkStart w:id="617" w:name="_Toc296503193"/>
      <w:bookmarkStart w:id="618" w:name="_Toc297123540"/>
      <w:bookmarkStart w:id="619" w:name="_Toc303539146"/>
      <w:bookmarkStart w:id="620" w:name="_Toc297216199"/>
      <w:bookmarkStart w:id="621" w:name="_Toc304295566"/>
      <w:bookmarkStart w:id="622" w:name="_Toc296891233"/>
      <w:bookmarkStart w:id="623" w:name="_Toc292559903"/>
      <w:bookmarkStart w:id="624" w:name="_Toc300934989"/>
      <w:bookmarkStart w:id="625" w:name="_Toc296346694"/>
      <w:bookmarkStart w:id="626" w:name="_Toc296347192"/>
      <w:bookmarkStart w:id="627" w:name="_Toc297120493"/>
      <w:bookmarkStart w:id="628" w:name="_Toc292559398"/>
      <w:bookmarkStart w:id="629" w:name="_Toc296891021"/>
      <w:bookmarkStart w:id="630" w:name="_Toc297048379"/>
      <w:bookmarkStart w:id="631" w:name="_Toc312677499"/>
      <w:bookmarkStart w:id="632" w:name="_Toc312678025"/>
      <w:bookmarkStart w:id="633" w:name="_Toc267251440"/>
      <w:bookmarkStart w:id="634" w:name="_Toc267251435"/>
      <w:bookmarkStart w:id="635" w:name="_Toc267251433"/>
      <w:bookmarkStart w:id="636" w:name="_Toc267251437"/>
      <w:bookmarkStart w:id="637" w:name="_Toc267251441"/>
      <w:bookmarkStart w:id="638" w:name="_Toc267251439"/>
      <w:bookmarkStart w:id="639" w:name="_Toc267251442"/>
      <w:r>
        <w:rPr>
          <w:rFonts w:hint="eastAsia" w:ascii="宋体" w:hAnsi="宋体" w:eastAsia="宋体" w:cs="宋体"/>
          <w:color w:val="auto"/>
          <w:highlight w:val="none"/>
        </w:rPr>
        <w:t>0. 变更</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bookmarkEnd w:id="631"/>
    <w:bookmarkEnd w:id="632"/>
    <w:p w14:paraId="3BD78D3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40" w:name="_Toc9850571"/>
      <w:bookmarkStart w:id="641" w:name="_Toc373227740"/>
      <w:bookmarkStart w:id="642" w:name="_Toc373478387"/>
      <w:bookmarkStart w:id="643" w:name="_Toc407135243"/>
      <w:bookmarkStart w:id="644" w:name="_Toc389065306"/>
      <w:r>
        <w:rPr>
          <w:rFonts w:hint="eastAsia" w:ascii="宋体" w:hAnsi="宋体" w:eastAsia="宋体" w:cs="宋体"/>
          <w:color w:val="auto"/>
          <w:highlight w:val="none"/>
        </w:rPr>
        <w:t>1</w:t>
      </w:r>
      <w:bookmarkStart w:id="645" w:name="_Toc292559399"/>
      <w:bookmarkStart w:id="646" w:name="_Toc304295567"/>
      <w:bookmarkStart w:id="647" w:name="_Toc312678026"/>
      <w:bookmarkStart w:id="648" w:name="_Toc297048380"/>
      <w:bookmarkStart w:id="649" w:name="_Toc297216200"/>
      <w:bookmarkStart w:id="650" w:name="_Toc296503194"/>
      <w:bookmarkStart w:id="651" w:name="_Toc296346695"/>
      <w:bookmarkStart w:id="652" w:name="_Toc296347193"/>
      <w:bookmarkStart w:id="653" w:name="_Toc303539147"/>
      <w:bookmarkStart w:id="654" w:name="_Toc296944533"/>
      <w:bookmarkStart w:id="655" w:name="_Toc297120494"/>
      <w:bookmarkStart w:id="656" w:name="_Toc292559904"/>
      <w:bookmarkStart w:id="657" w:name="_Toc296891234"/>
      <w:bookmarkStart w:id="658" w:name="_Toc312677500"/>
      <w:bookmarkStart w:id="659" w:name="_Toc300934990"/>
      <w:bookmarkStart w:id="660" w:name="_Toc297123541"/>
      <w:bookmarkStart w:id="661" w:name="_Toc296891022"/>
      <w:r>
        <w:rPr>
          <w:rFonts w:hint="eastAsia" w:ascii="宋体" w:hAnsi="宋体" w:eastAsia="宋体" w:cs="宋体"/>
          <w:color w:val="auto"/>
          <w:highlight w:val="none"/>
        </w:rPr>
        <w:t>0.1 变更的范围</w:t>
      </w:r>
      <w:bookmarkEnd w:id="640"/>
      <w:bookmarkEnd w:id="641"/>
      <w:bookmarkEnd w:id="642"/>
      <w:bookmarkEnd w:id="643"/>
      <w:bookmarkEnd w:id="644"/>
    </w:p>
    <w:p w14:paraId="60A0DBCC">
      <w:pPr>
        <w:pageBreakBefore w:val="0"/>
        <w:widowControl w:val="0"/>
        <w:kinsoku/>
        <w:wordWrap w:val="0"/>
        <w:overflowPunct/>
        <w:topLinePunct w:val="0"/>
        <w:bidi w:val="0"/>
        <w:snapToGrid/>
        <w:spacing w:line="480" w:lineRule="exact"/>
        <w:ind w:firstLine="426"/>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关于变更的范围的约定：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以发包人及监理的书面通知、设计变更为准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5CBF5C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2" w:name="_Toc389065307"/>
      <w:bookmarkStart w:id="663" w:name="_Toc373478388"/>
      <w:bookmarkStart w:id="664" w:name="_Toc407135244"/>
      <w:bookmarkStart w:id="665" w:name="_Toc9850572"/>
      <w:bookmarkStart w:id="666" w:name="_Toc373227741"/>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变更程序</w:t>
      </w:r>
      <w:bookmarkEnd w:id="662"/>
      <w:bookmarkEnd w:id="663"/>
      <w:bookmarkEnd w:id="664"/>
      <w:bookmarkEnd w:id="665"/>
      <w:bookmarkEnd w:id="666"/>
    </w:p>
    <w:p w14:paraId="1508A5DB">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.1国有投资项目：</w:t>
      </w:r>
    </w:p>
    <w:p w14:paraId="06CEE826">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⑴设计变更和工程签证，按各市政府或相关部门的规定办理。属不可抗力（自然灾害、突发事件等）造成变更的，按特事特办原则予以办理。</w:t>
      </w:r>
    </w:p>
    <w:p w14:paraId="1F1C15E5">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⑵建设单位在实施项目过程中，若发生单价变动，由发包人、承包人、监理或造价咨询等单位共同商定并签字确认。</w:t>
      </w:r>
    </w:p>
    <w:p w14:paraId="64C409D4">
      <w:pPr>
        <w:pStyle w:val="11"/>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24C4EFB6">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非国有投资项目：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95DC2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67" w:name="_Toc407135245"/>
      <w:bookmarkStart w:id="668" w:name="_Toc9850573"/>
      <w:bookmarkStart w:id="669" w:name="_Toc373227742"/>
      <w:bookmarkStart w:id="670" w:name="_Toc373478389"/>
      <w:bookmarkStart w:id="671" w:name="_Toc389065308"/>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变更估价</w:t>
      </w:r>
      <w:bookmarkEnd w:id="667"/>
      <w:bookmarkEnd w:id="668"/>
      <w:bookmarkEnd w:id="669"/>
      <w:bookmarkEnd w:id="670"/>
      <w:bookmarkEnd w:id="671"/>
    </w:p>
    <w:p w14:paraId="4101D4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变更估价原则</w:t>
      </w:r>
    </w:p>
    <w:p w14:paraId="17FFF9C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关于变更估价的约定: </w:t>
      </w:r>
      <w:bookmarkStart w:id="672" w:name="_Toc251051742"/>
      <w:r>
        <w:rPr>
          <w:rFonts w:hint="eastAsia" w:ascii="宋体" w:hAnsi="宋体" w:eastAsia="宋体" w:cs="宋体"/>
          <w:color w:val="auto"/>
          <w:sz w:val="21"/>
          <w:szCs w:val="21"/>
          <w:highlight w:val="none"/>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u w:val="single"/>
        </w:rPr>
        <w:t>乘以下浮系数      %，</w:t>
      </w:r>
      <w:r>
        <w:rPr>
          <w:rFonts w:hint="eastAsia" w:ascii="宋体" w:hAnsi="宋体" w:cs="宋体"/>
          <w:b/>
          <w:bCs/>
          <w:color w:val="auto"/>
          <w:sz w:val="21"/>
          <w:szCs w:val="21"/>
          <w:highlight w:val="none"/>
          <w:lang w:eastAsia="zh-CN"/>
        </w:rPr>
        <w:t>☑</w:t>
      </w:r>
      <w:r>
        <w:rPr>
          <w:rFonts w:hint="eastAsia" w:ascii="宋体" w:hAnsi="宋体" w:eastAsia="宋体" w:cs="宋体"/>
          <w:color w:val="auto"/>
          <w:sz w:val="21"/>
          <w:szCs w:val="21"/>
          <w:highlight w:val="none"/>
          <w:u w:val="single"/>
        </w:rPr>
        <w:t>不乘下浮系数）计算，其中：材料设备价格按施工期间的《</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 xml:space="preserve"> 市建设工程造价信息》相应信息价的加权平均值计算，《</w:t>
      </w:r>
      <w:r>
        <w:rPr>
          <w:rFonts w:hint="eastAsia" w:ascii="宋体" w:hAnsi="宋体" w:eastAsia="宋体" w:cs="宋体"/>
          <w:color w:val="auto"/>
          <w:sz w:val="21"/>
          <w:szCs w:val="21"/>
          <w:highlight w:val="none"/>
          <w:u w:val="single"/>
          <w:lang w:eastAsia="zh-CN"/>
        </w:rPr>
        <w:t>崇左</w:t>
      </w:r>
      <w:r>
        <w:rPr>
          <w:rFonts w:hint="eastAsia" w:ascii="宋体" w:hAnsi="宋体" w:eastAsia="宋体" w:cs="宋体"/>
          <w:color w:val="auto"/>
          <w:sz w:val="21"/>
          <w:szCs w:val="21"/>
          <w:highlight w:val="none"/>
          <w:u w:val="single"/>
        </w:rPr>
        <w:t>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bookmarkEnd w:id="672"/>
      <w:r>
        <w:rPr>
          <w:rFonts w:hint="eastAsia" w:ascii="宋体" w:hAnsi="宋体" w:eastAsia="宋体" w:cs="宋体"/>
          <w:color w:val="auto"/>
          <w:sz w:val="21"/>
          <w:szCs w:val="21"/>
          <w:highlight w:val="none"/>
        </w:rPr>
        <w:t>。以上约定同时适用于招标工程量清单缺项以及工程量清单项目特征与图纸不符时的价款确定。</w:t>
      </w:r>
    </w:p>
    <w:p w14:paraId="6F7365E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工程变更导致实际完成的变更工程量与已标价清单或预算书中列明的该项目工程量有偏差时，其综合单价的确定按专用条款“1.13工程量清单错误的修正”执行。</w:t>
      </w:r>
    </w:p>
    <w:p w14:paraId="4259D920">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673" w:name="_Toc407135246"/>
      <w:bookmarkStart w:id="674" w:name="_Toc9850574"/>
      <w:bookmarkStart w:id="675" w:name="_Toc373227743"/>
      <w:bookmarkStart w:id="676" w:name="_Toc389065309"/>
      <w:bookmarkStart w:id="677" w:name="_Toc373478390"/>
      <w:r>
        <w:rPr>
          <w:rFonts w:hint="eastAsia" w:ascii="宋体" w:hAnsi="宋体" w:eastAsia="宋体" w:cs="宋体"/>
          <w:color w:val="auto"/>
          <w:highlight w:val="none"/>
        </w:rPr>
        <w:t>1</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Start w:id="678" w:name="_Toc296347196"/>
      <w:bookmarkStart w:id="679" w:name="_Toc296503197"/>
      <w:bookmarkStart w:id="680" w:name="_Toc297048383"/>
      <w:bookmarkStart w:id="681" w:name="_Toc296346698"/>
      <w:bookmarkStart w:id="682" w:name="_Toc297216203"/>
      <w:bookmarkStart w:id="683" w:name="_Toc292559402"/>
      <w:bookmarkStart w:id="684" w:name="_Toc303539150"/>
      <w:bookmarkStart w:id="685" w:name="_Toc296891025"/>
      <w:bookmarkStart w:id="686" w:name="_Toc296891237"/>
      <w:bookmarkStart w:id="687" w:name="_Toc296944536"/>
      <w:bookmarkStart w:id="688" w:name="_Toc297123544"/>
      <w:bookmarkStart w:id="689" w:name="_Toc292559907"/>
      <w:bookmarkStart w:id="690" w:name="_Toc297120497"/>
      <w:bookmarkStart w:id="691" w:name="_Toc300934993"/>
      <w:bookmarkStart w:id="692" w:name="_Toc304295570"/>
      <w:bookmarkStart w:id="693" w:name="_Toc312677503"/>
      <w:bookmarkStart w:id="694" w:name="_Toc312678029"/>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承</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Start w:id="695" w:name="_Toc296891243"/>
      <w:bookmarkStart w:id="696" w:name="_Toc292559408"/>
      <w:bookmarkStart w:id="697" w:name="_Toc297216204"/>
      <w:bookmarkStart w:id="698" w:name="_Toc296503203"/>
      <w:bookmarkStart w:id="699" w:name="_Toc303539151"/>
      <w:bookmarkStart w:id="700" w:name="_Toc297123545"/>
      <w:bookmarkStart w:id="701" w:name="_Toc292559913"/>
      <w:bookmarkStart w:id="702" w:name="_Toc296346704"/>
      <w:bookmarkStart w:id="703" w:name="_Toc300934994"/>
      <w:bookmarkStart w:id="704" w:name="_Toc296944542"/>
      <w:bookmarkStart w:id="705" w:name="_Toc297120503"/>
      <w:bookmarkStart w:id="706" w:name="_Toc297048389"/>
      <w:bookmarkStart w:id="707" w:name="_Toc296347202"/>
      <w:bookmarkStart w:id="708" w:name="_Toc296891031"/>
      <w:r>
        <w:rPr>
          <w:rFonts w:hint="eastAsia" w:ascii="宋体" w:hAnsi="宋体" w:eastAsia="宋体" w:cs="宋体"/>
          <w:color w:val="auto"/>
          <w:highlight w:val="none"/>
        </w:rPr>
        <w:t>包人的合理化建议</w:t>
      </w:r>
      <w:bookmarkEnd w:id="673"/>
      <w:bookmarkEnd w:id="674"/>
      <w:bookmarkEnd w:id="675"/>
      <w:bookmarkEnd w:id="676"/>
      <w:bookmarkEnd w:id="677"/>
    </w:p>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14:paraId="40ECB5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09" w:name="_Toc373478391"/>
      <w:bookmarkStart w:id="710" w:name="_Toc9850575"/>
      <w:bookmarkStart w:id="711" w:name="_Toc389065310"/>
      <w:bookmarkStart w:id="712" w:name="_Toc373227744"/>
      <w:bookmarkStart w:id="713" w:name="_Toc407135247"/>
      <w:r>
        <w:rPr>
          <w:rFonts w:hint="eastAsia" w:ascii="宋体" w:hAnsi="宋体" w:eastAsia="宋体" w:cs="宋体"/>
          <w:color w:val="auto"/>
          <w:sz w:val="21"/>
          <w:szCs w:val="21"/>
          <w:highlight w:val="none"/>
        </w:rPr>
        <w:t>监理人审查承包人合理化建议的期限：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2BBE563D">
      <w:pPr>
        <w:pageBreakBefore w:val="0"/>
        <w:widowControl w:val="0"/>
        <w:kinsoku/>
        <w:wordWrap w:val="0"/>
        <w:overflowPunct/>
        <w:topLinePunct w:val="0"/>
        <w:bidi w:val="0"/>
        <w:snapToGrid/>
        <w:spacing w:line="480" w:lineRule="exact"/>
        <w:ind w:firstLine="420" w:firstLineChars="200"/>
        <w:jc w:val="left"/>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发包人审批承包人合理化建议的期限：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收到承包人提交的合理化建议后</w:t>
      </w:r>
      <w:r>
        <w:rPr>
          <w:rFonts w:hint="eastAsia" w:ascii="宋体" w:hAnsi="宋体" w:eastAsia="宋体" w:cs="宋体"/>
          <w:color w:val="auto"/>
          <w:sz w:val="21"/>
          <w:szCs w:val="21"/>
          <w:highlight w:val="none"/>
          <w:u w:val="single"/>
          <w:lang w:val="en-US" w:eastAsia="zh-CN"/>
        </w:rPr>
        <w:t>5天内审核完毕并报送发包人</w:t>
      </w:r>
      <w:r>
        <w:rPr>
          <w:rFonts w:hint="eastAsia" w:ascii="宋体" w:hAnsi="宋体" w:eastAsia="宋体" w:cs="宋体"/>
          <w:color w:val="auto"/>
          <w:sz w:val="21"/>
          <w:szCs w:val="21"/>
          <w:highlight w:val="none"/>
        </w:rPr>
        <w:t>。</w:t>
      </w:r>
    </w:p>
    <w:p w14:paraId="6FA2C5E5">
      <w:pPr>
        <w:pageBreakBefore w:val="0"/>
        <w:widowControl w:val="0"/>
        <w:kinsoku/>
        <w:wordWrap w:val="0"/>
        <w:overflowPunct/>
        <w:topLinePunct w:val="0"/>
        <w:bidi w:val="0"/>
        <w:snapToGrid/>
        <w:spacing w:line="480" w:lineRule="exact"/>
        <w:ind w:left="0" w:leftChars="0"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w:t>
      </w:r>
      <w:bookmarkStart w:id="714" w:name="_Toc296891244"/>
      <w:bookmarkStart w:id="715" w:name="_Toc297048390"/>
      <w:bookmarkStart w:id="716" w:name="_Toc296944543"/>
      <w:bookmarkStart w:id="717" w:name="_Toc296503204"/>
      <w:bookmarkStart w:id="718" w:name="_Toc312677504"/>
      <w:bookmarkStart w:id="719" w:name="_Toc300934995"/>
      <w:bookmarkStart w:id="720" w:name="_Toc297120504"/>
      <w:bookmarkStart w:id="721" w:name="_Toc303539152"/>
      <w:bookmarkStart w:id="722" w:name="_Toc312678030"/>
      <w:bookmarkStart w:id="723" w:name="_Toc292559914"/>
      <w:bookmarkStart w:id="724" w:name="_Toc318581175"/>
      <w:bookmarkStart w:id="725" w:name="_Toc297216205"/>
      <w:bookmarkStart w:id="726" w:name="_Toc296346705"/>
      <w:bookmarkStart w:id="727" w:name="_Toc296347203"/>
      <w:bookmarkStart w:id="728" w:name="_Toc304295571"/>
      <w:bookmarkStart w:id="729" w:name="_Toc297123546"/>
      <w:bookmarkStart w:id="730" w:name="_Toc292559409"/>
      <w:bookmarkStart w:id="731" w:name="_Toc296891032"/>
      <w:r>
        <w:rPr>
          <w:rFonts w:hint="eastAsia" w:ascii="宋体" w:hAnsi="宋体" w:eastAsia="宋体" w:cs="宋体"/>
          <w:color w:val="auto"/>
          <w:sz w:val="21"/>
          <w:szCs w:val="21"/>
          <w:highlight w:val="none"/>
        </w:rPr>
        <w:t>包人提出的合理化建议降低了合同价格或者提高了工程经济效益的奖励的方法和金额为：</w:t>
      </w:r>
      <w:r>
        <w:rPr>
          <w:rFonts w:hint="eastAsia" w:ascii="宋体" w:hAnsi="宋体" w:eastAsia="宋体" w:cs="宋体"/>
          <w:color w:val="auto"/>
          <w:sz w:val="21"/>
          <w:szCs w:val="21"/>
          <w:highlight w:val="none"/>
          <w:u w:val="single"/>
          <w:lang w:val="en-US" w:eastAsia="zh-CN"/>
        </w:rPr>
        <w:t xml:space="preserve">无 </w:t>
      </w:r>
      <w:r>
        <w:rPr>
          <w:rFonts w:hint="eastAsia" w:ascii="宋体" w:hAnsi="宋体" w:eastAsia="宋体" w:cs="宋体"/>
          <w:color w:val="auto"/>
          <w:sz w:val="21"/>
          <w:szCs w:val="21"/>
          <w:highlight w:val="none"/>
        </w:rPr>
        <w:t>。</w:t>
      </w:r>
    </w:p>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14:paraId="5DFEEC94">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w:t>
      </w:r>
      <w:bookmarkStart w:id="732" w:name="_Toc312678033"/>
      <w:bookmarkStart w:id="733" w:name="_Toc292559404"/>
      <w:bookmarkStart w:id="734" w:name="_Toc296346700"/>
      <w:bookmarkStart w:id="735" w:name="_Toc303539154"/>
      <w:bookmarkStart w:id="736" w:name="_Toc300934997"/>
      <w:bookmarkStart w:id="737" w:name="_Toc296891239"/>
      <w:bookmarkStart w:id="738" w:name="_Toc296891027"/>
      <w:bookmarkStart w:id="739" w:name="_Toc297048385"/>
      <w:bookmarkStart w:id="740" w:name="_Toc297216207"/>
      <w:bookmarkStart w:id="741" w:name="_Toc312677507"/>
      <w:bookmarkStart w:id="742" w:name="_Toc297120499"/>
      <w:bookmarkStart w:id="743" w:name="_Toc296347198"/>
      <w:bookmarkStart w:id="744" w:name="_Toc296503199"/>
      <w:bookmarkStart w:id="745" w:name="_Toc304295574"/>
      <w:bookmarkStart w:id="746" w:name="_Toc292559909"/>
      <w:bookmarkStart w:id="747" w:name="_Toc297123548"/>
      <w:bookmarkStart w:id="748" w:name="_Toc296944538"/>
      <w:r>
        <w:rPr>
          <w:rFonts w:hint="eastAsia" w:ascii="宋体" w:hAnsi="宋体" w:eastAsia="宋体" w:cs="宋体"/>
          <w:color w:val="auto"/>
          <w:highlight w:val="none"/>
        </w:rPr>
        <w:t>0.</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暂估价</w:t>
      </w:r>
      <w:bookmarkEnd w:id="709"/>
      <w:bookmarkEnd w:id="710"/>
      <w:bookmarkEnd w:id="711"/>
      <w:bookmarkEnd w:id="712"/>
      <w:bookmarkEnd w:id="713"/>
    </w:p>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14:paraId="16AF4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749" w:name="_Toc373227745"/>
      <w:bookmarkStart w:id="750" w:name="_Toc9850576"/>
      <w:bookmarkStart w:id="751" w:name="_Toc407135248"/>
      <w:bookmarkStart w:id="752" w:name="_Toc389065311"/>
      <w:bookmarkStart w:id="753" w:name="_Toc373478392"/>
      <w:r>
        <w:rPr>
          <w:rFonts w:hint="eastAsia" w:ascii="宋体" w:hAnsi="宋体" w:eastAsia="宋体" w:cs="宋体"/>
          <w:color w:val="auto"/>
          <w:kern w:val="0"/>
          <w:sz w:val="21"/>
          <w:szCs w:val="21"/>
          <w:highlight w:val="none"/>
        </w:rPr>
        <w:t>暂</w:t>
      </w:r>
      <w:bookmarkStart w:id="754" w:name="_Toc312677508"/>
      <w:bookmarkStart w:id="755" w:name="_Toc312678034"/>
      <w:bookmarkStart w:id="756" w:name="_Toc318581176"/>
      <w:r>
        <w:rPr>
          <w:rFonts w:hint="eastAsia" w:ascii="宋体" w:hAnsi="宋体" w:eastAsia="宋体" w:cs="宋体"/>
          <w:color w:val="auto"/>
          <w:kern w:val="0"/>
          <w:sz w:val="21"/>
          <w:szCs w:val="21"/>
          <w:highlight w:val="none"/>
        </w:rPr>
        <w:t>估价材料和工程设备的明细详见已标价工程量清单《</w:t>
      </w:r>
      <w:r>
        <w:rPr>
          <w:rFonts w:hint="eastAsia" w:ascii="宋体" w:hAnsi="宋体" w:eastAsia="宋体" w:cs="宋体"/>
          <w:color w:val="auto"/>
          <w:sz w:val="21"/>
          <w:szCs w:val="21"/>
          <w:highlight w:val="none"/>
        </w:rPr>
        <w:t>材料（工程设备）暂估价格及调整表》</w:t>
      </w:r>
      <w:r>
        <w:rPr>
          <w:rFonts w:hint="eastAsia" w:ascii="宋体" w:hAnsi="宋体" w:eastAsia="宋体" w:cs="宋体"/>
          <w:color w:val="auto"/>
          <w:kern w:val="0"/>
          <w:sz w:val="21"/>
          <w:szCs w:val="21"/>
          <w:highlight w:val="none"/>
        </w:rPr>
        <w:t>（表12-2）和《</w:t>
      </w:r>
      <w:r>
        <w:rPr>
          <w:rFonts w:hint="eastAsia" w:ascii="宋体" w:hAnsi="宋体" w:eastAsia="宋体" w:cs="宋体"/>
          <w:color w:val="auto"/>
          <w:sz w:val="21"/>
          <w:szCs w:val="21"/>
          <w:highlight w:val="none"/>
        </w:rPr>
        <w:t>专业工程暂估价表》（</w:t>
      </w:r>
      <w:r>
        <w:rPr>
          <w:rFonts w:hint="eastAsia" w:ascii="宋体" w:hAnsi="宋体" w:eastAsia="宋体" w:cs="宋体"/>
          <w:color w:val="auto"/>
          <w:kern w:val="0"/>
          <w:sz w:val="21"/>
          <w:szCs w:val="21"/>
          <w:highlight w:val="none"/>
        </w:rPr>
        <w:t>表12-3）。</w:t>
      </w:r>
    </w:p>
    <w:bookmarkEnd w:id="754"/>
    <w:bookmarkEnd w:id="755"/>
    <w:bookmarkEnd w:id="756"/>
    <w:p w14:paraId="6E80ECA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Start w:id="757" w:name="_Toc312678035"/>
      <w:bookmarkStart w:id="758" w:name="_Toc318581177"/>
      <w:bookmarkStart w:id="759" w:name="_Toc312677509"/>
      <w:r>
        <w:rPr>
          <w:rFonts w:hint="eastAsia" w:ascii="宋体" w:hAnsi="宋体" w:eastAsia="宋体" w:cs="宋体"/>
          <w:color w:val="auto"/>
          <w:sz w:val="21"/>
          <w:szCs w:val="21"/>
          <w:highlight w:val="none"/>
        </w:rPr>
        <w:t>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.1 依法必须招标的暂估价项目</w:t>
      </w:r>
    </w:p>
    <w:bookmarkEnd w:id="757"/>
    <w:bookmarkEnd w:id="758"/>
    <w:bookmarkEnd w:id="759"/>
    <w:p w14:paraId="2EBE6CF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种方式确定。</w:t>
      </w:r>
    </w:p>
    <w:p w14:paraId="7569AA8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.2 不属于依法必须招标的暂估价项目</w:t>
      </w:r>
    </w:p>
    <w:p w14:paraId="795682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对于不属于依法必须招标的暂估价项目的确认和批准采取第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种方式确定。</w:t>
      </w:r>
    </w:p>
    <w:p w14:paraId="4C9B033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10.</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3 </w:t>
      </w:r>
      <w:r>
        <w:rPr>
          <w:rFonts w:hint="eastAsia" w:ascii="宋体" w:hAnsi="宋体" w:eastAsia="宋体" w:cs="宋体"/>
          <w:color w:val="auto"/>
          <w:sz w:val="21"/>
          <w:szCs w:val="21"/>
          <w:highlight w:val="none"/>
        </w:rPr>
        <w:t>第3种方式：</w:t>
      </w:r>
      <w:r>
        <w:rPr>
          <w:rFonts w:hint="eastAsia" w:ascii="宋体" w:hAnsi="宋体" w:eastAsia="宋体" w:cs="宋体"/>
          <w:color w:val="auto"/>
          <w:kern w:val="0"/>
          <w:sz w:val="21"/>
          <w:szCs w:val="21"/>
          <w:highlight w:val="none"/>
        </w:rPr>
        <w:t>承包人直接实施的暂估价项目</w:t>
      </w:r>
    </w:p>
    <w:p w14:paraId="7DBAB7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承包人直接实施的暂估价项目的约定：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工程所需材料采购</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B6865D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暂列金额</w:t>
      </w:r>
      <w:bookmarkEnd w:id="749"/>
      <w:bookmarkEnd w:id="750"/>
      <w:bookmarkEnd w:id="751"/>
      <w:bookmarkEnd w:id="752"/>
      <w:bookmarkEnd w:id="753"/>
    </w:p>
    <w:p w14:paraId="412140B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合同当事人关于暂列金额使用的约定：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按照通用条款和现行法规法规要求执行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356CB2DB">
      <w:pPr>
        <w:pStyle w:val="3"/>
        <w:pageBreakBefore w:val="0"/>
        <w:widowControl w:val="0"/>
        <w:numPr>
          <w:ilvl w:val="0"/>
          <w:numId w:val="10"/>
        </w:numPr>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0" w:name="_Toc373227746"/>
      <w:bookmarkStart w:id="761" w:name="_Toc373478393"/>
      <w:bookmarkStart w:id="762" w:name="_Toc407135249"/>
      <w:bookmarkStart w:id="763" w:name="_Toc351203643"/>
      <w:bookmarkStart w:id="764" w:name="_Toc9850577"/>
      <w:bookmarkStart w:id="765" w:name="_Toc389065312"/>
      <w:r>
        <w:rPr>
          <w:rFonts w:hint="eastAsia" w:ascii="宋体" w:hAnsi="宋体" w:eastAsia="宋体" w:cs="宋体"/>
          <w:color w:val="auto"/>
          <w:highlight w:val="none"/>
        </w:rPr>
        <w:t>价格调整</w:t>
      </w:r>
      <w:bookmarkEnd w:id="760"/>
      <w:bookmarkEnd w:id="761"/>
      <w:bookmarkEnd w:id="762"/>
      <w:bookmarkEnd w:id="763"/>
      <w:bookmarkEnd w:id="764"/>
      <w:bookmarkEnd w:id="765"/>
    </w:p>
    <w:p w14:paraId="198C9AE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766" w:name="_Toc407135250"/>
      <w:bookmarkStart w:id="767" w:name="_Toc373478394"/>
      <w:bookmarkStart w:id="768" w:name="_Toc373227747"/>
      <w:bookmarkStart w:id="769" w:name="_Toc9850578"/>
      <w:bookmarkStart w:id="770" w:name="_Toc389065313"/>
      <w:bookmarkStart w:id="771" w:name="_Toc296503201"/>
      <w:bookmarkStart w:id="772" w:name="_Toc296891029"/>
      <w:bookmarkStart w:id="773" w:name="_Toc296347200"/>
      <w:bookmarkStart w:id="774" w:name="_Toc312678039"/>
      <w:bookmarkStart w:id="775" w:name="_Toc303539157"/>
      <w:bookmarkStart w:id="776" w:name="_Toc297123550"/>
      <w:bookmarkStart w:id="777" w:name="_Toc292559911"/>
      <w:bookmarkStart w:id="778" w:name="_Toc292559406"/>
      <w:bookmarkStart w:id="779" w:name="_Toc304295577"/>
      <w:bookmarkStart w:id="780" w:name="_Toc297048387"/>
      <w:bookmarkStart w:id="781" w:name="_Toc296891241"/>
      <w:bookmarkStart w:id="782" w:name="_Toc300935000"/>
      <w:bookmarkStart w:id="783" w:name="_Toc296346702"/>
      <w:bookmarkStart w:id="784" w:name="_Toc296944540"/>
      <w:bookmarkStart w:id="785" w:name="_Toc297216209"/>
      <w:bookmarkStart w:id="786" w:name="_Toc297120501"/>
      <w:r>
        <w:rPr>
          <w:rFonts w:hint="eastAsia" w:ascii="宋体" w:hAnsi="宋体" w:eastAsia="宋体" w:cs="宋体"/>
          <w:color w:val="auto"/>
          <w:highlight w:val="none"/>
        </w:rPr>
        <w:t>11.1 市场价格波动引起的调整</w:t>
      </w:r>
      <w:bookmarkEnd w:id="766"/>
      <w:bookmarkEnd w:id="767"/>
      <w:bookmarkEnd w:id="768"/>
      <w:bookmarkEnd w:id="769"/>
      <w:bookmarkEnd w:id="770"/>
    </w:p>
    <w:bookmarkEnd w:id="633"/>
    <w:bookmarkEnd w:id="634"/>
    <w:bookmarkEnd w:id="635"/>
    <w:bookmarkEnd w:id="636"/>
    <w:bookmarkEnd w:id="637"/>
    <w:bookmarkEnd w:id="638"/>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14:paraId="2D76534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bookmarkStart w:id="787" w:name="_Toc297048391"/>
      <w:bookmarkStart w:id="788" w:name="_Toc292559915"/>
      <w:bookmarkStart w:id="789" w:name="_Toc296891245"/>
      <w:bookmarkStart w:id="790" w:name="_Toc292559410"/>
      <w:bookmarkStart w:id="791" w:name="_Toc296944544"/>
      <w:bookmarkStart w:id="792" w:name="_Toc296346706"/>
      <w:bookmarkStart w:id="793" w:name="_Toc296891033"/>
      <w:bookmarkStart w:id="794" w:name="_Toc296503205"/>
      <w:bookmarkStart w:id="795" w:name="_Toc296347204"/>
      <w:bookmarkStart w:id="796" w:name="_Toc297120505"/>
      <w:bookmarkStart w:id="797" w:name="_Toc407135251"/>
      <w:bookmarkStart w:id="798" w:name="_Toc373227748"/>
      <w:bookmarkStart w:id="799" w:name="_Toc373478395"/>
      <w:bookmarkStart w:id="800" w:name="_Toc9850579"/>
      <w:bookmarkStart w:id="801" w:name="_Toc351203644"/>
      <w:bookmarkStart w:id="802" w:name="_Toc300935002"/>
      <w:bookmarkStart w:id="803" w:name="_Toc304295579"/>
      <w:bookmarkStart w:id="804" w:name="_Toc297216211"/>
      <w:bookmarkStart w:id="805" w:name="_Toc297123552"/>
      <w:bookmarkStart w:id="806" w:name="_Toc312678040"/>
      <w:bookmarkStart w:id="807" w:name="_Toc303539159"/>
      <w:r>
        <w:rPr>
          <w:rFonts w:hint="eastAsia" w:ascii="宋体" w:hAnsi="宋体" w:eastAsia="宋体" w:cs="宋体"/>
          <w:color w:val="auto"/>
          <w:sz w:val="21"/>
          <w:szCs w:val="21"/>
          <w:highlight w:val="none"/>
        </w:rPr>
        <w:t>市场价格波动是否调整合同价格的约定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eastAsia="zh-CN"/>
        </w:rPr>
        <w:t>否</w:t>
      </w:r>
      <w:r>
        <w:rPr>
          <w:rFonts w:hint="eastAsia" w:ascii="宋体" w:hAnsi="宋体" w:eastAsia="宋体" w:cs="宋体"/>
          <w:color w:val="auto"/>
          <w:sz w:val="21"/>
          <w:szCs w:val="21"/>
          <w:highlight w:val="none"/>
          <w:u w:val="single"/>
        </w:rPr>
        <w:t>  。</w:t>
      </w:r>
    </w:p>
    <w:p w14:paraId="146BEF9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因市场价格波动调整合同价格，采用以下</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种方式对合同价格进行调整：</w:t>
      </w:r>
    </w:p>
    <w:p w14:paraId="6A424CCE">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第1种方式：采用价格指数进行价格调整。</w:t>
      </w:r>
    </w:p>
    <w:p w14:paraId="4B247AC8">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关于各可调因子、定值和变值权重，以及基本价格指数及其来源的约定：</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u w:val="none"/>
        </w:rPr>
        <w:t>；  </w:t>
      </w:r>
    </w:p>
    <w:p w14:paraId="01D093DF">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第2种方式：采用造价信息进行价格调整。</w:t>
      </w:r>
    </w:p>
    <w:p w14:paraId="71D7EDB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（1）允许调整的主要材料和设备、基期价格、风险系数、投标报价详见《承包人提供主要材料和设备一览表》,价差调整部分仅计算税金，除此表列明的材料、设备外，其余材料设备价差原则上不予调整。</w:t>
      </w:r>
    </w:p>
    <w:p w14:paraId="5E58DE39">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（2）主要材料和设备确认价：</w:t>
      </w:r>
    </w:p>
    <w:p w14:paraId="2540078B">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按施工期间《</w:t>
      </w:r>
      <w:r>
        <w:rPr>
          <w:rFonts w:hint="eastAsia" w:ascii="宋体" w:hAnsi="宋体" w:eastAsia="宋体" w:cs="宋体"/>
          <w:color w:val="auto"/>
          <w:sz w:val="21"/>
          <w:szCs w:val="21"/>
          <w:highlight w:val="none"/>
          <w:lang w:eastAsia="zh-CN"/>
        </w:rPr>
        <w:t>崇左</w:t>
      </w:r>
      <w:r>
        <w:rPr>
          <w:rFonts w:hint="eastAsia" w:ascii="宋体" w:hAnsi="宋体" w:eastAsia="宋体" w:cs="宋体"/>
          <w:color w:val="auto"/>
          <w:sz w:val="21"/>
          <w:szCs w:val="21"/>
          <w:highlight w:val="none"/>
        </w:rPr>
        <w:t>市建设工程造价信息》材料信息价的加权平均价计算，信息价没有的按通用条款规定确定。</w:t>
      </w:r>
    </w:p>
    <w:p w14:paraId="51FA3417">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（3）价差计算方法：</w:t>
      </w:r>
    </w:p>
    <w:p w14:paraId="35607CFC">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承包人提供主要材料和设备一览表》中载明的材料和设备投标报价低于基准价格的：合同履行期间材料和设备单价涨幅以基准价格为基础超过约定的风险范围时，或材料和设备单价跌幅以投标报价为基础超过约定的风险范围时，对其超过部分进行价差调整，价差计算公式：价格上涨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1240CAF9">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承包人在《承包人提供主要材料和设备一览表》中载明的材料和设备投标报价高于基准价格的：合同履行期间材料和设备单价跌幅以基准价格为基础超过约定的风险范围时，或材料和设备单价涨幅以投标报价为基础超过约定的风险范围时，对其超过部分进行价差调整。价差计算公式：价格上涨价差=确认价-投标报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），价格下跌价差=确认价-基准价（1+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79085AE0">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承包人在《承包人提供主要材料和设备一览表》中载明的材料和设备单价等于基准单价的：合同履行期间材料和设备单价涨跌幅以基准单价为基础超过约定的风险范围时，对其超过部分进行价差调整。价差计算公式：上涨或下跌价差=确认价-基准单价（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5F4C78A8">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12. </w:t>
      </w:r>
      <w:bookmarkEnd w:id="787"/>
      <w:bookmarkEnd w:id="788"/>
      <w:bookmarkEnd w:id="789"/>
      <w:bookmarkEnd w:id="790"/>
      <w:bookmarkEnd w:id="791"/>
      <w:bookmarkEnd w:id="792"/>
      <w:bookmarkEnd w:id="793"/>
      <w:bookmarkEnd w:id="794"/>
      <w:bookmarkEnd w:id="795"/>
      <w:bookmarkEnd w:id="796"/>
      <w:r>
        <w:rPr>
          <w:rFonts w:hint="eastAsia" w:ascii="宋体" w:hAnsi="宋体" w:eastAsia="宋体" w:cs="宋体"/>
          <w:color w:val="auto"/>
          <w:highlight w:val="none"/>
        </w:rPr>
        <w:t>合同价格、计量与支付</w:t>
      </w:r>
      <w:bookmarkEnd w:id="797"/>
      <w:bookmarkEnd w:id="798"/>
      <w:bookmarkEnd w:id="799"/>
      <w:bookmarkEnd w:id="800"/>
      <w:bookmarkEnd w:id="801"/>
    </w:p>
    <w:bookmarkEnd w:id="802"/>
    <w:bookmarkEnd w:id="803"/>
    <w:bookmarkEnd w:id="804"/>
    <w:bookmarkEnd w:id="805"/>
    <w:bookmarkEnd w:id="806"/>
    <w:bookmarkEnd w:id="807"/>
    <w:p w14:paraId="6AF3093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08" w:name="_Toc292559916"/>
      <w:bookmarkStart w:id="809" w:name="_Toc292559411"/>
      <w:bookmarkStart w:id="810" w:name="_Toc267251461"/>
      <w:bookmarkStart w:id="811" w:name="_Toc297120506"/>
      <w:bookmarkStart w:id="812" w:name="_Toc296346707"/>
      <w:bookmarkStart w:id="813" w:name="_Toc296891034"/>
      <w:bookmarkStart w:id="814" w:name="_Toc296891246"/>
      <w:bookmarkStart w:id="815" w:name="_Toc296503206"/>
      <w:bookmarkStart w:id="816" w:name="_Toc296347205"/>
      <w:bookmarkStart w:id="817" w:name="_Toc296944545"/>
      <w:bookmarkStart w:id="818" w:name="_Toc297048392"/>
      <w:bookmarkStart w:id="819" w:name="_Toc9850580"/>
      <w:bookmarkStart w:id="820" w:name="_Toc407135252"/>
      <w:bookmarkStart w:id="821" w:name="_Toc373478396"/>
      <w:bookmarkStart w:id="822" w:name="_Toc373227749"/>
      <w:bookmarkStart w:id="823" w:name="_Toc389065314"/>
      <w:bookmarkStart w:id="824" w:name="_Toc303539160"/>
      <w:bookmarkStart w:id="825" w:name="_Toc312678041"/>
      <w:bookmarkStart w:id="826" w:name="_Toc300935003"/>
      <w:bookmarkStart w:id="827" w:name="_Toc297216212"/>
      <w:bookmarkStart w:id="828" w:name="_Toc304295580"/>
      <w:bookmarkStart w:id="829" w:name="_Toc297123553"/>
      <w:r>
        <w:rPr>
          <w:rFonts w:hint="eastAsia" w:ascii="宋体" w:hAnsi="宋体" w:eastAsia="宋体" w:cs="宋体"/>
          <w:color w:val="auto"/>
          <w:highlight w:val="none"/>
        </w:rPr>
        <w:t>12.1 合</w:t>
      </w:r>
      <w:bookmarkEnd w:id="808"/>
      <w:bookmarkEnd w:id="809"/>
      <w:bookmarkEnd w:id="810"/>
      <w:r>
        <w:rPr>
          <w:rFonts w:hint="eastAsia" w:ascii="宋体" w:hAnsi="宋体" w:eastAsia="宋体" w:cs="宋体"/>
          <w:color w:val="auto"/>
          <w:highlight w:val="none"/>
        </w:rPr>
        <w:t>同价</w:t>
      </w:r>
      <w:bookmarkEnd w:id="811"/>
      <w:bookmarkEnd w:id="812"/>
      <w:bookmarkEnd w:id="813"/>
      <w:bookmarkEnd w:id="814"/>
      <w:bookmarkEnd w:id="815"/>
      <w:bookmarkEnd w:id="816"/>
      <w:bookmarkEnd w:id="817"/>
      <w:bookmarkEnd w:id="818"/>
      <w:r>
        <w:rPr>
          <w:rFonts w:hint="eastAsia" w:ascii="宋体" w:hAnsi="宋体" w:eastAsia="宋体" w:cs="宋体"/>
          <w:color w:val="auto"/>
          <w:highlight w:val="none"/>
        </w:rPr>
        <w:t>格形式</w:t>
      </w:r>
      <w:bookmarkEnd w:id="819"/>
      <w:bookmarkEnd w:id="820"/>
      <w:bookmarkEnd w:id="821"/>
      <w:bookmarkEnd w:id="822"/>
      <w:bookmarkEnd w:id="823"/>
    </w:p>
    <w:bookmarkEnd w:id="824"/>
    <w:bookmarkEnd w:id="825"/>
    <w:bookmarkEnd w:id="826"/>
    <w:bookmarkEnd w:id="827"/>
    <w:bookmarkEnd w:id="828"/>
    <w:bookmarkEnd w:id="829"/>
    <w:p w14:paraId="7BB1125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30" w:name="_Toc373478397"/>
      <w:bookmarkStart w:id="831" w:name="_Toc373227750"/>
      <w:bookmarkStart w:id="832" w:name="_Toc389065315"/>
      <w:bookmarkStart w:id="833" w:name="_Toc312678042"/>
      <w:bookmarkStart w:id="834" w:name="_Toc297216213"/>
      <w:bookmarkStart w:id="835" w:name="_Toc296347206"/>
      <w:bookmarkStart w:id="836" w:name="_Toc296346708"/>
      <w:bookmarkStart w:id="837" w:name="_Toc292559917"/>
      <w:bookmarkStart w:id="838" w:name="_Toc296891247"/>
      <w:bookmarkStart w:id="839" w:name="_Toc304295581"/>
      <w:bookmarkStart w:id="840" w:name="_Toc296891035"/>
      <w:bookmarkStart w:id="841" w:name="_Toc300935004"/>
      <w:bookmarkStart w:id="842" w:name="_Toc297123554"/>
      <w:bookmarkStart w:id="843" w:name="_Toc292559412"/>
      <w:bookmarkStart w:id="844" w:name="_Toc297048393"/>
      <w:bookmarkStart w:id="845" w:name="_Toc297120507"/>
      <w:bookmarkStart w:id="846" w:name="_Toc303539161"/>
      <w:bookmarkStart w:id="847" w:name="_Toc296503207"/>
      <w:bookmarkStart w:id="848" w:name="_Toc296944546"/>
      <w:r>
        <w:rPr>
          <w:rFonts w:hint="eastAsia" w:ascii="宋体" w:hAnsi="宋体" w:eastAsia="宋体" w:cs="宋体"/>
          <w:color w:val="auto"/>
          <w:sz w:val="21"/>
          <w:szCs w:val="21"/>
          <w:highlight w:val="none"/>
        </w:rPr>
        <w:t>本工程采用</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固定单价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合同价格形式，合同价格包含增值税，本工程计价时采用的增值税计税方法为：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一般计税法   □简易计税法。</w:t>
      </w:r>
    </w:p>
    <w:p w14:paraId="72F971A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w:t>
      </w:r>
    </w:p>
    <w:p w14:paraId="4ED18A0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采用综合单价合同方式时，工程量按建设单位、监理单位、施工单位三方确认的竣工图结算。</w:t>
      </w:r>
    </w:p>
    <w:p w14:paraId="0CEA8D8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综合单价包含的风险范围：</w:t>
      </w:r>
      <w:r>
        <w:rPr>
          <w:rFonts w:hint="eastAsia" w:ascii="宋体" w:hAnsi="宋体" w:eastAsia="宋体" w:cs="宋体"/>
          <w:color w:val="auto"/>
          <w:sz w:val="21"/>
          <w:szCs w:val="21"/>
          <w:highlight w:val="none"/>
          <w:u w:val="single"/>
        </w:rPr>
        <w:t>除工程变更、项目特征不符、工程量清单缺项、工程量偏差、政策性调整、本工程《承包人提供主要材料和设备一览表》中约定的材料和设备价格变动风险以外的其他风险因素。</w:t>
      </w:r>
    </w:p>
    <w:p w14:paraId="4A4192E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667286D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①工程变更、项目特征不符、工程量清单缺项：按10.4.1变更估价原则的约定调整。</w:t>
      </w:r>
    </w:p>
    <w:p w14:paraId="15F4CC1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②工程量偏差：按1.13工程量清单错误修正的约定调整。</w:t>
      </w:r>
    </w:p>
    <w:p w14:paraId="6B2D8A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③政策性调整：按自治区住房城乡建设厅或工程所在地住房城乡建设主管部门颁布的文件执行。</w:t>
      </w:r>
    </w:p>
    <w:p w14:paraId="412751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④材料价格风险：按11.1的约定调整。</w:t>
      </w:r>
    </w:p>
    <w:p w14:paraId="20315EF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⑤其它：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3F4808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w:t>
      </w:r>
    </w:p>
    <w:p w14:paraId="5E3CF26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总价包含的风险范围：包含除工程变更、政策性调整、</w:t>
      </w:r>
      <w:r>
        <w:rPr>
          <w:rFonts w:hint="eastAsia" w:ascii="宋体" w:hAnsi="宋体" w:eastAsia="宋体" w:cs="宋体"/>
          <w:color w:val="auto"/>
          <w:sz w:val="21"/>
          <w:szCs w:val="21"/>
          <w:highlight w:val="none"/>
          <w:u w:val="single"/>
        </w:rPr>
        <w:t xml:space="preserve">本工程《承包人提供主要材料和设备一览表》中约定的材料和设备价格变动风险以外的其他风险。除工程变更外，结算时不再对招标施工图对应的工程量重新计量    </w:t>
      </w:r>
      <w:r>
        <w:rPr>
          <w:rFonts w:hint="eastAsia" w:ascii="宋体" w:hAnsi="宋体" w:eastAsia="宋体" w:cs="宋体"/>
          <w:color w:val="auto"/>
          <w:sz w:val="21"/>
          <w:szCs w:val="21"/>
          <w:highlight w:val="none"/>
        </w:rPr>
        <w:t>。</w:t>
      </w:r>
    </w:p>
    <w:p w14:paraId="1C43276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风险范围以外合同价格的调整方法：</w:t>
      </w:r>
    </w:p>
    <w:p w14:paraId="3B546A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①工程变更：按10.4.1变更估价原则的约定调整。</w:t>
      </w:r>
    </w:p>
    <w:p w14:paraId="1ECDD5B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②政策性调整：按自治区住房城乡建设厅或工程所在地住房城乡建设主管部门颁布的文件执行。</w:t>
      </w:r>
    </w:p>
    <w:p w14:paraId="1E991FE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③材料价格风险：按11.1的约定调整。</w:t>
      </w:r>
    </w:p>
    <w:p w14:paraId="2220C3B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 4 \* GB3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其它：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57436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highlight w:val="none"/>
        </w:rPr>
        <w:t>（3）其他价格方式：</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64DD22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49" w:name="_Toc9850581"/>
      <w:bookmarkStart w:id="850" w:name="_Toc407135253"/>
      <w:r>
        <w:rPr>
          <w:rFonts w:hint="eastAsia" w:ascii="宋体" w:hAnsi="宋体" w:eastAsia="宋体" w:cs="宋体"/>
          <w:color w:val="auto"/>
          <w:highlight w:val="none"/>
        </w:rPr>
        <w:t>12.2 预付款</w:t>
      </w:r>
      <w:bookmarkEnd w:id="830"/>
      <w:bookmarkEnd w:id="831"/>
      <w:bookmarkEnd w:id="832"/>
      <w:bookmarkEnd w:id="849"/>
      <w:bookmarkEnd w:id="850"/>
    </w:p>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14:paraId="3F850BB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851" w:name="_Toc296891251"/>
      <w:bookmarkStart w:id="852" w:name="_Toc297048397"/>
      <w:bookmarkStart w:id="853" w:name="_Toc300935006"/>
      <w:bookmarkStart w:id="854" w:name="_Toc296891039"/>
      <w:bookmarkStart w:id="855" w:name="_Toc296944550"/>
      <w:bookmarkStart w:id="856" w:name="_Toc297120511"/>
      <w:bookmarkStart w:id="857" w:name="_Toc297123556"/>
      <w:bookmarkStart w:id="858" w:name="_Toc292559416"/>
      <w:bookmarkStart w:id="859" w:name="_Toc292559921"/>
      <w:bookmarkStart w:id="860" w:name="_Toc296346712"/>
      <w:bookmarkStart w:id="861" w:name="_Toc296347210"/>
      <w:bookmarkStart w:id="862" w:name="_Toc297216215"/>
      <w:bookmarkStart w:id="863" w:name="_Toc296503211"/>
      <w:bookmarkStart w:id="864" w:name="_Toc303539163"/>
      <w:r>
        <w:rPr>
          <w:rFonts w:hint="eastAsia" w:ascii="宋体" w:hAnsi="宋体" w:eastAsia="宋体" w:cs="宋体"/>
          <w:color w:val="auto"/>
          <w:sz w:val="21"/>
          <w:szCs w:val="21"/>
          <w:highlight w:val="none"/>
        </w:rPr>
        <w:t>12.2.1 预付款的支付</w:t>
      </w:r>
    </w:p>
    <w:p w14:paraId="7552E5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预付款支付比例或金额：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合同价款的30%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1F7285B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预付款支付期限：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自双方签订合同后</w:t>
      </w:r>
      <w:r>
        <w:rPr>
          <w:rFonts w:hint="eastAsia" w:ascii="宋体" w:hAnsi="宋体" w:eastAsia="宋体" w:cs="宋体"/>
          <w:color w:val="auto"/>
          <w:sz w:val="21"/>
          <w:szCs w:val="21"/>
          <w:highlight w:val="none"/>
        </w:rPr>
        <w:t>。</w:t>
      </w:r>
    </w:p>
    <w:p w14:paraId="5FFA92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预付款扣回的方式：</w:t>
      </w:r>
      <w:r>
        <w:rPr>
          <w:rFonts w:hint="eastAsia" w:ascii="宋体" w:hAnsi="宋体" w:eastAsia="宋体" w:cs="宋体"/>
          <w:color w:val="auto"/>
          <w:sz w:val="21"/>
          <w:szCs w:val="21"/>
          <w:highlight w:val="none"/>
          <w:u w:val="single"/>
          <w:lang w:eastAsia="zh-CN"/>
        </w:rPr>
        <w:t>第二次付款时，按工程进度支付并抵扣预付款</w:t>
      </w:r>
      <w:r>
        <w:rPr>
          <w:rFonts w:hint="eastAsia" w:ascii="宋体" w:hAnsi="宋体" w:eastAsia="宋体" w:cs="宋体"/>
          <w:color w:val="auto"/>
          <w:sz w:val="21"/>
          <w:szCs w:val="21"/>
          <w:highlight w:val="none"/>
        </w:rPr>
        <w:t>。</w:t>
      </w:r>
    </w:p>
    <w:p w14:paraId="1B05DA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12.2.2 预付款担保</w:t>
      </w:r>
    </w:p>
    <w:p w14:paraId="6E7E534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承包人提交预付款担保的期限：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6D0A7A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预付款担保的形式为：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2EB68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65" w:name="_Toc9850582"/>
      <w:bookmarkStart w:id="866" w:name="_Toc407135254"/>
      <w:bookmarkStart w:id="867" w:name="_Toc389065316"/>
      <w:bookmarkStart w:id="868" w:name="_Toc373478398"/>
      <w:bookmarkStart w:id="869" w:name="_Toc373227751"/>
      <w:r>
        <w:rPr>
          <w:rFonts w:hint="eastAsia" w:ascii="宋体" w:hAnsi="宋体" w:eastAsia="宋体" w:cs="宋体"/>
          <w:color w:val="auto"/>
          <w:highlight w:val="none"/>
        </w:rPr>
        <w:t>12.3 计量</w:t>
      </w:r>
      <w:bookmarkEnd w:id="865"/>
      <w:bookmarkEnd w:id="866"/>
      <w:bookmarkEnd w:id="867"/>
      <w:bookmarkEnd w:id="868"/>
      <w:bookmarkEnd w:id="869"/>
    </w:p>
    <w:p w14:paraId="6BF991C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12.3.1 计量原则</w:t>
      </w:r>
    </w:p>
    <w:p w14:paraId="474F37B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工程量计算规则：</w:t>
      </w:r>
      <w:r>
        <w:rPr>
          <w:rFonts w:hint="eastAsia" w:ascii="宋体" w:hAnsi="宋体" w:eastAsia="宋体" w:cs="宋体"/>
          <w:color w:val="auto"/>
          <w:sz w:val="21"/>
          <w:szCs w:val="21"/>
          <w:highlight w:val="none"/>
          <w:u w:val="single"/>
        </w:rPr>
        <w:t>工程的计量均以《建设工程工程量清单计价规范》（GB50500－2013）和及其广西壮族自治区实施细则、《建设工程工程量清单计算规范》（GB50854~50862－2013）及其广西实施细则、本工程补充项目清单为准。</w:t>
      </w:r>
    </w:p>
    <w:p w14:paraId="40D509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12.3.2 计量周期</w:t>
      </w:r>
    </w:p>
    <w:p w14:paraId="723DAF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关于计量周期的约定：</w:t>
      </w:r>
      <w:r>
        <w:rPr>
          <w:rFonts w:hint="eastAsia" w:ascii="宋体" w:hAnsi="宋体" w:eastAsia="宋体" w:cs="宋体"/>
          <w:color w:val="auto"/>
          <w:sz w:val="21"/>
          <w:szCs w:val="21"/>
          <w:highlight w:val="none"/>
          <w:u w:val="single"/>
        </w:rPr>
        <w:t>每月25日前</w:t>
      </w:r>
      <w:r>
        <w:rPr>
          <w:rFonts w:hint="eastAsia" w:ascii="宋体" w:hAnsi="宋体" w:eastAsia="宋体" w:cs="宋体"/>
          <w:color w:val="auto"/>
          <w:sz w:val="21"/>
          <w:szCs w:val="21"/>
          <w:highlight w:val="none"/>
        </w:rPr>
        <w:t>。</w:t>
      </w:r>
    </w:p>
    <w:p w14:paraId="4973B5BE">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12.3.3 单价合同的计量</w:t>
      </w:r>
    </w:p>
    <w:p w14:paraId="08E8AC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关于单价合同计量的约定：</w:t>
      </w:r>
    </w:p>
    <w:p w14:paraId="2C1FBA92">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4005DE5E">
      <w:pPr>
        <w:pageBreakBefore w:val="0"/>
        <w:widowControl w:val="0"/>
        <w:kinsoku/>
        <w:wordWrap w:val="0"/>
        <w:overflowPunct/>
        <w:topLinePunct w:val="0"/>
        <w:bidi w:val="0"/>
        <w:snapToGrid/>
        <w:spacing w:line="480" w:lineRule="exact"/>
        <w:ind w:firstLine="441" w:firstLineChars="21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0210D44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12.3.4 总价合同的计量</w:t>
      </w:r>
    </w:p>
    <w:p w14:paraId="5A69B7D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（1）总价合同计量约定：进度款按支付分解表支付</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支付分解表在招标完成后签合同之前制定，具体详见本专用合同条款12.4.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p>
    <w:p w14:paraId="67909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其他价格形式合同的计量</w:t>
      </w:r>
    </w:p>
    <w:p w14:paraId="70681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其他价格形式的计量方式和程序：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A3A6AA7">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0" w:name="_Toc389065317"/>
      <w:bookmarkStart w:id="871" w:name="_Toc9850583"/>
      <w:bookmarkStart w:id="872" w:name="_Toc373227752"/>
      <w:bookmarkStart w:id="873" w:name="_Toc407135255"/>
      <w:bookmarkStart w:id="874" w:name="_Toc373478399"/>
      <w:r>
        <w:rPr>
          <w:rFonts w:hint="eastAsia" w:ascii="宋体" w:hAnsi="宋体" w:eastAsia="宋体" w:cs="宋体"/>
          <w:color w:val="auto"/>
          <w:highlight w:val="none"/>
        </w:rPr>
        <w:t>12.4 工程进度款支付</w:t>
      </w:r>
      <w:bookmarkEnd w:id="870"/>
      <w:bookmarkEnd w:id="871"/>
      <w:bookmarkEnd w:id="872"/>
      <w:bookmarkEnd w:id="873"/>
      <w:bookmarkEnd w:id="874"/>
    </w:p>
    <w:p w14:paraId="28A2DA9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12.4.1 付款周期</w:t>
      </w:r>
    </w:p>
    <w:p w14:paraId="2B6A1B0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①工程进度款支付限额为已完成工程量的80%，合同外（工程变更部分和现场签证引起的费用等）进度款支付金额为已完成工程量的60%</w:t>
      </w:r>
      <w:r>
        <w:rPr>
          <w:rFonts w:hint="eastAsia" w:ascii="宋体" w:hAnsi="宋体" w:eastAsia="宋体" w:cs="宋体"/>
          <w:color w:val="auto"/>
          <w:sz w:val="21"/>
          <w:szCs w:val="21"/>
          <w:highlight w:val="none"/>
          <w:u w:val="none"/>
          <w:lang w:eastAsia="zh-CN"/>
        </w:rPr>
        <w:t>。</w:t>
      </w:r>
    </w:p>
    <w:p w14:paraId="63A86EB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single"/>
          <w:lang w:eastAsia="zh-CN"/>
        </w:rPr>
        <w:t>②工程竣工且验收合格后，发包人支付工程合同价款的</w:t>
      </w:r>
      <w:r>
        <w:rPr>
          <w:rFonts w:hint="eastAsia" w:ascii="宋体" w:hAnsi="宋体" w:eastAsia="宋体" w:cs="宋体"/>
          <w:color w:val="auto"/>
          <w:sz w:val="21"/>
          <w:szCs w:val="21"/>
          <w:highlight w:val="none"/>
          <w:u w:val="single"/>
          <w:lang w:val="en-US" w:eastAsia="zh-CN"/>
        </w:rPr>
        <w:t>90</w:t>
      </w:r>
      <w:r>
        <w:rPr>
          <w:rFonts w:hint="eastAsia" w:ascii="宋体" w:hAnsi="宋体" w:eastAsia="宋体" w:cs="宋体"/>
          <w:color w:val="auto"/>
          <w:sz w:val="21"/>
          <w:szCs w:val="21"/>
          <w:highlight w:val="none"/>
          <w:u w:val="single"/>
          <w:lang w:eastAsia="zh-CN"/>
        </w:rPr>
        <w:t>%作为工程款</w:t>
      </w:r>
      <w:r>
        <w:rPr>
          <w:rFonts w:hint="eastAsia" w:ascii="宋体" w:hAnsi="宋体" w:eastAsia="宋体" w:cs="宋体"/>
          <w:color w:val="auto"/>
          <w:sz w:val="21"/>
          <w:szCs w:val="21"/>
          <w:highlight w:val="none"/>
          <w:u w:val="none"/>
          <w:lang w:eastAsia="zh-CN"/>
        </w:rPr>
        <w:t>。</w:t>
      </w:r>
    </w:p>
    <w:p w14:paraId="7210762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val="en-US" w:eastAsia="zh-CN"/>
        </w:rPr>
      </w:pPr>
      <w:r>
        <w:rPr>
          <w:rFonts w:hint="default" w:ascii="宋体" w:hAnsi="宋体" w:eastAsia="宋体" w:cs="宋体"/>
          <w:color w:val="auto"/>
          <w:sz w:val="21"/>
          <w:szCs w:val="21"/>
          <w:highlight w:val="none"/>
          <w:u w:val="single"/>
          <w:lang w:val="en-US" w:eastAsia="zh-CN"/>
        </w:rPr>
        <w:t>③竣工结算审计后，发包人支付至结算审定价款的97%。剩余3%作为工程质量保证金，待工程缺陷责任期满经双方复检书面确认乙方无违约行为后，甲方支付至工程结算价款的100%</w:t>
      </w:r>
      <w:r>
        <w:rPr>
          <w:rFonts w:hint="eastAsia" w:ascii="宋体" w:hAnsi="宋体" w:eastAsia="宋体" w:cs="宋体"/>
          <w:color w:val="auto"/>
          <w:sz w:val="21"/>
          <w:szCs w:val="21"/>
          <w:highlight w:val="none"/>
          <w:u w:val="none"/>
          <w:lang w:val="en-US" w:eastAsia="zh-CN"/>
        </w:rPr>
        <w:t>。</w:t>
      </w:r>
    </w:p>
    <w:p w14:paraId="407AF89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u w:val="single"/>
          <w:lang w:eastAsia="zh-CN"/>
        </w:rPr>
        <w:t>④合同约定的工程质量缺陷责任期（</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lang w:eastAsia="zh-CN"/>
        </w:rPr>
        <w:t>）满后由承包人向发包人提出返还保证金的申请，发包人在接到承包人返还保证金申请后，于14天内会同承包人按照合同约定的内容进行核实。如无异议，发包人在核实后14天内将保证金返还承包人，逾期未返还的，依法承担违约责任。发包人在接到承包人返还保证金申请后14天内不予答复，经催告后14天内仍不予答复，视同认可承包人的返还保证金申请。(承包方请款时按照附件要求提供相应材料）</w:t>
      </w:r>
    </w:p>
    <w:p w14:paraId="55A2793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12.4.2 进度付款申请单的编制</w:t>
      </w:r>
    </w:p>
    <w:p w14:paraId="7456505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关于进度付款申请单编制的约定：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858EEF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Fonts w:hint="eastAsia" w:ascii="宋体" w:hAnsi="宋体" w:eastAsia="宋体" w:cs="宋体"/>
          <w:color w:val="auto"/>
          <w:sz w:val="21"/>
          <w:szCs w:val="21"/>
          <w:highlight w:val="none"/>
        </w:rPr>
        <w:t>2.4.3 进度付款申请单的提交</w:t>
      </w:r>
    </w:p>
    <w:p w14:paraId="62FB2217">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（1）单价合同进度付款申请单提交的约定：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由建设单位指定材料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7C4F17C">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（2）总价合同进度付款申请单提交的约定：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EB627F">
      <w:pPr>
        <w:pageBreakBefore w:val="0"/>
        <w:widowControl w:val="0"/>
        <w:kinsoku/>
        <w:wordWrap w:val="0"/>
        <w:overflowPunct/>
        <w:topLinePunct w:val="0"/>
        <w:bidi w:val="0"/>
        <w:snapToGrid/>
        <w:spacing w:line="480" w:lineRule="exact"/>
        <w:ind w:firstLine="210" w:firstLineChars="1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（3）其他价格形式合同进度付款申请单提交的约定：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31B8FD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12.4.4 进度款审核和支付</w:t>
      </w:r>
    </w:p>
    <w:p w14:paraId="7AD4700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（1）监理人审查并报送发包人的期限：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28C74F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发包人完成审批并签发进度款支付证书的期限：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7天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952BEB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（2）发包人支付进度款的期限：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B123CA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发包人逾期支付进度款的违约金的计算方式：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84F1BD3">
      <w:pPr>
        <w:pageBreakBefore w:val="0"/>
        <w:widowControl w:val="0"/>
        <w:kinsoku/>
        <w:wordWrap w:val="0"/>
        <w:overflowPunct/>
        <w:topLinePunct w:val="0"/>
        <w:bidi w:val="0"/>
        <w:snapToGrid/>
        <w:spacing w:line="480" w:lineRule="exact"/>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进度款支付方式：</w:t>
      </w:r>
      <w:r>
        <w:rPr>
          <w:rFonts w:hint="eastAsia" w:ascii="宋体" w:hAnsi="宋体" w:eastAsia="宋体" w:cs="宋体"/>
          <w:color w:val="auto"/>
          <w:sz w:val="21"/>
          <w:szCs w:val="21"/>
          <w:highlight w:val="none"/>
          <w:u w:val="single"/>
        </w:rPr>
        <w:t>银行转账</w:t>
      </w:r>
      <w:r>
        <w:rPr>
          <w:rFonts w:hint="eastAsia" w:ascii="宋体" w:hAnsi="宋体" w:eastAsia="宋体" w:cs="宋体"/>
          <w:color w:val="auto"/>
          <w:sz w:val="21"/>
          <w:szCs w:val="21"/>
          <w:highlight w:val="none"/>
        </w:rPr>
        <w:t>。</w:t>
      </w:r>
    </w:p>
    <w:p w14:paraId="394D141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农民工工资支付</w:t>
      </w:r>
    </w:p>
    <w:p w14:paraId="4E160E4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农民工工资应与其它工程进度款分帐管理。承包人向发包人申请工程进度款时必须把工人工资部分单独列明，如果未单独列明，监理单位不得签支付证书等支付工程款的手续，发包人单位不得审批和支付工程款。发包人必须把工程款分帐出来的农民工工资转入承包人工人工资支付专用账户专户。</w:t>
      </w:r>
    </w:p>
    <w:p w14:paraId="7DC285E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kern w:val="0"/>
          <w:sz w:val="21"/>
          <w:szCs w:val="21"/>
          <w:highlight w:val="none"/>
          <w:lang w:eastAsia="zh-CN"/>
        </w:rPr>
        <w:t>发包人依据合同规定向承包人支付合同价</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eastAsia="zh-CN"/>
        </w:rPr>
        <w:t>0%的预付款项时，将预付款的20%转入承包人工人工资专户，其余预付款转入承包人指定账户（工人工资专户除外）。发包人依据工程进度，按承包人所列的农民工工资数额，将工程项目人工费支付到承包人的工人工资专户，其余工程进度款转入承包人指定账户（工人工资专户除外）</w:t>
      </w:r>
      <w:r>
        <w:rPr>
          <w:rFonts w:hint="eastAsia" w:ascii="宋体" w:hAnsi="宋体" w:eastAsia="宋体" w:cs="宋体"/>
          <w:color w:val="auto"/>
          <w:kern w:val="0"/>
          <w:sz w:val="21"/>
          <w:szCs w:val="21"/>
          <w:highlight w:val="none"/>
        </w:rPr>
        <w:t>。</w:t>
      </w:r>
    </w:p>
    <w:p w14:paraId="667C4A5D">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）凡未向付款单位提供农民工工资专户的，或者请款单位在申请工程进度款时未将人工费单列的，付款单位有权拒绝支付工程进度款。</w:t>
      </w:r>
    </w:p>
    <w:p w14:paraId="21CB55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）农民工工资使用要求：专款专用，除发放工人工资外，不得用于其他用途。</w:t>
      </w:r>
    </w:p>
    <w:p w14:paraId="4AA930F2">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）承包人将农民工工资支付情况定期报告发包人和监理单位，并提供相应的材料接受建设行政主管部门和劳动保障行政主管部门对此事项监管。</w:t>
      </w:r>
    </w:p>
    <w:p w14:paraId="097D404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）农民工工资支付专用账户：</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p>
    <w:p w14:paraId="75D7E11B">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账号：</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开户行</w:t>
      </w:r>
      <w:r>
        <w:rPr>
          <w:rFonts w:hint="eastAsia" w:ascii="宋体" w:hAnsi="宋体" w:eastAsia="宋体" w:cs="宋体"/>
          <w:color w:val="auto"/>
          <w:kern w:val="0"/>
          <w:sz w:val="21"/>
          <w:szCs w:val="21"/>
          <w:highlight w:val="none"/>
          <w:u w:val="single"/>
          <w:lang w:val="en-US" w:eastAsia="zh-CN"/>
        </w:rPr>
        <w:t xml:space="preserve">： </w:t>
      </w:r>
      <w:r>
        <w:rPr>
          <w:rStyle w:val="22"/>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lang w:val="en-US" w:eastAsia="zh-CN"/>
        </w:rPr>
        <w:t>。</w:t>
      </w:r>
    </w:p>
    <w:p w14:paraId="1C4434E3">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12.4.</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 xml:space="preserve"> 支付分解表的编制</w:t>
      </w:r>
    </w:p>
    <w:p w14:paraId="2EF70C94">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 总价合同支付分解表的编制与审批：</w:t>
      </w:r>
      <w:r>
        <w:rPr>
          <w:rFonts w:hint="eastAsia" w:ascii="宋体" w:hAnsi="宋体" w:eastAsia="宋体" w:cs="宋体"/>
          <w:color w:val="auto"/>
          <w:sz w:val="21"/>
          <w:szCs w:val="21"/>
          <w:highlight w:val="none"/>
          <w:u w:val="single"/>
        </w:rPr>
        <w:t xml:space="preserve">  总价合同支付分分解表在招标完成后由发包人和承包人共同编制，发包人审批，并作为本合同内容。</w:t>
      </w:r>
    </w:p>
    <w:p w14:paraId="4EC1755B">
      <w:pPr>
        <w:pageBreakBefore w:val="0"/>
        <w:widowControl w:val="0"/>
        <w:kinsoku/>
        <w:wordWrap w:val="0"/>
        <w:overflowPunct/>
        <w:topLinePunct w:val="0"/>
        <w:bidi w:val="0"/>
        <w:snapToGrid/>
        <w:spacing w:line="480" w:lineRule="exact"/>
        <w:ind w:firstLine="525" w:firstLineChars="2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（2）单价合同的总价项目支付分解表的编制与审批：总价项目不采用支付分解表的方式计算，而按《建设工程工程量清单计价规范（GB50500-2013）广西壮族自治区实施细则》的规定执行。</w:t>
      </w:r>
    </w:p>
    <w:bookmarkEnd w:id="639"/>
    <w:p w14:paraId="13A71203">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75" w:name="_Toc373227753"/>
      <w:bookmarkStart w:id="876" w:name="_Toc373478400"/>
      <w:bookmarkStart w:id="877" w:name="_Toc389065318"/>
      <w:bookmarkStart w:id="878" w:name="_Toc351203645"/>
      <w:bookmarkStart w:id="879" w:name="_Toc407135256"/>
      <w:bookmarkStart w:id="880" w:name="_Toc9850584"/>
      <w:bookmarkStart w:id="881" w:name="_Toc296347218"/>
      <w:bookmarkStart w:id="882" w:name="_Toc297120519"/>
      <w:bookmarkStart w:id="883" w:name="_Toc304295593"/>
      <w:bookmarkStart w:id="884" w:name="_Toc297216223"/>
      <w:bookmarkStart w:id="885" w:name="_Toc292559929"/>
      <w:bookmarkStart w:id="886" w:name="_Toc297123564"/>
      <w:bookmarkStart w:id="887" w:name="_Toc296346720"/>
      <w:bookmarkStart w:id="888" w:name="_Toc296891047"/>
      <w:bookmarkStart w:id="889" w:name="_Toc303539172"/>
      <w:bookmarkStart w:id="890" w:name="_Toc296891259"/>
      <w:bookmarkStart w:id="891" w:name="_Toc296944558"/>
      <w:bookmarkStart w:id="892" w:name="_Toc292559424"/>
      <w:bookmarkStart w:id="893" w:name="_Toc300935015"/>
      <w:bookmarkStart w:id="894" w:name="_Toc297048405"/>
      <w:bookmarkStart w:id="895" w:name="_Toc296503219"/>
      <w:bookmarkStart w:id="896" w:name="_Toc312678053"/>
      <w:r>
        <w:rPr>
          <w:rFonts w:hint="eastAsia" w:ascii="宋体" w:hAnsi="宋体" w:eastAsia="宋体" w:cs="宋体"/>
          <w:color w:val="auto"/>
          <w:highlight w:val="none"/>
        </w:rPr>
        <w:t>13. 验收和工程试车</w:t>
      </w:r>
      <w:bookmarkEnd w:id="875"/>
      <w:bookmarkEnd w:id="876"/>
      <w:bookmarkEnd w:id="877"/>
      <w:bookmarkEnd w:id="878"/>
      <w:bookmarkEnd w:id="879"/>
      <w:bookmarkEnd w:id="880"/>
    </w:p>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14:paraId="5D2C80C9">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897" w:name="_Toc407135257"/>
      <w:bookmarkStart w:id="898" w:name="_Toc389065319"/>
      <w:bookmarkStart w:id="899" w:name="_Toc9850585"/>
      <w:bookmarkStart w:id="900" w:name="_Toc373478401"/>
      <w:bookmarkStart w:id="901" w:name="_Toc373227754"/>
      <w:r>
        <w:rPr>
          <w:rFonts w:hint="eastAsia" w:ascii="宋体" w:hAnsi="宋体" w:eastAsia="宋体" w:cs="宋体"/>
          <w:color w:val="auto"/>
          <w:highlight w:val="none"/>
        </w:rPr>
        <w:t>13.1 分部分项工程验收</w:t>
      </w:r>
      <w:bookmarkEnd w:id="897"/>
      <w:bookmarkEnd w:id="898"/>
      <w:bookmarkEnd w:id="899"/>
      <w:bookmarkEnd w:id="900"/>
      <w:bookmarkEnd w:id="901"/>
    </w:p>
    <w:p w14:paraId="34DB0A8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监理人不能按时进行验收时，应提前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rPr>
        <w:t>小时提交书面延期要求。</w:t>
      </w:r>
    </w:p>
    <w:p w14:paraId="31261DD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关于延期最长不得超过：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小时。</w:t>
      </w:r>
    </w:p>
    <w:p w14:paraId="43F9DA9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02" w:name="_Toc389065320"/>
      <w:bookmarkStart w:id="903" w:name="_Toc373227755"/>
      <w:bookmarkStart w:id="904" w:name="_Toc407135258"/>
      <w:bookmarkStart w:id="905" w:name="_Toc9850586"/>
      <w:bookmarkStart w:id="906" w:name="_Toc373478402"/>
      <w:bookmarkStart w:id="907" w:name="_Toc296891051"/>
      <w:bookmarkStart w:id="908" w:name="_Toc292559428"/>
      <w:bookmarkStart w:id="909" w:name="_Toc296346724"/>
      <w:bookmarkStart w:id="910" w:name="_Toc312678056"/>
      <w:bookmarkStart w:id="911" w:name="_Toc297120523"/>
      <w:bookmarkStart w:id="912" w:name="_Toc297048409"/>
      <w:bookmarkStart w:id="913" w:name="_Toc303539173"/>
      <w:bookmarkStart w:id="914" w:name="_Toc296891263"/>
      <w:bookmarkStart w:id="915" w:name="_Toc296944562"/>
      <w:bookmarkStart w:id="916" w:name="_Toc297216224"/>
      <w:bookmarkStart w:id="917" w:name="_Toc292559933"/>
      <w:bookmarkStart w:id="918" w:name="_Toc297123565"/>
      <w:bookmarkStart w:id="919" w:name="_Toc304295596"/>
      <w:bookmarkStart w:id="920" w:name="_Toc296503223"/>
      <w:bookmarkStart w:id="921" w:name="_Toc300935016"/>
      <w:bookmarkStart w:id="922" w:name="_Toc296347222"/>
      <w:bookmarkStart w:id="923" w:name="_Toc267251473"/>
      <w:bookmarkStart w:id="924" w:name="_Toc267251475"/>
      <w:bookmarkStart w:id="925" w:name="_Toc267251472"/>
      <w:bookmarkStart w:id="926" w:name="_Toc267251471"/>
      <w:bookmarkStart w:id="927" w:name="_Toc267251470"/>
      <w:bookmarkStart w:id="928" w:name="_Toc267251474"/>
      <w:bookmarkStart w:id="929" w:name="_Toc267251476"/>
      <w:r>
        <w:rPr>
          <w:rFonts w:hint="eastAsia" w:ascii="宋体" w:hAnsi="宋体" w:eastAsia="宋体" w:cs="宋体"/>
          <w:color w:val="auto"/>
          <w:highlight w:val="none"/>
        </w:rPr>
        <w:t>13.2 竣工验收</w:t>
      </w:r>
      <w:bookmarkEnd w:id="902"/>
      <w:bookmarkEnd w:id="903"/>
      <w:bookmarkEnd w:id="904"/>
      <w:bookmarkEnd w:id="905"/>
      <w:bookmarkEnd w:id="906"/>
    </w:p>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14:paraId="7B87AEE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bookmarkStart w:id="930" w:name="_Toc280868704"/>
      <w:bookmarkStart w:id="931" w:name="_Toc280868705"/>
      <w:bookmarkStart w:id="932" w:name="_Toc280868706"/>
      <w:bookmarkStart w:id="933" w:name="_Toc280868707"/>
      <w:bookmarkStart w:id="934" w:name="_Toc280868708"/>
      <w:bookmarkStart w:id="935" w:name="_Toc280868709"/>
      <w:r>
        <w:rPr>
          <w:rFonts w:hint="eastAsia" w:ascii="宋体" w:hAnsi="宋体" w:eastAsia="宋体" w:cs="宋体"/>
          <w:color w:val="auto"/>
          <w:sz w:val="21"/>
          <w:szCs w:val="21"/>
          <w:highlight w:val="none"/>
        </w:rPr>
        <w:t>13.2.1竣工验收条件</w:t>
      </w:r>
    </w:p>
    <w:p w14:paraId="1D2BA626">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）承包人负责整理和提交的竣工验收资料应当符合工程所在地建设行政主管部门和(或)城市建设档案管理机构有关施工资料的要求，具体内容包括：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质量材料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548D6A8">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竣工验收资料的份数：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7788B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承包人提供竣工图的约定：</w:t>
      </w:r>
      <w:r>
        <w:rPr>
          <w:rFonts w:hint="eastAsia" w:ascii="宋体" w:hAnsi="宋体" w:eastAsia="宋体" w:cs="宋体"/>
          <w:color w:val="auto"/>
          <w:sz w:val="21"/>
          <w:szCs w:val="21"/>
          <w:highlight w:val="none"/>
          <w:u w:val="single"/>
        </w:rPr>
        <w:t>竣工验收正式通过后5天（工程造价在500万元以下含500万元）、10天（工程造价在500万元至1000万元之间含1000万元）、15天（工程造价在1000万元以上），提供竣工图的数量分别为2套、4套、6套。</w:t>
      </w:r>
    </w:p>
    <w:p w14:paraId="2195586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13.2.2竣工验收程序</w:t>
      </w:r>
    </w:p>
    <w:bookmarkEnd w:id="930"/>
    <w:p w14:paraId="67254F5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关于竣工验收程序的约定：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由建设单位组织验收</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1E3C5A4">
      <w:pPr>
        <w:pageBreakBefore w:val="0"/>
        <w:widowControl w:val="0"/>
        <w:kinsoku/>
        <w:wordWrap w:val="0"/>
        <w:overflowPunct/>
        <w:topLinePunct w:val="0"/>
        <w:bidi w:val="0"/>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发包人不按照本项约定组织竣工验收、颁发工程接收证书的违约金的计算方法：</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1"/>
    <w:p w14:paraId="140680F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移交、接收全部与部分工程</w:t>
      </w:r>
    </w:p>
    <w:bookmarkEnd w:id="932"/>
    <w:p w14:paraId="49718B7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承包人向发包人移交工程的期限：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4FA90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发包人未按本合同约定接收全部或部分工程的，违约金的计算方法为：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33"/>
    <w:p w14:paraId="0A0ABE2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highlight w:val="none"/>
          <w:u w:val="single"/>
        </w:rPr>
      </w:pPr>
      <w:r>
        <w:rPr>
          <w:rFonts w:hint="eastAsia" w:ascii="宋体" w:hAnsi="宋体" w:eastAsia="宋体" w:cs="宋体"/>
          <w:color w:val="auto"/>
          <w:sz w:val="21"/>
          <w:szCs w:val="21"/>
          <w:highlight w:val="none"/>
        </w:rPr>
        <w:t>承包人未按时移交工程的，违约金的计算方法为：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按照通用条款和现行法律法规要求执行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07E9A51">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36" w:name="_Toc407135259"/>
      <w:bookmarkStart w:id="937" w:name="_Toc373478403"/>
      <w:bookmarkStart w:id="938" w:name="_Toc373227756"/>
      <w:bookmarkStart w:id="939" w:name="_Toc389065321"/>
      <w:bookmarkStart w:id="940" w:name="_Toc9850587"/>
      <w:r>
        <w:rPr>
          <w:rFonts w:hint="eastAsia" w:ascii="宋体" w:hAnsi="宋体" w:eastAsia="宋体" w:cs="宋体"/>
          <w:color w:val="auto"/>
          <w:highlight w:val="none"/>
        </w:rPr>
        <w:t>13.3 工程试车</w:t>
      </w:r>
      <w:bookmarkEnd w:id="936"/>
      <w:bookmarkEnd w:id="937"/>
      <w:bookmarkEnd w:id="938"/>
      <w:bookmarkEnd w:id="939"/>
      <w:bookmarkEnd w:id="940"/>
    </w:p>
    <w:bookmarkEnd w:id="934"/>
    <w:p w14:paraId="1DF03C9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13.3.1 试车程序</w:t>
      </w:r>
    </w:p>
    <w:p w14:paraId="03E423B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工程试车内容：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FD61F5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（1）单机无负荷试车费用由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509D435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（2）无负荷联动试车费用由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承担。</w:t>
      </w:r>
    </w:p>
    <w:p w14:paraId="344041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13.3.</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投料试车</w:t>
      </w:r>
    </w:p>
    <w:p w14:paraId="4272D78C">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rPr>
        <w:t>关于投料试车相关事项的约定：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841FFF3">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1" w:name="_Toc389065322"/>
      <w:bookmarkStart w:id="942" w:name="_Toc9850588"/>
      <w:bookmarkStart w:id="943" w:name="_Toc373478404"/>
      <w:bookmarkStart w:id="944" w:name="_Toc373227757"/>
      <w:bookmarkStart w:id="945" w:name="_Toc407135260"/>
      <w:r>
        <w:rPr>
          <w:rFonts w:hint="eastAsia" w:ascii="宋体" w:hAnsi="宋体" w:eastAsia="宋体" w:cs="宋体"/>
          <w:color w:val="auto"/>
          <w:highlight w:val="none"/>
        </w:rPr>
        <w:t>13.</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竣工退场</w:t>
      </w:r>
      <w:bookmarkEnd w:id="941"/>
      <w:bookmarkEnd w:id="942"/>
      <w:bookmarkEnd w:id="943"/>
      <w:bookmarkEnd w:id="944"/>
      <w:bookmarkEnd w:id="945"/>
    </w:p>
    <w:p w14:paraId="73D268E0">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13.</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.1 竣工退场</w:t>
      </w:r>
    </w:p>
    <w:p w14:paraId="60029A7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承包人完成竣工退场的期限：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自竣工验收合格之日起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30B009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46" w:name="_Toc407135261"/>
      <w:bookmarkStart w:id="947" w:name="_Toc389065323"/>
      <w:bookmarkStart w:id="948" w:name="_Toc373478405"/>
      <w:bookmarkStart w:id="949" w:name="_Toc9850589"/>
      <w:bookmarkStart w:id="950" w:name="_Toc373227758"/>
      <w:bookmarkStart w:id="951" w:name="_Toc351203646"/>
      <w:r>
        <w:rPr>
          <w:rFonts w:hint="eastAsia" w:ascii="宋体" w:hAnsi="宋体" w:eastAsia="宋体" w:cs="宋体"/>
          <w:color w:val="auto"/>
          <w:highlight w:val="none"/>
        </w:rPr>
        <w:t>14. 竣工结算</w:t>
      </w:r>
      <w:bookmarkEnd w:id="946"/>
      <w:bookmarkEnd w:id="947"/>
      <w:bookmarkEnd w:id="948"/>
      <w:bookmarkEnd w:id="949"/>
      <w:bookmarkEnd w:id="950"/>
      <w:bookmarkEnd w:id="951"/>
    </w:p>
    <w:p w14:paraId="517A60A2">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2" w:name="_Toc389065324"/>
      <w:bookmarkStart w:id="953" w:name="_Toc373478406"/>
      <w:bookmarkStart w:id="954" w:name="_Toc407135262"/>
      <w:bookmarkStart w:id="955" w:name="_Toc9850590"/>
      <w:bookmarkStart w:id="956" w:name="_Toc373227759"/>
      <w:r>
        <w:rPr>
          <w:rFonts w:hint="eastAsia" w:ascii="宋体" w:hAnsi="宋体" w:eastAsia="宋体" w:cs="宋体"/>
          <w:color w:val="auto"/>
          <w:highlight w:val="none"/>
        </w:rPr>
        <w:t>14.1 竣工付款申请</w:t>
      </w:r>
      <w:bookmarkEnd w:id="952"/>
      <w:bookmarkEnd w:id="953"/>
      <w:bookmarkEnd w:id="954"/>
      <w:bookmarkEnd w:id="955"/>
      <w:bookmarkEnd w:id="956"/>
    </w:p>
    <w:p w14:paraId="0E8C556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承包人提交竣工付款申请单的期限：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9924EA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竣工付款申请单应包括的内容：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340063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57" w:name="_Toc9850591"/>
      <w:bookmarkStart w:id="958" w:name="_Toc407135263"/>
      <w:bookmarkStart w:id="959" w:name="_Toc373478407"/>
      <w:bookmarkStart w:id="960" w:name="_Toc373227760"/>
      <w:bookmarkStart w:id="961" w:name="_Toc389065325"/>
      <w:r>
        <w:rPr>
          <w:rFonts w:hint="eastAsia" w:ascii="宋体" w:hAnsi="宋体" w:eastAsia="宋体" w:cs="宋体"/>
          <w:color w:val="auto"/>
          <w:highlight w:val="none"/>
        </w:rPr>
        <w:t>14.2 竣工结算审核</w:t>
      </w:r>
      <w:bookmarkEnd w:id="957"/>
      <w:bookmarkEnd w:id="958"/>
      <w:bookmarkEnd w:id="959"/>
      <w:bookmarkEnd w:id="960"/>
      <w:bookmarkEnd w:id="961"/>
    </w:p>
    <w:p w14:paraId="148B613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发包人审批竣工付款申请单的期限：</w:t>
      </w:r>
    </w:p>
    <w:tbl>
      <w:tblPr>
        <w:tblStyle w:val="20"/>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719A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C559E13">
            <w:pPr>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p>
        </w:tc>
        <w:tc>
          <w:tcPr>
            <w:tcW w:w="2466" w:type="dxa"/>
            <w:noWrap w:val="0"/>
            <w:vAlign w:val="center"/>
          </w:tcPr>
          <w:p w14:paraId="1085DF7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工程竣工结算报告金额</w:t>
            </w:r>
          </w:p>
        </w:tc>
        <w:tc>
          <w:tcPr>
            <w:tcW w:w="5967" w:type="dxa"/>
            <w:noWrap w:val="0"/>
            <w:vAlign w:val="center"/>
          </w:tcPr>
          <w:p w14:paraId="312F7115">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发包人审查时间</w:t>
            </w:r>
          </w:p>
        </w:tc>
      </w:tr>
      <w:tr w14:paraId="222E5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01211D18">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466" w:type="dxa"/>
            <w:noWrap w:val="0"/>
            <w:vAlign w:val="center"/>
          </w:tcPr>
          <w:p w14:paraId="42FAC8DB">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500万元以下</w:t>
            </w:r>
          </w:p>
        </w:tc>
        <w:tc>
          <w:tcPr>
            <w:tcW w:w="5967" w:type="dxa"/>
            <w:noWrap w:val="0"/>
            <w:vAlign w:val="center"/>
          </w:tcPr>
          <w:p w14:paraId="1A14C1C6">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从接到竣工结算报告和完整的竣工结算资料之日起20天</w:t>
            </w:r>
          </w:p>
        </w:tc>
      </w:tr>
      <w:tr w14:paraId="7641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A2D703">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466" w:type="dxa"/>
            <w:noWrap w:val="0"/>
            <w:vAlign w:val="center"/>
          </w:tcPr>
          <w:p w14:paraId="4CCB8668">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500万元-2000万元</w:t>
            </w:r>
          </w:p>
        </w:tc>
        <w:tc>
          <w:tcPr>
            <w:tcW w:w="5967" w:type="dxa"/>
            <w:noWrap w:val="0"/>
            <w:vAlign w:val="center"/>
          </w:tcPr>
          <w:p w14:paraId="21FBE053">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从接到竣工结算报告和完整的竣工结算资料之日起30天</w:t>
            </w:r>
          </w:p>
        </w:tc>
      </w:tr>
      <w:tr w14:paraId="3DBF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9F1B90B">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466" w:type="dxa"/>
            <w:noWrap w:val="0"/>
            <w:vAlign w:val="center"/>
          </w:tcPr>
          <w:p w14:paraId="0888E32D">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2000万元-5000万元</w:t>
            </w:r>
          </w:p>
        </w:tc>
        <w:tc>
          <w:tcPr>
            <w:tcW w:w="5967" w:type="dxa"/>
            <w:noWrap w:val="0"/>
            <w:vAlign w:val="center"/>
          </w:tcPr>
          <w:p w14:paraId="558C5A48">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从接到竣工结算报告和完整的竣工结算资料之日起45天</w:t>
            </w:r>
          </w:p>
        </w:tc>
      </w:tr>
      <w:tr w14:paraId="686E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27F57B7">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466" w:type="dxa"/>
            <w:noWrap w:val="0"/>
            <w:vAlign w:val="center"/>
          </w:tcPr>
          <w:p w14:paraId="62EF4F1F">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5000万元以上</w:t>
            </w:r>
          </w:p>
        </w:tc>
        <w:tc>
          <w:tcPr>
            <w:tcW w:w="5967" w:type="dxa"/>
            <w:noWrap w:val="0"/>
            <w:vAlign w:val="center"/>
          </w:tcPr>
          <w:p w14:paraId="709FB421">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从接到竣工结算报告和完整的竣工结算资料之日起60天</w:t>
            </w:r>
          </w:p>
        </w:tc>
      </w:tr>
      <w:tr w14:paraId="0DE1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65943786">
            <w:pPr>
              <w:pageBreakBefore w:val="0"/>
              <w:widowControl w:val="0"/>
              <w:kinsoku/>
              <w:wordWrap w:val="0"/>
              <w:overflowPunct/>
              <w:topLinePunct w:val="0"/>
              <w:bidi w:val="0"/>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466" w:type="dxa"/>
            <w:noWrap w:val="0"/>
            <w:vAlign w:val="center"/>
          </w:tcPr>
          <w:p w14:paraId="2156092E">
            <w:pPr>
              <w:pageBreakBefore w:val="0"/>
              <w:widowControl w:val="0"/>
              <w:kinsoku/>
              <w:wordWrap w:val="0"/>
              <w:overflowPunct/>
              <w:topLinePunct w:val="0"/>
              <w:bidi w:val="0"/>
              <w:snapToGrid/>
              <w:spacing w:line="480" w:lineRule="exact"/>
              <w:ind w:firstLine="27" w:firstLineChars="1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5000万以上每增加0.5亿(不足0.5亿不增加)</w:t>
            </w:r>
          </w:p>
        </w:tc>
        <w:tc>
          <w:tcPr>
            <w:tcW w:w="5967" w:type="dxa"/>
            <w:noWrap w:val="0"/>
            <w:vAlign w:val="center"/>
          </w:tcPr>
          <w:p w14:paraId="3A24FED0">
            <w:pPr>
              <w:pageBreakBefore w:val="0"/>
              <w:widowControl w:val="0"/>
              <w:kinsoku/>
              <w:wordWrap w:val="0"/>
              <w:overflowPunct/>
              <w:topLinePunct w:val="0"/>
              <w:bidi w:val="0"/>
              <w:snapToGrid/>
              <w:spacing w:line="480" w:lineRule="exact"/>
              <w:ind w:firstLine="441" w:firstLineChars="21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增加10天</w:t>
            </w:r>
          </w:p>
        </w:tc>
      </w:tr>
    </w:tbl>
    <w:p w14:paraId="3551A05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因承包人提供的结算资料不完整而需要补充或承包人不按时对账耽误时间时，审查时间应相应顺延。</w:t>
      </w:r>
    </w:p>
    <w:p w14:paraId="750E5ABE">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竣工结算审核约定：</w:t>
      </w:r>
    </w:p>
    <w:p w14:paraId="23A64977">
      <w:pPr>
        <w:pageBreakBefore w:val="0"/>
        <w:widowControl w:val="0"/>
        <w:kinsoku/>
        <w:wordWrap w:val="0"/>
        <w:overflowPunct/>
        <w:topLinePunct w:val="0"/>
        <w:bidi w:val="0"/>
        <w:snapToGrid/>
        <w:spacing w:line="480" w:lineRule="exact"/>
        <w:ind w:firstLine="411" w:firstLineChars="196"/>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1、工程竣工验收报告经发包人认可后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天内，承包人向发包人递交竣工验收合格资料及完整的结算资料和报告，双方按照本工程合同约定的价格形式及价款调整办法进行工程竣工结算。2、发包人收到承包人递交的竣工结算报告及结算资料之日起   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7日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  </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 xml:space="preserve"> 天内，发包人按审定后的竣工结算价款，通知经办银行向承包人支付结算价款。</w:t>
      </w:r>
    </w:p>
    <w:p w14:paraId="7EE6711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备注：对于国有投资项目结算审核约定，双方可结合各地政府或有关部门出台的管理规定进行局部调整</w:t>
      </w:r>
    </w:p>
    <w:p w14:paraId="7E1F53AC">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2" w:name="_Toc407135264"/>
      <w:bookmarkStart w:id="963" w:name="_Toc373478408"/>
      <w:bookmarkStart w:id="964" w:name="_Toc389065326"/>
      <w:bookmarkStart w:id="965" w:name="_Toc9850592"/>
      <w:bookmarkStart w:id="966" w:name="_Toc373227761"/>
      <w:r>
        <w:rPr>
          <w:rFonts w:hint="eastAsia" w:ascii="宋体" w:hAnsi="宋体" w:eastAsia="宋体" w:cs="宋体"/>
          <w:color w:val="auto"/>
          <w:highlight w:val="none"/>
        </w:rPr>
        <w:t>14.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最终结清</w:t>
      </w:r>
      <w:bookmarkEnd w:id="962"/>
      <w:bookmarkEnd w:id="963"/>
      <w:bookmarkEnd w:id="964"/>
      <w:bookmarkEnd w:id="965"/>
      <w:bookmarkEnd w:id="966"/>
    </w:p>
    <w:p w14:paraId="0D8A1C3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14.</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.1 最终结清申请单</w:t>
      </w:r>
    </w:p>
    <w:p w14:paraId="1F3083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承包人提交最终结清申请单的份数：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2份，如发包人有需要另行增加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E3919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承包人提交最终结算申请单的期限：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自竣工验收之日起</w:t>
      </w:r>
      <w:r>
        <w:rPr>
          <w:rFonts w:hint="eastAsia" w:ascii="宋体" w:hAnsi="宋体" w:eastAsia="宋体" w:cs="宋体"/>
          <w:color w:val="auto"/>
          <w:sz w:val="21"/>
          <w:szCs w:val="21"/>
          <w:highlight w:val="none"/>
          <w:u w:val="single"/>
          <w:lang w:val="en-US" w:eastAsia="zh-CN"/>
        </w:rPr>
        <w:t>7个工作日内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174A8839">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.2 最终结清证书和支付</w:t>
      </w:r>
    </w:p>
    <w:p w14:paraId="6E9AFE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（1）发包人完成最终结清申请单的审批并颁发最终结清证书的期限：</w:t>
      </w:r>
      <w:r>
        <w:rPr>
          <w:rFonts w:hint="eastAsia" w:ascii="宋体" w:hAnsi="宋体" w:eastAsia="宋体" w:cs="宋体"/>
          <w:color w:val="auto"/>
          <w:sz w:val="21"/>
          <w:szCs w:val="21"/>
          <w:highlight w:val="none"/>
          <w:u w:val="single"/>
          <w:lang w:eastAsia="zh-CN"/>
        </w:rPr>
        <w:t>自结算审批之日起</w:t>
      </w:r>
      <w:r>
        <w:rPr>
          <w:rFonts w:hint="eastAsia" w:ascii="宋体" w:hAnsi="宋体" w:eastAsia="宋体" w:cs="宋体"/>
          <w:color w:val="auto"/>
          <w:sz w:val="21"/>
          <w:szCs w:val="21"/>
          <w:highlight w:val="none"/>
          <w:u w:val="single"/>
          <w:lang w:val="en-US" w:eastAsia="zh-CN"/>
        </w:rPr>
        <w:t>15个工作日内</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021F52E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（2）发包人完成支付的期限：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bookmarkEnd w:id="923"/>
    <w:bookmarkEnd w:id="924"/>
    <w:bookmarkEnd w:id="925"/>
    <w:bookmarkEnd w:id="926"/>
    <w:bookmarkEnd w:id="927"/>
    <w:bookmarkEnd w:id="928"/>
    <w:bookmarkEnd w:id="929"/>
    <w:bookmarkEnd w:id="935"/>
    <w:p w14:paraId="2F4B00D0">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967" w:name="_Toc373227762"/>
      <w:bookmarkStart w:id="968" w:name="_Toc407135265"/>
      <w:bookmarkStart w:id="969" w:name="_Toc389065327"/>
      <w:bookmarkStart w:id="970" w:name="_Toc373478409"/>
      <w:bookmarkStart w:id="971" w:name="_Toc9850593"/>
      <w:bookmarkStart w:id="972" w:name="_Toc351203647"/>
      <w:bookmarkStart w:id="973" w:name="_Toc267251483"/>
      <w:bookmarkStart w:id="974" w:name="_Toc267251482"/>
      <w:bookmarkStart w:id="975" w:name="_Toc267251484"/>
      <w:bookmarkStart w:id="976" w:name="_Toc267251485"/>
      <w:bookmarkStart w:id="977" w:name="_Toc267251486"/>
      <w:bookmarkStart w:id="978" w:name="_Toc267251490"/>
      <w:bookmarkStart w:id="979" w:name="_Toc267251488"/>
      <w:bookmarkStart w:id="980" w:name="_Toc267251489"/>
      <w:bookmarkStart w:id="981" w:name="_Toc267251509"/>
      <w:bookmarkStart w:id="982" w:name="_Toc267251496"/>
      <w:bookmarkStart w:id="983" w:name="_Toc267251503"/>
      <w:bookmarkStart w:id="984" w:name="_Toc267251514"/>
      <w:bookmarkStart w:id="985" w:name="_Toc267251494"/>
      <w:bookmarkStart w:id="986" w:name="_Toc267251501"/>
      <w:bookmarkStart w:id="987" w:name="_Toc267251508"/>
      <w:bookmarkStart w:id="988" w:name="_Toc267251515"/>
      <w:bookmarkStart w:id="989" w:name="_Toc267251510"/>
      <w:bookmarkStart w:id="990" w:name="_Toc267251507"/>
      <w:bookmarkStart w:id="991" w:name="_Toc267251495"/>
      <w:bookmarkStart w:id="992" w:name="_Toc267251504"/>
      <w:bookmarkStart w:id="993" w:name="_Toc267251493"/>
      <w:bookmarkStart w:id="994" w:name="_Toc267251506"/>
      <w:bookmarkStart w:id="995" w:name="_Toc267251502"/>
      <w:bookmarkStart w:id="996" w:name="_Toc267251511"/>
      <w:bookmarkStart w:id="997" w:name="_Toc267251498"/>
      <w:bookmarkStart w:id="998" w:name="_Toc267251491"/>
      <w:bookmarkStart w:id="999" w:name="_Toc267251499"/>
      <w:bookmarkStart w:id="1000" w:name="_Toc267251497"/>
      <w:bookmarkStart w:id="1001" w:name="_Toc267251513"/>
      <w:bookmarkStart w:id="1002" w:name="_Toc267251492"/>
      <w:r>
        <w:rPr>
          <w:rFonts w:hint="eastAsia" w:ascii="宋体" w:hAnsi="宋体" w:eastAsia="宋体" w:cs="宋体"/>
          <w:color w:val="auto"/>
          <w:highlight w:val="none"/>
        </w:rPr>
        <w:t>15. 缺陷责任期与保修</w:t>
      </w:r>
      <w:bookmarkEnd w:id="967"/>
      <w:bookmarkEnd w:id="968"/>
      <w:bookmarkEnd w:id="969"/>
      <w:bookmarkEnd w:id="970"/>
      <w:bookmarkEnd w:id="971"/>
      <w:bookmarkEnd w:id="972"/>
    </w:p>
    <w:p w14:paraId="4587084D">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3" w:name="_Toc373227763"/>
      <w:bookmarkStart w:id="1004" w:name="_Toc9850594"/>
      <w:bookmarkStart w:id="1005" w:name="_Toc373478410"/>
      <w:bookmarkStart w:id="1006" w:name="_Toc407135266"/>
      <w:bookmarkStart w:id="1007" w:name="_Toc389065328"/>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缺陷责任期</w:t>
      </w:r>
      <w:bookmarkEnd w:id="973"/>
      <w:bookmarkEnd w:id="1003"/>
      <w:bookmarkEnd w:id="1004"/>
      <w:bookmarkEnd w:id="1005"/>
      <w:bookmarkEnd w:id="1006"/>
      <w:bookmarkEnd w:id="1007"/>
    </w:p>
    <w:p w14:paraId="2378185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缺陷责任期的具体期限：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B040CFA">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08" w:name="_Toc373227764"/>
      <w:bookmarkStart w:id="1009" w:name="_Toc373478411"/>
      <w:bookmarkStart w:id="1010" w:name="_Toc389065329"/>
      <w:bookmarkStart w:id="1011" w:name="_Toc407135267"/>
      <w:bookmarkStart w:id="1012" w:name="_Toc9850595"/>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质量保证金</w:t>
      </w:r>
      <w:bookmarkEnd w:id="1008"/>
      <w:bookmarkEnd w:id="1009"/>
      <w:bookmarkEnd w:id="1010"/>
      <w:bookmarkEnd w:id="1011"/>
      <w:bookmarkEnd w:id="1012"/>
    </w:p>
    <w:p w14:paraId="529E0701">
      <w:pPr>
        <w:pStyle w:val="8"/>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关于是否扣留质量保证金的约定：</w:t>
      </w:r>
      <w:r>
        <w:rPr>
          <w:rFonts w:hint="eastAsia" w:ascii="宋体" w:hAnsi="宋体" w:eastAsia="宋体" w:cs="宋体"/>
          <w:color w:val="auto"/>
          <w:sz w:val="21"/>
          <w:szCs w:val="21"/>
          <w:highlight w:val="none"/>
          <w:u w:val="single"/>
        </w:rPr>
        <w:t xml:space="preserve">     </w:t>
      </w:r>
      <w:r>
        <w:rPr>
          <w:rFonts w:hint="eastAsia"/>
          <w:color w:val="auto"/>
          <w:highlight w:val="none"/>
          <w:u w:val="single"/>
          <w:lang w:eastAsia="zh-CN"/>
        </w:rPr>
        <w:t>扣留工程结算总金额的</w:t>
      </w:r>
      <w:r>
        <w:rPr>
          <w:rFonts w:hint="eastAsia"/>
          <w:color w:val="auto"/>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4AC9A8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在工程项目竣工前，承包人按专用合同条款第3.7条提供履约担保的，发包人不得同时预留工程质量保证金。</w:t>
      </w:r>
    </w:p>
    <w:p w14:paraId="2E672EA7">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 承包人提供质量保证金的方式</w:t>
      </w:r>
    </w:p>
    <w:p w14:paraId="6E5CFD6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质量保证金采用以下第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54140118">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（1）质量保证金保函，保证金额为：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F11EC04">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color w:val="auto"/>
          <w:sz w:val="21"/>
          <w:szCs w:val="21"/>
          <w:highlight w:val="none"/>
        </w:rPr>
        <w:t>发包人按工程价款结算总额的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%（不得超过3%）预留工程质量保证金，待缺陷责任期满后返还，是否付息及利息计算方式为：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无利息</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5E5EB466">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B00582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质量保证金的扣留</w:t>
      </w:r>
    </w:p>
    <w:p w14:paraId="2EF18D0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质量保证金的扣留采取以下第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w:t>
      </w:r>
    </w:p>
    <w:p w14:paraId="351BA401">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（1）在不缴纳履保证金情况下，按支付工程进度款时逐次扣留，质量保证金的计算基数不包括预付款的支付、扣回以及价格调整的金额；</w:t>
      </w:r>
    </w:p>
    <w:p w14:paraId="682B0B6F">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（2）工程竣工结算时，一次性扣留质量保证金，由承包人以银行保函、保证保险替代预留质量保证金，保函金额不得高于工程价款结算总额的3%；</w:t>
      </w:r>
    </w:p>
    <w:p w14:paraId="39C5D39E">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（3）其他扣留方式: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C16687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关于质量保证金的补充约定：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4"/>
    <w:bookmarkEnd w:id="975"/>
    <w:p w14:paraId="3D57D8F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3" w:name="_Toc407135268"/>
      <w:bookmarkStart w:id="1014" w:name="_Toc389065330"/>
      <w:bookmarkStart w:id="1015" w:name="_Toc373227765"/>
      <w:bookmarkStart w:id="1016" w:name="_Toc373478412"/>
      <w:bookmarkStart w:id="1017" w:name="_Toc9850596"/>
      <w:r>
        <w:rPr>
          <w:rFonts w:hint="eastAsia" w:ascii="宋体" w:hAnsi="宋体" w:eastAsia="宋体" w:cs="宋体"/>
          <w:color w:val="auto"/>
          <w:highlight w:val="none"/>
        </w:rPr>
        <w:t>15.</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保修</w:t>
      </w:r>
      <w:bookmarkEnd w:id="1013"/>
      <w:bookmarkEnd w:id="1014"/>
      <w:bookmarkEnd w:id="1015"/>
      <w:bookmarkEnd w:id="1016"/>
      <w:bookmarkEnd w:id="1017"/>
    </w:p>
    <w:bookmarkEnd w:id="976"/>
    <w:p w14:paraId="34E17953">
      <w:pPr>
        <w:pageBreakBefore w:val="0"/>
        <w:widowControl w:val="0"/>
        <w:kinsoku/>
        <w:wordWrap w:val="0"/>
        <w:overflowPunct/>
        <w:topLinePunct w:val="0"/>
        <w:bidi w:val="0"/>
        <w:snapToGrid/>
        <w:spacing w:line="480" w:lineRule="exact"/>
        <w:ind w:firstLine="409" w:firstLineChars="195"/>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.1 保修责任</w:t>
      </w:r>
    </w:p>
    <w:p w14:paraId="2F5814F4">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工程保修期为：</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12个月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6CC621F">
      <w:pPr>
        <w:pageBreakBefore w:val="0"/>
        <w:widowControl w:val="0"/>
        <w:kinsoku/>
        <w:wordWrap w:val="0"/>
        <w:overflowPunct/>
        <w:topLinePunct w:val="0"/>
        <w:bidi w:val="0"/>
        <w:snapToGrid/>
        <w:spacing w:line="480" w:lineRule="exact"/>
        <w:ind w:firstLine="409" w:firstLineChars="195"/>
        <w:jc w:val="left"/>
        <w:textAlignment w:val="auto"/>
        <w:rPr>
          <w:rFonts w:hint="eastAsia"/>
          <w:highlight w:val="none"/>
        </w:rPr>
      </w:pPr>
      <w:r>
        <w:rPr>
          <w:rFonts w:hint="eastAsia" w:ascii="宋体" w:hAnsi="宋体" w:eastAsia="宋体" w:cs="宋体"/>
          <w:b w:val="0"/>
          <w:bCs w:val="0"/>
          <w:color w:val="auto"/>
          <w:kern w:val="2"/>
          <w:sz w:val="21"/>
          <w:szCs w:val="21"/>
          <w:highlight w:val="none"/>
          <w:lang w:val="en-US" w:eastAsia="zh-CN" w:bidi="ar-SA"/>
        </w:rPr>
        <w:t>工程保修书具体内容见合同附件1。</w:t>
      </w:r>
    </w:p>
    <w:p w14:paraId="597DDF96">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 xml:space="preserve"> 修复通知</w:t>
      </w:r>
    </w:p>
    <w:p w14:paraId="73D207BD">
      <w:pPr>
        <w:pageBreakBefore w:val="0"/>
        <w:widowControl w:val="0"/>
        <w:kinsoku/>
        <w:wordWrap w:val="0"/>
        <w:overflowPunct/>
        <w:topLinePunct w:val="0"/>
        <w:bidi w:val="0"/>
        <w:snapToGrid/>
        <w:spacing w:line="480" w:lineRule="exact"/>
        <w:ind w:firstLine="409" w:firstLineChars="195"/>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承包人收到保修通知并到达工程现场的合理时间：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7天</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bookmarkEnd w:id="977"/>
    <w:bookmarkEnd w:id="978"/>
    <w:bookmarkEnd w:id="979"/>
    <w:bookmarkEnd w:id="980"/>
    <w:p w14:paraId="318C55F6">
      <w:pPr>
        <w:pStyle w:val="3"/>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18" w:name="_Toc351203648"/>
      <w:bookmarkStart w:id="1019" w:name="_Toc389065331"/>
      <w:bookmarkStart w:id="1020" w:name="_Toc407135269"/>
      <w:bookmarkStart w:id="1021" w:name="_Toc9850597"/>
      <w:bookmarkStart w:id="1022" w:name="_Toc373227766"/>
      <w:bookmarkStart w:id="1023" w:name="_Toc373478413"/>
      <w:bookmarkStart w:id="1024" w:name="_Toc280868717"/>
      <w:bookmarkStart w:id="1025" w:name="_Toc280868718"/>
      <w:r>
        <w:rPr>
          <w:rFonts w:hint="eastAsia" w:ascii="宋体" w:hAnsi="宋体" w:eastAsia="宋体" w:cs="宋体"/>
          <w:color w:val="auto"/>
          <w:highlight w:val="none"/>
        </w:rPr>
        <w:t>16. 违约</w:t>
      </w:r>
      <w:bookmarkEnd w:id="1018"/>
      <w:bookmarkEnd w:id="1019"/>
      <w:bookmarkEnd w:id="1020"/>
      <w:bookmarkEnd w:id="1021"/>
      <w:bookmarkEnd w:id="1022"/>
      <w:bookmarkEnd w:id="1023"/>
    </w:p>
    <w:p w14:paraId="63BD0B05">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26" w:name="_Toc373478414"/>
      <w:bookmarkStart w:id="1027" w:name="_Toc373227767"/>
      <w:bookmarkStart w:id="1028" w:name="_Toc9850598"/>
      <w:bookmarkStart w:id="1029" w:name="_Toc407135270"/>
      <w:bookmarkStart w:id="1030" w:name="_Toc389065332"/>
      <w:r>
        <w:rPr>
          <w:rFonts w:hint="eastAsia" w:ascii="宋体" w:hAnsi="宋体" w:eastAsia="宋体" w:cs="宋体"/>
          <w:color w:val="auto"/>
          <w:highlight w:val="none"/>
        </w:rPr>
        <w:t>16.1 发包人违约</w:t>
      </w:r>
      <w:bookmarkEnd w:id="1026"/>
      <w:bookmarkEnd w:id="1027"/>
      <w:bookmarkEnd w:id="1028"/>
      <w:bookmarkEnd w:id="1029"/>
      <w:bookmarkEnd w:id="1030"/>
    </w:p>
    <w:p w14:paraId="30CF1D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16.1.1发包人违约的情形</w:t>
      </w:r>
    </w:p>
    <w:p w14:paraId="1625759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B8D01D8">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16.1.2 发包人违约的责任</w:t>
      </w:r>
    </w:p>
    <w:p w14:paraId="7D0F4C0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发包人违约责任的承担方式和计算方法：</w:t>
      </w:r>
    </w:p>
    <w:p w14:paraId="087ACB38">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（1）因发包人原因未能在计划开工日期前7天内下达开工通知的违约责任：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15B34A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（2）因发包人原因未能按合同约定支付合同价款的违约责任：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CCA78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（3）发包人违反第10.1款〔变更的范围〕第（2）项约定，自行实施被取消的工作或转由他人实施的违约责任：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CF2F03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3055DF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（5）因发包人违反合同约定造成暂停施工的违约责任：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702038CA">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（6）发包人无正当理由没有在约定期限内发出复工指示，导致承包人无法复工的违约责任：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4E7C53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（7）其他：</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D8AD9B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16.1.3 因发包人违约解除合同</w:t>
      </w:r>
    </w:p>
    <w:p w14:paraId="7B9FBEA9">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承包人按16.1.1项〔发包人违约的情形〕约定暂停施工满</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天后发包人仍不纠正其违约行为并致使合同目的不能实现的，承包人有权解除合同。</w:t>
      </w:r>
    </w:p>
    <w:p w14:paraId="081368B8">
      <w:pPr>
        <w:pStyle w:val="4"/>
        <w:pageBreakBefore w:val="0"/>
        <w:widowControl w:val="0"/>
        <w:kinsoku/>
        <w:wordWrap w:val="0"/>
        <w:overflowPunct/>
        <w:topLinePunct w:val="0"/>
        <w:bidi w:val="0"/>
        <w:snapToGrid/>
        <w:spacing w:line="480" w:lineRule="exact"/>
        <w:textAlignment w:val="auto"/>
        <w:rPr>
          <w:rFonts w:hint="eastAsia" w:ascii="宋体" w:hAnsi="宋体" w:eastAsia="宋体" w:cs="宋体"/>
          <w:color w:val="auto"/>
          <w:highlight w:val="none"/>
        </w:rPr>
      </w:pPr>
      <w:bookmarkStart w:id="1031" w:name="_Toc9850599"/>
      <w:bookmarkStart w:id="1032" w:name="_Toc373478415"/>
      <w:bookmarkStart w:id="1033" w:name="_Toc373227768"/>
      <w:bookmarkStart w:id="1034" w:name="_Toc407135271"/>
      <w:bookmarkStart w:id="1035" w:name="_Toc389065333"/>
      <w:r>
        <w:rPr>
          <w:rFonts w:hint="eastAsia" w:ascii="宋体" w:hAnsi="宋体" w:eastAsia="宋体" w:cs="宋体"/>
          <w:color w:val="auto"/>
          <w:highlight w:val="none"/>
        </w:rPr>
        <w:t>16.2 承包人违约</w:t>
      </w:r>
      <w:bookmarkEnd w:id="1031"/>
      <w:bookmarkEnd w:id="1032"/>
      <w:bookmarkEnd w:id="1033"/>
      <w:bookmarkEnd w:id="1034"/>
      <w:bookmarkEnd w:id="1035"/>
    </w:p>
    <w:p w14:paraId="10BADD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16.2.1 承包人违约的情形</w:t>
      </w:r>
    </w:p>
    <w:p w14:paraId="62E2BA8E">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承包人违约的其他情形：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2F5CDFA9">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16.2.2承包人违约的责任</w:t>
      </w:r>
    </w:p>
    <w:p w14:paraId="26D6D87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承包人违约责任的承担方式和计算方法：</w:t>
      </w:r>
    </w:p>
    <w:p w14:paraId="4731D23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有本合同通用条款第16.2.1（2）、（3）条内容情形的，承包人无条件返工处理，修复至工程质量要求并承担相关费用，并在发包人规定的时间内完成返工，否则发包人有权扣罚该分项工程10%的工程款作为处罚。</w:t>
      </w:r>
    </w:p>
    <w:p w14:paraId="53981B41">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（2）承包人有本合同通用条款第16.2.1（6）条情形的，或经监理人检验认为修复质量不合格而承包人拒绝再进行修补的，发包人将扣除承包人全部质量保证金。</w:t>
      </w:r>
    </w:p>
    <w:p w14:paraId="1879ED13">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35BE8A7D">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16.2.3 因承包人违约解除合同</w:t>
      </w:r>
    </w:p>
    <w:p w14:paraId="1FB72264">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关于承包人违约解除合同的特别约定：</w:t>
      </w:r>
      <w:r>
        <w:rPr>
          <w:rFonts w:hint="eastAsia" w:ascii="宋体" w:hAnsi="宋体" w:eastAsia="宋体" w:cs="宋体"/>
          <w:color w:val="auto"/>
          <w:kern w:val="0"/>
          <w:sz w:val="21"/>
          <w:szCs w:val="21"/>
          <w:highlight w:val="none"/>
          <w:u w:val="single"/>
        </w:rPr>
        <w:t>承包人有违反以下情况之一的，发包人有权解除合同，并没收其全部履约保证金</w:t>
      </w:r>
      <w:r>
        <w:rPr>
          <w:rFonts w:hint="eastAsia" w:ascii="宋体" w:hAnsi="宋体" w:eastAsia="宋体" w:cs="宋体"/>
          <w:color w:val="auto"/>
          <w:kern w:val="0"/>
          <w:sz w:val="21"/>
          <w:szCs w:val="21"/>
          <w:highlight w:val="none"/>
        </w:rPr>
        <w:t>。</w:t>
      </w:r>
    </w:p>
    <w:p w14:paraId="39C0F7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(1)承包人无正当理由不按开工通知的要求及时进场组织施工和不按签订协议书时商定的进度计划有效地开展施工准备，造成工期延误的；</w:t>
      </w:r>
    </w:p>
    <w:p w14:paraId="50E3F4E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(2)承包人违反本合同通用条款第3.5条规定私自将合同或合同的任何部分或任何权利转让给其他人，或私自将工程或工程的一部分分包出去的；</w:t>
      </w:r>
    </w:p>
    <w:p w14:paraId="52AA2580">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(3)未经监理人批准，承包人私自将已按投标文件承诺进入工地的工程设备、施工设备、临时工程或材料撤离工地的；</w:t>
      </w:r>
    </w:p>
    <w:p w14:paraId="3D92FE12">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(4)由于承包人原因拒绝按合同进度计划及时完成合同规定的工程，而又未采取有效措施赶上进度，造成工期严重延误的；</w:t>
      </w:r>
    </w:p>
    <w:p w14:paraId="36450711">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(5)承包人否认合同有效或拒绝履行合同规定的承包人义务，或由于法律、财务等原因导致承包人无法继续履行或实质上已停止履行合同的义务的；</w:t>
      </w:r>
    </w:p>
    <w:p w14:paraId="2BAAFBE4">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(6)合同签订</w:t>
      </w:r>
      <w:r>
        <w:rPr>
          <w:rFonts w:hint="eastAsia" w:ascii="宋体" w:hAnsi="宋体" w:eastAsia="宋体" w:cs="宋体"/>
          <w:color w:val="auto"/>
          <w:sz w:val="21"/>
          <w:szCs w:val="21"/>
          <w:highlight w:val="none"/>
        </w:rPr>
        <w:t>且具备法定开工条件后</w:t>
      </w:r>
      <w:r>
        <w:rPr>
          <w:rFonts w:hint="eastAsia" w:ascii="宋体" w:hAnsi="宋体" w:eastAsia="宋体" w:cs="宋体"/>
          <w:color w:val="auto"/>
          <w:kern w:val="0"/>
          <w:sz w:val="21"/>
          <w:szCs w:val="21"/>
          <w:highlight w:val="none"/>
        </w:rPr>
        <w:t>之日起十五日内，承包人无法按合同规定及投标文件的承诺进场经监理工程师认可的该施工阶段应有的全部人员和机械的。</w:t>
      </w:r>
    </w:p>
    <w:p w14:paraId="41E314D5">
      <w:pPr>
        <w:pageBreakBefore w:val="0"/>
        <w:widowControl w:val="0"/>
        <w:kinsoku/>
        <w:wordWrap w:val="0"/>
        <w:overflowPunct/>
        <w:topLinePunct w:val="0"/>
        <w:bidi w:val="0"/>
        <w:snapToGrid/>
        <w:spacing w:line="48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不另行支付</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3E518E7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36" w:name="_Toc389065334"/>
      <w:bookmarkStart w:id="1037" w:name="_Toc9850600"/>
      <w:bookmarkStart w:id="1038" w:name="_Toc373478416"/>
      <w:bookmarkStart w:id="1039" w:name="_Toc351203649"/>
      <w:bookmarkStart w:id="1040" w:name="_Toc407135272"/>
      <w:bookmarkStart w:id="1041" w:name="_Toc373227769"/>
      <w:r>
        <w:rPr>
          <w:rFonts w:hint="eastAsia" w:ascii="宋体" w:hAnsi="宋体" w:eastAsia="宋体" w:cs="宋体"/>
          <w:color w:val="auto"/>
          <w:highlight w:val="none"/>
        </w:rPr>
        <w:t>17. 不可抗力</w:t>
      </w:r>
      <w:bookmarkEnd w:id="1036"/>
      <w:bookmarkEnd w:id="1037"/>
      <w:bookmarkEnd w:id="1038"/>
      <w:bookmarkEnd w:id="1039"/>
      <w:bookmarkEnd w:id="1040"/>
      <w:bookmarkEnd w:id="1041"/>
      <w:r>
        <w:rPr>
          <w:rFonts w:hint="eastAsia" w:ascii="宋体" w:hAnsi="宋体" w:eastAsia="宋体" w:cs="宋体"/>
          <w:color w:val="auto"/>
          <w:highlight w:val="none"/>
        </w:rPr>
        <w:t xml:space="preserve"> </w:t>
      </w:r>
      <w:bookmarkEnd w:id="1024"/>
    </w:p>
    <w:p w14:paraId="0275B4FD">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2" w:name="_Toc373227770"/>
      <w:bookmarkStart w:id="1043" w:name="_Toc9850601"/>
      <w:bookmarkStart w:id="1044" w:name="_Toc373478417"/>
      <w:bookmarkStart w:id="1045" w:name="_Toc407135273"/>
      <w:bookmarkStart w:id="1046" w:name="_Toc389065335"/>
      <w:r>
        <w:rPr>
          <w:rFonts w:hint="eastAsia" w:ascii="宋体" w:hAnsi="宋体" w:eastAsia="宋体" w:cs="宋体"/>
          <w:color w:val="auto"/>
          <w:highlight w:val="none"/>
        </w:rPr>
        <w:t>17.1 不可抗力的确认</w:t>
      </w:r>
      <w:bookmarkEnd w:id="1042"/>
      <w:bookmarkEnd w:id="1043"/>
      <w:bookmarkEnd w:id="1044"/>
      <w:bookmarkEnd w:id="1045"/>
      <w:bookmarkEnd w:id="1046"/>
    </w:p>
    <w:p w14:paraId="5AAF3E9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63B3DC4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47" w:name="_Toc9850602"/>
      <w:bookmarkStart w:id="1048" w:name="_Toc373227771"/>
      <w:bookmarkStart w:id="1049" w:name="_Toc389065336"/>
      <w:bookmarkStart w:id="1050" w:name="_Toc407135274"/>
      <w:bookmarkStart w:id="1051" w:name="_Toc373478418"/>
      <w:r>
        <w:rPr>
          <w:rFonts w:hint="eastAsia" w:ascii="宋体" w:hAnsi="宋体" w:eastAsia="宋体" w:cs="宋体"/>
          <w:color w:val="auto"/>
          <w:highlight w:val="none"/>
        </w:rPr>
        <w:t>17.</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因不可抗力解除合同</w:t>
      </w:r>
      <w:bookmarkEnd w:id="1047"/>
      <w:bookmarkEnd w:id="1048"/>
      <w:bookmarkEnd w:id="1049"/>
      <w:bookmarkEnd w:id="1050"/>
      <w:bookmarkEnd w:id="1051"/>
    </w:p>
    <w:p w14:paraId="09F6A50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合同解除后，发包人应在商定或确定发包人应支付款项后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30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天内完成款项的支付。</w:t>
      </w:r>
    </w:p>
    <w:p w14:paraId="0035B4D9">
      <w:pPr>
        <w:pStyle w:val="3"/>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2" w:name="_Toc373227772"/>
      <w:bookmarkStart w:id="1053" w:name="_Toc9850603"/>
      <w:bookmarkStart w:id="1054" w:name="_Toc389065337"/>
      <w:bookmarkStart w:id="1055" w:name="_Toc407135275"/>
      <w:bookmarkStart w:id="1056" w:name="_Toc373478419"/>
      <w:bookmarkStart w:id="1057" w:name="_Toc351203650"/>
      <w:r>
        <w:rPr>
          <w:rFonts w:hint="eastAsia" w:ascii="宋体" w:hAnsi="宋体" w:eastAsia="宋体" w:cs="宋体"/>
          <w:color w:val="auto"/>
          <w:highlight w:val="none"/>
        </w:rPr>
        <w:t>18. 保险</w:t>
      </w:r>
      <w:bookmarkEnd w:id="1052"/>
      <w:bookmarkEnd w:id="1053"/>
      <w:bookmarkEnd w:id="1054"/>
      <w:bookmarkEnd w:id="1055"/>
      <w:bookmarkEnd w:id="1056"/>
      <w:bookmarkEnd w:id="1057"/>
    </w:p>
    <w:bookmarkEnd w:id="1025"/>
    <w:p w14:paraId="3BEED0AB">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58" w:name="_Toc407135276"/>
      <w:bookmarkStart w:id="1059" w:name="_Toc373478420"/>
      <w:bookmarkStart w:id="1060" w:name="_Toc389065338"/>
      <w:bookmarkStart w:id="1061" w:name="_Toc9850604"/>
      <w:bookmarkStart w:id="1062" w:name="_Toc373227773"/>
      <w:r>
        <w:rPr>
          <w:rFonts w:hint="eastAsia" w:ascii="宋体" w:hAnsi="宋体" w:eastAsia="宋体" w:cs="宋体"/>
          <w:color w:val="auto"/>
          <w:highlight w:val="none"/>
        </w:rPr>
        <w:t>18.1 工程保险</w:t>
      </w:r>
      <w:bookmarkEnd w:id="1058"/>
      <w:bookmarkEnd w:id="1059"/>
      <w:bookmarkEnd w:id="1060"/>
      <w:bookmarkEnd w:id="1061"/>
      <w:bookmarkEnd w:id="1062"/>
    </w:p>
    <w:p w14:paraId="5C553530">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关于工程保险的特别约定：</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eastAsia="zh-CN"/>
        </w:rPr>
        <w:t>按照通用条款和现行法律法规要求执行</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41ADED4E">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3" w:name="_Toc389065339"/>
      <w:bookmarkStart w:id="1064" w:name="_Toc407135277"/>
      <w:bookmarkStart w:id="1065" w:name="_Toc373227774"/>
      <w:bookmarkStart w:id="1066" w:name="_Toc373478421"/>
      <w:bookmarkStart w:id="1067" w:name="_Toc9850605"/>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其他保险</w:t>
      </w:r>
      <w:bookmarkEnd w:id="1063"/>
      <w:bookmarkEnd w:id="1064"/>
      <w:bookmarkEnd w:id="1065"/>
      <w:bookmarkEnd w:id="1066"/>
      <w:bookmarkEnd w:id="1067"/>
    </w:p>
    <w:p w14:paraId="5417CD18">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关于其他保险的约定：</w:t>
      </w:r>
      <w:r>
        <w:rPr>
          <w:rFonts w:hint="eastAsia" w:ascii="宋体" w:hAnsi="宋体" w:eastAsia="宋体" w:cs="宋体"/>
          <w:color w:val="auto"/>
          <w:sz w:val="21"/>
          <w:szCs w:val="21"/>
          <w:highlight w:val="none"/>
          <w:u w:val="single"/>
          <w:lang w:eastAsia="zh-CN"/>
        </w:rPr>
        <w:t>按照通用条款和现行法律法规要求执行 。</w:t>
      </w:r>
    </w:p>
    <w:p w14:paraId="7E101B1F">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承包人是否应为其施工设备等办理财产保险：</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由承包人根据施工现场情况自行安排</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4427A3F7">
      <w:pPr>
        <w:pStyle w:val="4"/>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68" w:name="_Toc407135278"/>
      <w:bookmarkStart w:id="1069" w:name="_Toc389065340"/>
      <w:bookmarkStart w:id="1070" w:name="_Toc373478422"/>
      <w:bookmarkStart w:id="1071" w:name="_Toc9850606"/>
      <w:bookmarkStart w:id="1072" w:name="_Toc373227775"/>
      <w:r>
        <w:rPr>
          <w:rFonts w:hint="eastAsia" w:ascii="宋体" w:hAnsi="宋体" w:eastAsia="宋体" w:cs="宋体"/>
          <w:color w:val="auto"/>
          <w:highlight w:val="none"/>
        </w:rPr>
        <w:t>18.</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通知义务</w:t>
      </w:r>
      <w:bookmarkEnd w:id="1068"/>
      <w:bookmarkEnd w:id="1069"/>
      <w:bookmarkEnd w:id="1070"/>
      <w:bookmarkEnd w:id="1071"/>
      <w:bookmarkEnd w:id="1072"/>
    </w:p>
    <w:p w14:paraId="565364C5">
      <w:pPr>
        <w:pageBreakBefore w:val="0"/>
        <w:widowControl w:val="0"/>
        <w:kinsoku/>
        <w:wordWrap w:val="0"/>
        <w:overflowPunct/>
        <w:topLinePunct w:val="0"/>
        <w:autoSpaceDE/>
        <w:autoSpaceDN/>
        <w:bidi w:val="0"/>
        <w:snapToGrid/>
        <w:spacing w:line="48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关于变更保险合同时的通知义务的约定：</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4166BD7B">
      <w:pPr>
        <w:pStyle w:val="3"/>
        <w:rPr>
          <w:rFonts w:hint="eastAsia" w:ascii="宋体" w:hAnsi="宋体" w:eastAsia="宋体" w:cs="宋体"/>
          <w:b/>
          <w:bCs/>
          <w:color w:val="auto"/>
          <w:kern w:val="2"/>
          <w:sz w:val="32"/>
          <w:szCs w:val="32"/>
          <w:highlight w:val="none"/>
          <w:lang w:val="en-US" w:eastAsia="zh-CN" w:bidi="ar-SA"/>
        </w:rPr>
      </w:pPr>
      <w:bookmarkStart w:id="1073" w:name="_Toc17775"/>
      <w:r>
        <w:rPr>
          <w:rFonts w:hint="eastAsia" w:ascii="宋体" w:hAnsi="宋体" w:eastAsia="宋体" w:cs="宋体"/>
          <w:b/>
          <w:bCs/>
          <w:color w:val="auto"/>
          <w:kern w:val="2"/>
          <w:sz w:val="32"/>
          <w:szCs w:val="32"/>
          <w:highlight w:val="none"/>
          <w:lang w:val="en-US" w:eastAsia="zh-CN" w:bidi="ar-SA"/>
        </w:rPr>
        <w:t>19.索赔</w:t>
      </w:r>
      <w:bookmarkEnd w:id="1073"/>
    </w:p>
    <w:p w14:paraId="62FEEE4F">
      <w:pPr>
        <w:pStyle w:val="3"/>
        <w:spacing w:line="360" w:lineRule="auto"/>
        <w:ind w:firstLine="420" w:firstLineChars="200"/>
        <w:rPr>
          <w:rFonts w:hint="eastAsia" w:ascii="Times New Roman" w:hAnsi="宋体" w:eastAsia="宋体" w:cs="宋体"/>
          <w:b w:val="0"/>
          <w:bCs w:val="0"/>
          <w:color w:val="auto"/>
          <w:sz w:val="21"/>
          <w:szCs w:val="21"/>
          <w:highlight w:val="none"/>
          <w:lang w:val="en-US"/>
        </w:rPr>
      </w:pPr>
      <w:bookmarkStart w:id="1074" w:name="_Toc874"/>
      <w:bookmarkStart w:id="1075" w:name="_Toc2598"/>
      <w:r>
        <w:rPr>
          <w:rFonts w:hint="eastAsia" w:ascii="Times New Roman" w:hAnsi="宋体" w:eastAsia="宋体" w:cs="宋体"/>
          <w:b w:val="0"/>
          <w:bCs w:val="0"/>
          <w:color w:val="auto"/>
          <w:sz w:val="21"/>
          <w:szCs w:val="21"/>
          <w:highlight w:val="none"/>
          <w:lang w:val="en-US"/>
        </w:rPr>
        <w:t>19.</w:t>
      </w:r>
      <w:r>
        <w:rPr>
          <w:rFonts w:hint="eastAsia" w:ascii="Times New Roman"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 索赔事项确定</w:t>
      </w:r>
      <w:bookmarkEnd w:id="1074"/>
      <w:bookmarkEnd w:id="1075"/>
    </w:p>
    <w:p w14:paraId="7714986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 按本合同约定计算工期延误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及其引起的索赔费用时，索赔工期所对应的工作应是关键线路上的工作，或索赔事件引起关键线路改变的工作，发包人按本合同约定批准给承包人的工期延长为合同工期延长的时间。发包人对承包人的所有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的索赔费用应对每一索赔事件进行独立评估，不包括前期发生的工期延误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对后期进行的工程造成相应延误</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或延长</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 xml:space="preserve"> 的费用索赔。</w:t>
      </w:r>
    </w:p>
    <w:p w14:paraId="5ED004C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.2 当发生工期延误事件时，发承包双方根据批准的施工进度计划，确定该事件是否发生在关键线路上，以及是否引发关键线路上的工期延误，并可按以下约定计算索赔的工期：</w:t>
      </w:r>
    </w:p>
    <w:p w14:paraId="257954C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（1）延误事件为关键线路上的工作，则延误的时间为索赔的工期；</w:t>
      </w:r>
    </w:p>
    <w:p w14:paraId="791ED91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（2）延误事件为非关键线路上的工作，当该工作由于延误超过总时差而成为关键工作时，其延误时间与总时差的差值为索赔的工期；</w:t>
      </w:r>
    </w:p>
    <w:p w14:paraId="04ED73C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（3）工期延误后事件仍为非关键线路上的工作，则不发生工期索赔。</w:t>
      </w:r>
    </w:p>
    <w:p w14:paraId="44DEA18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 因非承包人的原因发生下列事件，给承包人造成经济损失及费用增加和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工期延误的，承包人可按蒙受的经济损失及费用增加和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受影响延误的工期，提出一项或多项索赔：</w:t>
      </w:r>
    </w:p>
    <w:p w14:paraId="25A48E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（1）因停工、待工、降效、工期延长等造成的人工、材料、施工机具、水电消耗等的费用损失，政府主管部门要求进行的暂停施工按本合同工19.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条约定执行；</w:t>
      </w:r>
    </w:p>
    <w:p w14:paraId="3BB2A0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（2）因合同工期调整所造成的人工费、材料费、施工机具费物价变化增减的直接费用，但按本合同第11条约定调整的除外；</w:t>
      </w:r>
    </w:p>
    <w:p w14:paraId="3E48B4F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（3）因停工、复工、维护施工现场等发生（包括建设、使用、拆除）的必要措施费用；</w:t>
      </w:r>
    </w:p>
    <w:p w14:paraId="47B460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（4）因返工、拆改与修复等发生的直接费用，以及报废（损）的材料的直接损失；</w:t>
      </w:r>
    </w:p>
    <w:p w14:paraId="3C78AE1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（5）因额外增加的检查、检验、试验等发生的相关费用；</w:t>
      </w:r>
    </w:p>
    <w:p w14:paraId="64E7192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（6）因合同价款未能按合同约定支付引起的损失；</w:t>
      </w:r>
    </w:p>
    <w:p w14:paraId="1309F86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（7）因发掘出文物、古迹以及具有地质研究或考古价值的遗迹、化石、钱币或物品造成的暂缓、间断施工或停工的影响；</w:t>
      </w:r>
    </w:p>
    <w:p w14:paraId="1E2D34A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（8）承包人可举证的上述费用之外的其他损失；</w:t>
      </w:r>
    </w:p>
    <w:p w14:paraId="20C3D13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（9）因事件影响造成的延误（或延长）的合理工期。</w:t>
      </w:r>
    </w:p>
    <w:p w14:paraId="43D07974">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.4  因发包人的原因发生下列事件，给承包人造成经济损失的，承包人除</w:t>
      </w:r>
      <w:r>
        <w:rPr>
          <w:rFonts w:hint="eastAsia" w:hAnsi="宋体" w:cs="宋体"/>
          <w:b w:val="0"/>
          <w:bCs w:val="0"/>
          <w:color w:val="auto"/>
          <w:sz w:val="21"/>
          <w:szCs w:val="21"/>
          <w:highlight w:val="none"/>
          <w:lang w:val="en-US" w:eastAsia="zh-CN"/>
        </w:rPr>
        <w:t>可</w:t>
      </w:r>
      <w:r>
        <w:rPr>
          <w:rFonts w:hint="eastAsia" w:ascii="Times New Roman" w:hAnsi="宋体" w:eastAsia="宋体" w:cs="宋体"/>
          <w:b w:val="0"/>
          <w:bCs w:val="0"/>
          <w:color w:val="auto"/>
          <w:sz w:val="21"/>
          <w:szCs w:val="21"/>
          <w:highlight w:val="none"/>
          <w:lang w:val="en-US"/>
        </w:rPr>
        <w:t>进行经济损失和（或）工期延误索赔外，可索赔利润。</w:t>
      </w:r>
    </w:p>
    <w:p w14:paraId="4C165BF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（1）发包人将合同中的某项工作改变为其他承包人负责完成；</w:t>
      </w:r>
    </w:p>
    <w:p w14:paraId="23FC6C5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（2）发包人延迟提供图纸或施工场地；</w:t>
      </w:r>
    </w:p>
    <w:p w14:paraId="32F1020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（3）发包人提供材料的质量不合格或延迟提供或改变交货地点等引起工程不合格；</w:t>
      </w:r>
    </w:p>
    <w:p w14:paraId="40DCE5E6">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（4）发包人原因引起承包人测量放线错误、工程返工；</w:t>
      </w:r>
    </w:p>
    <w:p w14:paraId="2C0B3AB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（5）发包人提供的工程项目原始数据和基准资料错误；</w:t>
      </w:r>
    </w:p>
    <w:p w14:paraId="5315BCA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（6）发包人对施工场地额外限制、未按时履约审批、干扰正常施工顺序等；</w:t>
      </w:r>
    </w:p>
    <w:p w14:paraId="4E2C566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（7）发包人原因引起工期延误、暂停施工、工程暂停后无法按时复工；</w:t>
      </w:r>
    </w:p>
    <w:p w14:paraId="16BC7A67">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（8）发包人在工程竣工前提前占用工程；</w:t>
      </w:r>
    </w:p>
    <w:p w14:paraId="1342010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（9）发包人原因导致工程试运行失败、缺陷责任期内因非承包人原因引起的缺陷或损坏的修复。</w:t>
      </w:r>
    </w:p>
    <w:p w14:paraId="07B99D1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.5 因发包人的原因引起下列事件给承包人造成经济损失和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工期延长的，发包人应合理延长受影响的工期，并补偿给承包人造成的损失和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直接费用，不包括利润：</w:t>
      </w:r>
    </w:p>
    <w:p w14:paraId="4EB0AB4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（1）按发包人或监理人的要求对材料和工程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包括已覆盖的隐蔽工程</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进行重新检测、且检测结果质量合格引起的直接费用，以及修复受影响工程的费用；</w:t>
      </w:r>
    </w:p>
    <w:p w14:paraId="74CC0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（2）额外增加的检查、检验、试验等的直接费用；</w:t>
      </w:r>
    </w:p>
    <w:p w14:paraId="70CD636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（3）工程试运行失败引起的直接费用；</w:t>
      </w:r>
    </w:p>
    <w:p w14:paraId="4D3D438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（4）其他情况的直接损失和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费用。</w:t>
      </w:r>
    </w:p>
    <w:p w14:paraId="122FA84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除本合同约定发包人购买工程一切险及第三者责任险外，因不可抗力事件引起的人员伤亡、财产损失、费用增加和</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或</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工期延误等工程索赔，发承包双方应遵循下列原则承担相应损失及费用：</w:t>
      </w:r>
    </w:p>
    <w:p w14:paraId="1C2FCFB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（1）永久工程、已运至施工现场的材料的损坏及修复费用，以及因不可抗力事件引起施工场地内及工程损坏造成的第三方人员伤亡和财产损失应由发包人承担；</w:t>
      </w:r>
    </w:p>
    <w:p w14:paraId="6CCD23C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（2）承包人施工机具的损坏及停工损失和措施项目的损坏、清理、修复费用，以及因承包人原因发生的第三方人员伤亡和财产损失应由承包人承担；</w:t>
      </w:r>
    </w:p>
    <w:p w14:paraId="6DF6447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（3）发包人和承包人应承担各自人员伤亡和本条第（1）款、第（2）款约定外的其他财产的损失；</w:t>
      </w:r>
    </w:p>
    <w:p w14:paraId="3C2F3CC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（4）因不可抗力引起暂停施工的，停工期间按照发包人要求照管、清理、修复工程的费用和发包人要求留驻施工现场必要的管理与保卫人员工资，以及按发包人要求留驻现场待工人员的工资应由发包人承担；</w:t>
      </w:r>
    </w:p>
    <w:p w14:paraId="50FF2BC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（5）因不可抗力影响承包人履行合同约定的义务，引起工期延误的，应当顺延工期，发包人要求赶工的，由此增加的赶工费用应由发包人承担；</w:t>
      </w:r>
    </w:p>
    <w:p w14:paraId="65815DF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（6）其他情形按法律法规规定执行。</w:t>
      </w:r>
    </w:p>
    <w:p w14:paraId="26AC7B7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.7  除本合同11条法律法规及政策性变化引起的价格调整，第19.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.6条第（4）款、第（5）款规定外，因发生具有不可抗力性质的下列例外事件引起工期延误的，受影响的工期应相应顺延，发承包双方应各自承担相应的损失：</w:t>
      </w:r>
    </w:p>
    <w:p w14:paraId="759AC9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（1）动乱和暴动等类似事件</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不包括工地现场发生的</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w:t>
      </w:r>
    </w:p>
    <w:p w14:paraId="2FC0534F">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（2）因国家及地方政府有关部门要求而</w:t>
      </w:r>
      <w:r>
        <w:rPr>
          <w:rFonts w:hint="eastAsia" w:hAnsi="宋体" w:cs="宋体"/>
          <w:b w:val="0"/>
          <w:bCs w:val="0"/>
          <w:color w:val="auto"/>
          <w:sz w:val="21"/>
          <w:szCs w:val="21"/>
          <w:highlight w:val="none"/>
          <w:lang w:val="en-US" w:eastAsia="zh-CN"/>
        </w:rPr>
        <w:t>必需的</w:t>
      </w:r>
      <w:r>
        <w:rPr>
          <w:rFonts w:hint="eastAsia" w:ascii="Times New Roman" w:hAnsi="宋体" w:eastAsia="宋体" w:cs="宋体"/>
          <w:b w:val="0"/>
          <w:bCs w:val="0"/>
          <w:color w:val="auto"/>
          <w:sz w:val="21"/>
          <w:szCs w:val="21"/>
          <w:highlight w:val="none"/>
          <w:lang w:val="en-US"/>
        </w:rPr>
        <w:t>停工、暂停（暂缓）施工、间断施工或区域性施工管控造成的影响；</w:t>
      </w:r>
    </w:p>
    <w:p w14:paraId="300AD00A">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（3）地方建设行政主管部门就安全、环保要求停止施工造成的影响；</w:t>
      </w:r>
    </w:p>
    <w:p w14:paraId="1889F43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（4）地方政府主管部门就健康卫生防疫管控要求停止施工造成的影响；</w:t>
      </w:r>
    </w:p>
    <w:p w14:paraId="5D807B0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.8  因发生不可抗力引起工期延长，且在延长工期内遭遇物价变化、法律法规及政策性变化的，所引起的影响费用按本合同11条、19.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.3条的约定处理，调整受影响项目的合同价格。</w:t>
      </w:r>
    </w:p>
    <w:p w14:paraId="5DA7A652">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.9  因发承包双方中的一方原因导致工期延误，且在延长的工期内遭遇不可抗力的，不可抗力事件产生的损失由责任方承担。发承包双方对工期延误均有责任，且在延长的工期内遭遇不可抗力的，按双方责任分担比例承担相应责任。</w:t>
      </w:r>
    </w:p>
    <w:p w14:paraId="1E0164A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.10  本合同约定发包人负责购买工程一切险及第三者责任险，且保险范围包括相关的施工机具、人员伤亡，如发生本合同19.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条约定的事件，发承包双方按下列原则承担相应损失和增加费用：</w:t>
      </w:r>
    </w:p>
    <w:p w14:paraId="2D6637E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（1）发包人按合同约定购买建筑工程一切险及第三者责任险的，承包人通过发包人按保险条款向保险人理赔本合同19.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.6条第（1）款～第（4）款约定的财产损失和增加的费用，保险规定免赔额部分的损失及费用和超出理赔部分的本合同19.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.6条第（2）款、第（3）款约定的损失及费用由发承包双方各自承担，超出理赔部分的本合同19.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条第（1）款、第（4）款约定的损失及费用由发包人承担；</w:t>
      </w:r>
    </w:p>
    <w:p w14:paraId="04FD0D5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（2）发包人未按合同约定购买建筑工程一切险及第三者责任险或购买的保险未生效的，本合同19.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条第（1）款和第（</w:t>
      </w:r>
      <w:r>
        <w:rPr>
          <w:rFonts w:hint="eastAsia" w:hAnsi="宋体" w:cs="宋体"/>
          <w:b w:val="0"/>
          <w:bCs w:val="0"/>
          <w:color w:val="auto"/>
          <w:sz w:val="21"/>
          <w:szCs w:val="21"/>
          <w:highlight w:val="none"/>
          <w:lang w:val="en-US" w:eastAsia="zh-CN"/>
        </w:rPr>
        <w:t>4</w:t>
      </w:r>
      <w:r>
        <w:rPr>
          <w:rFonts w:hint="eastAsia" w:ascii="Times New Roman" w:hAnsi="宋体" w:eastAsia="宋体" w:cs="宋体"/>
          <w:b w:val="0"/>
          <w:bCs w:val="0"/>
          <w:color w:val="auto"/>
          <w:sz w:val="21"/>
          <w:szCs w:val="21"/>
          <w:highlight w:val="none"/>
          <w:lang w:val="en-US"/>
        </w:rPr>
        <w:t>）款约定的损失及费用由发包人负责，按相关保险条款可以理赔的本合同19.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.6 条第（2）款、第（3）款约定的损失及费用由发包人承担，超出理赔的损失及费用由发承包双方各自承担。</w:t>
      </w:r>
    </w:p>
    <w:p w14:paraId="7ADA152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.11  因发生提前竣工</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赶工）事件引起的工程索赔，发承包双方可按下列原则分别承担相应费用，并调整合同价格和工期：</w:t>
      </w:r>
    </w:p>
    <w:p w14:paraId="36E956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（1）发包人要求合同工程提前竣工的，承包人应制定合理的加快工程进度的措施并修订进度计划，经发包人同意后实施，由此增加的提前竣工费用</w:t>
      </w:r>
      <w:r>
        <w:rPr>
          <w:rFonts w:hint="eastAsia" w:hAnsi="宋体" w:cs="宋体"/>
          <w:b w:val="0"/>
          <w:bCs w:val="0"/>
          <w:color w:val="auto"/>
          <w:sz w:val="21"/>
          <w:szCs w:val="21"/>
          <w:highlight w:val="none"/>
          <w:lang w:val="en-US" w:eastAsia="zh-CN"/>
        </w:rPr>
        <w:t>（</w:t>
      </w:r>
      <w:r>
        <w:rPr>
          <w:rFonts w:hint="eastAsia" w:ascii="Times New Roman" w:hAnsi="宋体" w:eastAsia="宋体" w:cs="宋体"/>
          <w:b w:val="0"/>
          <w:bCs w:val="0"/>
          <w:color w:val="auto"/>
          <w:sz w:val="21"/>
          <w:szCs w:val="21"/>
          <w:highlight w:val="none"/>
          <w:lang w:val="en-US"/>
        </w:rPr>
        <w:t>赶工费）由发包人承担；</w:t>
      </w:r>
    </w:p>
    <w:p w14:paraId="75589E3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（2）非发包人要求，因承包人原因自行提前竣工的，应征得发包人的同意，由此增加的费用应由承包人承担。</w:t>
      </w:r>
    </w:p>
    <w:p w14:paraId="310CEBD9">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 xml:space="preserve">.12  因承包人原因发生下列事件，引起工期延误和（或）给发包人造成经济损失的，发包人可根据工期受影响延误的时间和（或）经济损失，提出以下一项或多项索赔： </w:t>
      </w:r>
    </w:p>
    <w:p w14:paraId="6768310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（1）承包人未尽承包义务、未按合同约定执行发包人的工程指令等引起发包人发生的额外费用或额外支出；</w:t>
      </w:r>
    </w:p>
    <w:p w14:paraId="4EA9537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（2）承包人未按合同要求正确履行对发包人提供材料、专业分包人的总承包服务造成发包人的损失；</w:t>
      </w:r>
    </w:p>
    <w:p w14:paraId="680A600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（3）承包人责任事件造成的发包人向政府部门缴纳的罚款或向第三人的赔偿费用；</w:t>
      </w:r>
    </w:p>
    <w:p w14:paraId="09BA3A7E">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（4）承包人原因引起合同工程发生误期造成发包人的损失；</w:t>
      </w:r>
    </w:p>
    <w:p w14:paraId="6911978D">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（5）承包人完成的工程质量不符合合同约定标准引起发包人的损失；</w:t>
      </w:r>
    </w:p>
    <w:p w14:paraId="288E576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（6）发包人可举证的上述费用之外的其他损失。</w:t>
      </w:r>
    </w:p>
    <w:p w14:paraId="4EB28D83">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.13  因承包人原因引起发包人的损失，发包人可以选择以下一项或多项方式获得补偿：</w:t>
      </w:r>
    </w:p>
    <w:p w14:paraId="4A68CCCC">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（1）延长质量缺陷保修期限；</w:t>
      </w:r>
    </w:p>
    <w:p w14:paraId="31DE98F8">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（2）要求承包人支付受影响发生的额外费用；</w:t>
      </w:r>
    </w:p>
    <w:p w14:paraId="2F2D82AB">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（3）要求承包人支付误期赔偿费；</w:t>
      </w:r>
    </w:p>
    <w:p w14:paraId="511BC350">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（4）要求承包人按合同的约定支付违约金。</w:t>
      </w:r>
    </w:p>
    <w:p w14:paraId="73B5AAD5">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.14  发承包双方均应采取措施尽量避免和减少因索赔事件导致的损失扩大，应采取措施的一方当事人不采取积极措施导致损失扩大的，应对扩大的损失承担责任。</w:t>
      </w:r>
    </w:p>
    <w:p w14:paraId="051AA443">
      <w:pPr>
        <w:spacing w:line="400" w:lineRule="exact"/>
        <w:ind w:firstLine="420" w:firstLineChars="200"/>
        <w:jc w:val="left"/>
        <w:rPr>
          <w:rFonts w:ascii="Times New Roman" w:hAnsi="Times New Roman" w:cs="Times New Roman"/>
          <w:color w:val="auto"/>
          <w:szCs w:val="21"/>
          <w:highlight w:val="none"/>
          <w:shd w:val="clear" w:color="auto" w:fill="auto"/>
        </w:rPr>
      </w:pPr>
      <w:r>
        <w:rPr>
          <w:rFonts w:hint="default" w:ascii="Times New Roman" w:hAnsi="Times New Roman" w:cs="Times New Roman"/>
          <w:b w:val="0"/>
          <w:bCs w:val="0"/>
          <w:color w:val="auto"/>
          <w:szCs w:val="21"/>
          <w:highlight w:val="none"/>
          <w:shd w:val="clear" w:color="auto" w:fill="auto"/>
        </w:rPr>
        <w:t>1</w:t>
      </w:r>
      <w:r>
        <w:rPr>
          <w:rFonts w:hint="default" w:ascii="Times New Roman" w:hAnsi="Times New Roman" w:cs="Times New Roman"/>
          <w:b w:val="0"/>
          <w:color w:val="auto"/>
          <w:szCs w:val="21"/>
          <w:highlight w:val="none"/>
          <w:shd w:val="clear" w:color="auto" w:fill="auto"/>
          <w:lang w:val="en-US" w:eastAsia="zh-CN"/>
        </w:rPr>
        <w:t>9</w:t>
      </w:r>
      <w:r>
        <w:rPr>
          <w:rFonts w:hint="default" w:ascii="Times New Roman" w:hAnsi="Times New Roman" w:cs="Times New Roman"/>
          <w:b w:val="0"/>
          <w:color w:val="auto"/>
          <w:szCs w:val="21"/>
          <w:highlight w:val="none"/>
          <w:shd w:val="clear" w:color="auto" w:fill="auto"/>
        </w:rPr>
        <w:t>.</w:t>
      </w:r>
      <w:r>
        <w:rPr>
          <w:rFonts w:hint="eastAsia"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default" w:ascii="Times New Roman" w:hAnsi="Times New Roman" w:cs="Times New Roman"/>
          <w:b w:val="0"/>
          <w:color w:val="auto"/>
          <w:szCs w:val="21"/>
          <w:highlight w:val="none"/>
          <w:shd w:val="clear" w:color="auto" w:fill="auto"/>
          <w:lang w:val="en-US" w:eastAsia="zh-CN"/>
        </w:rPr>
        <w:t>15</w:t>
      </w:r>
      <w:r>
        <w:rPr>
          <w:rFonts w:hint="default" w:ascii="Times New Roman" w:hAnsi="Times New Roman" w:cs="Times New Roman"/>
          <w:color w:val="auto"/>
          <w:szCs w:val="21"/>
          <w:highlight w:val="none"/>
          <w:shd w:val="clear" w:color="auto" w:fill="auto"/>
        </w:rPr>
        <w:t xml:space="preserve">  在相关索赔事件发生后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发承包双方应及时就调整的工期和索赔的费用及时进行确认签署</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并应作为工程进度款和工程结算的依据。</w:t>
      </w:r>
    </w:p>
    <w:p w14:paraId="2FF15D38">
      <w:pPr>
        <w:spacing w:line="400" w:lineRule="exact"/>
        <w:ind w:firstLine="0" w:firstLineChars="0"/>
        <w:jc w:val="left"/>
        <w:outlineLvl w:val="9"/>
        <w:rPr>
          <w:rFonts w:hint="eastAsia" w:ascii="Times New Roman" w:hAnsi="宋体" w:eastAsia="宋体" w:cs="宋体"/>
          <w:b w:val="0"/>
          <w:bCs w:val="0"/>
          <w:color w:val="auto"/>
          <w:sz w:val="21"/>
          <w:szCs w:val="21"/>
          <w:highlight w:val="none"/>
          <w:lang w:val="en-US"/>
        </w:rPr>
      </w:pPr>
      <w:r>
        <w:rPr>
          <w:rFonts w:hint="eastAsia" w:eastAsia="宋体" w:cs="Times New Roman"/>
          <w:b w:val="0"/>
          <w:bCs w:val="0"/>
          <w:color w:val="auto"/>
          <w:szCs w:val="21"/>
          <w:highlight w:val="none"/>
          <w:shd w:val="clear" w:color="auto" w:fill="auto"/>
          <w:lang w:val="en-US" w:eastAsia="zh-CN"/>
        </w:rPr>
        <w:t xml:space="preserve">    </w:t>
      </w:r>
      <w:r>
        <w:rPr>
          <w:rFonts w:hint="default" w:ascii="Times New Roman" w:hAnsi="Times New Roman" w:cs="Times New Roman"/>
          <w:b w:val="0"/>
          <w:bCs w:val="0"/>
          <w:color w:val="auto"/>
          <w:szCs w:val="21"/>
          <w:highlight w:val="none"/>
          <w:shd w:val="clear" w:color="auto" w:fill="auto"/>
        </w:rPr>
        <w:t>1</w:t>
      </w:r>
      <w:r>
        <w:rPr>
          <w:rFonts w:hint="eastAsia" w:eastAsia="宋体" w:cs="Times New Roman"/>
          <w:b w:val="0"/>
          <w:color w:val="auto"/>
          <w:szCs w:val="21"/>
          <w:highlight w:val="none"/>
          <w:shd w:val="clear" w:color="auto" w:fill="auto"/>
          <w:lang w:eastAsia="zh-CN"/>
        </w:rPr>
        <w:t>9</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w:t>
      </w:r>
      <w:r>
        <w:rPr>
          <w:rFonts w:hint="default" w:ascii="Times New Roman" w:hAnsi="Times New Roman" w:cs="Times New Roman"/>
          <w:b w:val="0"/>
          <w:color w:val="auto"/>
          <w:szCs w:val="21"/>
          <w:highlight w:val="none"/>
          <w:shd w:val="clear" w:color="auto" w:fill="auto"/>
        </w:rPr>
        <w:t>.</w:t>
      </w:r>
      <w:r>
        <w:rPr>
          <w:rFonts w:hint="eastAsia" w:eastAsia="宋体" w:cs="Times New Roman"/>
          <w:b w:val="0"/>
          <w:color w:val="auto"/>
          <w:szCs w:val="21"/>
          <w:highlight w:val="none"/>
          <w:shd w:val="clear" w:color="auto" w:fill="auto"/>
          <w:lang w:val="en-US" w:eastAsia="zh-CN"/>
        </w:rPr>
        <w:t>16</w:t>
      </w:r>
      <w:r>
        <w:rPr>
          <w:rFonts w:hint="default" w:ascii="Times New Roman" w:hAnsi="Times New Roman" w:cs="Times New Roman"/>
          <w:color w:val="auto"/>
          <w:szCs w:val="21"/>
          <w:highlight w:val="none"/>
          <w:shd w:val="clear" w:color="auto" w:fill="auto"/>
        </w:rPr>
        <w:t xml:space="preserve">  在发承包双方已按合同约定完成了工程竣工结算书签署确定及已办理了竣工结算确定后</w:t>
      </w:r>
      <w:r>
        <w:rPr>
          <w:rFonts w:hint="default" w:ascii="Times New Roman" w:hAnsi="Times New Roman" w:cs="Times New Roman"/>
          <w:color w:val="auto"/>
          <w:szCs w:val="21"/>
          <w:highlight w:val="none"/>
          <w:shd w:val="clear" w:color="auto" w:fill="auto"/>
          <w:lang w:eastAsia="zh-CN"/>
        </w:rPr>
        <w:t>，</w:t>
      </w:r>
      <w:r>
        <w:rPr>
          <w:rFonts w:hint="default" w:ascii="Times New Roman" w:hAnsi="Times New Roman" w:cs="Times New Roman"/>
          <w:color w:val="auto"/>
          <w:szCs w:val="21"/>
          <w:highlight w:val="none"/>
          <w:shd w:val="clear" w:color="auto" w:fill="auto"/>
        </w:rPr>
        <w:t>双方应无权再向对方提出关于竣工结算前所发生事件的工程索赔。</w:t>
      </w:r>
    </w:p>
    <w:p w14:paraId="4428DF01">
      <w:pPr>
        <w:spacing w:line="360" w:lineRule="auto"/>
        <w:ind w:firstLine="420" w:firstLineChars="200"/>
        <w:outlineLvl w:val="9"/>
        <w:rPr>
          <w:rFonts w:hint="eastAsia" w:ascii="Times New Roman" w:hAnsi="宋体" w:eastAsia="宋体" w:cs="宋体"/>
          <w:b w:val="0"/>
          <w:bCs w:val="0"/>
          <w:color w:val="auto"/>
          <w:sz w:val="21"/>
          <w:szCs w:val="21"/>
          <w:highlight w:val="none"/>
          <w:lang w:val="en-US"/>
        </w:rPr>
      </w:pPr>
      <w:r>
        <w:rPr>
          <w:rFonts w:hint="eastAsia" w:ascii="Times New Roman" w:hAnsi="宋体" w:eastAsia="宋体" w:cs="宋体"/>
          <w:b w:val="0"/>
          <w:bCs w:val="0"/>
          <w:color w:val="auto"/>
          <w:sz w:val="21"/>
          <w:szCs w:val="21"/>
          <w:highlight w:val="none"/>
          <w:lang w:val="en-US"/>
        </w:rPr>
        <w:t>19.</w:t>
      </w:r>
      <w:r>
        <w:rPr>
          <w:rFonts w:hint="eastAsia" w:hAnsi="宋体" w:eastAsia="宋体" w:cs="宋体"/>
          <w:b w:val="0"/>
          <w:bCs w:val="0"/>
          <w:color w:val="auto"/>
          <w:sz w:val="21"/>
          <w:szCs w:val="21"/>
          <w:highlight w:val="none"/>
          <w:lang w:val="en-US" w:eastAsia="zh-CN"/>
        </w:rPr>
        <w:t>1</w:t>
      </w:r>
      <w:r>
        <w:rPr>
          <w:rFonts w:hint="eastAsia" w:ascii="Times New Roman" w:hAnsi="宋体" w:eastAsia="宋体" w:cs="宋体"/>
          <w:b w:val="0"/>
          <w:bCs w:val="0"/>
          <w:color w:val="auto"/>
          <w:sz w:val="21"/>
          <w:szCs w:val="21"/>
          <w:highlight w:val="none"/>
          <w:lang w:val="en-US"/>
        </w:rPr>
        <w:t>.1</w:t>
      </w:r>
      <w:r>
        <w:rPr>
          <w:rFonts w:hint="eastAsia" w:hAnsi="宋体" w:cs="宋体"/>
          <w:b w:val="0"/>
          <w:bCs w:val="0"/>
          <w:color w:val="auto"/>
          <w:sz w:val="21"/>
          <w:szCs w:val="21"/>
          <w:highlight w:val="none"/>
          <w:lang w:val="en-US" w:eastAsia="zh-CN"/>
        </w:rPr>
        <w:t>7</w:t>
      </w:r>
      <w:r>
        <w:rPr>
          <w:rFonts w:hint="eastAsia" w:ascii="Times New Roman" w:hAnsi="宋体" w:eastAsia="宋体" w:cs="宋体"/>
          <w:b w:val="0"/>
          <w:bCs w:val="0"/>
          <w:color w:val="auto"/>
          <w:sz w:val="21"/>
          <w:szCs w:val="21"/>
          <w:highlight w:val="none"/>
          <w:lang w:val="en-US"/>
        </w:rPr>
        <w:t xml:space="preserve">  发承包双方宜通过协商方式解决工程索赔，经协商不能达成一致意见的，可按本合同第20条争议解决的约定执行，引起合同解除的，按本合同第</w:t>
      </w:r>
      <w:r>
        <w:rPr>
          <w:rFonts w:hint="eastAsia" w:ascii="Times New Roman" w:hAnsi="宋体" w:eastAsia="宋体" w:cs="宋体"/>
          <w:b w:val="0"/>
          <w:bCs w:val="0"/>
          <w:color w:val="auto"/>
          <w:sz w:val="21"/>
          <w:szCs w:val="21"/>
          <w:highlight w:val="none"/>
          <w:lang w:val="en-US" w:eastAsia="zh-CN"/>
        </w:rPr>
        <w:t>16</w:t>
      </w:r>
      <w:r>
        <w:rPr>
          <w:rFonts w:hint="eastAsia" w:ascii="Times New Roman" w:hAnsi="宋体" w:eastAsia="宋体" w:cs="宋体"/>
          <w:b w:val="0"/>
          <w:bCs w:val="0"/>
          <w:color w:val="auto"/>
          <w:sz w:val="21"/>
          <w:szCs w:val="21"/>
          <w:highlight w:val="none"/>
          <w:lang w:val="en-US"/>
        </w:rPr>
        <w:t>条</w:t>
      </w:r>
      <w:r>
        <w:rPr>
          <w:rFonts w:hint="eastAsia" w:hAnsi="宋体" w:cs="宋体"/>
          <w:b w:val="0"/>
          <w:bCs w:val="0"/>
          <w:strike w:val="0"/>
          <w:color w:val="auto"/>
          <w:sz w:val="21"/>
          <w:szCs w:val="21"/>
          <w:highlight w:val="none"/>
          <w:lang w:val="en-US" w:eastAsia="zh-CN"/>
        </w:rPr>
        <w:t>解除合同相关</w:t>
      </w:r>
      <w:r>
        <w:rPr>
          <w:rFonts w:hint="eastAsia" w:ascii="Times New Roman" w:hAnsi="宋体" w:eastAsia="宋体" w:cs="宋体"/>
          <w:b w:val="0"/>
          <w:bCs w:val="0"/>
          <w:color w:val="auto"/>
          <w:sz w:val="21"/>
          <w:szCs w:val="21"/>
          <w:highlight w:val="none"/>
          <w:lang w:val="en-US"/>
        </w:rPr>
        <w:t>的约定处理。</w:t>
      </w:r>
    </w:p>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14:paraId="32346346">
      <w:pPr>
        <w:pStyle w:val="3"/>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76" w:name="_Toc9850607"/>
      <w:bookmarkStart w:id="1077" w:name="_Toc389065341"/>
      <w:bookmarkStart w:id="1078" w:name="_Toc351203651"/>
      <w:bookmarkStart w:id="1079" w:name="_Toc407135279"/>
      <w:bookmarkStart w:id="1080" w:name="_Toc373227776"/>
      <w:bookmarkStart w:id="1081" w:name="_Toc373478423"/>
      <w:r>
        <w:rPr>
          <w:rFonts w:hint="eastAsia" w:ascii="宋体" w:hAnsi="宋体" w:cs="宋体"/>
          <w:color w:val="auto"/>
          <w:highlight w:val="none"/>
          <w:lang w:val="en-US" w:eastAsia="zh-CN"/>
        </w:rPr>
        <w:t>20</w:t>
      </w:r>
      <w:r>
        <w:rPr>
          <w:rFonts w:hint="eastAsia" w:ascii="宋体" w:hAnsi="宋体" w:eastAsia="宋体" w:cs="宋体"/>
          <w:color w:val="auto"/>
          <w:highlight w:val="none"/>
        </w:rPr>
        <w:t>. 争议解决</w:t>
      </w:r>
      <w:bookmarkEnd w:id="1076"/>
      <w:bookmarkEnd w:id="1077"/>
      <w:bookmarkEnd w:id="1078"/>
      <w:bookmarkEnd w:id="1079"/>
      <w:bookmarkEnd w:id="1080"/>
      <w:bookmarkEnd w:id="1081"/>
    </w:p>
    <w:p w14:paraId="040D4C86">
      <w:pPr>
        <w:pStyle w:val="4"/>
        <w:keepNext/>
        <w:keepLines/>
        <w:pageBreakBefore w:val="0"/>
        <w:widowControl w:val="0"/>
        <w:kinsoku/>
        <w:wordWrap w:val="0"/>
        <w:overflowPunct/>
        <w:topLinePunct w:val="0"/>
        <w:autoSpaceDE/>
        <w:autoSpaceDN/>
        <w:bidi w:val="0"/>
        <w:snapToGrid/>
        <w:spacing w:line="480" w:lineRule="exact"/>
        <w:textAlignment w:val="auto"/>
        <w:rPr>
          <w:rFonts w:hint="eastAsia" w:ascii="宋体" w:hAnsi="宋体" w:eastAsia="宋体" w:cs="宋体"/>
          <w:color w:val="auto"/>
          <w:highlight w:val="none"/>
        </w:rPr>
      </w:pPr>
      <w:bookmarkStart w:id="1082" w:name="_Toc389065342"/>
      <w:bookmarkStart w:id="1083" w:name="_Toc373478424"/>
      <w:bookmarkStart w:id="1084" w:name="_Toc373227777"/>
      <w:bookmarkStart w:id="1085" w:name="_Toc9850608"/>
      <w:bookmarkStart w:id="1086" w:name="_Toc407135280"/>
      <w:r>
        <w:rPr>
          <w:rFonts w:hint="eastAsia" w:ascii="宋体" w:hAnsi="宋体" w:cs="宋体"/>
          <w:color w:val="auto"/>
          <w:highlight w:val="none"/>
          <w:lang w:val="en-US" w:eastAsia="zh-CN"/>
        </w:rPr>
        <w:t>20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争议评审</w:t>
      </w:r>
      <w:bookmarkEnd w:id="1082"/>
      <w:bookmarkEnd w:id="1083"/>
      <w:bookmarkEnd w:id="1084"/>
      <w:bookmarkEnd w:id="1085"/>
      <w:bookmarkEnd w:id="1086"/>
    </w:p>
    <w:p w14:paraId="23B3CFAA">
      <w:pPr>
        <w:pageBreakBefore w:val="0"/>
        <w:widowControl w:val="0"/>
        <w:kinsoku/>
        <w:wordWrap w:val="0"/>
        <w:overflowPunct/>
        <w:topLinePunct w:val="0"/>
        <w:bidi w:val="0"/>
        <w:snapToGrid/>
        <w:spacing w:line="480" w:lineRule="exact"/>
        <w:ind w:left="149" w:leftChars="71" w:firstLine="315" w:firstLineChars="15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合同当事人是否同意将工程争议提交争议评审小组决定：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A760726">
      <w:pPr>
        <w:pageBreakBefore w:val="0"/>
        <w:widowControl w:val="0"/>
        <w:kinsoku/>
        <w:wordWrap w:val="0"/>
        <w:overflowPunct/>
        <w:topLinePunct w:val="0"/>
        <w:bidi w:val="0"/>
        <w:snapToGrid/>
        <w:spacing w:line="480" w:lineRule="exact"/>
        <w:ind w:firstLine="420" w:firstLineChars="200"/>
        <w:jc w:val="left"/>
        <w:textAlignment w:val="auto"/>
        <w:outlineLvl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.1 争议评审小组的确定</w:t>
      </w:r>
    </w:p>
    <w:p w14:paraId="4A805A77">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争议评审小组成员的确定：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16878F5">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选定争议评审员的期限：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74B20FBF">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争议评审小组成员的报酬承担方式：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6CD8AA0B">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其他事项的约定：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2CF2829A">
      <w:pPr>
        <w:pageBreakBefore w:val="0"/>
        <w:widowControl w:val="0"/>
        <w:kinsoku/>
        <w:wordWrap w:val="0"/>
        <w:overflowPunct/>
        <w:topLinePunct w:val="0"/>
        <w:autoSpaceDE w:val="0"/>
        <w:autoSpaceDN w:val="0"/>
        <w:bidi w:val="0"/>
        <w:adjustRightInd w:val="0"/>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.2 争议评审小组的决定</w:t>
      </w:r>
    </w:p>
    <w:p w14:paraId="42F1D466">
      <w:pPr>
        <w:pageBreakBefore w:val="0"/>
        <w:widowControl w:val="0"/>
        <w:kinsoku/>
        <w:wordWrap w:val="0"/>
        <w:overflowPunct/>
        <w:topLinePunct w:val="0"/>
        <w:bidi w:val="0"/>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合同当事人关于本项的约定：</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C15EDC2">
      <w:pPr>
        <w:pStyle w:val="4"/>
        <w:keepNext/>
        <w:keepLines/>
        <w:pageBreakBefore w:val="0"/>
        <w:widowControl w:val="0"/>
        <w:kinsoku/>
        <w:wordWrap w:val="0"/>
        <w:overflowPunct/>
        <w:topLinePunct w:val="0"/>
        <w:autoSpaceDE/>
        <w:autoSpaceDN/>
        <w:bidi w:val="0"/>
        <w:adjustRightInd/>
        <w:snapToGrid/>
        <w:spacing w:line="480" w:lineRule="exact"/>
        <w:textAlignment w:val="auto"/>
        <w:rPr>
          <w:rFonts w:hint="eastAsia" w:ascii="宋体" w:hAnsi="宋体" w:eastAsia="宋体" w:cs="宋体"/>
          <w:color w:val="auto"/>
          <w:highlight w:val="none"/>
        </w:rPr>
      </w:pPr>
      <w:bookmarkStart w:id="1087" w:name="_Toc373227778"/>
      <w:bookmarkStart w:id="1088" w:name="_Toc9850609"/>
      <w:bookmarkStart w:id="1089" w:name="_Toc389065343"/>
      <w:bookmarkStart w:id="1090" w:name="_Toc407135281"/>
      <w:bookmarkStart w:id="1091" w:name="_Toc373478425"/>
      <w:r>
        <w:rPr>
          <w:rFonts w:hint="eastAsia" w:ascii="宋体" w:hAnsi="宋体" w:cs="宋体"/>
          <w:color w:val="auto"/>
          <w:highlight w:val="none"/>
          <w:lang w:val="en-US" w:eastAsia="zh-CN"/>
        </w:rPr>
        <w:t>20.</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仲裁或诉讼</w:t>
      </w:r>
      <w:bookmarkEnd w:id="1087"/>
      <w:bookmarkEnd w:id="1088"/>
      <w:bookmarkEnd w:id="1089"/>
      <w:bookmarkEnd w:id="1090"/>
      <w:bookmarkEnd w:id="1091"/>
    </w:p>
    <w:p w14:paraId="139D778E">
      <w:pPr>
        <w:pageBreakBefore w:val="0"/>
        <w:widowControl w:val="0"/>
        <w:kinsoku/>
        <w:wordWrap w:val="0"/>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25F480AC">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（1）提请</w:t>
      </w:r>
      <w:r>
        <w:rPr>
          <w:rFonts w:hint="eastAsia" w:ascii="宋体" w:hAnsi="宋体" w:eastAsia="宋体" w:cs="宋体"/>
          <w:color w:val="auto"/>
          <w:sz w:val="21"/>
          <w:szCs w:val="21"/>
          <w:highlight w:val="none"/>
          <w:u w:val="single"/>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仲裁委员会按照该会仲裁规则进行仲裁，仲裁裁决是终局的，对合同双方均有约束力。</w:t>
      </w:r>
    </w:p>
    <w:p w14:paraId="01B58189">
      <w:pPr>
        <w:pageBreakBefore w:val="0"/>
        <w:widowControl w:val="0"/>
        <w:kinsoku/>
        <w:wordWrap w:val="0"/>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项目所在地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p>
    <w:p w14:paraId="2CEC5EFA">
      <w:pPr>
        <w:spacing w:line="360" w:lineRule="auto"/>
        <w:jc w:val="left"/>
        <w:rPr>
          <w:rFonts w:eastAsia="黑体"/>
          <w:b/>
          <w:bCs/>
          <w:color w:val="auto"/>
          <w:sz w:val="28"/>
          <w:szCs w:val="28"/>
          <w:highlight w:val="none"/>
        </w:rPr>
      </w:pPr>
      <w:r>
        <w:rPr>
          <w:rFonts w:hint="eastAsia" w:eastAsia="黑体" w:cs="黑体"/>
          <w:b/>
          <w:bCs/>
          <w:color w:val="auto"/>
          <w:sz w:val="28"/>
          <w:szCs w:val="28"/>
          <w:highlight w:val="none"/>
        </w:rPr>
        <w:t>附件</w:t>
      </w:r>
    </w:p>
    <w:p w14:paraId="1D991AE1">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1</w:t>
      </w:r>
      <w:r>
        <w:rPr>
          <w:rFonts w:hint="eastAsia" w:ascii="宋体" w:hAnsi="宋体" w:cs="宋体"/>
          <w:color w:val="auto"/>
          <w:highlight w:val="none"/>
        </w:rPr>
        <w:t>：工程质量保修书</w:t>
      </w:r>
    </w:p>
    <w:p w14:paraId="1BA6D46F">
      <w:pPr>
        <w:spacing w:line="360" w:lineRule="auto"/>
        <w:jc w:val="left"/>
        <w:rPr>
          <w:rFonts w:ascii="宋体" w:hAnsi="宋体" w:cs="宋体"/>
          <w:color w:val="auto"/>
          <w:highlight w:val="none"/>
        </w:rPr>
      </w:pPr>
      <w:r>
        <w:rPr>
          <w:rFonts w:ascii="宋体" w:hAnsi="宋体" w:cs="宋体"/>
          <w:color w:val="auto"/>
          <w:highlight w:val="none"/>
        </w:rPr>
        <w:t>附件</w:t>
      </w:r>
      <w:r>
        <w:rPr>
          <w:rFonts w:hint="eastAsia" w:ascii="宋体" w:hAnsi="宋体" w:cs="宋体"/>
          <w:color w:val="auto"/>
          <w:highlight w:val="none"/>
          <w:lang w:val="en-US" w:eastAsia="zh-CN"/>
        </w:rPr>
        <w:t>2</w:t>
      </w:r>
      <w:r>
        <w:rPr>
          <w:rFonts w:ascii="宋体" w:hAnsi="宋体" w:cs="宋体"/>
          <w:color w:val="auto"/>
          <w:highlight w:val="none"/>
        </w:rPr>
        <w:t>：主要建设工程文件目录</w:t>
      </w:r>
    </w:p>
    <w:p w14:paraId="610289F0">
      <w:pPr>
        <w:spacing w:line="360" w:lineRule="auto"/>
        <w:jc w:val="left"/>
        <w:rPr>
          <w:rFonts w:ascii="宋体" w:hAnsi="宋体" w:cs="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3</w:t>
      </w:r>
      <w:r>
        <w:rPr>
          <w:rFonts w:hint="eastAsia" w:ascii="宋体" w:hAnsi="宋体" w:cs="宋体"/>
          <w:color w:val="auto"/>
          <w:highlight w:val="none"/>
        </w:rPr>
        <w:t>：承包人用于本工程施工的机械设备表</w:t>
      </w:r>
    </w:p>
    <w:p w14:paraId="46B66941">
      <w:pPr>
        <w:spacing w:line="360" w:lineRule="auto"/>
        <w:jc w:val="left"/>
        <w:rPr>
          <w:rFonts w:ascii="宋体"/>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4</w:t>
      </w:r>
      <w:r>
        <w:rPr>
          <w:rFonts w:hint="eastAsia" w:ascii="宋体" w:hAnsi="宋体" w:cs="宋体"/>
          <w:color w:val="auto"/>
          <w:highlight w:val="none"/>
        </w:rPr>
        <w:t>：承包人主要施工管理人员表</w:t>
      </w:r>
    </w:p>
    <w:p w14:paraId="5CE205C1">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5</w:t>
      </w:r>
      <w:r>
        <w:rPr>
          <w:rFonts w:hint="eastAsia" w:ascii="宋体" w:hAnsi="宋体" w:cs="宋体"/>
          <w:color w:val="auto"/>
          <w:highlight w:val="none"/>
        </w:rPr>
        <w:t>：预付款</w:t>
      </w:r>
      <w:r>
        <w:rPr>
          <w:rFonts w:hint="eastAsia"/>
          <w:color w:val="auto"/>
          <w:highlight w:val="none"/>
        </w:rPr>
        <w:t>支付申请（核准）表</w:t>
      </w:r>
    </w:p>
    <w:p w14:paraId="3A975BEF">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color w:val="auto"/>
          <w:highlight w:val="none"/>
        </w:rPr>
        <w:t>进度款支付申请（核准）表</w:t>
      </w:r>
    </w:p>
    <w:p w14:paraId="0F3EDC6C">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7</w:t>
      </w:r>
      <w:r>
        <w:rPr>
          <w:rFonts w:hint="eastAsia" w:ascii="宋体" w:hAnsi="宋体" w:cs="宋体"/>
          <w:color w:val="auto"/>
          <w:highlight w:val="none"/>
        </w:rPr>
        <w:t>：竣工</w:t>
      </w:r>
      <w:r>
        <w:rPr>
          <w:rFonts w:hint="eastAsia" w:ascii="宋体" w:hAnsi="宋体" w:cs="宋体"/>
          <w:color w:val="auto"/>
          <w:highlight w:val="none"/>
          <w:lang w:eastAsia="zh-CN"/>
        </w:rPr>
        <w:t>（施工过程）</w:t>
      </w:r>
      <w:r>
        <w:rPr>
          <w:rFonts w:hint="eastAsia" w:ascii="宋体" w:hAnsi="宋体" w:cs="宋体"/>
          <w:color w:val="auto"/>
          <w:highlight w:val="none"/>
        </w:rPr>
        <w:t>结算</w:t>
      </w:r>
      <w:r>
        <w:rPr>
          <w:rFonts w:hint="eastAsia"/>
          <w:color w:val="auto"/>
          <w:highlight w:val="none"/>
        </w:rPr>
        <w:t>款支付申请（核准）表</w:t>
      </w:r>
    </w:p>
    <w:p w14:paraId="5828D223">
      <w:pPr>
        <w:spacing w:line="360" w:lineRule="auto"/>
        <w:jc w:val="left"/>
        <w:rPr>
          <w:rFonts w:hint="eastAsia"/>
          <w:color w:val="auto"/>
          <w:highlight w:val="none"/>
        </w:rPr>
      </w:pPr>
      <w:r>
        <w:rPr>
          <w:rFonts w:hint="eastAsia" w:ascii="宋体" w:hAnsi="宋体" w:cs="宋体"/>
          <w:color w:val="auto"/>
          <w:highlight w:val="none"/>
        </w:rPr>
        <w:t>附件</w:t>
      </w:r>
      <w:r>
        <w:rPr>
          <w:rFonts w:hint="eastAsia" w:ascii="宋体" w:hAnsi="宋体" w:cs="宋体"/>
          <w:color w:val="auto"/>
          <w:highlight w:val="none"/>
          <w:lang w:val="en-US" w:eastAsia="zh-CN"/>
        </w:rPr>
        <w:t>8</w:t>
      </w:r>
      <w:r>
        <w:rPr>
          <w:rFonts w:hint="eastAsia" w:ascii="宋体" w:hAnsi="宋体" w:cs="宋体"/>
          <w:color w:val="auto"/>
          <w:highlight w:val="none"/>
        </w:rPr>
        <w:t>：工程保修与结清结算支付申请（核准）表</w:t>
      </w:r>
    </w:p>
    <w:p w14:paraId="665622D4">
      <w:pPr>
        <w:spacing w:line="360" w:lineRule="auto"/>
        <w:jc w:val="left"/>
        <w:rPr>
          <w:rFonts w:hint="eastAsia"/>
          <w:color w:val="auto"/>
          <w:highlight w:val="none"/>
        </w:rPr>
      </w:pPr>
      <w:r>
        <w:rPr>
          <w:rFonts w:hint="eastAsia"/>
          <w:color w:val="auto"/>
          <w:highlight w:val="none"/>
        </w:rPr>
        <w:t>附件</w:t>
      </w:r>
      <w:r>
        <w:rPr>
          <w:rFonts w:hint="eastAsia"/>
          <w:color w:val="auto"/>
          <w:highlight w:val="none"/>
          <w:lang w:val="en-US" w:eastAsia="zh-CN"/>
        </w:rPr>
        <w:t>9</w:t>
      </w:r>
      <w:r>
        <w:rPr>
          <w:rFonts w:hint="eastAsia"/>
          <w:color w:val="auto"/>
          <w:highlight w:val="none"/>
        </w:rPr>
        <w:t>：总价合同进度款支付分解表</w:t>
      </w:r>
    </w:p>
    <w:p w14:paraId="284B5048">
      <w:pPr>
        <w:pStyle w:val="18"/>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t>附件1</w:t>
      </w:r>
      <w:r>
        <w:rPr>
          <w:rFonts w:hint="eastAsia"/>
          <w:color w:val="auto"/>
          <w:highlight w:val="none"/>
          <w:lang w:val="en-US" w:eastAsia="zh-CN"/>
        </w:rPr>
        <w:t>0</w:t>
      </w:r>
      <w:r>
        <w:rPr>
          <w:rFonts w:hint="eastAsia"/>
          <w:color w:val="auto"/>
          <w:highlight w:val="none"/>
        </w:rPr>
        <w:t>：</w:t>
      </w:r>
      <w:r>
        <w:rPr>
          <w:rFonts w:hint="eastAsia" w:ascii="Times New Roman" w:hAnsi="Times New Roman" w:eastAsia="宋体" w:cs="Times New Roman"/>
          <w:color w:val="auto"/>
          <w:kern w:val="2"/>
          <w:sz w:val="21"/>
          <w:szCs w:val="24"/>
          <w:highlight w:val="none"/>
          <w:lang w:val="en-US" w:eastAsia="zh-CN" w:bidi="ar-SA"/>
        </w:rPr>
        <w:t>安全生产合同</w:t>
      </w:r>
    </w:p>
    <w:p w14:paraId="46ADBFEE">
      <w:pPr>
        <w:pageBreakBefore w:val="0"/>
        <w:kinsoku/>
        <w:wordWrap w:val="0"/>
        <w:overflowPunct/>
        <w:topLinePunct w:val="0"/>
        <w:bidi w:val="0"/>
        <w:spacing w:line="360" w:lineRule="auto"/>
        <w:rPr>
          <w:rFonts w:hint="eastAsia" w:ascii="宋体" w:hAnsi="宋体" w:cs="宋体"/>
          <w:b w:val="0"/>
          <w:bCs/>
          <w:color w:val="auto"/>
          <w:sz w:val="24"/>
          <w:szCs w:val="24"/>
          <w:highlight w:val="none"/>
          <w:lang w:val="en-US" w:eastAsia="zh-CN"/>
        </w:rPr>
      </w:pPr>
      <w:r>
        <w:rPr>
          <w:rFonts w:hint="eastAsia" w:ascii="宋体" w:hAnsi="宋体" w:eastAsia="宋体" w:cs="宋体"/>
          <w:b/>
          <w:color w:val="auto"/>
          <w:sz w:val="32"/>
          <w:szCs w:val="32"/>
          <w:highlight w:val="none"/>
        </w:rPr>
        <w:br w:type="page"/>
      </w:r>
      <w:r>
        <w:rPr>
          <w:rFonts w:hint="eastAsia" w:ascii="宋体" w:hAnsi="宋体" w:eastAsia="宋体" w:cs="宋体"/>
          <w:b w:val="0"/>
          <w:bCs/>
          <w:color w:val="auto"/>
          <w:sz w:val="24"/>
          <w:szCs w:val="24"/>
          <w:highlight w:val="none"/>
          <w:lang w:eastAsia="zh-CN"/>
        </w:rPr>
        <w:t>附件</w:t>
      </w:r>
      <w:r>
        <w:rPr>
          <w:rFonts w:hint="eastAsia" w:ascii="宋体" w:hAnsi="宋体" w:eastAsia="宋体" w:cs="宋体"/>
          <w:b w:val="0"/>
          <w:bCs/>
          <w:color w:val="auto"/>
          <w:sz w:val="24"/>
          <w:szCs w:val="24"/>
          <w:highlight w:val="none"/>
          <w:lang w:val="en-US" w:eastAsia="zh-CN"/>
        </w:rPr>
        <w:t>1</w:t>
      </w:r>
      <w:r>
        <w:rPr>
          <w:rFonts w:hint="eastAsia" w:ascii="宋体" w:hAnsi="宋体" w:cs="宋体"/>
          <w:b w:val="0"/>
          <w:bCs/>
          <w:color w:val="auto"/>
          <w:sz w:val="24"/>
          <w:szCs w:val="24"/>
          <w:highlight w:val="none"/>
          <w:lang w:val="en-US" w:eastAsia="zh-CN"/>
        </w:rPr>
        <w:t>：工程质量保修书</w:t>
      </w:r>
    </w:p>
    <w:p w14:paraId="1428D1D1">
      <w:pPr>
        <w:pageBreakBefore w:val="0"/>
        <w:kinsoku/>
        <w:wordWrap w:val="0"/>
        <w:overflowPunct/>
        <w:topLinePunct w:val="0"/>
        <w:bidi w:val="0"/>
        <w:spacing w:line="360" w:lineRule="auto"/>
        <w:rPr>
          <w:rFonts w:hint="default" w:ascii="宋体" w:hAnsi="宋体" w:eastAsia="宋体" w:cs="宋体"/>
          <w:b w:val="0"/>
          <w:bCs/>
          <w:color w:val="auto"/>
          <w:sz w:val="24"/>
          <w:szCs w:val="24"/>
          <w:highlight w:val="none"/>
          <w:lang w:val="en-US" w:eastAsia="zh-CN"/>
        </w:rPr>
      </w:pPr>
    </w:p>
    <w:p w14:paraId="14D15B74">
      <w:pPr>
        <w:pStyle w:val="11"/>
        <w:pageBreakBefore w:val="0"/>
        <w:kinsoku/>
        <w:wordWrap w:val="0"/>
        <w:overflowPunct/>
        <w:topLinePunct w:val="0"/>
        <w:bidi w:val="0"/>
        <w:spacing w:line="360" w:lineRule="auto"/>
        <w:ind w:left="-359" w:leftChars="-171" w:firstLine="652" w:firstLineChars="203"/>
        <w:jc w:val="center"/>
        <w:rPr>
          <w:rFonts w:hint="eastAsia"/>
          <w:color w:val="auto"/>
          <w:highlight w:val="none"/>
        </w:rPr>
      </w:pPr>
      <w:r>
        <w:rPr>
          <w:rFonts w:hint="eastAsia" w:ascii="宋体" w:hAnsi="宋体" w:eastAsia="宋体" w:cs="宋体"/>
          <w:b/>
          <w:color w:val="auto"/>
          <w:sz w:val="32"/>
          <w:szCs w:val="32"/>
          <w:highlight w:val="none"/>
        </w:rPr>
        <w:t>工程质量保修书</w:t>
      </w:r>
    </w:p>
    <w:p w14:paraId="4785FADC">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color="auto"/>
          <w:lang w:val="en-US" w:eastAsia="zh-CN"/>
        </w:rPr>
      </w:pPr>
      <w:r>
        <w:rPr>
          <w:rFonts w:hint="eastAsia" w:ascii="宋体" w:hAnsi="宋体" w:eastAsia="宋体" w:cs="宋体"/>
          <w:color w:val="auto"/>
          <w:sz w:val="21"/>
          <w:szCs w:val="21"/>
          <w:highlight w:val="none"/>
          <w:u w:val="none"/>
          <w:lang w:val="en-US" w:eastAsia="zh-CN"/>
        </w:rPr>
        <w:t>发包人(全称)：</w:t>
      </w:r>
      <w:r>
        <w:rPr>
          <w:rFonts w:hint="eastAsia" w:ascii="宋体" w:hAnsi="宋体" w:cs="宋体"/>
          <w:color w:val="auto"/>
          <w:sz w:val="21"/>
          <w:szCs w:val="21"/>
          <w:highlight w:val="none"/>
          <w:u w:val="single" w:color="auto"/>
          <w:lang w:val="en-US" w:eastAsia="zh-CN"/>
        </w:rPr>
        <w:t>崇左市江州区农业农村局</w:t>
      </w:r>
      <w:r>
        <w:rPr>
          <w:rFonts w:hint="eastAsia" w:ascii="宋体" w:hAnsi="宋体" w:eastAsia="宋体" w:cs="宋体"/>
          <w:color w:val="auto"/>
          <w:sz w:val="21"/>
          <w:szCs w:val="21"/>
          <w:highlight w:val="none"/>
          <w:u w:val="single" w:color="auto"/>
          <w:lang w:val="en-US" w:eastAsia="zh-CN"/>
        </w:rPr>
        <w:t xml:space="preserve">  </w:t>
      </w:r>
    </w:p>
    <w:p w14:paraId="023A8C81">
      <w:pPr>
        <w:keepNext w:val="0"/>
        <w:keepLines w:val="0"/>
        <w:pageBreakBefore w:val="0"/>
        <w:widowControl w:val="0"/>
        <w:kinsoku/>
        <w:wordWrap w:val="0"/>
        <w:overflowPunct/>
        <w:topLinePunct w:val="0"/>
        <w:bidi w:val="0"/>
        <w:snapToGrid w:val="0"/>
        <w:spacing w:line="360" w:lineRule="auto"/>
        <w:ind w:left="-359" w:leftChars="-171" w:firstLine="426" w:firstLineChars="203"/>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u w:val="none"/>
        </w:rPr>
        <w:t>承包人(全称)：</w:t>
      </w:r>
      <w:r>
        <w:rPr>
          <w:rFonts w:hint="eastAsia" w:ascii="宋体" w:hAnsi="宋体" w:cs="宋体"/>
          <w:color w:val="auto"/>
          <w:sz w:val="21"/>
          <w:szCs w:val="21"/>
          <w:highlight w:val="none"/>
          <w:u w:val="single" w:color="auto"/>
          <w:lang w:val="en-US" w:eastAsia="zh-CN"/>
        </w:rPr>
        <w:t xml:space="preserve">              </w:t>
      </w:r>
    </w:p>
    <w:p w14:paraId="6CC14621">
      <w:pPr>
        <w:keepNext w:val="0"/>
        <w:keepLines w:val="0"/>
        <w:pageBreakBefore w:val="0"/>
        <w:widowControl w:val="0"/>
        <w:kinsoku/>
        <w:wordWrap w:val="0"/>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为保证</w:t>
      </w:r>
      <w:r>
        <w:rPr>
          <w:rFonts w:hint="eastAsia" w:ascii="宋体" w:hAnsi="宋体" w:cs="宋体"/>
          <w:color w:val="auto"/>
          <w:sz w:val="21"/>
          <w:szCs w:val="21"/>
          <w:highlight w:val="none"/>
          <w:u w:val="single" w:color="auto"/>
          <w:lang w:val="en-US" w:eastAsia="zh-CN"/>
        </w:rPr>
        <w:t>那隆镇那光村那也屯产业道路硬化项目</w:t>
      </w:r>
      <w:r>
        <w:rPr>
          <w:rFonts w:hint="eastAsia" w:ascii="宋体" w:hAnsi="宋体" w:eastAsia="宋体" w:cs="宋体"/>
          <w:b/>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在合理使用期限内正常使用，发包人和承包人协商一致签订工程质量保修书。承包人在质量保修期内按照有关管理规定及双方约定承担工程质量保修责任。</w:t>
      </w:r>
    </w:p>
    <w:p w14:paraId="4391AA1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一、工程质量保修范围和内容</w:t>
      </w:r>
    </w:p>
    <w:p w14:paraId="4AEC2715">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承包人在质量保修期内，按照有关法律、法规、规章的管理规定和双方约定，承担本工程质量保修责任。具体保修的内容，双方约定如下：</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zh-CN"/>
        </w:rPr>
        <w:t>。</w:t>
      </w:r>
    </w:p>
    <w:p w14:paraId="1CEF931C">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二、质量保修期</w:t>
      </w:r>
    </w:p>
    <w:p w14:paraId="1943E25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双方根据《建设工程质量管理条例》及有关规定，在正常使用条件下，约定本工程的质量保修期为</w:t>
      </w:r>
      <w:r>
        <w:rPr>
          <w:rFonts w:hint="eastAsia" w:ascii="宋体" w:hAnsi="宋体" w:eastAsia="宋体" w:cs="宋体"/>
          <w:color w:val="auto"/>
          <w:sz w:val="21"/>
          <w:szCs w:val="21"/>
          <w:highlight w:val="none"/>
          <w:lang w:val="en-US" w:eastAsia="zh-CN"/>
        </w:rPr>
        <w:t>1年，</w:t>
      </w:r>
      <w:r>
        <w:rPr>
          <w:rFonts w:hint="eastAsia" w:ascii="宋体" w:hAnsi="宋体" w:eastAsia="宋体" w:cs="宋体"/>
          <w:color w:val="auto"/>
          <w:sz w:val="21"/>
          <w:szCs w:val="21"/>
          <w:highlight w:val="none"/>
          <w:lang w:val="zh-CN"/>
        </w:rPr>
        <w:t>质量保修期自工程竣工验收合格之日起计算。</w:t>
      </w:r>
    </w:p>
    <w:p w14:paraId="259FD87A">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三、质量保修责任</w:t>
      </w:r>
    </w:p>
    <w:p w14:paraId="0FBFE192">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1、属于保修范围、内容的项目，承包人应当在接到保修通知之日起</w:t>
      </w:r>
      <w:r>
        <w:rPr>
          <w:rFonts w:hint="eastAsia" w:ascii="宋体" w:hAnsi="宋体" w:eastAsia="宋体" w:cs="宋体"/>
          <w:color w:val="auto"/>
          <w:w w:val="89"/>
          <w:sz w:val="21"/>
          <w:szCs w:val="21"/>
          <w:highlight w:val="none"/>
          <w:lang w:val="zh-CN"/>
        </w:rPr>
        <w:t>7</w:t>
      </w:r>
      <w:r>
        <w:rPr>
          <w:rFonts w:hint="eastAsia" w:ascii="宋体" w:hAnsi="宋体" w:eastAsia="宋体" w:cs="宋体"/>
          <w:color w:val="auto"/>
          <w:sz w:val="21"/>
          <w:szCs w:val="21"/>
          <w:highlight w:val="none"/>
          <w:lang w:val="zh-CN"/>
        </w:rPr>
        <w:t>天内派人保修。承包人不在约定期限内派人保修的，发包人可以委托他人修理。</w:t>
      </w:r>
    </w:p>
    <w:p w14:paraId="371B802D">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2、发生紧急抢修事故的，承包人在接到事故通知后，应当立即到达事故现场抢修。</w:t>
      </w:r>
    </w:p>
    <w:p w14:paraId="1D5745D2">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工程质量在保修期内，涉及结构安全的质量问题，发包单位和承包单位应当立即向当地建设行政主管部门报告，采取安全防范措施；由原设计单位或者具有相应资质等级的设计单位提出保修方案，承包人实施保修。</w:t>
      </w:r>
    </w:p>
    <w:p w14:paraId="5C39C258">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4、质量保修完成后，由发包人组织有关单位人员验收。</w:t>
      </w:r>
    </w:p>
    <w:p w14:paraId="132C911A">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四、保修费用</w:t>
      </w:r>
    </w:p>
    <w:p w14:paraId="2BA4EA04">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8" w:firstLineChars="203"/>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zh-CN"/>
        </w:rPr>
        <w:t>保修金为工程结算总价款的</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zh-CN"/>
        </w:rPr>
        <w:t>，质量保修金无银行利息。</w:t>
      </w:r>
    </w:p>
    <w:p w14:paraId="00C34E9E">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正常使用的情况下，维修费用由承包人承担；非正常使用造成的维修费用由造成质量缺陷的责任方承担。</w:t>
      </w:r>
    </w:p>
    <w:p w14:paraId="5FBB4013">
      <w:pPr>
        <w:pStyle w:val="11"/>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工程保修期内，本工程无质量问题的，发包人在工程一年质量保修期满无质量问题并综合验收资料齐全之日起14天内，应当将剩余的保修金退还承包人；本工程在保修期有质量问题的，且保修期满仍未解决的，承包人应负责维修，保修期自维修完成之日起顺延六个月；顺延六个月内仍出现质量问题的，保修期再顺延六个月，如再出现质量问题的，保修金不予退还。保修金不足以支付保修费用的，承包人在保修金不足的时候开始7天内补足所需的保修费用。</w:t>
      </w:r>
    </w:p>
    <w:p w14:paraId="220264FE">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五、其他</w:t>
      </w:r>
    </w:p>
    <w:p w14:paraId="1B3883C7">
      <w:pPr>
        <w:keepNext w:val="0"/>
        <w:keepLines w:val="0"/>
        <w:pageBreakBefore w:val="0"/>
        <w:widowControl w:val="0"/>
        <w:kinsoku/>
        <w:wordWrap w:val="0"/>
        <w:overflowPunct/>
        <w:topLinePunct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双方约定的其他工程质量保修事项：</w:t>
      </w:r>
      <w:r>
        <w:rPr>
          <w:rFonts w:hint="eastAsia" w:ascii="宋体" w:hAnsi="宋体" w:eastAsia="宋体" w:cs="宋体"/>
          <w:color w:val="auto"/>
          <w:sz w:val="21"/>
          <w:szCs w:val="21"/>
          <w:highlight w:val="none"/>
          <w:u w:val="single"/>
          <w:lang w:val="zh-CN"/>
        </w:rPr>
        <w:t>承包人在接到发包人或者发包人书面委托和指定的保修负责人发出的维修指令后，必须及时进行维修；超出上述约定的维修期限的，发包人可以另行委托第三方进行维修，维修费用由承包人承担。</w:t>
      </w:r>
    </w:p>
    <w:p w14:paraId="36204BF7">
      <w:pPr>
        <w:keepNext w:val="0"/>
        <w:keepLines w:val="0"/>
        <w:pageBreakBefore w:val="0"/>
        <w:widowControl w:val="0"/>
        <w:kinsoku/>
        <w:wordWrap w:val="0"/>
        <w:overflowPunct/>
        <w:topLinePunct w:val="0"/>
        <w:autoSpaceDE w:val="0"/>
        <w:autoSpaceDN w:val="0"/>
        <w:bidi w:val="0"/>
        <w:adjustRightInd/>
        <w:spacing w:line="360" w:lineRule="auto"/>
        <w:ind w:left="-359" w:leftChars="-171" w:firstLine="426" w:firstLineChars="203"/>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本工程质量保修书，由施工合同发包人、承包人双方在竣工验收前共同签署，作为施工合同附件，其有效期限至保修期满。</w:t>
      </w:r>
    </w:p>
    <w:p w14:paraId="26D69D0A">
      <w:pPr>
        <w:pStyle w:val="9"/>
        <w:keepNext w:val="0"/>
        <w:keepLines w:val="0"/>
        <w:pageBreakBefore w:val="0"/>
        <w:widowControl w:val="0"/>
        <w:kinsoku/>
        <w:wordWrap w:val="0"/>
        <w:overflowPunct/>
        <w:topLinePunct w:val="0"/>
        <w:bidi w:val="0"/>
        <w:spacing w:line="360" w:lineRule="auto"/>
        <w:textAlignment w:val="auto"/>
        <w:rPr>
          <w:rFonts w:hint="eastAsia" w:ascii="宋体" w:hAnsi="宋体" w:eastAsia="宋体" w:cs="宋体"/>
          <w:color w:val="auto"/>
          <w:highlight w:val="none"/>
          <w:lang w:val="zh-CN"/>
        </w:rPr>
      </w:pPr>
    </w:p>
    <w:p w14:paraId="3C7CA80F">
      <w:pPr>
        <w:keepNext w:val="0"/>
        <w:keepLines w:val="0"/>
        <w:pageBreakBefore w:val="0"/>
        <w:widowControl w:val="0"/>
        <w:kinsoku/>
        <w:wordWrap w:val="0"/>
        <w:overflowPunct/>
        <w:topLinePunct w:val="0"/>
        <w:autoSpaceDE w:val="0"/>
        <w:autoSpaceDN w:val="0"/>
        <w:bidi w:val="0"/>
        <w:spacing w:line="360" w:lineRule="auto"/>
        <w:ind w:left="6149" w:leftChars="-172" w:hanging="6510" w:hangingChars="3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Fonts w:hint="eastAsia" w:ascii="宋体" w:hAnsi="宋体" w:cs="宋体"/>
          <w:color w:val="auto"/>
          <w:sz w:val="21"/>
          <w:szCs w:val="21"/>
          <w:highlight w:val="none"/>
          <w:lang w:val="zh-CN"/>
        </w:rPr>
        <w:t>崇左市江州区农业农村局</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承</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包</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人（公章）：</w:t>
      </w:r>
      <w:r>
        <w:rPr>
          <w:rStyle w:val="22"/>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 w:val="21"/>
          <w:szCs w:val="21"/>
          <w:highlight w:val="none"/>
        </w:rPr>
        <w:t xml:space="preserve">          </w:t>
      </w:r>
    </w:p>
    <w:p w14:paraId="5746D199">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法定代表人（签字）：</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法定代表人（签字）：</w:t>
      </w:r>
    </w:p>
    <w:p w14:paraId="20366F78">
      <w:pPr>
        <w:keepNext w:val="0"/>
        <w:keepLines w:val="0"/>
        <w:pageBreakBefore w:val="0"/>
        <w:widowControl w:val="0"/>
        <w:kinsoku/>
        <w:wordWrap w:val="0"/>
        <w:overflowPunct/>
        <w:topLinePunct w:val="0"/>
        <w:autoSpaceDE w:val="0"/>
        <w:autoSpaceDN w:val="0"/>
        <w:bidi w:val="0"/>
        <w:spacing w:line="360" w:lineRule="auto"/>
        <w:ind w:left="-357" w:leftChars="-171" w:hanging="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 xml:space="preserve">或委托代理人（签字）：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或委托代理人（签字）：</w:t>
      </w:r>
    </w:p>
    <w:p w14:paraId="21DEF91C">
      <w:pPr>
        <w:pageBreakBefore w:val="0"/>
        <w:wordWrap/>
        <w:overflowPunct/>
        <w:topLinePunct w:val="0"/>
        <w:bidi w:val="0"/>
        <w:spacing w:line="440" w:lineRule="exact"/>
        <w:ind w:left="0" w:leftChars="0" w:right="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 xml:space="preserve"> 日</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cs="宋体"/>
          <w:color w:val="auto"/>
          <w:sz w:val="21"/>
          <w:szCs w:val="21"/>
          <w:highlight w:val="none"/>
          <w:lang w:val="en-US" w:eastAsia="zh-CN"/>
        </w:rPr>
        <w:t>2026</w:t>
      </w:r>
      <w:r>
        <w:rPr>
          <w:rFonts w:hint="eastAsia" w:ascii="宋体" w:hAnsi="宋体" w:eastAsia="宋体" w:cs="宋体"/>
          <w:color w:val="auto"/>
          <w:sz w:val="21"/>
          <w:szCs w:val="21"/>
          <w:highlight w:val="none"/>
          <w:lang w:val="zh-CN"/>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zh-CN"/>
        </w:rPr>
        <w:t>日</w:t>
      </w:r>
    </w:p>
    <w:p w14:paraId="25F4091C">
      <w:pPr>
        <w:pStyle w:val="9"/>
        <w:pageBreakBefore w:val="0"/>
        <w:wordWrap/>
        <w:overflowPunct/>
        <w:topLinePunct w:val="0"/>
        <w:bidi w:val="0"/>
        <w:spacing w:line="440" w:lineRule="exact"/>
        <w:ind w:left="0" w:leftChars="0" w:right="0"/>
        <w:jc w:val="left"/>
        <w:rPr>
          <w:rFonts w:hint="eastAsia" w:ascii="宋体" w:hAnsi="宋体" w:eastAsia="宋体" w:cs="宋体"/>
          <w:color w:val="auto"/>
          <w:sz w:val="21"/>
          <w:szCs w:val="21"/>
          <w:highlight w:val="none"/>
          <w:lang w:val="en-US" w:eastAsia="zh-CN"/>
        </w:rPr>
      </w:pPr>
      <w:bookmarkStart w:id="1092" w:name="bookmark6"/>
      <w:bookmarkEnd w:id="1092"/>
    </w:p>
    <w:p w14:paraId="5F46B82E">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2C2E165A">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13EC2813">
      <w:pPr>
        <w:pStyle w:val="27"/>
        <w:rPr>
          <w:rFonts w:hint="eastAsia" w:ascii="宋体" w:hAnsi="宋体" w:eastAsia="宋体" w:cs="宋体"/>
          <w:color w:val="auto"/>
          <w:sz w:val="21"/>
          <w:szCs w:val="21"/>
          <w:highlight w:val="none"/>
          <w:lang w:eastAsia="zh-CN"/>
        </w:rPr>
      </w:pPr>
    </w:p>
    <w:p w14:paraId="54447F07">
      <w:pPr>
        <w:pStyle w:val="9"/>
        <w:rPr>
          <w:rFonts w:hint="eastAsia" w:ascii="宋体" w:hAnsi="宋体" w:eastAsia="宋体" w:cs="宋体"/>
          <w:color w:val="auto"/>
          <w:sz w:val="21"/>
          <w:szCs w:val="21"/>
          <w:highlight w:val="none"/>
          <w:lang w:eastAsia="zh-CN"/>
        </w:rPr>
      </w:pPr>
    </w:p>
    <w:p w14:paraId="22955C94">
      <w:pPr>
        <w:rPr>
          <w:rFonts w:hint="eastAsia" w:ascii="宋体" w:hAnsi="宋体" w:eastAsia="宋体" w:cs="宋体"/>
          <w:color w:val="auto"/>
          <w:sz w:val="21"/>
          <w:szCs w:val="21"/>
          <w:highlight w:val="none"/>
          <w:lang w:eastAsia="zh-CN"/>
        </w:rPr>
      </w:pPr>
    </w:p>
    <w:p w14:paraId="3B9D173C">
      <w:pPr>
        <w:pStyle w:val="14"/>
        <w:rPr>
          <w:rFonts w:hint="eastAsia" w:ascii="宋体" w:hAnsi="宋体" w:eastAsia="宋体" w:cs="宋体"/>
          <w:color w:val="auto"/>
          <w:sz w:val="21"/>
          <w:szCs w:val="21"/>
          <w:highlight w:val="none"/>
          <w:lang w:eastAsia="zh-CN"/>
        </w:rPr>
      </w:pPr>
    </w:p>
    <w:p w14:paraId="27DF15DA">
      <w:pPr>
        <w:rPr>
          <w:rFonts w:hint="eastAsia"/>
          <w:color w:val="auto"/>
          <w:highlight w:val="none"/>
          <w:lang w:eastAsia="zh-CN"/>
        </w:rPr>
      </w:pPr>
    </w:p>
    <w:p w14:paraId="69FF84CE">
      <w:pPr>
        <w:rPr>
          <w:rFonts w:hint="eastAsia" w:ascii="宋体" w:hAnsi="宋体" w:cs="Arial"/>
          <w:color w:val="auto"/>
          <w:szCs w:val="21"/>
          <w:highlight w:val="none"/>
        </w:rPr>
      </w:pPr>
    </w:p>
    <w:p w14:paraId="4E27EA2B">
      <w:pPr>
        <w:pStyle w:val="2"/>
        <w:jc w:val="center"/>
        <w:rPr>
          <w:rFonts w:hint="eastAsia" w:ascii="宋体" w:hAnsi="宋体" w:eastAsia="宋体" w:cs="宋体"/>
          <w:b w:val="0"/>
          <w:color w:val="auto"/>
          <w:highlight w:val="none"/>
          <w:lang w:eastAsia="zh-CN"/>
        </w:rPr>
      </w:pPr>
      <w:bookmarkStart w:id="1093" w:name="_Toc21042"/>
      <w:bookmarkStart w:id="1094" w:name="_Toc31086"/>
    </w:p>
    <w:p w14:paraId="039BDA49">
      <w:pPr>
        <w:rPr>
          <w:rFonts w:hint="eastAsia" w:ascii="宋体" w:hAnsi="宋体" w:eastAsia="宋体" w:cs="宋体"/>
          <w:b w:val="0"/>
          <w:color w:val="auto"/>
          <w:highlight w:val="none"/>
          <w:lang w:eastAsia="zh-CN"/>
        </w:rPr>
      </w:pPr>
    </w:p>
    <w:p w14:paraId="16A56995">
      <w:pPr>
        <w:pStyle w:val="5"/>
        <w:rPr>
          <w:rFonts w:hint="eastAsia" w:ascii="宋体" w:hAnsi="宋体" w:eastAsia="宋体" w:cs="宋体"/>
          <w:b w:val="0"/>
          <w:color w:val="auto"/>
          <w:highlight w:val="none"/>
          <w:lang w:eastAsia="zh-CN"/>
        </w:rPr>
      </w:pPr>
    </w:p>
    <w:p w14:paraId="45FDBC8F">
      <w:pPr>
        <w:rPr>
          <w:rFonts w:hint="eastAsia" w:ascii="宋体" w:hAnsi="宋体" w:eastAsia="宋体" w:cs="宋体"/>
          <w:b w:val="0"/>
          <w:color w:val="auto"/>
          <w:highlight w:val="none"/>
          <w:lang w:eastAsia="zh-CN"/>
        </w:rPr>
      </w:pPr>
    </w:p>
    <w:p w14:paraId="7875737F">
      <w:pPr>
        <w:pStyle w:val="5"/>
        <w:rPr>
          <w:rFonts w:hint="eastAsia"/>
          <w:color w:val="auto"/>
          <w:highlight w:val="none"/>
          <w:lang w:eastAsia="zh-CN"/>
        </w:rPr>
      </w:pPr>
    </w:p>
    <w:p w14:paraId="37A44A98">
      <w:pPr>
        <w:rPr>
          <w:rFonts w:hint="eastAsia"/>
          <w:color w:val="auto"/>
          <w:highlight w:val="none"/>
          <w:lang w:eastAsia="zh-CN"/>
        </w:rPr>
      </w:pPr>
    </w:p>
    <w:p w14:paraId="05DB57F9">
      <w:pPr>
        <w:pStyle w:val="5"/>
        <w:rPr>
          <w:rFonts w:hint="eastAsia"/>
          <w:color w:val="auto"/>
          <w:highlight w:val="none"/>
          <w:lang w:eastAsia="zh-CN"/>
        </w:rPr>
      </w:pPr>
    </w:p>
    <w:p w14:paraId="2178C5EA">
      <w:pPr>
        <w:rPr>
          <w:rFonts w:hint="eastAsia"/>
          <w:color w:val="auto"/>
          <w:highlight w:val="none"/>
          <w:lang w:eastAsia="zh-CN"/>
        </w:rPr>
      </w:pPr>
    </w:p>
    <w:p w14:paraId="05CD7A43">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2</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主要建设工程文件目录</w:t>
      </w:r>
    </w:p>
    <w:p w14:paraId="26289F0E">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主要建设工程文件目录</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30E9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2DA879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文件名称</w:t>
            </w:r>
          </w:p>
        </w:tc>
        <w:tc>
          <w:tcPr>
            <w:tcW w:w="1276" w:type="dxa"/>
            <w:tcBorders>
              <w:top w:val="single" w:color="auto" w:sz="12" w:space="0"/>
              <w:bottom w:val="double" w:color="auto" w:sz="6" w:space="0"/>
            </w:tcBorders>
            <w:noWrap w:val="0"/>
            <w:vAlign w:val="center"/>
          </w:tcPr>
          <w:p w14:paraId="5931F3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套数</w:t>
            </w:r>
          </w:p>
        </w:tc>
        <w:tc>
          <w:tcPr>
            <w:tcW w:w="1450" w:type="dxa"/>
            <w:tcBorders>
              <w:top w:val="single" w:color="auto" w:sz="12" w:space="0"/>
              <w:bottom w:val="double" w:color="auto" w:sz="6" w:space="0"/>
            </w:tcBorders>
            <w:noWrap w:val="0"/>
            <w:vAlign w:val="center"/>
          </w:tcPr>
          <w:p w14:paraId="5399F1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费用（元）</w:t>
            </w:r>
          </w:p>
        </w:tc>
        <w:tc>
          <w:tcPr>
            <w:tcW w:w="1243" w:type="dxa"/>
            <w:tcBorders>
              <w:top w:val="single" w:color="auto" w:sz="12" w:space="0"/>
              <w:bottom w:val="double" w:color="auto" w:sz="6" w:space="0"/>
            </w:tcBorders>
            <w:noWrap w:val="0"/>
            <w:vAlign w:val="center"/>
          </w:tcPr>
          <w:p w14:paraId="439C224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w:t>
            </w:r>
          </w:p>
        </w:tc>
        <w:tc>
          <w:tcPr>
            <w:tcW w:w="1450" w:type="dxa"/>
            <w:tcBorders>
              <w:top w:val="single" w:color="auto" w:sz="12" w:space="0"/>
              <w:bottom w:val="double" w:color="auto" w:sz="6" w:space="0"/>
            </w:tcBorders>
            <w:noWrap w:val="0"/>
            <w:vAlign w:val="top"/>
          </w:tcPr>
          <w:p w14:paraId="15B93FC6">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移交时间</w:t>
            </w:r>
          </w:p>
        </w:tc>
        <w:tc>
          <w:tcPr>
            <w:tcW w:w="1667" w:type="dxa"/>
            <w:tcBorders>
              <w:top w:val="single" w:color="auto" w:sz="12" w:space="0"/>
              <w:bottom w:val="double" w:color="auto" w:sz="6" w:space="0"/>
            </w:tcBorders>
            <w:noWrap w:val="0"/>
            <w:vAlign w:val="top"/>
          </w:tcPr>
          <w:p w14:paraId="6C51E45A">
            <w:pPr>
              <w:keepNext w:val="0"/>
              <w:keepLines w:val="0"/>
              <w:suppressLineNumbers w:val="0"/>
              <w:spacing w:before="0" w:beforeAutospacing="0" w:after="0" w:afterAutospacing="0" w:line="44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责任人</w:t>
            </w:r>
          </w:p>
        </w:tc>
      </w:tr>
      <w:tr w14:paraId="1A450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14:paraId="40413A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double" w:color="auto" w:sz="6" w:space="0"/>
              <w:bottom w:val="single" w:color="auto" w:sz="6" w:space="0"/>
            </w:tcBorders>
            <w:noWrap w:val="0"/>
            <w:vAlign w:val="center"/>
          </w:tcPr>
          <w:p w14:paraId="39A1CAF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6E9C539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double" w:color="auto" w:sz="6" w:space="0"/>
              <w:bottom w:val="single" w:color="auto" w:sz="6" w:space="0"/>
            </w:tcBorders>
            <w:noWrap w:val="0"/>
            <w:vAlign w:val="center"/>
          </w:tcPr>
          <w:p w14:paraId="1FB8A6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double" w:color="auto" w:sz="6" w:space="0"/>
              <w:bottom w:val="single" w:color="auto" w:sz="6" w:space="0"/>
            </w:tcBorders>
            <w:noWrap w:val="0"/>
            <w:vAlign w:val="center"/>
          </w:tcPr>
          <w:p w14:paraId="1E27009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double" w:color="auto" w:sz="6" w:space="0"/>
              <w:bottom w:val="single" w:color="auto" w:sz="6" w:space="0"/>
            </w:tcBorders>
            <w:noWrap w:val="0"/>
            <w:vAlign w:val="center"/>
          </w:tcPr>
          <w:p w14:paraId="6A7A0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72983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17A2D7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tcBorders>
              <w:top w:val="nil"/>
            </w:tcBorders>
            <w:noWrap w:val="0"/>
            <w:vAlign w:val="center"/>
          </w:tcPr>
          <w:p w14:paraId="56B208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1327CA3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tcBorders>
              <w:top w:val="nil"/>
            </w:tcBorders>
            <w:noWrap w:val="0"/>
            <w:vAlign w:val="center"/>
          </w:tcPr>
          <w:p w14:paraId="0323082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tcBorders>
              <w:top w:val="nil"/>
            </w:tcBorders>
            <w:noWrap w:val="0"/>
            <w:vAlign w:val="center"/>
          </w:tcPr>
          <w:p w14:paraId="5405A40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tcBorders>
              <w:top w:val="nil"/>
            </w:tcBorders>
            <w:noWrap w:val="0"/>
            <w:vAlign w:val="center"/>
          </w:tcPr>
          <w:p w14:paraId="76567A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B181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0D081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F67DB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B6717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49C5C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4F9D0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0726701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424BF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3D6C103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496B4C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289C14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F84DDA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B6BBB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F171A3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2C34C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0EC2551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7ECA46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1ADA38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02732B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8B15F9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3DE5F9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7B165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950CA6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04AD87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10203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CC9DC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7B7F38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701F00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BEDF1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EFD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29DC23E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33CF7D2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AB9D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0662106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23CBE3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3582A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2B857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3F024AE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629574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56A310E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622FE7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5224EDE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F696A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98A7E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1E1608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9B0E5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6A8FF9A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097C3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4C59E2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658D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BD563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76" w:type="dxa"/>
            <w:noWrap w:val="0"/>
            <w:vAlign w:val="center"/>
          </w:tcPr>
          <w:p w14:paraId="17D7CA0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4827AC6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243" w:type="dxa"/>
            <w:noWrap w:val="0"/>
            <w:vAlign w:val="center"/>
          </w:tcPr>
          <w:p w14:paraId="41B258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50" w:type="dxa"/>
            <w:noWrap w:val="0"/>
            <w:vAlign w:val="center"/>
          </w:tcPr>
          <w:p w14:paraId="561BC3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667" w:type="dxa"/>
            <w:noWrap w:val="0"/>
            <w:vAlign w:val="center"/>
          </w:tcPr>
          <w:p w14:paraId="65CEA5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0C7E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EB0FB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3BD3001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6B7A1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2C820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5908621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E56BA8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DF715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BA097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10AFD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647990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2262A5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5727F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B0697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F355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CEF0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F2F93D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5A204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16289BB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95D10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26B4F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1D2693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105B2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B4C9C9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44BE3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680FB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05CCB6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551546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7ADFA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E4B7C4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960F76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365469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301402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B6AA3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768F975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80A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C8C271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66485F3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1ED421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C3C9D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2816ED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23F50A1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85C5A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DB85FD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73D9710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0B0A27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7AC8CC5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8A7D3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08ED2DB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2F9A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640874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CFEDA4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427681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41469E6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6FE8114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E99421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FB98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D0200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76" w:type="dxa"/>
            <w:noWrap w:val="0"/>
            <w:vAlign w:val="top"/>
          </w:tcPr>
          <w:p w14:paraId="4328294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1C2CBAF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243" w:type="dxa"/>
            <w:noWrap w:val="0"/>
            <w:vAlign w:val="top"/>
          </w:tcPr>
          <w:p w14:paraId="3E1CA47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50" w:type="dxa"/>
            <w:noWrap w:val="0"/>
            <w:vAlign w:val="top"/>
          </w:tcPr>
          <w:p w14:paraId="2FB4966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667" w:type="dxa"/>
            <w:noWrap w:val="0"/>
            <w:vAlign w:val="top"/>
          </w:tcPr>
          <w:p w14:paraId="39B6845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2FCB9B35">
      <w:pPr>
        <w:spacing w:line="440" w:lineRule="exact"/>
        <w:rPr>
          <w:rFonts w:hint="eastAsia" w:asciiTheme="majorEastAsia" w:hAnsiTheme="majorEastAsia" w:eastAsiaTheme="majorEastAsia" w:cstheme="majorEastAsia"/>
          <w:color w:val="auto"/>
          <w:sz w:val="21"/>
          <w:szCs w:val="21"/>
          <w:highlight w:val="none"/>
        </w:rPr>
      </w:pPr>
    </w:p>
    <w:p w14:paraId="7854EE0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21"/>
          <w:szCs w:val="21"/>
          <w:highlight w:val="none"/>
        </w:rPr>
        <w:br w:type="page"/>
      </w: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3</w:t>
      </w:r>
      <w:r>
        <w:rPr>
          <w:rFonts w:hint="eastAsia" w:asciiTheme="majorEastAsia" w:hAnsiTheme="majorEastAsia" w:eastAsiaTheme="majorEastAsia" w:cstheme="majorEastAsia"/>
          <w:color w:val="auto"/>
          <w:sz w:val="32"/>
          <w:szCs w:val="32"/>
          <w:highlight w:val="none"/>
        </w:rPr>
        <w:t>：</w:t>
      </w:r>
      <w:r>
        <w:rPr>
          <w:rFonts w:hint="eastAsia" w:asciiTheme="majorEastAsia" w:hAnsiTheme="majorEastAsia" w:eastAsiaTheme="majorEastAsia" w:cstheme="majorEastAsia"/>
          <w:color w:val="auto"/>
          <w:sz w:val="32"/>
          <w:szCs w:val="32"/>
          <w:highlight w:val="none"/>
          <w:lang w:val="en-US" w:eastAsia="zh-CN"/>
        </w:rPr>
        <w:t>承包人用于本工程施工的机械设备表</w:t>
      </w:r>
    </w:p>
    <w:p w14:paraId="5BA69AA9">
      <w:pPr>
        <w:spacing w:line="440" w:lineRule="exact"/>
        <w:rPr>
          <w:rFonts w:hint="eastAsia" w:asciiTheme="majorEastAsia" w:hAnsiTheme="majorEastAsia" w:eastAsiaTheme="majorEastAsia" w:cstheme="majorEastAsia"/>
          <w:color w:val="auto"/>
          <w:sz w:val="32"/>
          <w:szCs w:val="32"/>
          <w:highlight w:val="none"/>
        </w:rPr>
      </w:pPr>
    </w:p>
    <w:p w14:paraId="0C368A1A">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承包人用于本工程施工的机械设备表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B9E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24C4BE5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1418" w:type="dxa"/>
            <w:noWrap w:val="0"/>
            <w:vAlign w:val="center"/>
          </w:tcPr>
          <w:p w14:paraId="7DD63A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机械或设备名称</w:t>
            </w:r>
          </w:p>
        </w:tc>
        <w:tc>
          <w:tcPr>
            <w:tcW w:w="850" w:type="dxa"/>
            <w:noWrap w:val="0"/>
            <w:vAlign w:val="center"/>
          </w:tcPr>
          <w:p w14:paraId="7158D1C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规格型号</w:t>
            </w:r>
          </w:p>
        </w:tc>
        <w:tc>
          <w:tcPr>
            <w:tcW w:w="1058" w:type="dxa"/>
            <w:noWrap w:val="0"/>
            <w:vAlign w:val="center"/>
          </w:tcPr>
          <w:p w14:paraId="131533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数量</w:t>
            </w:r>
          </w:p>
        </w:tc>
        <w:tc>
          <w:tcPr>
            <w:tcW w:w="880" w:type="dxa"/>
            <w:noWrap w:val="0"/>
            <w:vAlign w:val="center"/>
          </w:tcPr>
          <w:p w14:paraId="001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产地</w:t>
            </w:r>
          </w:p>
        </w:tc>
        <w:tc>
          <w:tcPr>
            <w:tcW w:w="1020" w:type="dxa"/>
            <w:noWrap w:val="0"/>
            <w:vAlign w:val="center"/>
          </w:tcPr>
          <w:p w14:paraId="61AE96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制造年份</w:t>
            </w:r>
          </w:p>
        </w:tc>
        <w:tc>
          <w:tcPr>
            <w:tcW w:w="1480" w:type="dxa"/>
            <w:noWrap w:val="0"/>
            <w:vAlign w:val="center"/>
          </w:tcPr>
          <w:p w14:paraId="0918D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额定功率（kW）</w:t>
            </w:r>
          </w:p>
        </w:tc>
        <w:tc>
          <w:tcPr>
            <w:tcW w:w="1020" w:type="dxa"/>
            <w:noWrap w:val="0"/>
            <w:vAlign w:val="center"/>
          </w:tcPr>
          <w:p w14:paraId="084C4C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生产能力</w:t>
            </w:r>
          </w:p>
        </w:tc>
        <w:tc>
          <w:tcPr>
            <w:tcW w:w="921" w:type="dxa"/>
            <w:noWrap w:val="0"/>
            <w:vAlign w:val="center"/>
          </w:tcPr>
          <w:p w14:paraId="5F36FD2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备注</w:t>
            </w:r>
          </w:p>
        </w:tc>
      </w:tr>
      <w:tr w14:paraId="04D1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76842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858AE5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5A24DD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7F5416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01892A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44B55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1B69E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02E5FB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E855A7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03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A77EA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3202A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E1254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563E397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8AB07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E7864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1214FE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10E751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07D63D9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A6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62" w:type="dxa"/>
            <w:noWrap w:val="0"/>
            <w:vAlign w:val="center"/>
          </w:tcPr>
          <w:p w14:paraId="7982AB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59292F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71DF5F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035E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11ADE7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3C96D8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0EFB655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6C210F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54B05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AD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1FCFF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28EC0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0ABA522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6C8EEFF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0470DB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C4C0A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29BD3A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07A4ECF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61D32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819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CDEE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4A0599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4281BB3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AA1C6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C03A57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7859BF5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78B7AB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B6752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726555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523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21E956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7292F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3ABF4FC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414218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420A2A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FCB6E7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321710C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B46C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4160A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A400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503846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22261AB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54DCA8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16434E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74F7CC6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64D283E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3F4D3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401304F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506E484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CDF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BAEE68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6268C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2E2ED53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2BF7186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612CF3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564F856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153908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1CBF24D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34E7BF2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F13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70AB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0D360C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72435E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5BD70A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D2828E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AD674C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01639D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864AD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759682E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12A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3EA1EA8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3BCA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50" w:type="dxa"/>
            <w:noWrap w:val="0"/>
            <w:vAlign w:val="center"/>
          </w:tcPr>
          <w:p w14:paraId="192F7C5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58" w:type="dxa"/>
            <w:noWrap w:val="0"/>
            <w:vAlign w:val="center"/>
          </w:tcPr>
          <w:p w14:paraId="4F4800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880" w:type="dxa"/>
            <w:noWrap w:val="0"/>
            <w:vAlign w:val="center"/>
          </w:tcPr>
          <w:p w14:paraId="26421F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58DA97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80" w:type="dxa"/>
            <w:noWrap w:val="0"/>
            <w:vAlign w:val="center"/>
          </w:tcPr>
          <w:p w14:paraId="58FCAC8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020" w:type="dxa"/>
            <w:noWrap w:val="0"/>
            <w:vAlign w:val="center"/>
          </w:tcPr>
          <w:p w14:paraId="2F900FD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921" w:type="dxa"/>
            <w:noWrap w:val="0"/>
            <w:vAlign w:val="center"/>
          </w:tcPr>
          <w:p w14:paraId="2B1A0F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408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48D745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1460CF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08AD73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7760D4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B590F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410DA1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2A907C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60934C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5735A77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4A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0813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1AE3931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2BF202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470C769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3499F6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C9FCC8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3724C6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7B4985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8C53A6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0EFB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52213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88CF3B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633BE6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5D5A9E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7122C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D81FBF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12580E9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E0C5EF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4B7DFB7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4839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DD0978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26F1EBE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49D1DA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5D697F7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2C4F9D8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4BB51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7C571C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84C89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375B24F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D20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06A1B3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00D76DF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3DCAD93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7F03A08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7976881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DE68AA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4DA3132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BD71EE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2A5FCAE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6247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6EC019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547B70C">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0324612E">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74FCB4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5939D9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54E1F7F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ED1921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D96E2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676DFE7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2BB5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A301FB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4DD584E4">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24B9C5C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3C3493C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18A3825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2E87FF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5ED23E7F">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1822C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0FF18E8">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7FD5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FA878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79A6C455">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430801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025481E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9AE4CB0">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08B24AE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3705904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44D2C589">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E61932A">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r w14:paraId="51D1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8DDCCC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18" w:type="dxa"/>
            <w:noWrap w:val="0"/>
            <w:vAlign w:val="top"/>
          </w:tcPr>
          <w:p w14:paraId="3E1DF13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50" w:type="dxa"/>
            <w:noWrap w:val="0"/>
            <w:vAlign w:val="top"/>
          </w:tcPr>
          <w:p w14:paraId="52B41FF2">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58" w:type="dxa"/>
            <w:noWrap w:val="0"/>
            <w:vAlign w:val="top"/>
          </w:tcPr>
          <w:p w14:paraId="162414D7">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880" w:type="dxa"/>
            <w:noWrap w:val="0"/>
            <w:vAlign w:val="top"/>
          </w:tcPr>
          <w:p w14:paraId="6591007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656D0B06">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480" w:type="dxa"/>
            <w:noWrap w:val="0"/>
            <w:vAlign w:val="top"/>
          </w:tcPr>
          <w:p w14:paraId="65D7DAA1">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1020" w:type="dxa"/>
            <w:noWrap w:val="0"/>
            <w:vAlign w:val="top"/>
          </w:tcPr>
          <w:p w14:paraId="11E333B3">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c>
          <w:tcPr>
            <w:tcW w:w="921" w:type="dxa"/>
            <w:noWrap w:val="0"/>
            <w:vAlign w:val="top"/>
          </w:tcPr>
          <w:p w14:paraId="19383F2D">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p>
        </w:tc>
      </w:tr>
    </w:tbl>
    <w:p w14:paraId="394E2D3F">
      <w:pPr>
        <w:spacing w:line="440" w:lineRule="exact"/>
        <w:rPr>
          <w:rFonts w:hint="eastAsia" w:asciiTheme="majorEastAsia" w:hAnsiTheme="majorEastAsia" w:eastAsiaTheme="majorEastAsia" w:cstheme="majorEastAsia"/>
          <w:color w:val="auto"/>
          <w:sz w:val="21"/>
          <w:szCs w:val="21"/>
          <w:highlight w:val="none"/>
        </w:rPr>
        <w:sectPr>
          <w:pgSz w:w="11907" w:h="16840"/>
          <w:pgMar w:top="1440" w:right="1440" w:bottom="1440" w:left="1797" w:header="851" w:footer="851" w:gutter="0"/>
          <w:cols w:space="720" w:num="1"/>
          <w:formProt w:val="0"/>
          <w:docGrid w:linePitch="312" w:charSpace="0"/>
        </w:sectPr>
      </w:pPr>
    </w:p>
    <w:p w14:paraId="685ABC29">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w:t>
      </w:r>
      <w:bookmarkStart w:id="1095" w:name="_Toc296944567"/>
      <w:bookmarkStart w:id="1096" w:name="_Toc267261699"/>
      <w:bookmarkStart w:id="1097" w:name="_Toc296891268"/>
      <w:bookmarkStart w:id="1098" w:name="_Toc296347227"/>
      <w:bookmarkStart w:id="1099" w:name="_Toc296891056"/>
      <w:bookmarkStart w:id="1100" w:name="_Toc296503228"/>
      <w:bookmarkStart w:id="1101" w:name="_Toc296346729"/>
      <w:r>
        <w:rPr>
          <w:rFonts w:hint="eastAsia" w:asciiTheme="majorEastAsia" w:hAnsiTheme="majorEastAsia" w:eastAsiaTheme="majorEastAsia" w:cstheme="majorEastAsia"/>
          <w:color w:val="auto"/>
          <w:sz w:val="32"/>
          <w:szCs w:val="32"/>
          <w:highlight w:val="none"/>
        </w:rPr>
        <w:t>件</w:t>
      </w:r>
      <w:r>
        <w:rPr>
          <w:rFonts w:hint="eastAsia" w:asciiTheme="majorEastAsia" w:hAnsiTheme="majorEastAsia" w:eastAsiaTheme="majorEastAsia" w:cstheme="majorEastAsia"/>
          <w:color w:val="auto"/>
          <w:sz w:val="32"/>
          <w:szCs w:val="32"/>
          <w:highlight w:val="none"/>
          <w:lang w:val="en-US" w:eastAsia="zh-CN"/>
        </w:rPr>
        <w:t>4</w:t>
      </w:r>
      <w:r>
        <w:rPr>
          <w:rFonts w:hint="eastAsia" w:asciiTheme="majorEastAsia" w:hAnsiTheme="majorEastAsia" w:eastAsiaTheme="majorEastAsia" w:cstheme="majorEastAsia"/>
          <w:color w:val="auto"/>
          <w:sz w:val="32"/>
          <w:szCs w:val="32"/>
          <w:highlight w:val="none"/>
        </w:rPr>
        <w:t>：承包人主要施工管理人员表</w:t>
      </w:r>
    </w:p>
    <w:bookmarkEnd w:id="1095"/>
    <w:bookmarkEnd w:id="1096"/>
    <w:bookmarkEnd w:id="1097"/>
    <w:bookmarkEnd w:id="1098"/>
    <w:bookmarkEnd w:id="1099"/>
    <w:bookmarkEnd w:id="1100"/>
    <w:bookmarkEnd w:id="1101"/>
    <w:p w14:paraId="52899347">
      <w:pPr>
        <w:spacing w:before="120" w:beforeLines="50" w:after="120" w:afterLines="50" w:line="440" w:lineRule="exact"/>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承包人主要施工管理人员表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0FB4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1FB0A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418" w:type="dxa"/>
            <w:noWrap w:val="0"/>
            <w:vAlign w:val="center"/>
          </w:tcPr>
          <w:p w14:paraId="7D48BC1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姓名</w:t>
            </w:r>
          </w:p>
        </w:tc>
        <w:tc>
          <w:tcPr>
            <w:tcW w:w="1134" w:type="dxa"/>
            <w:noWrap w:val="0"/>
            <w:vAlign w:val="center"/>
          </w:tcPr>
          <w:p w14:paraId="5C12367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职务</w:t>
            </w:r>
          </w:p>
        </w:tc>
        <w:tc>
          <w:tcPr>
            <w:tcW w:w="1134" w:type="dxa"/>
            <w:noWrap w:val="0"/>
            <w:vAlign w:val="center"/>
          </w:tcPr>
          <w:p w14:paraId="6F3DAEE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职称</w:t>
            </w:r>
          </w:p>
        </w:tc>
        <w:tc>
          <w:tcPr>
            <w:tcW w:w="4252" w:type="dxa"/>
            <w:noWrap w:val="0"/>
            <w:vAlign w:val="center"/>
          </w:tcPr>
          <w:p w14:paraId="6E0EC569">
            <w:pPr>
              <w:pStyle w:val="9"/>
              <w:keepNext/>
              <w:keepLines w:val="0"/>
              <w:suppressLineNumbers w:val="0"/>
              <w:spacing w:before="0" w:beforeAutospacing="0" w:after="0" w:afterAutospacing="0" w:line="440" w:lineRule="exact"/>
              <w:ind w:left="0" w:leftChars="0"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计划进场时间</w:t>
            </w:r>
          </w:p>
        </w:tc>
      </w:tr>
      <w:tr w14:paraId="4533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3140C7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一、总部人员</w:t>
            </w:r>
          </w:p>
        </w:tc>
      </w:tr>
      <w:tr w14:paraId="2F93E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500D7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项目主管</w:t>
            </w:r>
          </w:p>
        </w:tc>
        <w:tc>
          <w:tcPr>
            <w:tcW w:w="1418" w:type="dxa"/>
            <w:noWrap w:val="0"/>
            <w:vAlign w:val="center"/>
          </w:tcPr>
          <w:p w14:paraId="5D65E5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E89847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DA35B9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7E5323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747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0B7AD9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1AA26FF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CD796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EA7AC3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00179A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62A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CFAE4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E1B83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3E466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F75E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EC7706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97D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A7194B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E5D75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E38165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14B0E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DDCDE5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6B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809" w:type="dxa"/>
            <w:gridSpan w:val="5"/>
            <w:noWrap w:val="0"/>
            <w:vAlign w:val="center"/>
          </w:tcPr>
          <w:p w14:paraId="530557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二、现场人员</w:t>
            </w:r>
          </w:p>
        </w:tc>
      </w:tr>
      <w:tr w14:paraId="7834A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E6812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项目经理</w:t>
            </w:r>
          </w:p>
        </w:tc>
        <w:tc>
          <w:tcPr>
            <w:tcW w:w="1418" w:type="dxa"/>
            <w:noWrap w:val="0"/>
            <w:vAlign w:val="center"/>
          </w:tcPr>
          <w:p w14:paraId="23FC58C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0CE995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2F220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256659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6087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E6683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项目副经理</w:t>
            </w:r>
          </w:p>
        </w:tc>
        <w:tc>
          <w:tcPr>
            <w:tcW w:w="1418" w:type="dxa"/>
            <w:noWrap w:val="0"/>
            <w:vAlign w:val="center"/>
          </w:tcPr>
          <w:p w14:paraId="12CD6AD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13A03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69E66D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34B0FD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3D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C8A50B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技术负责人</w:t>
            </w:r>
          </w:p>
        </w:tc>
        <w:tc>
          <w:tcPr>
            <w:tcW w:w="1418" w:type="dxa"/>
            <w:noWrap w:val="0"/>
            <w:vAlign w:val="center"/>
          </w:tcPr>
          <w:p w14:paraId="77C582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5B5AC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157931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15D42E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091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6B16D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造价管理</w:t>
            </w:r>
          </w:p>
        </w:tc>
        <w:tc>
          <w:tcPr>
            <w:tcW w:w="1418" w:type="dxa"/>
            <w:noWrap w:val="0"/>
            <w:vAlign w:val="center"/>
          </w:tcPr>
          <w:p w14:paraId="0D1C878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37AF46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92B4DE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60F2654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586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57C54445">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质量管理</w:t>
            </w:r>
          </w:p>
        </w:tc>
        <w:tc>
          <w:tcPr>
            <w:tcW w:w="1418" w:type="dxa"/>
            <w:noWrap w:val="0"/>
            <w:vAlign w:val="center"/>
          </w:tcPr>
          <w:p w14:paraId="3E397E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10306F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DA7F4A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A9283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DDE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B8316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16E69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3FDF2B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078D1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400C8DE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A1B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9574E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0CD54C8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CB88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F8D582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529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18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223D484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材料管理</w:t>
            </w:r>
          </w:p>
        </w:tc>
        <w:tc>
          <w:tcPr>
            <w:tcW w:w="1418" w:type="dxa"/>
            <w:noWrap w:val="0"/>
            <w:vAlign w:val="center"/>
          </w:tcPr>
          <w:p w14:paraId="4A5F91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052BC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214BD1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8F323C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FFC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6C405C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计划管理</w:t>
            </w:r>
          </w:p>
        </w:tc>
        <w:tc>
          <w:tcPr>
            <w:tcW w:w="1418" w:type="dxa"/>
            <w:noWrap w:val="0"/>
            <w:vAlign w:val="center"/>
          </w:tcPr>
          <w:p w14:paraId="6B5262F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BDA026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402109A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78311C1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3A0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1BDD354F">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安全管理</w:t>
            </w:r>
          </w:p>
        </w:tc>
        <w:tc>
          <w:tcPr>
            <w:tcW w:w="1418" w:type="dxa"/>
            <w:noWrap w:val="0"/>
            <w:vAlign w:val="center"/>
          </w:tcPr>
          <w:p w14:paraId="1F5DF7B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219BE5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55BB52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37C6A71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E30A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5A1F462">
            <w:pPr>
              <w:pStyle w:val="9"/>
              <w:keepNext/>
              <w:keepLines w:val="0"/>
              <w:suppressLineNumbers w:val="0"/>
              <w:spacing w:before="0" w:beforeAutospacing="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FD0B84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A421A1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61D7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C6361A9">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1079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562AD2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3F8D97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98BF65E">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1DC0D8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15B82BB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D081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3BE3BC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其他人员</w:t>
            </w:r>
          </w:p>
        </w:tc>
        <w:tc>
          <w:tcPr>
            <w:tcW w:w="1418" w:type="dxa"/>
            <w:noWrap w:val="0"/>
            <w:vAlign w:val="center"/>
          </w:tcPr>
          <w:p w14:paraId="0E9EF7C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34382A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6CAAF4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391A61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49BA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838660A">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17D5F2A2">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6783F60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13B08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4C91ED3">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22A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E4D343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5D19262C">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72E01B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09CE820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0582E517">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78C2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795C68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3BD501B6">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5CE5445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9CF8CF1">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257EDBB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0BDC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7963505">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5BE483B">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7F22B74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3F2FC5BF">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E01F6E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r w14:paraId="54C7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17E64C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418" w:type="dxa"/>
            <w:noWrap w:val="0"/>
            <w:vAlign w:val="center"/>
          </w:tcPr>
          <w:p w14:paraId="7D8F8A54">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1059C5C0">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1134" w:type="dxa"/>
            <w:noWrap w:val="0"/>
            <w:vAlign w:val="center"/>
          </w:tcPr>
          <w:p w14:paraId="2D6E07A8">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c>
          <w:tcPr>
            <w:tcW w:w="4252" w:type="dxa"/>
            <w:noWrap w:val="0"/>
            <w:vAlign w:val="center"/>
          </w:tcPr>
          <w:p w14:paraId="5206CCFD">
            <w:pPr>
              <w:pStyle w:val="9"/>
              <w:keepNext/>
              <w:keepLines w:val="0"/>
              <w:suppressLineNumbers w:val="0"/>
              <w:spacing w:before="0" w:beforeAutospacing="0" w:after="0" w:afterAutospacing="0" w:line="440" w:lineRule="exact"/>
              <w:ind w:left="63" w:right="63"/>
              <w:rPr>
                <w:rFonts w:hint="eastAsia" w:asciiTheme="majorEastAsia" w:hAnsiTheme="majorEastAsia" w:eastAsiaTheme="majorEastAsia" w:cstheme="majorEastAsia"/>
                <w:color w:val="auto"/>
                <w:sz w:val="21"/>
                <w:szCs w:val="21"/>
                <w:highlight w:val="none"/>
              </w:rPr>
            </w:pPr>
          </w:p>
        </w:tc>
      </w:tr>
    </w:tbl>
    <w:p w14:paraId="4554DB4C">
      <w:pPr>
        <w:pStyle w:val="18"/>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rPr>
        <w:br w:type="page"/>
      </w:r>
    </w:p>
    <w:p w14:paraId="1D44B523">
      <w:pPr>
        <w:jc w:val="left"/>
        <w:outlineLvl w:val="9"/>
        <w:rPr>
          <w:rFonts w:hint="eastAsia" w:ascii="宋体" w:hAnsi="宋体"/>
          <w:b w:val="0"/>
          <w:bCs w:val="0"/>
          <w:color w:val="auto"/>
          <w:sz w:val="32"/>
          <w:szCs w:val="32"/>
          <w:highlight w:val="none"/>
        </w:rPr>
      </w:pPr>
      <w:r>
        <w:rPr>
          <w:rFonts w:hint="eastAsia" w:asciiTheme="majorEastAsia" w:hAnsiTheme="majorEastAsia" w:eastAsiaTheme="majorEastAsia" w:cstheme="majorEastAsia"/>
          <w:b w:val="0"/>
          <w:bCs w:val="0"/>
          <w:color w:val="auto"/>
          <w:sz w:val="32"/>
          <w:szCs w:val="32"/>
          <w:highlight w:val="none"/>
        </w:rPr>
        <w:t>附件</w:t>
      </w:r>
      <w:r>
        <w:rPr>
          <w:rFonts w:hint="eastAsia" w:asciiTheme="majorEastAsia" w:hAnsiTheme="majorEastAsia" w:eastAsiaTheme="majorEastAsia" w:cstheme="majorEastAsia"/>
          <w:b w:val="0"/>
          <w:bCs w:val="0"/>
          <w:color w:val="auto"/>
          <w:sz w:val="32"/>
          <w:szCs w:val="32"/>
          <w:highlight w:val="none"/>
          <w:lang w:val="en-US" w:eastAsia="zh-CN"/>
        </w:rPr>
        <w:t>5</w:t>
      </w:r>
      <w:r>
        <w:rPr>
          <w:rFonts w:hint="eastAsia" w:asciiTheme="majorEastAsia" w:hAnsiTheme="majorEastAsia" w:eastAsiaTheme="majorEastAsia" w:cstheme="majorEastAsia"/>
          <w:b w:val="0"/>
          <w:bCs w:val="0"/>
          <w:color w:val="auto"/>
          <w:sz w:val="32"/>
          <w:szCs w:val="32"/>
          <w:highlight w:val="none"/>
        </w:rPr>
        <w:t>：</w:t>
      </w:r>
      <w:r>
        <w:rPr>
          <w:rFonts w:hint="eastAsia" w:ascii="宋体" w:hAnsi="宋体"/>
          <w:b w:val="0"/>
          <w:bCs w:val="0"/>
          <w:color w:val="auto"/>
          <w:sz w:val="32"/>
          <w:szCs w:val="32"/>
          <w:highlight w:val="none"/>
        </w:rPr>
        <w:t>预付款支付申请（核准）表</w:t>
      </w:r>
    </w:p>
    <w:p w14:paraId="4E5570AA">
      <w:pPr>
        <w:jc w:val="center"/>
        <w:outlineLvl w:val="9"/>
        <w:rPr>
          <w:rFonts w:hint="eastAsia" w:ascii="宋体" w:hAnsi="宋体"/>
          <w:b/>
          <w:color w:val="auto"/>
          <w:sz w:val="32"/>
          <w:szCs w:val="32"/>
          <w:highlight w:val="none"/>
        </w:rPr>
      </w:pPr>
      <w:r>
        <w:rPr>
          <w:rFonts w:hint="eastAsia" w:ascii="宋体" w:hAnsi="宋体"/>
          <w:b/>
          <w:color w:val="auto"/>
          <w:sz w:val="32"/>
          <w:szCs w:val="32"/>
          <w:highlight w:val="none"/>
        </w:rPr>
        <w:t>预付款支付申请（核准）表</w:t>
      </w:r>
    </w:p>
    <w:p w14:paraId="53F06352">
      <w:pPr>
        <w:jc w:val="center"/>
        <w:outlineLvl w:val="9"/>
        <w:rPr>
          <w:rFonts w:hint="eastAsia" w:ascii="宋体" w:hAnsi="宋体" w:eastAsia="宋体"/>
          <w:b/>
          <w:color w:val="auto"/>
          <w:sz w:val="32"/>
          <w:szCs w:val="32"/>
          <w:highlight w:val="none"/>
          <w:lang w:val="en-US" w:eastAsia="zh-CN"/>
        </w:rPr>
      </w:pPr>
      <w:r>
        <w:rPr>
          <w:rFonts w:hint="eastAsia" w:ascii="宋体" w:hAnsi="宋体"/>
          <w:b/>
          <w:color w:val="auto"/>
          <w:sz w:val="32"/>
          <w:szCs w:val="32"/>
          <w:highlight w:val="none"/>
          <w:lang w:val="en-US" w:eastAsia="zh-CN"/>
        </w:rPr>
        <w:t>（适用一次性支付）</w:t>
      </w:r>
    </w:p>
    <w:p w14:paraId="24DF0E01">
      <w:pPr>
        <w:spacing w:line="360" w:lineRule="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工程名称：                                          </w:t>
      </w:r>
      <w:r>
        <w:rPr>
          <w:rFonts w:hint="eastAsia" w:asciiTheme="majorEastAsia" w:hAnsiTheme="majorEastAsia" w:eastAsiaTheme="majorEastAsia" w:cstheme="majorEastAsia"/>
          <w:color w:val="auto"/>
          <w:sz w:val="21"/>
          <w:szCs w:val="21"/>
          <w:highlight w:val="none"/>
          <w:lang w:val="en-US" w:eastAsia="zh-CN"/>
        </w:rPr>
        <w:t xml:space="preserve">              </w:t>
      </w:r>
      <w:r>
        <w:rPr>
          <w:rFonts w:hint="eastAsia" w:asciiTheme="majorEastAsia" w:hAnsiTheme="majorEastAsia" w:eastAsiaTheme="majorEastAsia" w:cstheme="majorEastAsia"/>
          <w:color w:val="auto"/>
          <w:sz w:val="21"/>
          <w:szCs w:val="21"/>
          <w:highlight w:val="none"/>
        </w:rPr>
        <w:t xml:space="preserve">   编号：</w:t>
      </w:r>
    </w:p>
    <w:tbl>
      <w:tblPr>
        <w:tblStyle w:val="20"/>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6"/>
        <w:gridCol w:w="4543"/>
      </w:tblGrid>
      <w:tr w14:paraId="448E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B58B0AC">
            <w:pPr>
              <w:keepNext w:val="0"/>
              <w:keepLines w:val="0"/>
              <w:suppressLineNumbers w:val="0"/>
              <w:spacing w:before="0" w:beforeAutospacing="0" w:after="0" w:afterAutospacing="0" w:line="480" w:lineRule="exact"/>
              <w:ind w:left="525" w:leftChars="149" w:right="0" w:hanging="212" w:hangingChars="101"/>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致：</w:t>
            </w:r>
            <w:r>
              <w:rPr>
                <w:rFonts w:hint="eastAsia" w:asciiTheme="majorEastAsia" w:hAnsiTheme="majorEastAsia" w:eastAsiaTheme="majorEastAsia" w:cstheme="majorEastAsia"/>
                <w:color w:val="auto"/>
                <w:sz w:val="21"/>
                <w:szCs w:val="21"/>
                <w:highlight w:val="none"/>
                <w:u w:val="single"/>
              </w:rPr>
              <w:t xml:space="preserve">                                   （发包人全称）</w:t>
            </w:r>
          </w:p>
          <w:p w14:paraId="51760CAB">
            <w:pPr>
              <w:keepNext w:val="0"/>
              <w:keepLines w:val="0"/>
              <w:suppressLineNumbers w:val="0"/>
              <w:spacing w:before="0" w:beforeAutospacing="0" w:after="0" w:afterAutospacing="0" w:line="400" w:lineRule="exact"/>
              <w:ind w:left="-4" w:leftChars="-2" w:right="0" w:firstLine="315" w:firstLineChars="1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我方根据施工合同的约定</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现申请支付工程预付款额为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请予核准。</w:t>
            </w:r>
          </w:p>
          <w:tbl>
            <w:tblPr>
              <w:tblStyle w:val="20"/>
              <w:tblW w:w="8842"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154"/>
              <w:gridCol w:w="1791"/>
              <w:gridCol w:w="1307"/>
              <w:gridCol w:w="1477"/>
              <w:gridCol w:w="1480"/>
            </w:tblGrid>
            <w:tr w14:paraId="45EE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0EDFD25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序号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BE80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名      称</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7A393C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计算基数</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2194FE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支付比例</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49B65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申请金额（元）</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0DA3F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复核金额（元）</w:t>
                  </w:r>
                </w:p>
              </w:tc>
            </w:tr>
            <w:tr w14:paraId="4929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5176CE8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11BE897D">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签约合同价款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B26B42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7CC2C9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4D661C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FB6E5C6">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w:t>
                  </w:r>
                </w:p>
              </w:tc>
            </w:tr>
            <w:tr w14:paraId="1712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6298B7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1.1</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5804FB8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暂列金额</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B829B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53B174B">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4F58C3E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3F9AFDA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29A1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B45B79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0FD1A1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专业工程暂估价</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B447C7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B2A55EE">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EF6DC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ECDDEB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05F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4EEB8A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1.</w:t>
                  </w:r>
                  <w:r>
                    <w:rPr>
                      <w:rFonts w:hint="eastAsia" w:asciiTheme="majorEastAsia" w:hAnsiTheme="majorEastAsia" w:eastAsiaTheme="majorEastAsia" w:cstheme="majorEastAsia"/>
                      <w:color w:val="auto"/>
                      <w:sz w:val="21"/>
                      <w:szCs w:val="21"/>
                      <w:highlight w:val="none"/>
                      <w:lang w:val="en-US" w:eastAsia="zh-CN"/>
                    </w:rPr>
                    <w:t>3</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482AD073">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val="en"/>
                    </w:rPr>
                  </w:pPr>
                  <w:r>
                    <w:rPr>
                      <w:rFonts w:hint="eastAsia" w:asciiTheme="majorEastAsia" w:hAnsiTheme="majorEastAsia" w:eastAsiaTheme="majorEastAsia" w:cstheme="majorEastAsia"/>
                      <w:color w:val="auto"/>
                      <w:sz w:val="21"/>
                      <w:szCs w:val="21"/>
                      <w:highlight w:val="none"/>
                      <w:lang w:val="en"/>
                    </w:rPr>
                    <w:t>安全生产费</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F67801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233BBA">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7D79082">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F712AAF">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C85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29F4097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2</w:t>
                  </w:r>
                </w:p>
              </w:tc>
              <w:tc>
                <w:tcPr>
                  <w:tcW w:w="2211" w:type="dxa"/>
                  <w:tcBorders>
                    <w:top w:val="single" w:color="auto" w:sz="4" w:space="0"/>
                    <w:left w:val="single" w:color="auto" w:sz="4" w:space="0"/>
                    <w:bottom w:val="single" w:color="auto" w:sz="4" w:space="0"/>
                    <w:right w:val="single" w:color="auto" w:sz="4" w:space="0"/>
                  </w:tcBorders>
                  <w:noWrap w:val="0"/>
                  <w:vAlign w:val="top"/>
                </w:tcPr>
                <w:p w14:paraId="7F805EC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lang w:val="en-US" w:eastAsia="zh-CN"/>
                    </w:rPr>
                    <w:t>应付</w:t>
                  </w:r>
                  <w:r>
                    <w:rPr>
                      <w:rFonts w:hint="eastAsia" w:asciiTheme="majorEastAsia" w:hAnsiTheme="majorEastAsia" w:eastAsiaTheme="majorEastAsia" w:cstheme="majorEastAsia"/>
                      <w:color w:val="auto"/>
                      <w:sz w:val="21"/>
                      <w:szCs w:val="21"/>
                      <w:highlight w:val="none"/>
                      <w:lang w:eastAsia="zh-CN"/>
                    </w:rPr>
                    <w:t>预付款</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23EC19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1-(1.1+1.2+1.3)</w:t>
                  </w: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33FAF04">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C884631">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c>
                <w:tcPr>
                  <w:tcW w:w="1500" w:type="dxa"/>
                  <w:tcBorders>
                    <w:top w:val="single" w:color="auto" w:sz="4" w:space="0"/>
                    <w:left w:val="single" w:color="auto" w:sz="4" w:space="0"/>
                    <w:bottom w:val="single" w:color="auto" w:sz="4" w:space="0"/>
                    <w:right w:val="single" w:color="auto" w:sz="4" w:space="0"/>
                  </w:tcBorders>
                  <w:noWrap w:val="0"/>
                  <w:vAlign w:val="center"/>
                </w:tcPr>
                <w:p w14:paraId="7FD6F0BC">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lang w:val="en-US" w:eastAsia="zh-CN"/>
                    </w:rPr>
                    <w:t>-</w:t>
                  </w:r>
                </w:p>
              </w:tc>
            </w:tr>
            <w:tr w14:paraId="74B9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7E81A0D3">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lang w:val="en-US" w:eastAsia="zh-CN"/>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69EBA46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75FE34E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06F3BAD5">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3B0CA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9D0551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E2A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3311E2DD">
                  <w:pPr>
                    <w:keepNext w:val="0"/>
                    <w:keepLines w:val="0"/>
                    <w:suppressLineNumbers w:val="0"/>
                    <w:spacing w:before="0" w:beforeAutospacing="0" w:after="0" w:afterAutospacing="0" w:line="280" w:lineRule="exact"/>
                    <w:ind w:left="0" w:leftChars="0" w:right="0" w:rightChars="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98C3475">
                  <w:pPr>
                    <w:keepNext w:val="0"/>
                    <w:keepLines w:val="0"/>
                    <w:suppressLineNumbers w:val="0"/>
                    <w:spacing w:before="0" w:beforeAutospacing="0" w:after="0" w:afterAutospacing="0" w:line="280" w:lineRule="exact"/>
                    <w:ind w:left="0" w:leftChars="0" w:right="0" w:rightChars="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04C622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678F044">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6CDD53A0">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E8F3E2">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3849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4EE59C3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BA4FF57">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2272DD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1BD6AFF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03DFAF6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5F1AAD1">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1BEA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tcBorders>
                    <w:top w:val="single" w:color="auto" w:sz="4" w:space="0"/>
                    <w:left w:val="single" w:color="auto" w:sz="4" w:space="0"/>
                    <w:bottom w:val="single" w:color="auto" w:sz="4" w:space="0"/>
                    <w:right w:val="single" w:color="auto" w:sz="4" w:space="0"/>
                  </w:tcBorders>
                  <w:noWrap w:val="0"/>
                  <w:vAlign w:val="top"/>
                </w:tcPr>
                <w:p w14:paraId="0896C93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13D31D3B">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6441F2F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FCA551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65528E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0CA9368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1EB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636" w:type="dxa"/>
                  <w:tcBorders>
                    <w:top w:val="single" w:color="auto" w:sz="4" w:space="0"/>
                    <w:left w:val="single" w:color="auto" w:sz="4" w:space="0"/>
                    <w:bottom w:val="single" w:color="auto" w:sz="4" w:space="0"/>
                    <w:right w:val="single" w:color="auto" w:sz="4" w:space="0"/>
                  </w:tcBorders>
                  <w:noWrap w:val="0"/>
                  <w:vAlign w:val="top"/>
                </w:tcPr>
                <w:p w14:paraId="4C16C32C">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53EC2C56">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26585923">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39D9F268">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3E5DD7DB">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1FDA6B6F">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r w14:paraId="22C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6" w:type="dxa"/>
                  <w:tcBorders>
                    <w:top w:val="single" w:color="auto" w:sz="4" w:space="0"/>
                    <w:left w:val="single" w:color="auto" w:sz="4" w:space="0"/>
                    <w:bottom w:val="single" w:color="auto" w:sz="4" w:space="0"/>
                    <w:right w:val="single" w:color="auto" w:sz="4" w:space="0"/>
                  </w:tcBorders>
                  <w:noWrap w:val="0"/>
                  <w:vAlign w:val="top"/>
                </w:tcPr>
                <w:p w14:paraId="35D3F09D">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49D96B3A">
                  <w:pPr>
                    <w:keepNext w:val="0"/>
                    <w:keepLines w:val="0"/>
                    <w:suppressLineNumbers w:val="0"/>
                    <w:spacing w:before="0" w:beforeAutospacing="0" w:after="0" w:afterAutospacing="0" w:line="280" w:lineRule="exact"/>
                    <w:ind w:left="0" w:right="0"/>
                    <w:rPr>
                      <w:rFonts w:hint="eastAsia" w:asciiTheme="majorEastAsia" w:hAnsiTheme="majorEastAsia" w:eastAsiaTheme="majorEastAsia" w:cstheme="majorEastAsia"/>
                      <w:color w:val="auto"/>
                      <w:sz w:val="21"/>
                      <w:szCs w:val="21"/>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A278017">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336" w:type="dxa"/>
                  <w:tcBorders>
                    <w:top w:val="single" w:color="auto" w:sz="4" w:space="0"/>
                    <w:left w:val="single" w:color="auto" w:sz="4" w:space="0"/>
                    <w:bottom w:val="single" w:color="auto" w:sz="4" w:space="0"/>
                    <w:right w:val="single" w:color="auto" w:sz="4" w:space="0"/>
                  </w:tcBorders>
                  <w:noWrap w:val="0"/>
                  <w:vAlign w:val="center"/>
                </w:tcPr>
                <w:p w14:paraId="4E4EEB8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498" w:type="dxa"/>
                  <w:tcBorders>
                    <w:top w:val="single" w:color="auto" w:sz="4" w:space="0"/>
                    <w:left w:val="single" w:color="auto" w:sz="4" w:space="0"/>
                    <w:bottom w:val="single" w:color="auto" w:sz="4" w:space="0"/>
                    <w:right w:val="single" w:color="auto" w:sz="4" w:space="0"/>
                  </w:tcBorders>
                  <w:noWrap w:val="0"/>
                  <w:vAlign w:val="center"/>
                </w:tcPr>
                <w:p w14:paraId="27106A59">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6BEE490A">
                  <w:pPr>
                    <w:keepNext w:val="0"/>
                    <w:keepLines w:val="0"/>
                    <w:suppressLineNumbers w:val="0"/>
                    <w:spacing w:before="0" w:beforeAutospacing="0" w:after="0" w:afterAutospacing="0" w:line="280" w:lineRule="exact"/>
                    <w:ind w:left="0" w:right="0"/>
                    <w:jc w:val="center"/>
                    <w:rPr>
                      <w:rFonts w:hint="eastAsia" w:asciiTheme="majorEastAsia" w:hAnsiTheme="majorEastAsia" w:eastAsiaTheme="majorEastAsia" w:cstheme="majorEastAsia"/>
                      <w:color w:val="auto"/>
                      <w:sz w:val="21"/>
                      <w:szCs w:val="21"/>
                      <w:highlight w:val="none"/>
                    </w:rPr>
                  </w:pPr>
                </w:p>
              </w:tc>
            </w:tr>
          </w:tbl>
          <w:p w14:paraId="31A0B646">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w:t>
            </w:r>
          </w:p>
          <w:p w14:paraId="31E86C6F">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p>
          <w:p w14:paraId="5F0B5A29">
            <w:pPr>
              <w:keepNext w:val="0"/>
              <w:keepLines w:val="0"/>
              <w:suppressLineNumbers w:val="0"/>
              <w:wordWrap w:val="0"/>
              <w:spacing w:before="0" w:beforeAutospacing="0" w:after="0" w:afterAutospacing="0" w:line="400" w:lineRule="exact"/>
              <w:ind w:left="0" w:right="42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承包人（章）             </w:t>
            </w:r>
          </w:p>
          <w:p w14:paraId="771A3DA6">
            <w:pPr>
              <w:keepNext w:val="0"/>
              <w:keepLines w:val="0"/>
              <w:suppressLineNumbers w:val="0"/>
              <w:spacing w:before="0" w:beforeAutospacing="0" w:after="0" w:afterAutospacing="0" w:line="400" w:lineRule="exact"/>
              <w:ind w:left="0" w:right="42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造价人员</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承包人代表</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r w14:paraId="0229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jc w:val="center"/>
        </w:trPr>
        <w:tc>
          <w:tcPr>
            <w:tcW w:w="5096" w:type="dxa"/>
            <w:tcBorders>
              <w:top w:val="single" w:color="auto" w:sz="4" w:space="0"/>
              <w:left w:val="single" w:color="auto" w:sz="4" w:space="0"/>
              <w:bottom w:val="single" w:color="auto" w:sz="4" w:space="0"/>
              <w:right w:val="single" w:color="auto" w:sz="4" w:space="0"/>
            </w:tcBorders>
            <w:noWrap w:val="0"/>
            <w:vAlign w:val="top"/>
          </w:tcPr>
          <w:p w14:paraId="4C1B5DE0">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1E673A5">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□与合同约定不相符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修改意见见附件。</w:t>
            </w:r>
          </w:p>
          <w:p w14:paraId="7DD97314">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□与合同约定相符</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具体金额由造价工程师复核。</w:t>
            </w:r>
          </w:p>
          <w:p w14:paraId="3AC4414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监理工程师</w:t>
            </w:r>
            <w:r>
              <w:rPr>
                <w:rFonts w:hint="eastAsia" w:asciiTheme="majorEastAsia" w:hAnsiTheme="majorEastAsia" w:eastAsiaTheme="majorEastAsia" w:cstheme="majorEastAsia"/>
                <w:color w:val="auto"/>
                <w:sz w:val="21"/>
                <w:szCs w:val="21"/>
                <w:highlight w:val="none"/>
                <w:u w:val="single"/>
              </w:rPr>
              <w:t xml:space="preserve">           </w:t>
            </w:r>
          </w:p>
          <w:p w14:paraId="724492B5">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c>
          <w:tcPr>
            <w:tcW w:w="4543" w:type="dxa"/>
            <w:tcBorders>
              <w:top w:val="single" w:color="auto" w:sz="4" w:space="0"/>
              <w:left w:val="single" w:color="auto" w:sz="4" w:space="0"/>
              <w:bottom w:val="single" w:color="auto" w:sz="4" w:space="0"/>
              <w:right w:val="single" w:color="auto" w:sz="4" w:space="0"/>
            </w:tcBorders>
            <w:noWrap w:val="0"/>
            <w:vAlign w:val="top"/>
          </w:tcPr>
          <w:p w14:paraId="60B433FC">
            <w:pPr>
              <w:keepNext w:val="0"/>
              <w:keepLines w:val="0"/>
              <w:suppressLineNumbers w:val="0"/>
              <w:spacing w:before="0" w:beforeAutospacing="0" w:after="0" w:afterAutospacing="0" w:line="360" w:lineRule="exact"/>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复核意见：</w:t>
            </w:r>
          </w:p>
          <w:p w14:paraId="584218BC">
            <w:pPr>
              <w:keepNext w:val="0"/>
              <w:keepLines w:val="0"/>
              <w:suppressLineNumbers w:val="0"/>
              <w:spacing w:before="0" w:beforeAutospacing="0" w:after="0" w:afterAutospacing="0" w:line="360" w:lineRule="exact"/>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你方提出的支付申请经复核</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应支付预付款金额为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大写</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元</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（小写）</w:t>
            </w:r>
            <w:r>
              <w:rPr>
                <w:rFonts w:hint="eastAsia" w:asciiTheme="majorEastAsia" w:hAnsiTheme="majorEastAsia" w:eastAsiaTheme="majorEastAsia" w:cstheme="majorEastAsia"/>
                <w:color w:val="auto"/>
                <w:sz w:val="21"/>
                <w:szCs w:val="21"/>
                <w:highlight w:val="none"/>
                <w:u w:val="single"/>
              </w:rPr>
              <w:t xml:space="preserve">             </w:t>
            </w:r>
            <w:r>
              <w:rPr>
                <w:rFonts w:hint="eastAsia" w:asciiTheme="majorEastAsia" w:hAnsiTheme="majorEastAsia" w:eastAsiaTheme="majorEastAsia" w:cstheme="majorEastAsia"/>
                <w:color w:val="auto"/>
                <w:sz w:val="21"/>
                <w:szCs w:val="21"/>
                <w:highlight w:val="none"/>
              </w:rPr>
              <w:t xml:space="preserve"> 元。</w:t>
            </w:r>
          </w:p>
          <w:p w14:paraId="273A8DCB">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造价工程师</w:t>
            </w:r>
            <w:r>
              <w:rPr>
                <w:rFonts w:hint="eastAsia" w:asciiTheme="majorEastAsia" w:hAnsiTheme="majorEastAsia" w:eastAsiaTheme="majorEastAsia" w:cstheme="majorEastAsia"/>
                <w:color w:val="auto"/>
                <w:sz w:val="21"/>
                <w:szCs w:val="21"/>
                <w:highlight w:val="none"/>
                <w:u w:val="single"/>
              </w:rPr>
              <w:t xml:space="preserve">           </w:t>
            </w:r>
          </w:p>
          <w:p w14:paraId="2F4E0761">
            <w:pPr>
              <w:keepNext w:val="0"/>
              <w:keepLines w:val="0"/>
              <w:suppressLineNumbers w:val="0"/>
              <w:spacing w:before="0" w:beforeAutospacing="0" w:after="0" w:afterAutospacing="0" w:line="360" w:lineRule="exact"/>
              <w:ind w:left="0" w:right="0" w:firstLine="435"/>
              <w:jc w:val="center"/>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 xml:space="preserve">        日      期</w:t>
            </w:r>
            <w:r>
              <w:rPr>
                <w:rFonts w:hint="eastAsia" w:asciiTheme="majorEastAsia" w:hAnsiTheme="majorEastAsia" w:eastAsiaTheme="majorEastAsia" w:cstheme="majorEastAsia"/>
                <w:color w:val="auto"/>
                <w:sz w:val="21"/>
                <w:szCs w:val="21"/>
                <w:highlight w:val="none"/>
                <w:u w:val="single"/>
              </w:rPr>
              <w:t xml:space="preserve">           </w:t>
            </w:r>
          </w:p>
        </w:tc>
      </w:tr>
      <w:tr w14:paraId="5208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2" w:hRule="atLeast"/>
          <w:jc w:val="center"/>
        </w:trPr>
        <w:tc>
          <w:tcPr>
            <w:tcW w:w="9639" w:type="dxa"/>
            <w:gridSpan w:val="2"/>
            <w:tcBorders>
              <w:top w:val="single" w:color="auto" w:sz="4" w:space="0"/>
              <w:left w:val="single" w:color="auto" w:sz="4" w:space="0"/>
              <w:bottom w:val="single" w:color="auto" w:sz="4" w:space="0"/>
              <w:right w:val="single" w:color="auto" w:sz="4" w:space="0"/>
            </w:tcBorders>
            <w:noWrap w:val="0"/>
            <w:vAlign w:val="top"/>
          </w:tcPr>
          <w:p w14:paraId="263AC82B">
            <w:pPr>
              <w:keepNext w:val="0"/>
              <w:keepLines w:val="0"/>
              <w:suppressLineNumbers w:val="0"/>
              <w:spacing w:before="0" w:beforeAutospacing="0" w:after="0" w:afterAutospacing="0"/>
              <w:ind w:left="0" w:right="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审核意见：</w:t>
            </w:r>
          </w:p>
          <w:p w14:paraId="517F594F">
            <w:pPr>
              <w:keepNext w:val="0"/>
              <w:keepLines w:val="0"/>
              <w:suppressLineNumbers w:val="0"/>
              <w:spacing w:before="0" w:beforeAutospacing="0" w:after="0" w:afterAutospacing="0"/>
              <w:ind w:left="0" w:right="0" w:firstLine="435"/>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□不同意。</w:t>
            </w:r>
          </w:p>
          <w:p w14:paraId="37CAC948">
            <w:pPr>
              <w:keepNext w:val="0"/>
              <w:keepLines w:val="0"/>
              <w:suppressLineNumbers w:val="0"/>
              <w:spacing w:before="0" w:beforeAutospacing="0" w:after="0" w:afterAutospacing="0"/>
              <w:ind w:left="0" w:right="0"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□同意</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支付时间为本表签发后的15天内。</w:t>
            </w:r>
          </w:p>
          <w:p w14:paraId="60061941">
            <w:pPr>
              <w:keepNext w:val="0"/>
              <w:keepLines w:val="0"/>
              <w:suppressLineNumbers w:val="0"/>
              <w:spacing w:before="0" w:beforeAutospacing="0" w:after="0" w:afterAutospacing="0"/>
              <w:ind w:left="0" w:right="735" w:firstLine="6195" w:firstLineChars="295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发包人（章）           </w:t>
            </w:r>
          </w:p>
          <w:p w14:paraId="00B1CC30">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发包人代表</w:t>
            </w:r>
            <w:r>
              <w:rPr>
                <w:rFonts w:hint="eastAsia" w:asciiTheme="majorEastAsia" w:hAnsiTheme="majorEastAsia" w:eastAsiaTheme="majorEastAsia" w:cstheme="majorEastAsia"/>
                <w:color w:val="auto"/>
                <w:sz w:val="21"/>
                <w:szCs w:val="21"/>
                <w:highlight w:val="none"/>
                <w:u w:val="single"/>
              </w:rPr>
              <w:t xml:space="preserve">             </w:t>
            </w:r>
          </w:p>
          <w:p w14:paraId="3AD80AED">
            <w:pPr>
              <w:keepNext w:val="0"/>
              <w:keepLines w:val="0"/>
              <w:suppressLineNumbers w:val="0"/>
              <w:spacing w:before="0" w:beforeAutospacing="0" w:after="0" w:afterAutospacing="0"/>
              <w:ind w:left="0" w:right="420" w:firstLine="6195" w:firstLineChars="2950"/>
              <w:rPr>
                <w:rFonts w:hint="eastAsia" w:asciiTheme="majorEastAsia" w:hAnsiTheme="majorEastAsia" w:eastAsiaTheme="majorEastAsia" w:cstheme="majorEastAsia"/>
                <w:color w:val="auto"/>
                <w:sz w:val="21"/>
                <w:szCs w:val="21"/>
                <w:highlight w:val="none"/>
                <w:u w:val="single"/>
              </w:rPr>
            </w:pPr>
            <w:r>
              <w:rPr>
                <w:rFonts w:hint="eastAsia" w:asciiTheme="majorEastAsia" w:hAnsiTheme="majorEastAsia" w:eastAsiaTheme="majorEastAsia" w:cstheme="majorEastAsia"/>
                <w:color w:val="auto"/>
                <w:sz w:val="21"/>
                <w:szCs w:val="21"/>
                <w:highlight w:val="none"/>
              </w:rPr>
              <w:t>日      期</w:t>
            </w:r>
            <w:r>
              <w:rPr>
                <w:rFonts w:hint="eastAsia" w:asciiTheme="majorEastAsia" w:hAnsiTheme="majorEastAsia" w:eastAsiaTheme="majorEastAsia" w:cstheme="majorEastAsia"/>
                <w:color w:val="auto"/>
                <w:sz w:val="21"/>
                <w:szCs w:val="21"/>
                <w:highlight w:val="none"/>
                <w:u w:val="single"/>
              </w:rPr>
              <w:t xml:space="preserve">             </w:t>
            </w:r>
          </w:p>
        </w:tc>
      </w:tr>
    </w:tbl>
    <w:p w14:paraId="7B1770B9">
      <w:pPr>
        <w:ind w:firstLine="420" w:firstLineChars="2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注：1.在选择栏中的</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内作标识</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 xml:space="preserve">。 </w:t>
      </w:r>
    </w:p>
    <w:p w14:paraId="298F8918">
      <w:pPr>
        <w:ind w:left="720" w:hanging="840" w:hangingChars="40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 xml:space="preserve">        2.本表一式四份</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由承包人填报</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发包人、监理人、工程造价咨询人、承包人各存一份。</w:t>
      </w:r>
    </w:p>
    <w:p w14:paraId="522EF582">
      <w:pPr>
        <w:spacing w:before="0" w:beforeLines="-2147483648"/>
        <w:ind w:left="714" w:leftChars="340" w:firstLine="0" w:firstLineChars="0"/>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3.应付预付款计算基数=签约合同价款-暂列金额-专业工程暂估价-安全生产费</w:t>
      </w:r>
      <w:r>
        <w:rPr>
          <w:rFonts w:hint="eastAsia" w:asciiTheme="majorEastAsia" w:hAnsiTheme="majorEastAsia" w:eastAsiaTheme="majorEastAsia" w:cstheme="majorEastAsia"/>
          <w:color w:val="auto"/>
          <w:sz w:val="21"/>
          <w:szCs w:val="21"/>
          <w:highlight w:val="none"/>
          <w:lang w:eastAsia="zh-CN"/>
        </w:rPr>
        <w:t>。</w:t>
      </w:r>
    </w:p>
    <w:p w14:paraId="6BB2AD09">
      <w:pPr>
        <w:spacing w:before="120" w:beforeLines="50"/>
        <w:ind w:left="1200" w:hanging="1200" w:hangingChars="400"/>
        <w:rPr>
          <w:rFonts w:hint="eastAsia" w:eastAsia="仿宋_GB2312"/>
          <w:color w:val="auto"/>
          <w:sz w:val="30"/>
          <w:szCs w:val="30"/>
          <w:highlight w:val="none"/>
        </w:rPr>
      </w:pPr>
    </w:p>
    <w:p w14:paraId="63697796">
      <w:pPr>
        <w:pStyle w:val="18"/>
        <w:rPr>
          <w:rFonts w:hint="eastAsia" w:eastAsia="仿宋_GB2312"/>
          <w:color w:val="auto"/>
          <w:sz w:val="30"/>
          <w:szCs w:val="30"/>
          <w:highlight w:val="none"/>
        </w:rPr>
      </w:pPr>
    </w:p>
    <w:p w14:paraId="2D9E8A73">
      <w:pPr>
        <w:pStyle w:val="18"/>
        <w:rPr>
          <w:rFonts w:hint="eastAsia"/>
          <w:color w:val="auto"/>
          <w:highlight w:val="none"/>
          <w:lang w:eastAsia="zh-CN"/>
        </w:rPr>
      </w:pPr>
    </w:p>
    <w:p w14:paraId="47741B8F">
      <w:pPr>
        <w:spacing w:before="120" w:beforeLines="50" w:after="120" w:afterLines="50" w:line="440" w:lineRule="exact"/>
        <w:jc w:val="left"/>
        <w:rPr>
          <w:rFonts w:hint="eastAsia" w:asciiTheme="majorEastAsia" w:hAnsiTheme="majorEastAsia" w:eastAsiaTheme="majorEastAsia" w:cstheme="majorEastAsia"/>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6</w:t>
      </w:r>
      <w:r>
        <w:rPr>
          <w:rFonts w:hint="eastAsia" w:asciiTheme="majorEastAsia" w:hAnsiTheme="majorEastAsia" w:eastAsiaTheme="majorEastAsia" w:cstheme="majorEastAsia"/>
          <w:color w:val="auto"/>
          <w:sz w:val="32"/>
          <w:szCs w:val="32"/>
          <w:highlight w:val="none"/>
        </w:rPr>
        <w:t>：进度款支付申请（核准）表</w:t>
      </w:r>
    </w:p>
    <w:p w14:paraId="20D825BD">
      <w:pPr>
        <w:jc w:val="center"/>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b/>
          <w:color w:val="auto"/>
          <w:sz w:val="32"/>
          <w:szCs w:val="32"/>
          <w:highlight w:val="none"/>
        </w:rPr>
        <w:t>进度款支付申请（核准）表</w:t>
      </w:r>
    </w:p>
    <w:p w14:paraId="05005CD4">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20"/>
        <w:tblW w:w="9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9"/>
        <w:gridCol w:w="4552"/>
      </w:tblGrid>
      <w:tr w14:paraId="63C3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8"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2EC6ADB0">
            <w:pPr>
              <w:keepNext w:val="0"/>
              <w:keepLines w:val="0"/>
              <w:suppressLineNumbers w:val="0"/>
              <w:spacing w:before="0" w:beforeAutospacing="0" w:after="0" w:afterAutospacing="0" w:line="480" w:lineRule="exact"/>
              <w:ind w:left="525" w:leftChars="149" w:right="0" w:hanging="212" w:hangingChars="101"/>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致：</w:t>
            </w:r>
            <w:r>
              <w:rPr>
                <w:rFonts w:hint="eastAsia" w:asciiTheme="minorEastAsia" w:hAnsiTheme="minorEastAsia" w:eastAsiaTheme="minorEastAsia" w:cstheme="minorEastAsia"/>
                <w:color w:val="auto"/>
                <w:sz w:val="21"/>
                <w:szCs w:val="21"/>
                <w:highlight w:val="none"/>
                <w:u w:val="single"/>
              </w:rPr>
              <w:t xml:space="preserve">                                   （发包人全称）</w:t>
            </w:r>
          </w:p>
          <w:p w14:paraId="5D02F804">
            <w:pPr>
              <w:keepNext w:val="0"/>
              <w:keepLines w:val="0"/>
              <w:suppressLineNumbers w:val="0"/>
              <w:spacing w:before="0" w:beforeAutospacing="0" w:after="0" w:afterAutospacing="0" w:line="400" w:lineRule="exact"/>
              <w:ind w:left="-4" w:leftChars="-2" w:right="0" w:firstLine="315" w:firstLineChars="1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我方于</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至</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期间已完成了</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工作，根据施工合同的约定，现申请支付本期的进度款额为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元，请予核准。</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738"/>
              <w:gridCol w:w="4656"/>
              <w:gridCol w:w="1328"/>
              <w:gridCol w:w="1291"/>
              <w:gridCol w:w="572"/>
            </w:tblGrid>
            <w:tr w14:paraId="0B369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46983AD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5394" w:type="dxa"/>
                  <w:gridSpan w:val="2"/>
                  <w:tcBorders>
                    <w:top w:val="single" w:color="auto" w:sz="4" w:space="0"/>
                    <w:left w:val="single" w:color="auto" w:sz="4" w:space="0"/>
                    <w:bottom w:val="single" w:color="auto" w:sz="4" w:space="0"/>
                    <w:right w:val="single" w:color="auto" w:sz="4" w:space="0"/>
                  </w:tcBorders>
                  <w:noWrap w:val="0"/>
                  <w:vAlign w:val="center"/>
                </w:tcPr>
                <w:p w14:paraId="5000C52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名      称</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A20A31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申请金额（元）</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C33720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核定金额（元）</w:t>
                  </w:r>
                </w:p>
              </w:tc>
              <w:tc>
                <w:tcPr>
                  <w:tcW w:w="572" w:type="dxa"/>
                  <w:tcBorders>
                    <w:top w:val="single" w:color="auto" w:sz="4" w:space="0"/>
                    <w:left w:val="single" w:color="auto" w:sz="4" w:space="0"/>
                    <w:bottom w:val="single" w:color="auto" w:sz="4" w:space="0"/>
                    <w:right w:val="single" w:color="auto" w:sz="4" w:space="0"/>
                  </w:tcBorders>
                  <w:noWrap w:val="0"/>
                  <w:vAlign w:val="center"/>
                </w:tcPr>
                <w:p w14:paraId="7D63765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备注</w:t>
                  </w:r>
                </w:p>
              </w:tc>
            </w:tr>
            <w:tr w14:paraId="680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68C2191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93724D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累计已完成的工程价款（不含本期）</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E1A4D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1F1B31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71BD63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B0B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0C2071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87A8E3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累计已实际支付的工程价款</w:t>
                  </w:r>
                  <w:r>
                    <w:rPr>
                      <w:rFonts w:hint="eastAsia" w:asciiTheme="minorEastAsia" w:hAnsiTheme="minorEastAsia" w:eastAsiaTheme="minorEastAsia" w:cstheme="minorEastAsia"/>
                      <w:color w:val="auto"/>
                      <w:sz w:val="21"/>
                      <w:szCs w:val="21"/>
                      <w:highlight w:val="none"/>
                      <w:lang w:eastAsia="zh-CN"/>
                    </w:rPr>
                    <w:t>（含预付款）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D3CC700">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149A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1DF0D75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A7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0A65A02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w:t>
                  </w:r>
                </w:p>
              </w:tc>
              <w:tc>
                <w:tcPr>
                  <w:tcW w:w="738" w:type="dxa"/>
                  <w:tcBorders>
                    <w:top w:val="nil"/>
                    <w:left w:val="single" w:color="auto" w:sz="4" w:space="0"/>
                    <w:bottom w:val="single" w:color="auto" w:sz="4" w:space="0"/>
                    <w:right w:val="single" w:color="auto" w:sz="4" w:space="0"/>
                  </w:tcBorders>
                  <w:noWrap w:val="0"/>
                  <w:vAlign w:val="center"/>
                </w:tcPr>
                <w:p w14:paraId="46246D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3C5754D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0BF45448">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6524211">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C4D4D1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A60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880FA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42A54E4">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期完成的工程价款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6BC395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6D13C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lang w:val="en-US" w:eastAsia="zh-CN"/>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4484E0A">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F3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5023C81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w:t>
                  </w:r>
                </w:p>
              </w:tc>
              <w:tc>
                <w:tcPr>
                  <w:tcW w:w="738" w:type="dxa"/>
                  <w:tcBorders>
                    <w:top w:val="nil"/>
                    <w:left w:val="single" w:color="auto" w:sz="4" w:space="0"/>
                    <w:bottom w:val="single" w:color="auto" w:sz="4" w:space="0"/>
                    <w:right w:val="single" w:color="auto" w:sz="4" w:space="0"/>
                  </w:tcBorders>
                  <w:noWrap w:val="0"/>
                  <w:vAlign w:val="center"/>
                </w:tcPr>
                <w:p w14:paraId="244B66D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其中</w:t>
                  </w:r>
                </w:p>
              </w:tc>
              <w:tc>
                <w:tcPr>
                  <w:tcW w:w="4656" w:type="dxa"/>
                  <w:tcBorders>
                    <w:top w:val="single" w:color="auto" w:sz="4" w:space="0"/>
                    <w:left w:val="single" w:color="auto" w:sz="4" w:space="0"/>
                    <w:bottom w:val="single" w:color="auto" w:sz="4" w:space="0"/>
                    <w:right w:val="single" w:color="auto" w:sz="4" w:space="0"/>
                  </w:tcBorders>
                  <w:noWrap w:val="0"/>
                  <w:vAlign w:val="top"/>
                </w:tcPr>
                <w:p w14:paraId="5509291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人工费</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BBB2FC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82F386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61478C6">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E91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19B62F6B">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2326964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B54C904">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E90387">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b/>
                      <w:bCs/>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7B98F16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0BF7A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99" w:type="dxa"/>
                  <w:tcBorders>
                    <w:top w:val="single" w:color="auto" w:sz="4" w:space="0"/>
                    <w:left w:val="single" w:color="auto" w:sz="4" w:space="0"/>
                    <w:bottom w:val="single" w:color="auto" w:sz="4" w:space="0"/>
                    <w:right w:val="single" w:color="auto" w:sz="4" w:space="0"/>
                  </w:tcBorders>
                  <w:noWrap w:val="0"/>
                  <w:vAlign w:val="top"/>
                </w:tcPr>
                <w:p w14:paraId="2C370FD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BC41EC2">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期应抵扣的预付款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4D0BB4D">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31E639EC">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6F6DB27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8EA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290BF3E">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color w:val="auto"/>
                      <w:sz w:val="21"/>
                      <w:szCs w:val="21"/>
                      <w:highlight w:val="none"/>
                      <w:lang w:val="en-US" w:eastAsia="zh-CN"/>
                    </w:rPr>
                    <w:t>2</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0ADC401B">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w:t>
                  </w: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期应预留的质量保证金（如有）</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370AEAEF">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3C34866">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35455B5">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33C1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32332EA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33C1B089">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已签发的进度款支付证书中出现错误需在当期中支付或扣除的工程价款；</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250246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val="en-US" w:eastAsia="zh-CN"/>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7FF747B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0B0840C2">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20C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center"/>
                </w:tcPr>
                <w:p w14:paraId="18DB3EE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68A92D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本</w:t>
                  </w:r>
                  <w:r>
                    <w:rPr>
                      <w:rFonts w:hint="eastAsia" w:asciiTheme="minorEastAsia" w:hAnsiTheme="minorEastAsia" w:eastAsiaTheme="minorEastAsia" w:cstheme="minorEastAsia"/>
                      <w:color w:val="auto"/>
                      <w:sz w:val="21"/>
                      <w:szCs w:val="21"/>
                      <w:highlight w:val="none"/>
                    </w:rPr>
                    <w:t>期应支付工程价款</w:t>
                  </w:r>
                  <w:r>
                    <w:rPr>
                      <w:rFonts w:hint="eastAsia" w:asciiTheme="minorEastAsia" w:hAnsiTheme="minorEastAsia" w:eastAsiaTheme="minorEastAsia" w:cstheme="minorEastAsia"/>
                      <w:strike w:val="0"/>
                      <w:color w:val="auto"/>
                      <w:sz w:val="21"/>
                      <w:szCs w:val="21"/>
                      <w:highlight w:val="none"/>
                    </w:rPr>
                    <w:t>=&lt;3&gt;</w:t>
                  </w:r>
                </w:p>
                <w:p w14:paraId="6D7A9738">
                  <w:pPr>
                    <w:keepNext w:val="0"/>
                    <w:keepLines w:val="0"/>
                    <w:suppressLineNumbers w:val="0"/>
                    <w:spacing w:before="0" w:beforeAutospacing="0" w:after="0" w:afterAutospacing="0" w:line="280" w:lineRule="exact"/>
                    <w:ind w:left="0" w:right="0" w:firstLine="21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trike w:val="0"/>
                      <w:color w:val="auto"/>
                      <w:sz w:val="21"/>
                      <w:szCs w:val="21"/>
                      <w:highlight w:val="none"/>
                    </w:rPr>
                    <w:t>×支付比例</w:t>
                  </w:r>
                  <w:r>
                    <w:rPr>
                      <w:rFonts w:hint="eastAsia" w:asciiTheme="minorEastAsia" w:hAnsiTheme="minorEastAsia" w:eastAsiaTheme="minorEastAsia" w:cstheme="minorEastAsia"/>
                      <w:strike w:val="0"/>
                      <w:color w:val="auto"/>
                      <w:sz w:val="21"/>
                      <w:szCs w:val="21"/>
                      <w:highlight w:val="none"/>
                      <w:lang w:eastAsia="zh-CN"/>
                    </w:rPr>
                    <w:t>－</w:t>
                  </w:r>
                  <w:r>
                    <w:rPr>
                      <w:rFonts w:hint="eastAsia" w:asciiTheme="minorEastAsia" w:hAnsiTheme="minorEastAsia" w:eastAsiaTheme="minorEastAsia" w:cstheme="minorEastAsia"/>
                      <w:strike w:val="0"/>
                      <w:color w:val="auto"/>
                      <w:sz w:val="21"/>
                      <w:szCs w:val="21"/>
                      <w:highlight w:val="none"/>
                      <w:lang w:val="en-US" w:eastAsia="zh-CN"/>
                    </w:rPr>
                    <w:t>&lt;4&gt;</w:t>
                  </w:r>
                  <w:r>
                    <w:rPr>
                      <w:rFonts w:hint="eastAsia" w:asciiTheme="minorEastAsia" w:hAnsiTheme="minorEastAsia" w:eastAsiaTheme="minorEastAsia" w:cstheme="minorEastAsia"/>
                      <w:strike w:val="0"/>
                      <w:color w:val="auto"/>
                      <w:sz w:val="21"/>
                      <w:szCs w:val="21"/>
                      <w:highlight w:val="none"/>
                    </w:rPr>
                    <w:t>＋&lt;5&gt;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4FB0D85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E49ABE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2A5E8A8F">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47A9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699" w:type="dxa"/>
                  <w:tcBorders>
                    <w:top w:val="single" w:color="auto" w:sz="4" w:space="0"/>
                    <w:left w:val="single" w:color="auto" w:sz="4" w:space="0"/>
                    <w:bottom w:val="single" w:color="auto" w:sz="4" w:space="0"/>
                    <w:right w:val="single" w:color="auto" w:sz="4" w:space="0"/>
                  </w:tcBorders>
                  <w:noWrap w:val="0"/>
                  <w:vAlign w:val="center"/>
                </w:tcPr>
                <w:p w14:paraId="6494B905">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6.1</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57E4C7AC">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其中：本期应支付</w:t>
                  </w:r>
                  <w:r>
                    <w:rPr>
                      <w:rFonts w:hint="eastAsia" w:asciiTheme="minorEastAsia" w:hAnsiTheme="minorEastAsia" w:eastAsiaTheme="minorEastAsia" w:cstheme="minorEastAsia"/>
                      <w:color w:val="auto"/>
                      <w:sz w:val="21"/>
                      <w:szCs w:val="21"/>
                      <w:highlight w:val="none"/>
                    </w:rPr>
                    <w:t>人工费=&lt;3.1&gt;×支付比例</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126132E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02891CF3">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56D6FDF1">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r w14:paraId="6AFF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dxa"/>
                  <w:tcBorders>
                    <w:top w:val="single" w:color="auto" w:sz="4" w:space="0"/>
                    <w:left w:val="single" w:color="auto" w:sz="4" w:space="0"/>
                    <w:bottom w:val="single" w:color="auto" w:sz="4" w:space="0"/>
                    <w:right w:val="single" w:color="auto" w:sz="4" w:space="0"/>
                  </w:tcBorders>
                  <w:noWrap w:val="0"/>
                  <w:vAlign w:val="top"/>
                </w:tcPr>
                <w:p w14:paraId="6E67D8CA">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5394" w:type="dxa"/>
                  <w:gridSpan w:val="2"/>
                  <w:tcBorders>
                    <w:top w:val="single" w:color="auto" w:sz="4" w:space="0"/>
                    <w:left w:val="single" w:color="auto" w:sz="4" w:space="0"/>
                    <w:bottom w:val="single" w:color="auto" w:sz="4" w:space="0"/>
                    <w:right w:val="single" w:color="auto" w:sz="4" w:space="0"/>
                  </w:tcBorders>
                  <w:noWrap w:val="0"/>
                  <w:vAlign w:val="top"/>
                </w:tcPr>
                <w:p w14:paraId="7AECF937">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累计已完成的工程价款（含本期）=&lt;1&gt;＋&lt;3&gt;</w:t>
                  </w:r>
                </w:p>
              </w:tc>
              <w:tc>
                <w:tcPr>
                  <w:tcW w:w="1328" w:type="dxa"/>
                  <w:tcBorders>
                    <w:top w:val="single" w:color="auto" w:sz="4" w:space="0"/>
                    <w:left w:val="single" w:color="auto" w:sz="4" w:space="0"/>
                    <w:bottom w:val="single" w:color="auto" w:sz="4" w:space="0"/>
                    <w:right w:val="single" w:color="auto" w:sz="4" w:space="0"/>
                  </w:tcBorders>
                  <w:noWrap w:val="0"/>
                  <w:vAlign w:val="center"/>
                </w:tcPr>
                <w:p w14:paraId="5EC07AD2">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6FC70E9">
                  <w:pPr>
                    <w:keepNext w:val="0"/>
                    <w:keepLines w:val="0"/>
                    <w:suppressLineNumbers w:val="0"/>
                    <w:spacing w:before="0" w:beforeAutospacing="0" w:after="0" w:afterAutospacing="0" w:line="280" w:lineRule="exact"/>
                    <w:ind w:left="0" w:right="0"/>
                    <w:jc w:val="center"/>
                    <w:rPr>
                      <w:rFonts w:hint="eastAsia" w:asciiTheme="minorEastAsia" w:hAnsiTheme="minorEastAsia" w:eastAsiaTheme="minorEastAsia" w:cstheme="minorEastAsia"/>
                      <w:color w:val="auto"/>
                      <w:sz w:val="21"/>
                      <w:szCs w:val="21"/>
                      <w:highlight w:val="none"/>
                    </w:rPr>
                  </w:pPr>
                </w:p>
              </w:tc>
              <w:tc>
                <w:tcPr>
                  <w:tcW w:w="572" w:type="dxa"/>
                  <w:tcBorders>
                    <w:top w:val="single" w:color="auto" w:sz="4" w:space="0"/>
                    <w:left w:val="single" w:color="auto" w:sz="4" w:space="0"/>
                    <w:bottom w:val="single" w:color="auto" w:sz="4" w:space="0"/>
                    <w:right w:val="single" w:color="auto" w:sz="4" w:space="0"/>
                  </w:tcBorders>
                  <w:noWrap w:val="0"/>
                  <w:vAlign w:val="top"/>
                </w:tcPr>
                <w:p w14:paraId="3ECEEB3D">
                  <w:pPr>
                    <w:keepNext w:val="0"/>
                    <w:keepLines w:val="0"/>
                    <w:suppressLineNumbers w:val="0"/>
                    <w:spacing w:before="0" w:beforeAutospacing="0" w:after="0" w:afterAutospacing="0" w:line="280" w:lineRule="exact"/>
                    <w:ind w:left="0" w:right="0"/>
                    <w:rPr>
                      <w:rFonts w:hint="eastAsia" w:asciiTheme="minorEastAsia" w:hAnsiTheme="minorEastAsia" w:eastAsiaTheme="minorEastAsia" w:cstheme="minorEastAsia"/>
                      <w:color w:val="auto"/>
                      <w:sz w:val="21"/>
                      <w:szCs w:val="21"/>
                      <w:highlight w:val="none"/>
                    </w:rPr>
                  </w:pPr>
                </w:p>
              </w:tc>
            </w:tr>
          </w:tbl>
          <w:p w14:paraId="05028A28">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附：上述</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详见附件清单。</w:t>
            </w:r>
          </w:p>
          <w:p w14:paraId="53449334">
            <w:pPr>
              <w:keepNext w:val="0"/>
              <w:keepLines w:val="0"/>
              <w:suppressLineNumbers w:val="0"/>
              <w:wordWrap w:val="0"/>
              <w:spacing w:before="0" w:beforeAutospacing="0" w:after="0" w:afterAutospacing="0" w:line="400" w:lineRule="exact"/>
              <w:ind w:left="0" w:right="42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承包人（章）             </w:t>
            </w:r>
          </w:p>
          <w:p w14:paraId="0C6DFCD3">
            <w:pPr>
              <w:keepNext w:val="0"/>
              <w:keepLines w:val="0"/>
              <w:suppressLineNumbers w:val="0"/>
              <w:spacing w:before="0" w:beforeAutospacing="0" w:after="0" w:afterAutospacing="0" w:line="400" w:lineRule="exact"/>
              <w:ind w:left="0" w:right="42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造价人员</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承包人代表</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r w14:paraId="080E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4959" w:type="dxa"/>
            <w:tcBorders>
              <w:top w:val="single" w:color="auto" w:sz="4" w:space="0"/>
              <w:left w:val="single" w:color="auto" w:sz="4" w:space="0"/>
              <w:bottom w:val="single" w:color="auto" w:sz="4" w:space="0"/>
              <w:right w:val="single" w:color="auto" w:sz="4" w:space="0"/>
            </w:tcBorders>
            <w:noWrap w:val="0"/>
            <w:vAlign w:val="top"/>
          </w:tcPr>
          <w:p w14:paraId="29C9F29E">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5809A183">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□与实际施工情况不相符，修改意见见附件。</w:t>
            </w:r>
          </w:p>
          <w:p w14:paraId="38F83A04">
            <w:pPr>
              <w:keepNext w:val="0"/>
              <w:keepLines w:val="0"/>
              <w:suppressLineNumbers w:val="0"/>
              <w:spacing w:before="0" w:beforeAutospacing="0" w:after="0" w:afterAutospacing="0" w:line="360" w:lineRule="exact"/>
              <w:ind w:left="0" w:right="0" w:firstLine="312"/>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□与实际施工情况相符，具体金额由造价工程师复核。</w:t>
            </w:r>
          </w:p>
          <w:p w14:paraId="229B6069">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333B7AC1">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c>
          <w:tcPr>
            <w:tcW w:w="4552" w:type="dxa"/>
            <w:tcBorders>
              <w:top w:val="single" w:color="auto" w:sz="4" w:space="0"/>
              <w:left w:val="single" w:color="auto" w:sz="4" w:space="0"/>
              <w:bottom w:val="single" w:color="auto" w:sz="4" w:space="0"/>
              <w:right w:val="single" w:color="auto" w:sz="4" w:space="0"/>
            </w:tcBorders>
            <w:noWrap w:val="0"/>
            <w:vAlign w:val="top"/>
          </w:tcPr>
          <w:p w14:paraId="0FACEAF7">
            <w:pPr>
              <w:keepNext w:val="0"/>
              <w:keepLines w:val="0"/>
              <w:suppressLineNumbers w:val="0"/>
              <w:spacing w:before="0" w:beforeAutospacing="0" w:after="0" w:afterAutospacing="0" w:line="36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复核意见：</w:t>
            </w:r>
          </w:p>
          <w:p w14:paraId="4C061983">
            <w:pPr>
              <w:keepNext w:val="0"/>
              <w:keepLines w:val="0"/>
              <w:suppressLineNumbers w:val="0"/>
              <w:spacing w:before="0" w:beforeAutospacing="0" w:after="0" w:afterAutospacing="0" w:line="360" w:lineRule="exact"/>
              <w:ind w:left="0" w:right="0" w:firstLine="435"/>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你方提出的支付申请经复核，本周期已完成工程价款为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大写</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元，本期间应支付金额为（大写）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元，（小写）</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元。</w:t>
            </w:r>
          </w:p>
          <w:p w14:paraId="69BADB5E">
            <w:pPr>
              <w:keepNext w:val="0"/>
              <w:keepLines w:val="0"/>
              <w:suppressLineNumbers w:val="0"/>
              <w:spacing w:before="0" w:beforeAutospacing="0" w:after="0" w:afterAutospacing="0" w:line="360" w:lineRule="exact"/>
              <w:ind w:left="0" w:right="0"/>
              <w:jc w:val="both"/>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造价工程师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r w14:paraId="0F5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1" w:hRule="atLeast"/>
          <w:jc w:val="center"/>
        </w:trPr>
        <w:tc>
          <w:tcPr>
            <w:tcW w:w="9511" w:type="dxa"/>
            <w:gridSpan w:val="2"/>
            <w:tcBorders>
              <w:top w:val="single" w:color="auto" w:sz="4" w:space="0"/>
              <w:left w:val="single" w:color="auto" w:sz="4" w:space="0"/>
              <w:bottom w:val="single" w:color="auto" w:sz="4" w:space="0"/>
              <w:right w:val="single" w:color="auto" w:sz="4" w:space="0"/>
            </w:tcBorders>
            <w:noWrap w:val="0"/>
            <w:vAlign w:val="top"/>
          </w:tcPr>
          <w:p w14:paraId="5838C26B">
            <w:pPr>
              <w:keepNext w:val="0"/>
              <w:keepLines w:val="0"/>
              <w:suppressLineNumbers w:val="0"/>
              <w:spacing w:before="0" w:beforeAutospacing="0" w:after="0" w:afterAutospacing="0" w:line="400" w:lineRule="exact"/>
              <w:ind w:left="0" w:righ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审核意见：</w:t>
            </w:r>
          </w:p>
          <w:p w14:paraId="1293C54A">
            <w:pPr>
              <w:keepNext w:val="0"/>
              <w:keepLines w:val="0"/>
              <w:suppressLineNumbers w:val="0"/>
              <w:spacing w:before="0" w:beforeAutospacing="0" w:after="0" w:afterAutospacing="0" w:line="400" w:lineRule="exact"/>
              <w:ind w:left="0" w:right="0" w:firstLine="43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□不同意。</w:t>
            </w:r>
          </w:p>
          <w:p w14:paraId="04B520F9">
            <w:pPr>
              <w:keepNext w:val="0"/>
              <w:keepLines w:val="0"/>
              <w:suppressLineNumbers w:val="0"/>
              <w:spacing w:before="0" w:beforeAutospacing="0" w:after="0" w:afterAutospacing="0" w:line="400" w:lineRule="exact"/>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□同意，支付时间为本表签发后的15天内。</w:t>
            </w:r>
          </w:p>
          <w:p w14:paraId="50DACC5C">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发包人（章）           </w:t>
            </w:r>
          </w:p>
          <w:p w14:paraId="7C90CB17">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发包人代表</w:t>
            </w:r>
            <w:r>
              <w:rPr>
                <w:rFonts w:hint="eastAsia" w:asciiTheme="minorEastAsia" w:hAnsiTheme="minorEastAsia" w:eastAsiaTheme="minorEastAsia" w:cstheme="minorEastAsia"/>
                <w:color w:val="auto"/>
                <w:sz w:val="21"/>
                <w:szCs w:val="21"/>
                <w:highlight w:val="none"/>
                <w:u w:val="single"/>
              </w:rPr>
              <w:t xml:space="preserve">             </w:t>
            </w:r>
          </w:p>
          <w:p w14:paraId="3C406CA5">
            <w:pPr>
              <w:keepNext w:val="0"/>
              <w:keepLines w:val="0"/>
              <w:suppressLineNumbers w:val="0"/>
              <w:wordWrap w:val="0"/>
              <w:spacing w:before="0" w:beforeAutospacing="0" w:after="0" w:afterAutospacing="0" w:line="400" w:lineRule="exact"/>
              <w:ind w:left="0" w:right="0" w:firstLine="420" w:firstLineChars="200"/>
              <w:jc w:val="righ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日      期</w:t>
            </w:r>
            <w:r>
              <w:rPr>
                <w:rFonts w:hint="eastAsia" w:asciiTheme="minorEastAsia" w:hAnsiTheme="minorEastAsia" w:eastAsiaTheme="minorEastAsia" w:cstheme="minorEastAsia"/>
                <w:color w:val="auto"/>
                <w:sz w:val="21"/>
                <w:szCs w:val="21"/>
                <w:highlight w:val="none"/>
                <w:u w:val="single"/>
              </w:rPr>
              <w:t xml:space="preserve">             </w:t>
            </w:r>
          </w:p>
        </w:tc>
      </w:tr>
    </w:tbl>
    <w:p w14:paraId="25213975">
      <w:pPr>
        <w:spacing w:beforeLines="50"/>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注：1.在选择栏中的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 xml:space="preserve">。 </w:t>
      </w:r>
    </w:p>
    <w:p w14:paraId="305325FB">
      <w:pPr>
        <w:spacing w:beforeLines="50"/>
        <w:ind w:firstLine="840" w:firstLineChars="4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2.本表一式四份，由承包人填报，发包人、监理人、造价咨询人、承包人各存一份。</w:t>
      </w:r>
    </w:p>
    <w:p w14:paraId="32694E45">
      <w:pPr>
        <w:spacing w:before="120" w:beforeLines="50" w:after="120" w:afterLines="50" w:line="440" w:lineRule="exact"/>
        <w:jc w:val="left"/>
        <w:rPr>
          <w:rFonts w:hint="eastAsia" w:ascii="仿宋_GB2312" w:eastAsia="仿宋_GB2312" w:cs="仿宋_GB2312"/>
          <w:color w:val="auto"/>
          <w:sz w:val="30"/>
          <w:szCs w:val="30"/>
          <w:highlight w:val="none"/>
        </w:rPr>
      </w:pPr>
    </w:p>
    <w:p w14:paraId="1B0A5664">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7</w:t>
      </w:r>
      <w:r>
        <w:rPr>
          <w:rFonts w:hint="eastAsia" w:asciiTheme="minorEastAsia" w:hAnsiTheme="minorEastAsia" w:eastAsiaTheme="minorEastAsia" w:cstheme="minorEastAsia"/>
          <w:color w:val="auto"/>
          <w:sz w:val="32"/>
          <w:szCs w:val="32"/>
          <w:highlight w:val="none"/>
          <w:lang w:eastAsia="zh-CN"/>
        </w:rPr>
        <w:t>：竣工（施工过程）结算款支付申请（核准）表</w:t>
      </w:r>
    </w:p>
    <w:p w14:paraId="7209F809">
      <w:pPr>
        <w:wordWrap w:val="0"/>
        <w:jc w:val="center"/>
        <w:outlineLvl w:val="1"/>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color w:val="auto"/>
          <w:sz w:val="32"/>
          <w:szCs w:val="32"/>
          <w:highlight w:val="none"/>
          <w:lang w:val="en"/>
        </w:rPr>
        <w:t>竣工</w:t>
      </w:r>
      <w:r>
        <w:rPr>
          <w:rFonts w:hint="eastAsia" w:asciiTheme="minorEastAsia" w:hAnsiTheme="minorEastAsia" w:eastAsiaTheme="minorEastAsia" w:cstheme="minorEastAsia"/>
          <w:b/>
          <w:color w:val="auto"/>
          <w:sz w:val="32"/>
          <w:szCs w:val="32"/>
          <w:highlight w:val="none"/>
          <w:lang w:val="en" w:eastAsia="zh-CN"/>
        </w:rPr>
        <w:t>（施工过程）</w:t>
      </w:r>
      <w:r>
        <w:rPr>
          <w:rFonts w:hint="eastAsia" w:asciiTheme="minorEastAsia" w:hAnsiTheme="minorEastAsia" w:eastAsiaTheme="minorEastAsia" w:cstheme="minorEastAsia"/>
          <w:b/>
          <w:color w:val="auto"/>
          <w:sz w:val="32"/>
          <w:szCs w:val="32"/>
          <w:highlight w:val="none"/>
          <w:lang w:val="en"/>
        </w:rPr>
        <w:t>结算款支付申请（核准）表</w:t>
      </w:r>
    </w:p>
    <w:p w14:paraId="7A31BB09">
      <w:pPr>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工程名称：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编号：</w:t>
      </w:r>
    </w:p>
    <w:tbl>
      <w:tblPr>
        <w:tblStyle w:val="38"/>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49"/>
        <w:gridCol w:w="4280"/>
      </w:tblGrid>
      <w:tr w14:paraId="52C8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8" w:hRule="atLeast"/>
          <w:jc w:val="center"/>
        </w:trPr>
        <w:tc>
          <w:tcPr>
            <w:tcW w:w="9229" w:type="dxa"/>
            <w:gridSpan w:val="2"/>
            <w:noWrap w:val="0"/>
            <w:vAlign w:val="top"/>
          </w:tcPr>
          <w:p w14:paraId="75574DB2">
            <w:pPr>
              <w:pStyle w:val="37"/>
              <w:spacing w:before="234" w:line="220" w:lineRule="auto"/>
              <w:ind w:left="85"/>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1"/>
                <w:sz w:val="21"/>
                <w:szCs w:val="21"/>
                <w:highlight w:val="none"/>
              </w:rPr>
              <w:t>致</w:t>
            </w:r>
            <w:r>
              <w:rPr>
                <w:rFonts w:hint="eastAsia" w:asciiTheme="minorEastAsia" w:hAnsiTheme="minorEastAsia" w:eastAsiaTheme="minorEastAsia" w:cstheme="minorEastAsia"/>
                <w:color w:val="auto"/>
                <w:spacing w:val="-26"/>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w:t>
            </w:r>
            <w:r>
              <w:rPr>
                <w:rFonts w:hint="eastAsia" w:asciiTheme="minorEastAsia" w:hAnsiTheme="minorEastAsia" w:eastAsiaTheme="minorEastAsia" w:cstheme="minorEastAsia"/>
                <w:color w:val="auto"/>
                <w:spacing w:val="3"/>
                <w:sz w:val="21"/>
                <w:szCs w:val="21"/>
                <w:highlight w:val="none"/>
                <w:u w:val="single"/>
              </w:rPr>
              <w:t xml:space="preserve">                   </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发包人全称</w:t>
            </w:r>
            <w:r>
              <w:rPr>
                <w:rFonts w:hint="eastAsia" w:asciiTheme="minorEastAsia" w:hAnsiTheme="minorEastAsia" w:eastAsiaTheme="minorEastAsia" w:cstheme="minorEastAsia"/>
                <w:color w:val="auto"/>
                <w:spacing w:val="1"/>
                <w:sz w:val="21"/>
                <w:szCs w:val="21"/>
                <w:highlight w:val="none"/>
                <w:lang w:eastAsia="zh-CN"/>
              </w:rPr>
              <w:t>）</w:t>
            </w:r>
          </w:p>
          <w:p w14:paraId="2059E908">
            <w:pPr>
              <w:pStyle w:val="37"/>
              <w:spacing w:before="59" w:line="248" w:lineRule="auto"/>
              <w:ind w:left="124" w:firstLine="3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5"/>
                <w:sz w:val="21"/>
                <w:szCs w:val="21"/>
                <w:highlight w:val="none"/>
              </w:rPr>
              <w:t>我方于</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5"/>
                <w:sz w:val="21"/>
                <w:szCs w:val="21"/>
                <w:highlight w:val="none"/>
              </w:rPr>
              <w:t>至</w:t>
            </w:r>
            <w:r>
              <w:rPr>
                <w:rFonts w:hint="eastAsia" w:asciiTheme="minorEastAsia" w:hAnsiTheme="minorEastAsia" w:eastAsiaTheme="minorEastAsia" w:cstheme="minorEastAsia"/>
                <w:color w:val="auto"/>
                <w:spacing w:val="-93"/>
                <w:sz w:val="21"/>
                <w:szCs w:val="21"/>
                <w:highlight w:val="none"/>
              </w:rPr>
              <w:t xml:space="preserve"> </w:t>
            </w:r>
            <w:r>
              <w:rPr>
                <w:rFonts w:hint="eastAsia" w:asciiTheme="minorEastAsia" w:hAnsiTheme="minorEastAsia" w:eastAsiaTheme="minorEastAsia" w:cstheme="minorEastAsia"/>
                <w:color w:val="auto"/>
                <w:spacing w:val="16"/>
                <w:sz w:val="21"/>
                <w:szCs w:val="21"/>
                <w:highlight w:val="none"/>
                <w:u w:val="single" w:color="auto"/>
              </w:rPr>
              <w:t xml:space="preserve">     </w:t>
            </w:r>
            <w:r>
              <w:rPr>
                <w:rFonts w:hint="eastAsia" w:asciiTheme="minorEastAsia" w:hAnsiTheme="minorEastAsia" w:eastAsiaTheme="minorEastAsia" w:cstheme="minorEastAsia"/>
                <w:color w:val="auto"/>
                <w:spacing w:val="-101"/>
                <w:sz w:val="21"/>
                <w:szCs w:val="21"/>
                <w:highlight w:val="none"/>
              </w:rPr>
              <w:t xml:space="preserve"> </w:t>
            </w:r>
            <w:r>
              <w:rPr>
                <w:rFonts w:hint="eastAsia" w:asciiTheme="minorEastAsia" w:hAnsiTheme="minorEastAsia" w:eastAsiaTheme="minorEastAsia" w:cstheme="minorEastAsia"/>
                <w:color w:val="auto"/>
                <w:spacing w:val="-5"/>
                <w:sz w:val="21"/>
                <w:szCs w:val="21"/>
                <w:highlight w:val="none"/>
              </w:rPr>
              <w:t>期间已完成合同约定的工作</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工程已经完工</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根据施工合同的约</w:t>
            </w:r>
            <w:r>
              <w:rPr>
                <w:rFonts w:hint="eastAsia" w:asciiTheme="minorEastAsia" w:hAnsiTheme="minorEastAsia" w:eastAsiaTheme="minorEastAsia" w:cstheme="minorEastAsia"/>
                <w:color w:val="auto"/>
                <w:spacing w:val="-6"/>
                <w:sz w:val="21"/>
                <w:szCs w:val="21"/>
                <w:highlight w:val="none"/>
              </w:rPr>
              <w:t>定</w:t>
            </w:r>
            <w:r>
              <w:rPr>
                <w:rFonts w:hint="eastAsia" w:asciiTheme="minorEastAsia" w:hAnsiTheme="minorEastAsia" w:eastAsiaTheme="minorEastAsia" w:cstheme="minorEastAsia"/>
                <w:color w:val="auto"/>
                <w:spacing w:val="-6"/>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rPr>
              <w:t>现申</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3"/>
                <w:sz w:val="21"/>
                <w:szCs w:val="21"/>
                <w:highlight w:val="none"/>
              </w:rPr>
              <w:t>请支付竣工结算合同款额为</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大写</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6"/>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u w:val="single" w:color="auto"/>
                <w:lang w:eastAsia="zh-CN"/>
              </w:rPr>
              <w:t>（</w:t>
            </w:r>
            <w:r>
              <w:rPr>
                <w:rFonts w:hint="eastAsia" w:asciiTheme="minorEastAsia" w:hAnsiTheme="minorEastAsia" w:eastAsiaTheme="minorEastAsia" w:cstheme="minorEastAsia"/>
                <w:color w:val="auto"/>
                <w:spacing w:val="3"/>
                <w:sz w:val="21"/>
                <w:szCs w:val="21"/>
                <w:highlight w:val="none"/>
                <w:u w:val="single" w:color="auto"/>
              </w:rPr>
              <w:t>小</w:t>
            </w:r>
            <w:r>
              <w:rPr>
                <w:rFonts w:hint="eastAsia" w:asciiTheme="minorEastAsia" w:hAnsiTheme="minorEastAsia" w:eastAsiaTheme="minorEastAsia" w:cstheme="minorEastAsia"/>
                <w:color w:val="auto"/>
                <w:spacing w:val="3"/>
                <w:sz w:val="21"/>
                <w:szCs w:val="21"/>
                <w:highlight w:val="none"/>
              </w:rPr>
              <w:t xml:space="preserve">写  </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3"/>
                <w:sz w:val="21"/>
                <w:szCs w:val="21"/>
                <w:highlight w:val="none"/>
              </w:rPr>
              <w:t>请予核准。</w:t>
            </w:r>
          </w:p>
          <w:p w14:paraId="5C54E279">
            <w:pPr>
              <w:spacing w:line="21" w:lineRule="exact"/>
              <w:rPr>
                <w:rFonts w:hint="eastAsia" w:asciiTheme="minorEastAsia" w:hAnsiTheme="minorEastAsia" w:eastAsiaTheme="minorEastAsia" w:cstheme="minorEastAsia"/>
                <w:color w:val="auto"/>
                <w:sz w:val="21"/>
                <w:szCs w:val="21"/>
                <w:highlight w:val="none"/>
              </w:rPr>
            </w:pPr>
          </w:p>
          <w:tbl>
            <w:tblPr>
              <w:tblStyle w:val="38"/>
              <w:tblW w:w="8710"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5"/>
              <w:gridCol w:w="3396"/>
              <w:gridCol w:w="1588"/>
              <w:gridCol w:w="1558"/>
              <w:gridCol w:w="1593"/>
            </w:tblGrid>
            <w:tr w14:paraId="24A52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4B46FBD8">
                  <w:pPr>
                    <w:pStyle w:val="37"/>
                    <w:spacing w:before="73" w:line="221" w:lineRule="auto"/>
                    <w:ind w:left="8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2"/>
                      <w:sz w:val="21"/>
                      <w:szCs w:val="21"/>
                      <w:highlight w:val="none"/>
                    </w:rPr>
                    <w:t>序号</w:t>
                  </w:r>
                </w:p>
              </w:tc>
              <w:tc>
                <w:tcPr>
                  <w:tcW w:w="3396" w:type="dxa"/>
                  <w:noWrap w:val="0"/>
                  <w:vAlign w:val="top"/>
                </w:tcPr>
                <w:p w14:paraId="0FAB28F2">
                  <w:pPr>
                    <w:pStyle w:val="37"/>
                    <w:spacing w:before="75" w:line="221" w:lineRule="auto"/>
                    <w:ind w:left="149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名称</w:t>
                  </w:r>
                </w:p>
              </w:tc>
              <w:tc>
                <w:tcPr>
                  <w:tcW w:w="1588" w:type="dxa"/>
                  <w:noWrap w:val="0"/>
                  <w:vAlign w:val="top"/>
                </w:tcPr>
                <w:p w14:paraId="05709BDB">
                  <w:pPr>
                    <w:pStyle w:val="37"/>
                    <w:spacing w:before="72" w:line="219" w:lineRule="auto"/>
                    <w:ind w:left="204"/>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申请金额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58" w:type="dxa"/>
                  <w:noWrap w:val="0"/>
                  <w:vAlign w:val="top"/>
                </w:tcPr>
                <w:p w14:paraId="1DD99739">
                  <w:pPr>
                    <w:pStyle w:val="37"/>
                    <w:spacing w:before="72" w:line="219" w:lineRule="auto"/>
                    <w:ind w:left="205"/>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5"/>
                      <w:sz w:val="21"/>
                      <w:szCs w:val="21"/>
                      <w:highlight w:val="none"/>
                    </w:rPr>
                    <w:t>复核金额</w:t>
                  </w:r>
                  <w:r>
                    <w:rPr>
                      <w:rFonts w:hint="eastAsia" w:asciiTheme="minorEastAsia" w:hAnsiTheme="minorEastAsia" w:eastAsiaTheme="minorEastAsia" w:cstheme="minorEastAsia"/>
                      <w:color w:val="auto"/>
                      <w:spacing w:val="5"/>
                      <w:sz w:val="21"/>
                      <w:szCs w:val="21"/>
                      <w:highlight w:val="none"/>
                      <w:lang w:eastAsia="zh-CN"/>
                    </w:rPr>
                    <w:t>（</w:t>
                  </w:r>
                  <w:r>
                    <w:rPr>
                      <w:rFonts w:hint="eastAsia" w:asciiTheme="minorEastAsia" w:hAnsiTheme="minorEastAsia" w:eastAsiaTheme="minorEastAsia" w:cstheme="minorEastAsia"/>
                      <w:color w:val="auto"/>
                      <w:spacing w:val="5"/>
                      <w:sz w:val="21"/>
                      <w:szCs w:val="21"/>
                      <w:highlight w:val="none"/>
                    </w:rPr>
                    <w:t>元</w:t>
                  </w:r>
                  <w:r>
                    <w:rPr>
                      <w:rFonts w:hint="eastAsia" w:asciiTheme="minorEastAsia" w:hAnsiTheme="minorEastAsia" w:eastAsiaTheme="minorEastAsia" w:cstheme="minorEastAsia"/>
                      <w:color w:val="auto"/>
                      <w:spacing w:val="5"/>
                      <w:sz w:val="21"/>
                      <w:szCs w:val="21"/>
                      <w:highlight w:val="none"/>
                      <w:lang w:eastAsia="zh-CN"/>
                    </w:rPr>
                    <w:t>）</w:t>
                  </w:r>
                </w:p>
              </w:tc>
              <w:tc>
                <w:tcPr>
                  <w:tcW w:w="1593" w:type="dxa"/>
                  <w:noWrap w:val="0"/>
                  <w:vAlign w:val="top"/>
                </w:tcPr>
                <w:p w14:paraId="3BF1F51C">
                  <w:pPr>
                    <w:pStyle w:val="37"/>
                    <w:spacing w:before="73" w:line="221" w:lineRule="auto"/>
                    <w:ind w:left="628"/>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备注</w:t>
                  </w:r>
                </w:p>
              </w:tc>
            </w:tr>
            <w:tr w14:paraId="6F9DC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75" w:type="dxa"/>
                  <w:noWrap w:val="0"/>
                  <w:vAlign w:val="top"/>
                </w:tcPr>
                <w:p w14:paraId="2D142113">
                  <w:pPr>
                    <w:pStyle w:val="37"/>
                    <w:spacing w:before="117" w:line="184"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3396" w:type="dxa"/>
                  <w:noWrap w:val="0"/>
                  <w:vAlign w:val="top"/>
                </w:tcPr>
                <w:p w14:paraId="503816BF">
                  <w:pPr>
                    <w:pStyle w:val="37"/>
                    <w:spacing w:before="68"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工程竣工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结算价款总额</w:t>
                  </w:r>
                </w:p>
              </w:tc>
              <w:tc>
                <w:tcPr>
                  <w:tcW w:w="1588" w:type="dxa"/>
                  <w:noWrap w:val="0"/>
                  <w:vAlign w:val="top"/>
                </w:tcPr>
                <w:p w14:paraId="3D8A1169">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7388CB51">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092EF0A5">
                  <w:pPr>
                    <w:rPr>
                      <w:rFonts w:hint="eastAsia" w:asciiTheme="minorEastAsia" w:hAnsiTheme="minorEastAsia" w:eastAsiaTheme="minorEastAsia" w:cstheme="minorEastAsia"/>
                      <w:color w:val="auto"/>
                      <w:sz w:val="21"/>
                      <w:szCs w:val="21"/>
                      <w:highlight w:val="none"/>
                    </w:rPr>
                  </w:pPr>
                </w:p>
              </w:tc>
            </w:tr>
            <w:tr w14:paraId="3EEF5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575" w:type="dxa"/>
                  <w:noWrap w:val="0"/>
                  <w:vAlign w:val="top"/>
                </w:tcPr>
                <w:p w14:paraId="010A9059">
                  <w:pPr>
                    <w:pStyle w:val="37"/>
                    <w:spacing w:before="130"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3396" w:type="dxa"/>
                  <w:noWrap w:val="0"/>
                  <w:vAlign w:val="top"/>
                </w:tcPr>
                <w:p w14:paraId="4A32B72C">
                  <w:pPr>
                    <w:pStyle w:val="37"/>
                    <w:spacing w:before="80" w:line="218"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累计已实际支付的价款</w:t>
                  </w:r>
                </w:p>
              </w:tc>
              <w:tc>
                <w:tcPr>
                  <w:tcW w:w="1588" w:type="dxa"/>
                  <w:noWrap w:val="0"/>
                  <w:vAlign w:val="top"/>
                </w:tcPr>
                <w:p w14:paraId="102A70E2">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EFA304C">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2DE9B255">
                  <w:pPr>
                    <w:rPr>
                      <w:rFonts w:hint="eastAsia" w:asciiTheme="minorEastAsia" w:hAnsiTheme="minorEastAsia" w:eastAsiaTheme="minorEastAsia" w:cstheme="minorEastAsia"/>
                      <w:color w:val="auto"/>
                      <w:sz w:val="21"/>
                      <w:szCs w:val="21"/>
                      <w:highlight w:val="none"/>
                    </w:rPr>
                  </w:pPr>
                </w:p>
              </w:tc>
            </w:tr>
            <w:tr w14:paraId="5375B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75" w:type="dxa"/>
                  <w:noWrap w:val="0"/>
                  <w:vAlign w:val="top"/>
                </w:tcPr>
                <w:p w14:paraId="283287D1">
                  <w:pPr>
                    <w:pStyle w:val="37"/>
                    <w:spacing w:before="123" w:line="183"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3396" w:type="dxa"/>
                  <w:noWrap w:val="0"/>
                  <w:vAlign w:val="top"/>
                </w:tcPr>
                <w:p w14:paraId="7F3B9FEA">
                  <w:pPr>
                    <w:pStyle w:val="37"/>
                    <w:spacing w:before="75" w:line="220"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应预留的质量保证金</w:t>
                  </w:r>
                </w:p>
              </w:tc>
              <w:tc>
                <w:tcPr>
                  <w:tcW w:w="1588" w:type="dxa"/>
                  <w:noWrap w:val="0"/>
                  <w:vAlign w:val="top"/>
                </w:tcPr>
                <w:p w14:paraId="4193229D">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661AE636">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4ED6E251">
                  <w:pPr>
                    <w:rPr>
                      <w:rFonts w:hint="eastAsia" w:asciiTheme="minorEastAsia" w:hAnsiTheme="minorEastAsia" w:eastAsiaTheme="minorEastAsia" w:cstheme="minorEastAsia"/>
                      <w:color w:val="auto"/>
                      <w:sz w:val="21"/>
                      <w:szCs w:val="21"/>
                      <w:highlight w:val="none"/>
                    </w:rPr>
                  </w:pPr>
                </w:p>
              </w:tc>
            </w:tr>
            <w:tr w14:paraId="2057A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5" w:type="dxa"/>
                  <w:noWrap w:val="0"/>
                  <w:vAlign w:val="top"/>
                </w:tcPr>
                <w:p w14:paraId="5F3DD539">
                  <w:pPr>
                    <w:pStyle w:val="37"/>
                    <w:spacing w:before="125" w:line="182" w:lineRule="auto"/>
                    <w:ind w:left="22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3396" w:type="dxa"/>
                  <w:noWrap w:val="0"/>
                  <w:vAlign w:val="top"/>
                </w:tcPr>
                <w:p w14:paraId="111985FF">
                  <w:pPr>
                    <w:pStyle w:val="37"/>
                    <w:spacing w:before="76" w:line="219" w:lineRule="auto"/>
                    <w:ind w:left="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实际应支付的竣工</w:t>
                  </w:r>
                  <w:r>
                    <w:rPr>
                      <w:rFonts w:hint="eastAsia" w:asciiTheme="minorEastAsia" w:hAnsiTheme="minorEastAsia" w:eastAsiaTheme="minorEastAsia" w:cstheme="minorEastAsia"/>
                      <w:color w:val="auto"/>
                      <w:spacing w:val="-1"/>
                      <w:sz w:val="21"/>
                      <w:szCs w:val="21"/>
                      <w:highlight w:val="none"/>
                      <w:lang w:eastAsia="zh-CN"/>
                    </w:rPr>
                    <w:t>（施工过程）</w:t>
                  </w:r>
                  <w:r>
                    <w:rPr>
                      <w:rFonts w:hint="eastAsia" w:asciiTheme="minorEastAsia" w:hAnsiTheme="minorEastAsia" w:eastAsiaTheme="minorEastAsia" w:cstheme="minorEastAsia"/>
                      <w:color w:val="auto"/>
                      <w:spacing w:val="-1"/>
                      <w:sz w:val="21"/>
                      <w:szCs w:val="21"/>
                      <w:highlight w:val="none"/>
                    </w:rPr>
                    <w:t>结算款金额</w:t>
                  </w:r>
                </w:p>
              </w:tc>
              <w:tc>
                <w:tcPr>
                  <w:tcW w:w="1588" w:type="dxa"/>
                  <w:noWrap w:val="0"/>
                  <w:vAlign w:val="top"/>
                </w:tcPr>
                <w:p w14:paraId="3266B714">
                  <w:pPr>
                    <w:rPr>
                      <w:rFonts w:hint="eastAsia" w:asciiTheme="minorEastAsia" w:hAnsiTheme="minorEastAsia" w:eastAsiaTheme="minorEastAsia" w:cstheme="minorEastAsia"/>
                      <w:color w:val="auto"/>
                      <w:sz w:val="21"/>
                      <w:szCs w:val="21"/>
                      <w:highlight w:val="none"/>
                    </w:rPr>
                  </w:pPr>
                </w:p>
              </w:tc>
              <w:tc>
                <w:tcPr>
                  <w:tcW w:w="1558" w:type="dxa"/>
                  <w:noWrap w:val="0"/>
                  <w:vAlign w:val="top"/>
                </w:tcPr>
                <w:p w14:paraId="49D5029A">
                  <w:pPr>
                    <w:rPr>
                      <w:rFonts w:hint="eastAsia" w:asciiTheme="minorEastAsia" w:hAnsiTheme="minorEastAsia" w:eastAsiaTheme="minorEastAsia" w:cstheme="minorEastAsia"/>
                      <w:color w:val="auto"/>
                      <w:sz w:val="21"/>
                      <w:szCs w:val="21"/>
                      <w:highlight w:val="none"/>
                    </w:rPr>
                  </w:pPr>
                </w:p>
              </w:tc>
              <w:tc>
                <w:tcPr>
                  <w:tcW w:w="1593" w:type="dxa"/>
                  <w:noWrap w:val="0"/>
                  <w:vAlign w:val="top"/>
                </w:tcPr>
                <w:p w14:paraId="304EC470">
                  <w:pPr>
                    <w:rPr>
                      <w:rFonts w:hint="eastAsia" w:asciiTheme="minorEastAsia" w:hAnsiTheme="minorEastAsia" w:eastAsiaTheme="minorEastAsia" w:cstheme="minorEastAsia"/>
                      <w:color w:val="auto"/>
                      <w:sz w:val="21"/>
                      <w:szCs w:val="21"/>
                      <w:highlight w:val="none"/>
                    </w:rPr>
                  </w:pPr>
                </w:p>
              </w:tc>
            </w:tr>
          </w:tbl>
          <w:p w14:paraId="17D56C6B">
            <w:pPr>
              <w:spacing w:line="330" w:lineRule="auto"/>
              <w:rPr>
                <w:rFonts w:hint="eastAsia" w:asciiTheme="minorEastAsia" w:hAnsiTheme="minorEastAsia" w:eastAsiaTheme="minorEastAsia" w:cstheme="minorEastAsia"/>
                <w:color w:val="auto"/>
                <w:sz w:val="21"/>
                <w:szCs w:val="21"/>
                <w:highlight w:val="none"/>
              </w:rPr>
            </w:pPr>
          </w:p>
          <w:p w14:paraId="6ED51D2A">
            <w:pPr>
              <w:spacing w:line="330" w:lineRule="auto"/>
              <w:rPr>
                <w:rFonts w:hint="eastAsia" w:asciiTheme="minorEastAsia" w:hAnsiTheme="minorEastAsia" w:eastAsiaTheme="minorEastAsia" w:cstheme="minorEastAsia"/>
                <w:color w:val="auto"/>
                <w:sz w:val="21"/>
                <w:szCs w:val="21"/>
                <w:highlight w:val="none"/>
              </w:rPr>
            </w:pPr>
          </w:p>
          <w:p w14:paraId="21A7DD16">
            <w:pPr>
              <w:pStyle w:val="37"/>
              <w:spacing w:before="68" w:line="219" w:lineRule="auto"/>
              <w:ind w:left="6824"/>
              <w:rPr>
                <w:rFonts w:hint="eastAsia" w:asciiTheme="minorEastAsia" w:hAnsiTheme="minorEastAsia" w:eastAsiaTheme="minorEastAsia" w:cstheme="minorEastAsia"/>
                <w:color w:val="auto"/>
                <w:spacing w:val="7"/>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承包人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4F1D275B">
            <w:pPr>
              <w:pStyle w:val="37"/>
              <w:spacing w:before="142" w:line="226" w:lineRule="auto"/>
              <w:ind w:left="104"/>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u w:val="none"/>
              </w:rPr>
              <w:t>编制人员</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sz w:val="21"/>
                <w:szCs w:val="21"/>
                <w:highlight w:val="none"/>
                <w:u w:val="none"/>
              </w:rPr>
              <w:t>承包人代表</w:t>
            </w:r>
            <w:r>
              <w:rPr>
                <w:rFonts w:hint="eastAsia" w:asciiTheme="minorEastAsia" w:hAnsiTheme="minorEastAsia" w:eastAsiaTheme="minorEastAsia" w:cstheme="minorEastAsia"/>
                <w:color w:val="auto"/>
                <w:spacing w:val="3"/>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日</w:t>
            </w:r>
            <w:r>
              <w:rPr>
                <w:rFonts w:hint="eastAsia" w:asciiTheme="minorEastAsia" w:hAnsiTheme="minorEastAsia" w:eastAsiaTheme="minorEastAsia" w:cstheme="minorEastAsia"/>
                <w:color w:val="auto"/>
                <w:spacing w:val="-31"/>
                <w:position w:val="1"/>
                <w:sz w:val="21"/>
                <w:szCs w:val="21"/>
                <w:highlight w:val="none"/>
                <w:u w:val="none"/>
              </w:rPr>
              <w:t xml:space="preserve"> </w:t>
            </w:r>
            <w:r>
              <w:rPr>
                <w:rFonts w:hint="eastAsia" w:asciiTheme="minorEastAsia" w:hAnsiTheme="minorEastAsia" w:eastAsiaTheme="minorEastAsia" w:cstheme="minorEastAsia"/>
                <w:color w:val="auto"/>
                <w:spacing w:val="-3"/>
                <w:position w:val="1"/>
                <w:sz w:val="21"/>
                <w:szCs w:val="21"/>
                <w:highlight w:val="none"/>
                <w:u w:val="none"/>
              </w:rPr>
              <w:t>期</w:t>
            </w:r>
          </w:p>
        </w:tc>
      </w:tr>
      <w:tr w14:paraId="5C4982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4949" w:type="dxa"/>
            <w:noWrap w:val="0"/>
            <w:vAlign w:val="top"/>
          </w:tcPr>
          <w:p w14:paraId="5194DF11">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0B781BE4">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□与实际施工情况不相符</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修改意见见附件</w:t>
            </w:r>
          </w:p>
          <w:p w14:paraId="312527A2">
            <w:pPr>
              <w:spacing w:line="36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8"/>
                <w:sz w:val="21"/>
                <w:szCs w:val="21"/>
                <w:highlight w:val="none"/>
              </w:rPr>
              <w:t>与实际施工情况相符</w:t>
            </w:r>
            <w:r>
              <w:rPr>
                <w:rFonts w:hint="eastAsia" w:asciiTheme="minorEastAsia" w:hAnsiTheme="minorEastAsia" w:eastAsiaTheme="minorEastAsia" w:cstheme="minorEastAsia"/>
                <w:color w:val="auto"/>
                <w:spacing w:val="-8"/>
                <w:sz w:val="21"/>
                <w:szCs w:val="21"/>
                <w:highlight w:val="none"/>
                <w:lang w:eastAsia="zh-CN"/>
              </w:rPr>
              <w:t>，</w:t>
            </w:r>
            <w:r>
              <w:rPr>
                <w:rFonts w:hint="eastAsia" w:asciiTheme="minorEastAsia" w:hAnsiTheme="minorEastAsia" w:eastAsiaTheme="minorEastAsia" w:cstheme="minorEastAsia"/>
                <w:color w:val="auto"/>
                <w:spacing w:val="-8"/>
                <w:sz w:val="21"/>
                <w:szCs w:val="21"/>
                <w:highlight w:val="none"/>
              </w:rPr>
              <w:t>具体金额应由造价工程师复核</w:t>
            </w:r>
          </w:p>
          <w:p w14:paraId="3F058187">
            <w:pPr>
              <w:spacing w:line="251" w:lineRule="auto"/>
              <w:jc w:val="left"/>
              <w:rPr>
                <w:rFonts w:hint="eastAsia" w:asciiTheme="minorEastAsia" w:hAnsiTheme="minorEastAsia" w:eastAsiaTheme="minorEastAsia" w:cstheme="minorEastAsia"/>
                <w:color w:val="auto"/>
                <w:sz w:val="21"/>
                <w:szCs w:val="21"/>
                <w:highlight w:val="none"/>
              </w:rPr>
            </w:pPr>
          </w:p>
          <w:p w14:paraId="25874408">
            <w:pPr>
              <w:spacing w:line="251" w:lineRule="auto"/>
              <w:jc w:val="left"/>
              <w:rPr>
                <w:rFonts w:hint="eastAsia" w:asciiTheme="minorEastAsia" w:hAnsiTheme="minorEastAsia" w:eastAsiaTheme="minorEastAsia" w:cstheme="minorEastAsia"/>
                <w:color w:val="auto"/>
                <w:sz w:val="21"/>
                <w:szCs w:val="21"/>
                <w:highlight w:val="none"/>
              </w:rPr>
            </w:pPr>
          </w:p>
          <w:p w14:paraId="48010442">
            <w:pPr>
              <w:spacing w:line="251" w:lineRule="auto"/>
              <w:jc w:val="left"/>
              <w:rPr>
                <w:rFonts w:hint="eastAsia" w:asciiTheme="minorEastAsia" w:hAnsiTheme="minorEastAsia" w:eastAsiaTheme="minorEastAsia" w:cstheme="minorEastAsia"/>
                <w:color w:val="auto"/>
                <w:sz w:val="21"/>
                <w:szCs w:val="21"/>
                <w:highlight w:val="none"/>
              </w:rPr>
            </w:pPr>
          </w:p>
          <w:p w14:paraId="55F854AB">
            <w:pPr>
              <w:spacing w:line="251" w:lineRule="auto"/>
              <w:jc w:val="left"/>
              <w:rPr>
                <w:rFonts w:hint="eastAsia" w:asciiTheme="minorEastAsia" w:hAnsiTheme="minorEastAsia" w:eastAsiaTheme="minorEastAsia" w:cstheme="minorEastAsia"/>
                <w:color w:val="auto"/>
                <w:sz w:val="21"/>
                <w:szCs w:val="21"/>
                <w:highlight w:val="none"/>
              </w:rPr>
            </w:pPr>
          </w:p>
          <w:p w14:paraId="28189E04">
            <w:pPr>
              <w:spacing w:line="251" w:lineRule="auto"/>
              <w:ind w:firstLine="0"/>
              <w:jc w:val="left"/>
              <w:rPr>
                <w:rFonts w:hint="eastAsia" w:asciiTheme="minorEastAsia" w:hAnsiTheme="minorEastAsia" w:eastAsiaTheme="minorEastAsia" w:cstheme="minorEastAsia"/>
                <w:color w:val="auto"/>
                <w:sz w:val="21"/>
                <w:szCs w:val="21"/>
                <w:highlight w:val="none"/>
              </w:rPr>
            </w:pPr>
          </w:p>
          <w:p w14:paraId="6CEDF532">
            <w:pPr>
              <w:spacing w:line="251" w:lineRule="auto"/>
              <w:ind w:firstLine="2310" w:firstLineChars="1100"/>
              <w:jc w:val="left"/>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eastAsia="zh-CN"/>
              </w:rPr>
              <w:t>监理</w:t>
            </w:r>
            <w:r>
              <w:rPr>
                <w:rFonts w:hint="eastAsia" w:asciiTheme="minorEastAsia" w:hAnsiTheme="minorEastAsia" w:eastAsiaTheme="minorEastAsia" w:cstheme="minorEastAsia"/>
                <w:color w:val="auto"/>
                <w:sz w:val="21"/>
                <w:szCs w:val="21"/>
                <w:highlight w:val="none"/>
              </w:rPr>
              <w:t>工程师</w:t>
            </w:r>
            <w:r>
              <w:rPr>
                <w:rFonts w:hint="eastAsia" w:asciiTheme="minorEastAsia" w:hAnsiTheme="minorEastAsia" w:eastAsiaTheme="minorEastAsia" w:cstheme="minorEastAsia"/>
                <w:color w:val="auto"/>
                <w:sz w:val="21"/>
                <w:szCs w:val="21"/>
                <w:highlight w:val="none"/>
                <w:u w:val="single"/>
              </w:rPr>
              <w:t xml:space="preserve">           </w:t>
            </w:r>
          </w:p>
          <w:p w14:paraId="3A0C1BD7">
            <w:pPr>
              <w:spacing w:line="251"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 xml:space="preserve">  期</w:t>
            </w:r>
            <w:r>
              <w:rPr>
                <w:rFonts w:hint="eastAsia" w:asciiTheme="minorEastAsia" w:hAnsiTheme="minorEastAsia" w:eastAsiaTheme="minorEastAsia" w:cstheme="minorEastAsia"/>
                <w:color w:val="auto"/>
                <w:sz w:val="21"/>
                <w:szCs w:val="21"/>
                <w:highlight w:val="none"/>
                <w:u w:val="single"/>
              </w:rPr>
              <w:t xml:space="preserve">           </w:t>
            </w:r>
          </w:p>
        </w:tc>
        <w:tc>
          <w:tcPr>
            <w:tcW w:w="4280" w:type="dxa"/>
            <w:noWrap w:val="0"/>
            <w:vAlign w:val="top"/>
          </w:tcPr>
          <w:p w14:paraId="42CE73C6">
            <w:pPr>
              <w:pStyle w:val="37"/>
              <w:spacing w:before="68" w:line="219"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复核意见：</w:t>
            </w:r>
          </w:p>
          <w:p w14:paraId="73F46287">
            <w:pPr>
              <w:pStyle w:val="37"/>
              <w:spacing w:before="60" w:line="233" w:lineRule="auto"/>
              <w:ind w:left="115" w:firstLine="4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3"/>
                <w:sz w:val="21"/>
                <w:szCs w:val="21"/>
                <w:highlight w:val="none"/>
              </w:rPr>
              <w:t>你方提出的竣工（施工过程）结算款支付申请经复核</w:t>
            </w:r>
            <w:r>
              <w:rPr>
                <w:rFonts w:hint="eastAsia" w:asciiTheme="minorEastAsia" w:hAnsiTheme="minorEastAsia" w:eastAsiaTheme="minorEastAsia" w:cstheme="minorEastAsia"/>
                <w:color w:val="auto"/>
                <w:spacing w:val="-3"/>
                <w:sz w:val="21"/>
                <w:szCs w:val="21"/>
                <w:highlight w:val="none"/>
                <w:lang w:eastAsia="zh-CN"/>
              </w:rPr>
              <w:t>，</w:t>
            </w:r>
            <w:r>
              <w:rPr>
                <w:rFonts w:hint="eastAsia" w:asciiTheme="minorEastAsia" w:hAnsiTheme="minorEastAsia" w:eastAsiaTheme="minorEastAsia" w:cstheme="minorEastAsia"/>
                <w:color w:val="auto"/>
                <w:spacing w:val="11"/>
                <w:sz w:val="21"/>
                <w:szCs w:val="21"/>
                <w:highlight w:val="none"/>
              </w:rPr>
              <w:t xml:space="preserve"> </w:t>
            </w:r>
            <w:r>
              <w:rPr>
                <w:rFonts w:hint="eastAsia" w:asciiTheme="minorEastAsia" w:hAnsiTheme="minorEastAsia" w:eastAsiaTheme="minorEastAsia" w:cstheme="minorEastAsia"/>
                <w:color w:val="auto"/>
                <w:spacing w:val="1"/>
                <w:sz w:val="21"/>
                <w:szCs w:val="21"/>
                <w:highlight w:val="none"/>
              </w:rPr>
              <w:t>竣工（施工过程）结算款总额为</w:t>
            </w:r>
            <w:r>
              <w:rPr>
                <w:rFonts w:hint="eastAsia" w:asciiTheme="minorEastAsia" w:hAnsiTheme="minorEastAsia" w:eastAsiaTheme="minorEastAsia" w:cstheme="minorEastAsia"/>
                <w:color w:val="auto"/>
                <w:spacing w:val="1"/>
                <w:sz w:val="21"/>
                <w:szCs w:val="21"/>
                <w:highlight w:val="none"/>
                <w:lang w:eastAsia="zh-CN"/>
              </w:rPr>
              <w:t>（</w:t>
            </w:r>
            <w:r>
              <w:rPr>
                <w:rFonts w:hint="eastAsia" w:asciiTheme="minorEastAsia" w:hAnsiTheme="minorEastAsia" w:eastAsiaTheme="minorEastAsia" w:cstheme="minorEastAsia"/>
                <w:color w:val="auto"/>
                <w:spacing w:val="1"/>
                <w:sz w:val="21"/>
                <w:szCs w:val="21"/>
                <w:highlight w:val="none"/>
              </w:rPr>
              <w:t>大写</w:t>
            </w:r>
            <w:r>
              <w:rPr>
                <w:rFonts w:hint="eastAsia" w:asciiTheme="minorEastAsia" w:hAnsiTheme="minorEastAsia" w:eastAsiaTheme="minorEastAsia" w:cstheme="minorEastAsia"/>
                <w:color w:val="auto"/>
                <w:spacing w:val="1"/>
                <w:sz w:val="21"/>
                <w:szCs w:val="21"/>
                <w:highlight w:val="none"/>
                <w:u w:val="single" w:color="auto"/>
                <w:lang w:eastAsia="zh-CN"/>
              </w:rPr>
              <w:t>）</w:t>
            </w:r>
            <w:r>
              <w:rPr>
                <w:rFonts w:hint="eastAsia" w:asciiTheme="minorEastAsia" w:hAnsiTheme="minorEastAsia" w:eastAsiaTheme="minorEastAsia" w:cstheme="minorEastAsia"/>
                <w:color w:val="auto"/>
                <w:spacing w:val="28"/>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小写</w:t>
            </w:r>
            <w:r>
              <w:rPr>
                <w:rFonts w:hint="eastAsia" w:asciiTheme="minorEastAsia" w:hAnsiTheme="minorEastAsia" w:eastAsiaTheme="minorEastAsia" w:cstheme="minorEastAsia"/>
                <w:color w:val="auto"/>
                <w:spacing w:val="11"/>
                <w:sz w:val="21"/>
                <w:szCs w:val="21"/>
                <w:highlight w:val="none"/>
                <w:u w:val="single" w:color="auto"/>
              </w:rPr>
              <w:t xml:space="preserve">        </w:t>
            </w:r>
            <w:r>
              <w:rPr>
                <w:rFonts w:hint="eastAsia" w:asciiTheme="minorEastAsia" w:hAnsiTheme="minorEastAsia" w:eastAsiaTheme="minorEastAsia" w:cstheme="minorEastAsia"/>
                <w:color w:val="auto"/>
                <w:spacing w:val="-98"/>
                <w:sz w:val="21"/>
                <w:szCs w:val="21"/>
                <w:highlight w:val="none"/>
              </w:rPr>
              <w:t xml:space="preserve"> </w:t>
            </w:r>
            <w:r>
              <w:rPr>
                <w:rFonts w:hint="eastAsia" w:asciiTheme="minorEastAsia" w:hAnsiTheme="minorEastAsia" w:eastAsiaTheme="minorEastAsia" w:cstheme="minorEastAsia"/>
                <w:color w:val="auto"/>
                <w:sz w:val="21"/>
                <w:szCs w:val="21"/>
                <w:highlight w:val="none"/>
                <w:lang w:eastAsia="zh-CN"/>
              </w:rPr>
              <w:t>），</w:t>
            </w:r>
          </w:p>
          <w:p w14:paraId="5802D5EA">
            <w:pPr>
              <w:pStyle w:val="37"/>
              <w:spacing w:before="67" w:line="216" w:lineRule="auto"/>
              <w:ind w:left="115"/>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扣除前期支付以及质量</w:t>
            </w:r>
            <w:r>
              <w:rPr>
                <w:rFonts w:hint="eastAsia" w:asciiTheme="minorEastAsia" w:hAnsiTheme="minorEastAsia" w:eastAsiaTheme="minorEastAsia" w:cstheme="minorEastAsia"/>
                <w:color w:val="auto"/>
                <w:spacing w:val="2"/>
                <w:sz w:val="21"/>
                <w:szCs w:val="21"/>
                <w:highlight w:val="none"/>
              </w:rPr>
              <w:t>保证金后应支付金额为</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大写</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u w:val="single"/>
                <w:lang w:val="en-US" w:eastAsia="zh-CN"/>
              </w:rPr>
              <w:t xml:space="preserve">       </w:t>
            </w:r>
            <w:r>
              <w:rPr>
                <w:rFonts w:hint="eastAsia" w:asciiTheme="minorEastAsia" w:hAnsiTheme="minorEastAsia" w:eastAsiaTheme="minorEastAsia" w:cstheme="minorEastAsia"/>
                <w:color w:val="auto"/>
                <w:spacing w:val="-39"/>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pacing w:val="8"/>
                <w:sz w:val="21"/>
                <w:szCs w:val="21"/>
                <w:highlight w:val="none"/>
                <w:u w:val="single" w:color="auto"/>
              </w:rPr>
              <w:t xml:space="preserve">           </w:t>
            </w:r>
            <w:r>
              <w:rPr>
                <w:rFonts w:hint="eastAsia" w:asciiTheme="minorEastAsia" w:hAnsiTheme="minorEastAsia" w:eastAsiaTheme="minorEastAsia" w:cstheme="minorEastAsia"/>
                <w:color w:val="auto"/>
                <w:spacing w:val="7"/>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4"/>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小</w:t>
            </w:r>
            <w:r>
              <w:rPr>
                <w:rFonts w:hint="eastAsia" w:asciiTheme="minorEastAsia" w:hAnsiTheme="minorEastAsia" w:eastAsiaTheme="minorEastAsia" w:cstheme="minorEastAsia"/>
                <w:color w:val="auto"/>
                <w:spacing w:val="2"/>
                <w:sz w:val="21"/>
                <w:szCs w:val="21"/>
                <w:highlight w:val="none"/>
              </w:rPr>
              <w:t xml:space="preserve"> </w:t>
            </w:r>
            <w:r>
              <w:rPr>
                <w:rFonts w:hint="eastAsia" w:asciiTheme="minorEastAsia" w:hAnsiTheme="minorEastAsia" w:eastAsiaTheme="minorEastAsia" w:cstheme="minorEastAsia"/>
                <w:color w:val="auto"/>
                <w:spacing w:val="-18"/>
                <w:sz w:val="21"/>
                <w:szCs w:val="21"/>
                <w:highlight w:val="none"/>
              </w:rPr>
              <w:t>写</w:t>
            </w:r>
            <w:r>
              <w:rPr>
                <w:rFonts w:hint="eastAsia" w:asciiTheme="minorEastAsia" w:hAnsiTheme="minorEastAsia" w:eastAsiaTheme="minorEastAsia" w:cstheme="minorEastAsia"/>
                <w:color w:val="auto"/>
                <w:spacing w:val="3"/>
                <w:sz w:val="21"/>
                <w:szCs w:val="21"/>
                <w:highlight w:val="none"/>
                <w:u w:val="single" w:color="auto"/>
              </w:rPr>
              <w:t xml:space="preserve">                   </w:t>
            </w:r>
            <w:r>
              <w:rPr>
                <w:rFonts w:hint="eastAsia" w:asciiTheme="minorEastAsia" w:hAnsiTheme="minorEastAsia" w:eastAsiaTheme="minorEastAsia" w:cstheme="minorEastAsia"/>
                <w:color w:val="auto"/>
                <w:spacing w:val="-18"/>
                <w:sz w:val="21"/>
                <w:szCs w:val="21"/>
                <w:highlight w:val="none"/>
                <w:lang w:eastAsia="zh-CN"/>
              </w:rPr>
              <w:t>）</w:t>
            </w:r>
            <w:r>
              <w:rPr>
                <w:rFonts w:hint="eastAsia" w:asciiTheme="minorEastAsia" w:hAnsiTheme="minorEastAsia" w:eastAsiaTheme="minorEastAsia" w:cstheme="minorEastAsia"/>
                <w:color w:val="auto"/>
                <w:spacing w:val="-18"/>
                <w:sz w:val="21"/>
                <w:szCs w:val="21"/>
                <w:highlight w:val="none"/>
              </w:rPr>
              <w:t>。</w:t>
            </w:r>
          </w:p>
          <w:p w14:paraId="3D8FF5AD">
            <w:pPr>
              <w:spacing w:line="360" w:lineRule="exact"/>
              <w:ind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造价工程师</w:t>
            </w:r>
            <w:r>
              <w:rPr>
                <w:rFonts w:hint="eastAsia" w:asciiTheme="minorEastAsia" w:hAnsiTheme="minorEastAsia" w:eastAsiaTheme="minorEastAsia" w:cstheme="minorEastAsia"/>
                <w:color w:val="auto"/>
                <w:sz w:val="21"/>
                <w:szCs w:val="21"/>
                <w:highlight w:val="none"/>
                <w:u w:val="single"/>
              </w:rPr>
              <w:t xml:space="preserve">           </w:t>
            </w:r>
          </w:p>
          <w:p w14:paraId="6E0D6295">
            <w:pPr>
              <w:pStyle w:val="37"/>
              <w:spacing w:before="69" w:line="227" w:lineRule="auto"/>
              <w:ind w:left="2792" w:hanging="1387"/>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2"/>
                <w:sz w:val="21"/>
                <w:szCs w:val="21"/>
                <w:highlight w:val="none"/>
                <w:lang w:val="en-US" w:eastAsia="zh-CN" w:bidi="ar-SA"/>
              </w:rPr>
              <w:t xml:space="preserve">     日     期</w:t>
            </w:r>
            <w:r>
              <w:rPr>
                <w:rFonts w:hint="eastAsia" w:asciiTheme="minorEastAsia" w:hAnsiTheme="minorEastAsia" w:eastAsiaTheme="minorEastAsia" w:cstheme="minorEastAsia"/>
                <w:color w:val="auto"/>
                <w:kern w:val="2"/>
                <w:sz w:val="21"/>
                <w:szCs w:val="21"/>
                <w:highlight w:val="none"/>
                <w:u w:val="single"/>
                <w:lang w:val="en-US" w:eastAsia="zh-CN" w:bidi="ar-SA"/>
              </w:rPr>
              <w:t xml:space="preserve">          </w:t>
            </w:r>
          </w:p>
        </w:tc>
      </w:tr>
      <w:tr w14:paraId="6C53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28" w:hRule="atLeast"/>
          <w:jc w:val="center"/>
        </w:trPr>
        <w:tc>
          <w:tcPr>
            <w:tcW w:w="9229" w:type="dxa"/>
            <w:gridSpan w:val="2"/>
            <w:noWrap w:val="0"/>
            <w:vAlign w:val="top"/>
          </w:tcPr>
          <w:p w14:paraId="62D2B4CC">
            <w:pPr>
              <w:pStyle w:val="37"/>
              <w:spacing w:before="264" w:line="257" w:lineRule="auto"/>
              <w:ind w:left="14" w:right="8058" w:firstLine="99"/>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审核意见：</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4"/>
                <w:sz w:val="21"/>
                <w:szCs w:val="21"/>
                <w:highlight w:val="none"/>
              </w:rPr>
              <w:t>口</w:t>
            </w:r>
            <w:r>
              <w:rPr>
                <w:rFonts w:hint="eastAsia" w:asciiTheme="minorEastAsia" w:hAnsiTheme="minorEastAsia" w:eastAsiaTheme="minorEastAsia" w:cstheme="minorEastAsia"/>
                <w:color w:val="auto"/>
                <w:spacing w:val="4"/>
                <w:sz w:val="21"/>
                <w:szCs w:val="21"/>
                <w:highlight w:val="none"/>
                <w:lang w:eastAsia="zh-CN"/>
              </w:rPr>
              <w:t>不同意</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4"/>
                <w:sz w:val="21"/>
                <w:szCs w:val="21"/>
                <w:highlight w:val="none"/>
              </w:rPr>
              <w:t>口同意</w:t>
            </w:r>
          </w:p>
          <w:p w14:paraId="7C6E483E">
            <w:pPr>
              <w:pStyle w:val="37"/>
              <w:spacing w:before="68" w:line="219" w:lineRule="auto"/>
              <w:ind w:left="0" w:firstLine="6379" w:firstLineChars="2848"/>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pacing w:val="7"/>
                <w:sz w:val="21"/>
                <w:szCs w:val="21"/>
                <w:highlight w:val="none"/>
              </w:rPr>
              <w:t>发包人</w:t>
            </w:r>
            <w:r>
              <w:rPr>
                <w:rFonts w:hint="eastAsia" w:asciiTheme="minorEastAsia" w:hAnsiTheme="minorEastAsia" w:eastAsiaTheme="minorEastAsia" w:cstheme="minorEastAsia"/>
                <w:color w:val="auto"/>
                <w:spacing w:val="7"/>
                <w:sz w:val="21"/>
                <w:szCs w:val="21"/>
                <w:highlight w:val="none"/>
                <w:lang w:eastAsia="zh-CN"/>
              </w:rPr>
              <w:t>（</w:t>
            </w:r>
            <w:r>
              <w:rPr>
                <w:rFonts w:hint="eastAsia" w:asciiTheme="minorEastAsia" w:hAnsiTheme="minorEastAsia" w:eastAsiaTheme="minorEastAsia" w:cstheme="minorEastAsia"/>
                <w:color w:val="auto"/>
                <w:spacing w:val="7"/>
                <w:sz w:val="21"/>
                <w:szCs w:val="21"/>
                <w:highlight w:val="none"/>
              </w:rPr>
              <w:t>章</w:t>
            </w:r>
            <w:r>
              <w:rPr>
                <w:rFonts w:hint="eastAsia" w:asciiTheme="minorEastAsia" w:hAnsiTheme="minorEastAsia" w:eastAsiaTheme="minorEastAsia" w:cstheme="minorEastAsia"/>
                <w:color w:val="auto"/>
                <w:spacing w:val="7"/>
                <w:sz w:val="21"/>
                <w:szCs w:val="21"/>
                <w:highlight w:val="none"/>
                <w:lang w:eastAsia="zh-CN"/>
              </w:rPr>
              <w:t>）</w:t>
            </w:r>
          </w:p>
          <w:p w14:paraId="252CB9E0">
            <w:pPr>
              <w:wordWrap w:val="0"/>
              <w:spacing w:line="400" w:lineRule="exact"/>
              <w:ind w:firstLine="420" w:firstLineChars="200"/>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pacing w:val="7"/>
                <w:kern w:val="2"/>
                <w:sz w:val="21"/>
                <w:szCs w:val="21"/>
                <w:highlight w:val="none"/>
                <w:lang w:val="en-US" w:eastAsia="en-US" w:bidi="ar-SA"/>
              </w:rPr>
              <w:t>发包人代表</w:t>
            </w:r>
            <w:r>
              <w:rPr>
                <w:rFonts w:hint="eastAsia" w:asciiTheme="minorEastAsia" w:hAnsiTheme="minorEastAsia" w:eastAsiaTheme="minorEastAsia" w:cstheme="minorEastAsia"/>
                <w:color w:val="auto"/>
                <w:sz w:val="21"/>
                <w:szCs w:val="21"/>
                <w:highlight w:val="none"/>
                <w:u w:val="single"/>
              </w:rPr>
              <w:t xml:space="preserve">          </w:t>
            </w:r>
          </w:p>
          <w:p w14:paraId="22FC4BF4">
            <w:pPr>
              <w:pStyle w:val="37"/>
              <w:spacing w:before="51" w:line="243" w:lineRule="auto"/>
              <w:ind w:left="0" w:firstLine="5700" w:firstLineChars="25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9"/>
                <w:sz w:val="21"/>
                <w:szCs w:val="21"/>
                <w:highlight w:val="none"/>
                <w:u w:val="single" w:color="auto"/>
              </w:rPr>
              <w:t xml:space="preserve">         </w:t>
            </w: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pacing w:val="-15"/>
                <w:sz w:val="21"/>
                <w:szCs w:val="21"/>
                <w:highlight w:val="none"/>
                <w:u w:val="single" w:color="auto"/>
              </w:rPr>
              <w:t>日期</w:t>
            </w:r>
            <w:r>
              <w:rPr>
                <w:rFonts w:hint="eastAsia" w:asciiTheme="minorEastAsia" w:hAnsiTheme="minorEastAsia" w:eastAsiaTheme="minorEastAsia" w:cstheme="minorEastAsia"/>
                <w:color w:val="auto"/>
                <w:spacing w:val="-21"/>
                <w:sz w:val="21"/>
                <w:szCs w:val="21"/>
                <w:highlight w:val="none"/>
                <w:u w:val="single" w:color="auto"/>
              </w:rPr>
              <w:t xml:space="preserve"> </w:t>
            </w:r>
            <w:r>
              <w:rPr>
                <w:rFonts w:hint="eastAsia" w:asciiTheme="minorEastAsia" w:hAnsiTheme="minorEastAsia" w:eastAsiaTheme="minorEastAsia" w:cstheme="minorEastAsia"/>
                <w:color w:val="auto"/>
                <w:spacing w:val="-10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color="auto"/>
              </w:rPr>
              <w:t xml:space="preserve">            </w:t>
            </w:r>
          </w:p>
        </w:tc>
      </w:tr>
    </w:tbl>
    <w:p w14:paraId="2786D417">
      <w:pPr>
        <w:pStyle w:val="9"/>
        <w:spacing w:before="153" w:line="200" w:lineRule="exact"/>
        <w:ind w:left="424"/>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3"/>
          <w:sz w:val="21"/>
          <w:szCs w:val="21"/>
          <w:highlight w:val="none"/>
        </w:rPr>
        <w:t>注：1</w:t>
      </w:r>
      <w:r>
        <w:rPr>
          <w:rFonts w:hint="eastAsia" w:asciiTheme="minorEastAsia" w:hAnsiTheme="minorEastAsia" w:eastAsiaTheme="minorEastAsia" w:cstheme="minorEastAsia"/>
          <w:color w:val="auto"/>
          <w:spacing w:val="70"/>
          <w:sz w:val="21"/>
          <w:szCs w:val="21"/>
          <w:highlight w:val="none"/>
          <w:lang w:val="en-US" w:eastAsia="zh-CN"/>
        </w:rPr>
        <w:t>.</w:t>
      </w:r>
      <w:r>
        <w:rPr>
          <w:rFonts w:hint="eastAsia" w:asciiTheme="minorEastAsia" w:hAnsiTheme="minorEastAsia" w:eastAsiaTheme="minorEastAsia" w:cstheme="minorEastAsia"/>
          <w:color w:val="auto"/>
          <w:spacing w:val="-13"/>
          <w:sz w:val="21"/>
          <w:szCs w:val="21"/>
          <w:highlight w:val="none"/>
        </w:rPr>
        <w:t>应在选择栏中的</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13"/>
          <w:sz w:val="21"/>
          <w:szCs w:val="21"/>
          <w:highlight w:val="none"/>
        </w:rPr>
        <w:t>内作标识</w:t>
      </w:r>
      <w:r>
        <w:rPr>
          <w:rFonts w:hint="eastAsia" w:asciiTheme="minorEastAsia" w:hAnsiTheme="minorEastAsia" w:eastAsiaTheme="minorEastAsia" w:cstheme="minorEastAsia"/>
          <w:color w:val="auto"/>
          <w:spacing w:val="-13"/>
          <w:sz w:val="21"/>
          <w:szCs w:val="21"/>
          <w:highlight w:val="none"/>
          <w:lang w:eastAsia="zh-CN"/>
        </w:rPr>
        <w:t>“</w:t>
      </w:r>
      <w:r>
        <w:rPr>
          <w:rFonts w:hint="eastAsia" w:asciiTheme="minorEastAsia" w:hAnsiTheme="minorEastAsia" w:eastAsiaTheme="minorEastAsia" w:cstheme="minorEastAsia"/>
          <w:color w:val="auto"/>
          <w:spacing w:val="-70"/>
          <w:sz w:val="21"/>
          <w:szCs w:val="21"/>
          <w:highlight w:val="none"/>
        </w:rPr>
        <w:t xml:space="preserve"> </w:t>
      </w:r>
      <w:r>
        <w:rPr>
          <w:rFonts w:hint="eastAsia" w:asciiTheme="minorEastAsia" w:hAnsiTheme="minorEastAsia" w:eastAsiaTheme="minorEastAsia" w:cstheme="minorEastAsia"/>
          <w:color w:val="auto"/>
          <w:spacing w:val="-13"/>
          <w:sz w:val="21"/>
          <w:szCs w:val="21"/>
          <w:highlight w:val="none"/>
        </w:rPr>
        <w:t>√</w:t>
      </w:r>
      <w:r>
        <w:rPr>
          <w:rFonts w:hint="eastAsia" w:asciiTheme="minorEastAsia" w:hAnsiTheme="minorEastAsia" w:eastAsiaTheme="minorEastAsia" w:cstheme="minorEastAsia"/>
          <w:color w:val="auto"/>
          <w:spacing w:val="-13"/>
          <w:sz w:val="21"/>
          <w:szCs w:val="21"/>
          <w:highlight w:val="none"/>
          <w:lang w:eastAsia="zh-CN"/>
        </w:rPr>
        <w:t>”；</w:t>
      </w:r>
    </w:p>
    <w:p w14:paraId="728FCA2B">
      <w:pPr>
        <w:spacing w:line="200" w:lineRule="exact"/>
        <w:ind w:firstLine="412" w:firstLineChars="200"/>
        <w:jc w:val="both"/>
        <w:outlineLvl w:val="9"/>
        <w:rPr>
          <w:rFonts w:hint="eastAsia" w:asciiTheme="minorEastAsia" w:hAnsiTheme="minorEastAsia" w:eastAsiaTheme="minorEastAsia" w:cstheme="minorEastAsia"/>
          <w:color w:val="auto"/>
          <w:spacing w:val="-3"/>
          <w:sz w:val="21"/>
          <w:szCs w:val="21"/>
          <w:highlight w:val="none"/>
          <w:lang w:eastAsia="zh-CN"/>
        </w:rPr>
      </w:pPr>
      <w:r>
        <w:rPr>
          <w:rFonts w:hint="eastAsia" w:asciiTheme="minorEastAsia" w:hAnsiTheme="minorEastAsia" w:eastAsiaTheme="minorEastAsia" w:cstheme="minorEastAsia"/>
          <w:color w:val="auto"/>
          <w:spacing w:val="-2"/>
          <w:sz w:val="21"/>
          <w:szCs w:val="21"/>
          <w:highlight w:val="none"/>
        </w:rPr>
        <w:t>2</w:t>
      </w:r>
      <w:r>
        <w:rPr>
          <w:rFonts w:hint="eastAsia" w:asciiTheme="minorEastAsia" w:hAnsiTheme="minorEastAsia" w:eastAsiaTheme="minorEastAsia" w:cstheme="minorEastAsia"/>
          <w:color w:val="auto"/>
          <w:spacing w:val="-2"/>
          <w:sz w:val="21"/>
          <w:szCs w:val="21"/>
          <w:highlight w:val="none"/>
          <w:lang w:val="en-US" w:eastAsia="zh-CN"/>
        </w:rPr>
        <w:t>.</w:t>
      </w:r>
      <w:r>
        <w:rPr>
          <w:rFonts w:hint="eastAsia" w:asciiTheme="minorEastAsia" w:hAnsiTheme="minorEastAsia" w:eastAsiaTheme="minorEastAsia" w:cstheme="minorEastAsia"/>
          <w:color w:val="auto"/>
          <w:spacing w:val="-2"/>
          <w:sz w:val="21"/>
          <w:szCs w:val="21"/>
          <w:highlight w:val="none"/>
        </w:rPr>
        <w:t>本表应一式四份</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由承包人填报</w:t>
      </w:r>
      <w:r>
        <w:rPr>
          <w:rFonts w:hint="eastAsia" w:asciiTheme="minorEastAsia" w:hAnsiTheme="minorEastAsia" w:eastAsiaTheme="minorEastAsia" w:cstheme="minorEastAsia"/>
          <w:color w:val="auto"/>
          <w:spacing w:val="-2"/>
          <w:sz w:val="21"/>
          <w:szCs w:val="21"/>
          <w:highlight w:val="none"/>
          <w:lang w:eastAsia="zh-CN"/>
        </w:rPr>
        <w:t>，</w:t>
      </w:r>
      <w:r>
        <w:rPr>
          <w:rFonts w:hint="eastAsia" w:asciiTheme="minorEastAsia" w:hAnsiTheme="minorEastAsia" w:eastAsiaTheme="minorEastAsia" w:cstheme="minorEastAsia"/>
          <w:color w:val="auto"/>
          <w:spacing w:val="-2"/>
          <w:sz w:val="21"/>
          <w:szCs w:val="21"/>
          <w:highlight w:val="none"/>
        </w:rPr>
        <w:t>发包人、监理人、工程</w:t>
      </w:r>
      <w:r>
        <w:rPr>
          <w:rFonts w:hint="eastAsia" w:asciiTheme="minorEastAsia" w:hAnsiTheme="minorEastAsia" w:eastAsiaTheme="minorEastAsia" w:cstheme="minorEastAsia"/>
          <w:color w:val="auto"/>
          <w:spacing w:val="-3"/>
          <w:sz w:val="21"/>
          <w:szCs w:val="21"/>
          <w:highlight w:val="none"/>
        </w:rPr>
        <w:t>造价咨询人、承包人各存一份</w:t>
      </w:r>
      <w:r>
        <w:rPr>
          <w:rFonts w:hint="eastAsia" w:asciiTheme="minorEastAsia" w:hAnsiTheme="minorEastAsia" w:eastAsiaTheme="minorEastAsia" w:cstheme="minorEastAsia"/>
          <w:color w:val="auto"/>
          <w:spacing w:val="-3"/>
          <w:sz w:val="21"/>
          <w:szCs w:val="21"/>
          <w:highlight w:val="none"/>
          <w:lang w:eastAsia="zh-CN"/>
        </w:rPr>
        <w:t>。</w:t>
      </w:r>
    </w:p>
    <w:p w14:paraId="31392DB5">
      <w:pPr>
        <w:pStyle w:val="18"/>
        <w:rPr>
          <w:rFonts w:hint="eastAsia" w:asciiTheme="minorEastAsia" w:hAnsiTheme="minorEastAsia" w:eastAsiaTheme="minorEastAsia" w:cstheme="minorEastAsia"/>
          <w:color w:val="auto"/>
          <w:sz w:val="21"/>
          <w:szCs w:val="21"/>
          <w:highlight w:val="none"/>
        </w:rPr>
      </w:pPr>
    </w:p>
    <w:p w14:paraId="6CA13F55">
      <w:pPr>
        <w:jc w:val="left"/>
        <w:rPr>
          <w:rFonts w:hint="eastAsia" w:ascii="仿宋_GB2312" w:eastAsia="仿宋_GB2312" w:cs="仿宋_GB2312"/>
          <w:color w:val="auto"/>
          <w:sz w:val="30"/>
          <w:szCs w:val="30"/>
          <w:highlight w:val="none"/>
        </w:rPr>
      </w:pPr>
    </w:p>
    <w:p w14:paraId="54CBCB7C">
      <w:pPr>
        <w:jc w:val="left"/>
        <w:rPr>
          <w:rFonts w:hint="eastAsia" w:ascii="仿宋_GB2312" w:eastAsia="仿宋_GB2312" w:cs="仿宋_GB2312"/>
          <w:color w:val="auto"/>
          <w:sz w:val="30"/>
          <w:szCs w:val="30"/>
          <w:highlight w:val="none"/>
        </w:rPr>
      </w:pPr>
    </w:p>
    <w:p w14:paraId="1CE4F0B9">
      <w:pPr>
        <w:jc w:val="left"/>
        <w:rPr>
          <w:rFonts w:hint="eastAsia" w:asciiTheme="majorEastAsia" w:hAnsiTheme="majorEastAsia" w:eastAsiaTheme="majorEastAsia" w:cstheme="majorEastAsia"/>
          <w:b/>
          <w:color w:val="auto"/>
          <w:sz w:val="32"/>
          <w:szCs w:val="32"/>
          <w:highlight w:val="none"/>
        </w:rPr>
      </w:pPr>
      <w:r>
        <w:rPr>
          <w:rFonts w:hint="eastAsia" w:asciiTheme="majorEastAsia" w:hAnsiTheme="majorEastAsia" w:eastAsiaTheme="majorEastAsia" w:cstheme="majorEastAsia"/>
          <w:color w:val="auto"/>
          <w:sz w:val="32"/>
          <w:szCs w:val="32"/>
          <w:highlight w:val="none"/>
        </w:rPr>
        <w:t>附件</w:t>
      </w:r>
      <w:r>
        <w:rPr>
          <w:rFonts w:hint="eastAsia" w:asciiTheme="majorEastAsia" w:hAnsiTheme="majorEastAsia" w:eastAsiaTheme="majorEastAsia" w:cstheme="majorEastAsia"/>
          <w:color w:val="auto"/>
          <w:sz w:val="32"/>
          <w:szCs w:val="32"/>
          <w:highlight w:val="none"/>
          <w:lang w:val="en-US" w:eastAsia="zh-CN"/>
        </w:rPr>
        <w:t>8</w:t>
      </w:r>
      <w:r>
        <w:rPr>
          <w:rFonts w:hint="eastAsia" w:asciiTheme="majorEastAsia" w:hAnsiTheme="majorEastAsia" w:eastAsiaTheme="majorEastAsia" w:cstheme="majorEastAsia"/>
          <w:color w:val="auto"/>
          <w:sz w:val="32"/>
          <w:szCs w:val="32"/>
          <w:highlight w:val="none"/>
        </w:rPr>
        <w:t>：工程保修与结清结算支付申请（核准）表</w:t>
      </w:r>
    </w:p>
    <w:p w14:paraId="1C93763A">
      <w:pPr>
        <w:wordWrap w:val="0"/>
        <w:spacing w:before="0" w:after="0"/>
        <w:jc w:val="center"/>
        <w:outlineLvl w:val="1"/>
        <w:rPr>
          <w:rFonts w:hint="eastAsia" w:asciiTheme="majorEastAsia" w:hAnsiTheme="majorEastAsia" w:eastAsiaTheme="majorEastAsia" w:cstheme="majorEastAsia"/>
          <w:b/>
          <w:color w:val="auto"/>
          <w:sz w:val="32"/>
          <w:szCs w:val="32"/>
          <w:highlight w:val="none"/>
          <w:lang w:val="en"/>
        </w:rPr>
      </w:pPr>
      <w:r>
        <w:rPr>
          <w:rFonts w:hint="eastAsia" w:asciiTheme="majorEastAsia" w:hAnsiTheme="majorEastAsia" w:eastAsiaTheme="majorEastAsia" w:cstheme="majorEastAsia"/>
          <w:b/>
          <w:bCs w:val="0"/>
          <w:color w:val="auto"/>
          <w:kern w:val="2"/>
          <w:sz w:val="32"/>
          <w:szCs w:val="32"/>
          <w:highlight w:val="none"/>
          <w:lang w:val="en"/>
        </w:rPr>
        <w:t>工程保修与结清结算支付申请</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核准</w:t>
      </w:r>
      <w:r>
        <w:rPr>
          <w:rFonts w:hint="eastAsia" w:asciiTheme="majorEastAsia" w:hAnsiTheme="majorEastAsia" w:eastAsiaTheme="majorEastAsia" w:cstheme="majorEastAsia"/>
          <w:b/>
          <w:bCs w:val="0"/>
          <w:color w:val="auto"/>
          <w:kern w:val="2"/>
          <w:sz w:val="32"/>
          <w:szCs w:val="32"/>
          <w:highlight w:val="none"/>
          <w:lang w:val="en" w:eastAsia="zh-CN"/>
        </w:rPr>
        <w:t>）</w:t>
      </w:r>
      <w:r>
        <w:rPr>
          <w:rFonts w:hint="eastAsia" w:asciiTheme="majorEastAsia" w:hAnsiTheme="majorEastAsia" w:eastAsiaTheme="majorEastAsia" w:cstheme="majorEastAsia"/>
          <w:b/>
          <w:bCs w:val="0"/>
          <w:color w:val="auto"/>
          <w:kern w:val="2"/>
          <w:sz w:val="32"/>
          <w:szCs w:val="32"/>
          <w:highlight w:val="none"/>
          <w:lang w:val="en"/>
        </w:rPr>
        <w:t>表</w:t>
      </w:r>
    </w:p>
    <w:p w14:paraId="163B63FF">
      <w:pP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w:t>
      </w:r>
      <w:r>
        <w:rPr>
          <w:rFonts w:hint="eastAsia" w:asciiTheme="minorEastAsia" w:hAnsiTheme="minorEastAsia" w:eastAsiaTheme="minorEastAsia" w:cstheme="minorEastAsia"/>
          <w:color w:val="auto"/>
          <w:spacing w:val="-3"/>
          <w:kern w:val="0"/>
          <w:sz w:val="21"/>
          <w:szCs w:val="21"/>
          <w:highlight w:val="none"/>
        </w:rPr>
        <w:t>名</w:t>
      </w:r>
      <w:r>
        <w:rPr>
          <w:rFonts w:hint="eastAsia" w:asciiTheme="minorEastAsia" w:hAnsiTheme="minorEastAsia" w:eastAsiaTheme="minorEastAsia" w:cstheme="minorEastAsia"/>
          <w:color w:val="auto"/>
          <w:kern w:val="0"/>
          <w:sz w:val="21"/>
          <w:szCs w:val="21"/>
          <w:highlight w:val="none"/>
        </w:rPr>
        <w:t>称：</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标</w:t>
      </w:r>
      <w:r>
        <w:rPr>
          <w:rFonts w:hint="eastAsia" w:asciiTheme="minorEastAsia" w:hAnsiTheme="minorEastAsia" w:eastAsiaTheme="minorEastAsia" w:cstheme="minorEastAsia"/>
          <w:color w:val="auto"/>
          <w:spacing w:val="-3"/>
          <w:kern w:val="0"/>
          <w:sz w:val="21"/>
          <w:szCs w:val="21"/>
          <w:highlight w:val="none"/>
        </w:rPr>
        <w:t>段</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kern w:val="0"/>
          <w:sz w:val="21"/>
          <w:szCs w:val="21"/>
          <w:highlight w:val="none"/>
        </w:rPr>
        <w:tab/>
      </w:r>
      <w:r>
        <w:rPr>
          <w:rFonts w:hint="eastAsia" w:asciiTheme="minorEastAsia" w:hAnsiTheme="minorEastAsia" w:eastAsiaTheme="minorEastAsia" w:cstheme="minorEastAsia"/>
          <w:color w:val="auto"/>
          <w:spacing w:val="-3"/>
          <w:kern w:val="0"/>
          <w:sz w:val="21"/>
          <w:szCs w:val="21"/>
          <w:highlight w:val="none"/>
        </w:rPr>
        <w:t>编</w:t>
      </w:r>
      <w:r>
        <w:rPr>
          <w:rFonts w:hint="eastAsia" w:asciiTheme="minorEastAsia" w:hAnsiTheme="minorEastAsia" w:eastAsiaTheme="minorEastAsia" w:cstheme="minorEastAsia"/>
          <w:color w:val="auto"/>
          <w:kern w:val="0"/>
          <w:sz w:val="21"/>
          <w:szCs w:val="21"/>
          <w:highlight w:val="none"/>
        </w:rPr>
        <w:t>号：</w:t>
      </w:r>
    </w:p>
    <w:p w14:paraId="5C3AD02C">
      <w:pPr>
        <w:spacing w:before="9" w:line="4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p>
    <w:tbl>
      <w:tblPr>
        <w:tblStyle w:val="20"/>
        <w:tblW w:w="9602" w:type="dxa"/>
        <w:jc w:val="center"/>
        <w:tblLayout w:type="fixed"/>
        <w:tblCellMar>
          <w:top w:w="0" w:type="dxa"/>
          <w:left w:w="0" w:type="dxa"/>
          <w:bottom w:w="0" w:type="dxa"/>
          <w:right w:w="0" w:type="dxa"/>
        </w:tblCellMar>
      </w:tblPr>
      <w:tblGrid>
        <w:gridCol w:w="2524"/>
        <w:gridCol w:w="2414"/>
        <w:gridCol w:w="983"/>
        <w:gridCol w:w="3681"/>
      </w:tblGrid>
      <w:tr w14:paraId="440250D1">
        <w:tblPrEx>
          <w:tblCellMar>
            <w:top w:w="0" w:type="dxa"/>
            <w:left w:w="0" w:type="dxa"/>
            <w:bottom w:w="0" w:type="dxa"/>
            <w:right w:w="0" w:type="dxa"/>
          </w:tblCellMar>
        </w:tblPrEx>
        <w:trPr>
          <w:trHeight w:val="401" w:hRule="atLeast"/>
          <w:jc w:val="center"/>
        </w:trPr>
        <w:tc>
          <w:tcPr>
            <w:tcW w:w="9602" w:type="dxa"/>
            <w:gridSpan w:val="4"/>
            <w:tcBorders>
              <w:top w:val="single" w:color="000000" w:sz="4" w:space="0"/>
              <w:left w:val="single" w:color="000000" w:sz="4" w:space="0"/>
              <w:bottom w:val="nil"/>
              <w:right w:val="single" w:color="000000" w:sz="4" w:space="0"/>
            </w:tcBorders>
            <w:noWrap w:val="0"/>
            <w:vAlign w:val="top"/>
          </w:tcPr>
          <w:p w14:paraId="78503705">
            <w:pPr>
              <w:keepNext w:val="0"/>
              <w:keepLines w:val="0"/>
              <w:suppressLineNumbers w:val="0"/>
              <w:spacing w:before="54"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致：</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（发包人全称）</w:t>
            </w:r>
          </w:p>
        </w:tc>
      </w:tr>
      <w:tr w14:paraId="4F29AC2E">
        <w:tblPrEx>
          <w:tblCellMar>
            <w:top w:w="0" w:type="dxa"/>
            <w:left w:w="0" w:type="dxa"/>
            <w:bottom w:w="0" w:type="dxa"/>
            <w:right w:w="0" w:type="dxa"/>
          </w:tblCellMar>
        </w:tblPrEx>
        <w:trPr>
          <w:trHeight w:val="631" w:hRule="atLeast"/>
          <w:jc w:val="center"/>
        </w:trPr>
        <w:tc>
          <w:tcPr>
            <w:tcW w:w="9602" w:type="dxa"/>
            <w:gridSpan w:val="4"/>
            <w:tcBorders>
              <w:top w:val="nil"/>
              <w:left w:val="single" w:color="000000" w:sz="4" w:space="0"/>
              <w:bottom w:val="nil"/>
              <w:right w:val="single" w:color="000000" w:sz="4" w:space="0"/>
            </w:tcBorders>
            <w:noWrap w:val="0"/>
            <w:vAlign w:val="top"/>
          </w:tcPr>
          <w:p w14:paraId="57B2B5C8">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我方</w:t>
            </w:r>
            <w:r>
              <w:rPr>
                <w:rFonts w:hint="eastAsia" w:asciiTheme="minorEastAsia" w:hAnsiTheme="minorEastAsia" w:eastAsiaTheme="minorEastAsia" w:cstheme="minorEastAsia"/>
                <w:color w:val="auto"/>
                <w:spacing w:val="-1"/>
                <w:kern w:val="0"/>
                <w:sz w:val="21"/>
                <w:szCs w:val="21"/>
                <w:highlight w:val="none"/>
              </w:rPr>
              <w:t>于</w:t>
            </w:r>
            <w:r>
              <w:rPr>
                <w:rFonts w:hint="eastAsia" w:asciiTheme="minorEastAsia" w:hAnsiTheme="minorEastAsia" w:eastAsiaTheme="minorEastAsia" w:cstheme="minorEastAsia"/>
                <w:color w:val="auto"/>
                <w:spacing w:val="-1"/>
                <w:kern w:val="0"/>
                <w:sz w:val="21"/>
                <w:szCs w:val="21"/>
                <w:highlight w:val="none"/>
                <w:u w:val="single" w:color="000000"/>
              </w:rPr>
              <w:tab/>
            </w:r>
            <w:r>
              <w:rPr>
                <w:rFonts w:hint="eastAsia" w:asciiTheme="minorEastAsia" w:hAnsiTheme="minorEastAsia" w:eastAsiaTheme="minorEastAsia" w:cstheme="minorEastAsia"/>
                <w:color w:val="auto"/>
                <w:spacing w:val="-1"/>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至</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spacing w:val="2"/>
                <w:kern w:val="0"/>
                <w:sz w:val="21"/>
                <w:szCs w:val="21"/>
                <w:highlight w:val="none"/>
              </w:rPr>
              <w:t>期间</w:t>
            </w:r>
            <w:r>
              <w:rPr>
                <w:rFonts w:hint="eastAsia" w:asciiTheme="minorEastAsia" w:hAnsiTheme="minorEastAsia" w:eastAsiaTheme="minorEastAsia" w:cstheme="minorEastAsia"/>
                <w:color w:val="auto"/>
                <w:kern w:val="0"/>
                <w:sz w:val="21"/>
                <w:szCs w:val="21"/>
                <w:highlight w:val="none"/>
              </w:rPr>
              <w:t>已</w:t>
            </w:r>
            <w:r>
              <w:rPr>
                <w:rFonts w:hint="eastAsia" w:asciiTheme="minorEastAsia" w:hAnsiTheme="minorEastAsia" w:eastAsiaTheme="minorEastAsia" w:cstheme="minorEastAsia"/>
                <w:color w:val="auto"/>
                <w:spacing w:val="2"/>
                <w:kern w:val="0"/>
                <w:sz w:val="21"/>
                <w:szCs w:val="21"/>
                <w:highlight w:val="none"/>
              </w:rPr>
              <w:t>完</w:t>
            </w:r>
            <w:r>
              <w:rPr>
                <w:rFonts w:hint="eastAsia" w:asciiTheme="minorEastAsia" w:hAnsiTheme="minorEastAsia" w:eastAsiaTheme="minorEastAsia" w:cstheme="minorEastAsia"/>
                <w:color w:val="auto"/>
                <w:kern w:val="0"/>
                <w:sz w:val="21"/>
                <w:szCs w:val="21"/>
                <w:highlight w:val="none"/>
              </w:rPr>
              <w:t>成了缺陷修复</w:t>
            </w:r>
            <w:r>
              <w:rPr>
                <w:rFonts w:hint="eastAsia" w:asciiTheme="minorEastAsia" w:hAnsiTheme="minorEastAsia" w:eastAsiaTheme="minorEastAsia" w:cstheme="minorEastAsia"/>
                <w:color w:val="auto"/>
                <w:spacing w:val="2"/>
                <w:kern w:val="0"/>
                <w:sz w:val="21"/>
                <w:szCs w:val="21"/>
                <w:highlight w:val="none"/>
              </w:rPr>
              <w:t>工作</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根</w:t>
            </w:r>
            <w:r>
              <w:rPr>
                <w:rFonts w:hint="eastAsia" w:asciiTheme="minorEastAsia" w:hAnsiTheme="minorEastAsia" w:eastAsiaTheme="minorEastAsia" w:cstheme="minorEastAsia"/>
                <w:color w:val="auto"/>
                <w:kern w:val="0"/>
                <w:sz w:val="21"/>
                <w:szCs w:val="21"/>
                <w:highlight w:val="none"/>
              </w:rPr>
              <w:t>据</w:t>
            </w:r>
            <w:r>
              <w:rPr>
                <w:rFonts w:hint="eastAsia" w:asciiTheme="minorEastAsia" w:hAnsiTheme="minorEastAsia" w:eastAsiaTheme="minorEastAsia" w:cstheme="minorEastAsia"/>
                <w:color w:val="auto"/>
                <w:spacing w:val="2"/>
                <w:kern w:val="0"/>
                <w:sz w:val="21"/>
                <w:szCs w:val="21"/>
                <w:highlight w:val="none"/>
              </w:rPr>
              <w:t>施</w:t>
            </w:r>
            <w:r>
              <w:rPr>
                <w:rFonts w:hint="eastAsia" w:asciiTheme="minorEastAsia" w:hAnsiTheme="minorEastAsia" w:eastAsiaTheme="minorEastAsia" w:cstheme="minorEastAsia"/>
                <w:color w:val="auto"/>
                <w:kern w:val="0"/>
                <w:sz w:val="21"/>
                <w:szCs w:val="21"/>
                <w:highlight w:val="none"/>
              </w:rPr>
              <w:t>工</w:t>
            </w:r>
            <w:r>
              <w:rPr>
                <w:rFonts w:hint="eastAsia" w:asciiTheme="minorEastAsia" w:hAnsiTheme="minorEastAsia" w:eastAsiaTheme="minorEastAsia" w:cstheme="minorEastAsia"/>
                <w:color w:val="auto"/>
                <w:spacing w:val="2"/>
                <w:kern w:val="0"/>
                <w:sz w:val="21"/>
                <w:szCs w:val="21"/>
                <w:highlight w:val="none"/>
              </w:rPr>
              <w:t>合</w:t>
            </w:r>
            <w:r>
              <w:rPr>
                <w:rFonts w:hint="eastAsia" w:asciiTheme="minorEastAsia" w:hAnsiTheme="minorEastAsia" w:eastAsiaTheme="minorEastAsia" w:cstheme="minorEastAsia"/>
                <w:color w:val="auto"/>
                <w:kern w:val="0"/>
                <w:sz w:val="21"/>
                <w:szCs w:val="21"/>
                <w:highlight w:val="none"/>
              </w:rPr>
              <w:t>同</w:t>
            </w:r>
            <w:r>
              <w:rPr>
                <w:rFonts w:hint="eastAsia" w:asciiTheme="minorEastAsia" w:hAnsiTheme="minorEastAsia" w:eastAsiaTheme="minorEastAsia" w:cstheme="minorEastAsia"/>
                <w:color w:val="auto"/>
                <w:spacing w:val="2"/>
                <w:kern w:val="0"/>
                <w:sz w:val="21"/>
                <w:szCs w:val="21"/>
                <w:highlight w:val="none"/>
              </w:rPr>
              <w:t>的约</w:t>
            </w:r>
            <w:r>
              <w:rPr>
                <w:rFonts w:hint="eastAsia" w:asciiTheme="minorEastAsia" w:hAnsiTheme="minorEastAsia" w:eastAsiaTheme="minorEastAsia" w:cstheme="minorEastAsia"/>
                <w:color w:val="auto"/>
                <w:kern w:val="0"/>
                <w:sz w:val="21"/>
                <w:szCs w:val="21"/>
                <w:highlight w:val="none"/>
              </w:rPr>
              <w:t>定</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现申</w:t>
            </w:r>
            <w:r>
              <w:rPr>
                <w:rFonts w:hint="eastAsia" w:asciiTheme="minorEastAsia" w:hAnsiTheme="minorEastAsia" w:eastAsiaTheme="minorEastAsia" w:cstheme="minorEastAsia"/>
                <w:color w:val="auto"/>
                <w:kern w:val="0"/>
                <w:sz w:val="21"/>
                <w:szCs w:val="21"/>
                <w:highlight w:val="none"/>
              </w:rPr>
              <w:t>请</w:t>
            </w:r>
            <w:r>
              <w:rPr>
                <w:rFonts w:hint="eastAsia" w:asciiTheme="minorEastAsia" w:hAnsiTheme="minorEastAsia" w:eastAsiaTheme="minorEastAsia" w:cstheme="minorEastAsia"/>
                <w:color w:val="auto"/>
                <w:spacing w:val="2"/>
                <w:kern w:val="0"/>
                <w:sz w:val="21"/>
                <w:szCs w:val="21"/>
                <w:highlight w:val="none"/>
              </w:rPr>
              <w:t>支</w:t>
            </w:r>
            <w:r>
              <w:rPr>
                <w:rFonts w:hint="eastAsia" w:asciiTheme="minorEastAsia" w:hAnsiTheme="minorEastAsia" w:eastAsiaTheme="minorEastAsia" w:cstheme="minorEastAsia"/>
                <w:color w:val="auto"/>
                <w:kern w:val="0"/>
                <w:sz w:val="21"/>
                <w:szCs w:val="21"/>
                <w:highlight w:val="none"/>
              </w:rPr>
              <w:t>付工程保修结算</w:t>
            </w:r>
            <w:r>
              <w:rPr>
                <w:rFonts w:hint="eastAsia" w:asciiTheme="minorEastAsia" w:hAnsiTheme="minorEastAsia" w:eastAsiaTheme="minorEastAsia" w:cstheme="minorEastAsia"/>
                <w:color w:val="auto"/>
                <w:spacing w:val="2"/>
                <w:kern w:val="0"/>
                <w:sz w:val="21"/>
                <w:szCs w:val="21"/>
                <w:highlight w:val="none"/>
              </w:rPr>
              <w:t>的</w:t>
            </w:r>
            <w:r>
              <w:rPr>
                <w:rFonts w:hint="eastAsia" w:asciiTheme="minorEastAsia" w:hAnsiTheme="minorEastAsia" w:eastAsiaTheme="minorEastAsia" w:cstheme="minorEastAsia"/>
                <w:color w:val="auto"/>
                <w:kern w:val="0"/>
                <w:sz w:val="21"/>
                <w:szCs w:val="21"/>
                <w:highlight w:val="none"/>
              </w:rPr>
              <w:t>合同款额为（大写）</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r>
              <w:rPr>
                <w:rFonts w:hint="eastAsia" w:asciiTheme="minorEastAsia" w:hAnsiTheme="minorEastAsia" w:eastAsiaTheme="minorEastAsia" w:cstheme="minorEastAsia"/>
                <w:color w:val="auto"/>
                <w:kern w:val="0"/>
                <w:sz w:val="21"/>
                <w:szCs w:val="21"/>
                <w:highlight w:val="none"/>
              </w:rPr>
              <w:t>（小写</w:t>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rPr>
              <w:t>）</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请予核准。</w:t>
            </w:r>
          </w:p>
        </w:tc>
      </w:tr>
      <w:tr w14:paraId="38EC4C16">
        <w:tblPrEx>
          <w:tblCellMar>
            <w:top w:w="0" w:type="dxa"/>
            <w:left w:w="0" w:type="dxa"/>
            <w:bottom w:w="0" w:type="dxa"/>
            <w:right w:w="0" w:type="dxa"/>
          </w:tblCellMar>
        </w:tblPrEx>
        <w:trPr>
          <w:trHeight w:val="3352" w:hRule="atLeast"/>
          <w:jc w:val="center"/>
        </w:trPr>
        <w:tc>
          <w:tcPr>
            <w:tcW w:w="9602" w:type="dxa"/>
            <w:gridSpan w:val="4"/>
            <w:tcBorders>
              <w:top w:val="nil"/>
              <w:left w:val="single" w:color="000000" w:sz="4" w:space="0"/>
              <w:bottom w:val="nil"/>
              <w:right w:val="single" w:color="000000" w:sz="4" w:space="0"/>
            </w:tcBorders>
            <w:noWrap w:val="0"/>
            <w:vAlign w:val="top"/>
          </w:tcPr>
          <w:p w14:paraId="3D4CFBD6">
            <w:pPr>
              <w:keepNext w:val="0"/>
              <w:keepLines w:val="0"/>
              <w:suppressLineNumbers w:val="0"/>
              <w:spacing w:before="0" w:beforeAutospacing="0" w:after="0" w:afterAutospacing="0" w:line="200" w:lineRule="exact"/>
              <w:ind w:left="0" w:right="0"/>
              <w:rPr>
                <w:rFonts w:hint="eastAsia" w:asciiTheme="minorEastAsia" w:hAnsiTheme="minorEastAsia" w:eastAsiaTheme="minorEastAsia" w:cstheme="minorEastAsia"/>
                <w:color w:val="auto"/>
                <w:kern w:val="0"/>
                <w:sz w:val="21"/>
                <w:szCs w:val="21"/>
                <w:highlight w:val="none"/>
              </w:rPr>
            </w:pPr>
          </w:p>
          <w:p w14:paraId="78378E6A">
            <w:pPr>
              <w:keepNext w:val="0"/>
              <w:keepLines w:val="0"/>
              <w:suppressLineNumbers w:val="0"/>
              <w:spacing w:before="0" w:beforeAutospacing="0" w:after="120" w:afterAutospacing="0"/>
              <w:ind w:left="0" w:right="0"/>
              <w:rPr>
                <w:rFonts w:hint="eastAsia" w:asciiTheme="minorEastAsia" w:hAnsiTheme="minorEastAsia" w:eastAsiaTheme="minorEastAsia" w:cstheme="minorEastAsia"/>
                <w:color w:val="auto"/>
                <w:sz w:val="21"/>
                <w:szCs w:val="21"/>
                <w:highlight w:val="none"/>
              </w:rPr>
            </w:pPr>
          </w:p>
          <w:tbl>
            <w:tblPr>
              <w:tblStyle w:val="20"/>
              <w:tblW w:w="86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36"/>
              <w:gridCol w:w="3060"/>
              <w:gridCol w:w="1676"/>
              <w:gridCol w:w="1676"/>
              <w:gridCol w:w="890"/>
            </w:tblGrid>
            <w:tr w14:paraId="76B071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1DCC8B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序号</w:t>
                  </w:r>
                </w:p>
              </w:tc>
              <w:tc>
                <w:tcPr>
                  <w:tcW w:w="3060" w:type="dxa"/>
                  <w:tcBorders>
                    <w:top w:val="single" w:color="000000" w:sz="6" w:space="0"/>
                    <w:left w:val="nil"/>
                    <w:bottom w:val="single" w:color="000000" w:sz="6" w:space="0"/>
                    <w:right w:val="single" w:color="000000" w:sz="6" w:space="0"/>
                  </w:tcBorders>
                  <w:noWrap w:val="0"/>
                  <w:vAlign w:val="center"/>
                </w:tcPr>
                <w:p w14:paraId="50AF891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名称</w:t>
                  </w:r>
                </w:p>
              </w:tc>
              <w:tc>
                <w:tcPr>
                  <w:tcW w:w="1676" w:type="dxa"/>
                  <w:tcBorders>
                    <w:top w:val="single" w:color="000000" w:sz="6" w:space="0"/>
                    <w:left w:val="nil"/>
                    <w:bottom w:val="single" w:color="000000" w:sz="6" w:space="0"/>
                    <w:right w:val="single" w:color="000000" w:sz="6" w:space="0"/>
                  </w:tcBorders>
                  <w:noWrap w:val="0"/>
                  <w:vAlign w:val="center"/>
                </w:tcPr>
                <w:p w14:paraId="3CBEB7B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申请金额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1676" w:type="dxa"/>
                  <w:tcBorders>
                    <w:top w:val="single" w:color="000000" w:sz="6" w:space="0"/>
                    <w:left w:val="nil"/>
                    <w:bottom w:val="single" w:color="000000" w:sz="6" w:space="0"/>
                    <w:right w:val="single" w:color="000000" w:sz="6" w:space="0"/>
                  </w:tcBorders>
                  <w:noWrap w:val="0"/>
                  <w:vAlign w:val="center"/>
                </w:tcPr>
                <w:p w14:paraId="4B769AF4">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lang w:eastAsia="zh-CN"/>
                    </w:rPr>
                  </w:pPr>
                  <w:r>
                    <w:rPr>
                      <w:rFonts w:hint="eastAsia" w:asciiTheme="minorEastAsia" w:hAnsiTheme="minorEastAsia" w:eastAsiaTheme="minorEastAsia" w:cstheme="minorEastAsia"/>
                      <w:color w:val="auto"/>
                      <w:kern w:val="0"/>
                      <w:sz w:val="21"/>
                      <w:szCs w:val="21"/>
                      <w:highlight w:val="none"/>
                    </w:rPr>
                    <w:t>复核金额</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元</w:t>
                  </w:r>
                  <w:r>
                    <w:rPr>
                      <w:rFonts w:hint="eastAsia" w:asciiTheme="minorEastAsia" w:hAnsiTheme="minorEastAsia" w:eastAsiaTheme="minorEastAsia" w:cstheme="minorEastAsia"/>
                      <w:color w:val="auto"/>
                      <w:kern w:val="0"/>
                      <w:sz w:val="21"/>
                      <w:szCs w:val="21"/>
                      <w:highlight w:val="none"/>
                      <w:lang w:eastAsia="zh-CN"/>
                    </w:rPr>
                    <w:t>）</w:t>
                  </w:r>
                </w:p>
              </w:tc>
              <w:tc>
                <w:tcPr>
                  <w:tcW w:w="890" w:type="dxa"/>
                  <w:tcBorders>
                    <w:top w:val="single" w:color="000000" w:sz="6" w:space="0"/>
                    <w:left w:val="nil"/>
                    <w:bottom w:val="single" w:color="000000" w:sz="6" w:space="0"/>
                    <w:right w:val="single" w:color="000000" w:sz="6" w:space="0"/>
                  </w:tcBorders>
                  <w:noWrap w:val="0"/>
                  <w:vAlign w:val="center"/>
                </w:tcPr>
                <w:p w14:paraId="5420D118">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49E4A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7"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1438A75D">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1</w:t>
                  </w:r>
                </w:p>
              </w:tc>
              <w:tc>
                <w:tcPr>
                  <w:tcW w:w="3060" w:type="dxa"/>
                  <w:tcBorders>
                    <w:top w:val="single" w:color="000000" w:sz="6" w:space="0"/>
                    <w:left w:val="nil"/>
                    <w:bottom w:val="single" w:color="000000" w:sz="6" w:space="0"/>
                    <w:right w:val="single" w:color="000000" w:sz="6" w:space="0"/>
                  </w:tcBorders>
                  <w:noWrap w:val="0"/>
                  <w:vAlign w:val="center"/>
                </w:tcPr>
                <w:p w14:paraId="2C0F7136">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已预留的质量保证金</w:t>
                  </w:r>
                </w:p>
              </w:tc>
              <w:tc>
                <w:tcPr>
                  <w:tcW w:w="1676" w:type="dxa"/>
                  <w:tcBorders>
                    <w:top w:val="single" w:color="000000" w:sz="6" w:space="0"/>
                    <w:left w:val="nil"/>
                    <w:bottom w:val="single" w:color="000000" w:sz="6" w:space="0"/>
                    <w:right w:val="single" w:color="000000" w:sz="6" w:space="0"/>
                  </w:tcBorders>
                  <w:noWrap w:val="0"/>
                  <w:vAlign w:val="center"/>
                </w:tcPr>
                <w:p w14:paraId="1032832A">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6818A480">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FF9DD6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A9726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8"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36CFD424">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2</w:t>
                  </w:r>
                </w:p>
              </w:tc>
              <w:tc>
                <w:tcPr>
                  <w:tcW w:w="3060" w:type="dxa"/>
                  <w:tcBorders>
                    <w:top w:val="single" w:color="000000" w:sz="6" w:space="0"/>
                    <w:left w:val="nil"/>
                    <w:bottom w:val="single" w:color="000000" w:sz="6" w:space="0"/>
                    <w:right w:val="single" w:color="000000" w:sz="6" w:space="0"/>
                  </w:tcBorders>
                  <w:noWrap w:val="0"/>
                  <w:vAlign w:val="center"/>
                </w:tcPr>
                <w:p w14:paraId="410654D7">
                  <w:pPr>
                    <w:keepNext w:val="0"/>
                    <w:keepLines w:val="0"/>
                    <w:suppressLineNumbers w:val="0"/>
                    <w:spacing w:before="0" w:beforeAutospacing="0" w:after="0" w:afterAutospacing="0" w:line="245"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应增加因发包人原因造成缺陷的修复金额</w:t>
                  </w:r>
                </w:p>
              </w:tc>
              <w:tc>
                <w:tcPr>
                  <w:tcW w:w="1676" w:type="dxa"/>
                  <w:tcBorders>
                    <w:top w:val="single" w:color="000000" w:sz="6" w:space="0"/>
                    <w:left w:val="nil"/>
                    <w:bottom w:val="single" w:color="000000" w:sz="6" w:space="0"/>
                    <w:right w:val="single" w:color="000000" w:sz="6" w:space="0"/>
                  </w:tcBorders>
                  <w:noWrap w:val="0"/>
                  <w:vAlign w:val="center"/>
                </w:tcPr>
                <w:p w14:paraId="278C77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2D5DB9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14A4CCB1">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08E08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3"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405570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3</w:t>
                  </w:r>
                </w:p>
              </w:tc>
              <w:tc>
                <w:tcPr>
                  <w:tcW w:w="3060" w:type="dxa"/>
                  <w:tcBorders>
                    <w:top w:val="single" w:color="000000" w:sz="6" w:space="0"/>
                    <w:left w:val="nil"/>
                    <w:bottom w:val="single" w:color="000000" w:sz="6" w:space="0"/>
                    <w:right w:val="single" w:color="000000" w:sz="6" w:space="0"/>
                  </w:tcBorders>
                  <w:noWrap w:val="0"/>
                  <w:vAlign w:val="center"/>
                </w:tcPr>
                <w:p w14:paraId="4DDB1DCE">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应扣减承包人不修复缺陷、发包人组织修复的金额</w:t>
                  </w:r>
                </w:p>
              </w:tc>
              <w:tc>
                <w:tcPr>
                  <w:tcW w:w="1676" w:type="dxa"/>
                  <w:tcBorders>
                    <w:top w:val="single" w:color="000000" w:sz="6" w:space="0"/>
                    <w:left w:val="nil"/>
                    <w:bottom w:val="single" w:color="000000" w:sz="6" w:space="0"/>
                    <w:right w:val="single" w:color="000000" w:sz="6" w:space="0"/>
                  </w:tcBorders>
                  <w:noWrap w:val="0"/>
                  <w:vAlign w:val="center"/>
                </w:tcPr>
                <w:p w14:paraId="1A8661BB">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4D9044D5">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6356ABD6">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r w14:paraId="585A17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336" w:type="dxa"/>
                  <w:tcBorders>
                    <w:top w:val="single" w:color="000000" w:sz="6" w:space="0"/>
                    <w:left w:val="single" w:color="000000" w:sz="6" w:space="0"/>
                    <w:bottom w:val="single" w:color="000000" w:sz="6" w:space="0"/>
                    <w:right w:val="single" w:color="000000" w:sz="6" w:space="0"/>
                  </w:tcBorders>
                  <w:noWrap w:val="0"/>
                  <w:vAlign w:val="center"/>
                </w:tcPr>
                <w:p w14:paraId="02D3E269">
                  <w:pPr>
                    <w:keepNext w:val="0"/>
                    <w:keepLines w:val="0"/>
                    <w:suppressLineNumbers w:val="0"/>
                    <w:spacing w:before="0" w:beforeAutospacing="0" w:after="0" w:afterAutospacing="0" w:line="200" w:lineRule="exact"/>
                    <w:ind w:left="0" w:right="0"/>
                    <w:jc w:val="both"/>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4</w:t>
                  </w:r>
                </w:p>
              </w:tc>
              <w:tc>
                <w:tcPr>
                  <w:tcW w:w="3060" w:type="dxa"/>
                  <w:tcBorders>
                    <w:top w:val="single" w:color="000000" w:sz="6" w:space="0"/>
                    <w:left w:val="nil"/>
                    <w:bottom w:val="single" w:color="000000" w:sz="6" w:space="0"/>
                    <w:right w:val="single" w:color="000000" w:sz="6" w:space="0"/>
                  </w:tcBorders>
                  <w:noWrap w:val="0"/>
                  <w:vAlign w:val="center"/>
                </w:tcPr>
                <w:p w14:paraId="1D6EA6DB">
                  <w:pPr>
                    <w:keepNext w:val="0"/>
                    <w:keepLines w:val="0"/>
                    <w:suppressLineNumbers w:val="0"/>
                    <w:spacing w:before="0" w:beforeAutospacing="0" w:after="0" w:afterAutospacing="0" w:line="243"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最终应支付的合同价款</w:t>
                  </w:r>
                </w:p>
              </w:tc>
              <w:tc>
                <w:tcPr>
                  <w:tcW w:w="1676" w:type="dxa"/>
                  <w:tcBorders>
                    <w:top w:val="single" w:color="000000" w:sz="6" w:space="0"/>
                    <w:left w:val="nil"/>
                    <w:bottom w:val="single" w:color="000000" w:sz="6" w:space="0"/>
                    <w:right w:val="single" w:color="000000" w:sz="6" w:space="0"/>
                  </w:tcBorders>
                  <w:noWrap w:val="0"/>
                  <w:vAlign w:val="center"/>
                </w:tcPr>
                <w:p w14:paraId="721BDA2C">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1676" w:type="dxa"/>
                  <w:tcBorders>
                    <w:top w:val="single" w:color="000000" w:sz="6" w:space="0"/>
                    <w:left w:val="nil"/>
                    <w:bottom w:val="single" w:color="000000" w:sz="6" w:space="0"/>
                    <w:right w:val="single" w:color="000000" w:sz="6" w:space="0"/>
                  </w:tcBorders>
                  <w:noWrap w:val="0"/>
                  <w:vAlign w:val="center"/>
                </w:tcPr>
                <w:p w14:paraId="1795B10E">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c>
                <w:tcPr>
                  <w:tcW w:w="890" w:type="dxa"/>
                  <w:tcBorders>
                    <w:top w:val="single" w:color="000000" w:sz="6" w:space="0"/>
                    <w:left w:val="nil"/>
                    <w:bottom w:val="single" w:color="000000" w:sz="6" w:space="0"/>
                    <w:right w:val="single" w:color="000000" w:sz="6" w:space="0"/>
                  </w:tcBorders>
                  <w:noWrap w:val="0"/>
                  <w:vAlign w:val="center"/>
                </w:tcPr>
                <w:p w14:paraId="211AFD92">
                  <w:pPr>
                    <w:keepNext w:val="0"/>
                    <w:keepLines w:val="0"/>
                    <w:suppressLineNumbers w:val="0"/>
                    <w:spacing w:before="0" w:beforeAutospacing="0" w:after="0" w:afterAutospacing="0" w:line="200" w:lineRule="exact"/>
                    <w:ind w:left="0" w:right="0"/>
                    <w:jc w:val="center"/>
                    <w:rPr>
                      <w:rFonts w:hint="eastAsia" w:asciiTheme="minorEastAsia" w:hAnsiTheme="minorEastAsia" w:eastAsiaTheme="minorEastAsia" w:cstheme="minorEastAsia"/>
                      <w:color w:val="auto"/>
                      <w:kern w:val="0"/>
                      <w:sz w:val="21"/>
                      <w:szCs w:val="21"/>
                      <w:highlight w:val="none"/>
                    </w:rPr>
                  </w:pPr>
                </w:p>
              </w:tc>
            </w:tr>
          </w:tbl>
          <w:p w14:paraId="146028E8">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p>
          <w:p w14:paraId="4A367829">
            <w:pPr>
              <w:keepNext w:val="0"/>
              <w:keepLines w:val="0"/>
              <w:suppressLineNumbers w:val="0"/>
              <w:spacing w:before="10" w:beforeAutospacing="0" w:after="0" w:afterAutospacing="0" w:line="220"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附：上述3、4详见附件清单。</w:t>
            </w:r>
          </w:p>
          <w:p w14:paraId="5B3E876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0"/>
                <w:sz w:val="21"/>
                <w:szCs w:val="21"/>
                <w:highlight w:val="none"/>
              </w:rPr>
            </w:pPr>
          </w:p>
        </w:tc>
      </w:tr>
      <w:tr w14:paraId="11509D63">
        <w:tblPrEx>
          <w:tblCellMar>
            <w:top w:w="0" w:type="dxa"/>
            <w:left w:w="0" w:type="dxa"/>
            <w:bottom w:w="0" w:type="dxa"/>
            <w:right w:w="0" w:type="dxa"/>
          </w:tblCellMar>
        </w:tblPrEx>
        <w:trPr>
          <w:trHeight w:val="239" w:hRule="atLeast"/>
          <w:jc w:val="center"/>
        </w:trPr>
        <w:tc>
          <w:tcPr>
            <w:tcW w:w="9602" w:type="dxa"/>
            <w:gridSpan w:val="4"/>
            <w:tcBorders>
              <w:top w:val="nil"/>
              <w:left w:val="single" w:color="000000" w:sz="4" w:space="0"/>
              <w:bottom w:val="nil"/>
              <w:right w:val="single" w:color="000000" w:sz="4" w:space="0"/>
            </w:tcBorders>
            <w:noWrap w:val="0"/>
            <w:vAlign w:val="top"/>
          </w:tcPr>
          <w:p w14:paraId="7C2D0A56">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章</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 xml:space="preserve">           </w:t>
            </w:r>
          </w:p>
        </w:tc>
      </w:tr>
      <w:tr w14:paraId="3C03B780">
        <w:tblPrEx>
          <w:tblCellMar>
            <w:top w:w="0" w:type="dxa"/>
            <w:left w:w="0" w:type="dxa"/>
            <w:bottom w:w="0" w:type="dxa"/>
            <w:right w:w="0" w:type="dxa"/>
          </w:tblCellMar>
        </w:tblPrEx>
        <w:trPr>
          <w:trHeight w:val="645" w:hRule="atLeast"/>
          <w:jc w:val="center"/>
        </w:trPr>
        <w:tc>
          <w:tcPr>
            <w:tcW w:w="2524" w:type="dxa"/>
            <w:tcBorders>
              <w:top w:val="nil"/>
              <w:left w:val="single" w:color="auto" w:sz="4" w:space="0"/>
              <w:bottom w:val="nil"/>
              <w:right w:val="nil"/>
            </w:tcBorders>
            <w:noWrap w:val="0"/>
            <w:vAlign w:val="top"/>
          </w:tcPr>
          <w:p w14:paraId="0C44E12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54864743">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编制人员</w:t>
            </w:r>
            <w:r>
              <w:rPr>
                <w:rFonts w:hint="eastAsia" w:asciiTheme="minorEastAsia" w:hAnsiTheme="minorEastAsia" w:eastAsiaTheme="minorEastAsia" w:cstheme="minorEastAsia"/>
                <w:color w:val="auto"/>
                <w:kern w:val="0"/>
                <w:sz w:val="21"/>
                <w:szCs w:val="21"/>
                <w:highlight w:val="none"/>
                <w:u w:val="single"/>
              </w:rPr>
              <w:t xml:space="preserve">            </w:t>
            </w:r>
          </w:p>
        </w:tc>
        <w:tc>
          <w:tcPr>
            <w:tcW w:w="3397" w:type="dxa"/>
            <w:gridSpan w:val="2"/>
            <w:tcBorders>
              <w:top w:val="nil"/>
              <w:left w:val="nil"/>
              <w:bottom w:val="nil"/>
              <w:right w:val="nil"/>
            </w:tcBorders>
            <w:noWrap w:val="0"/>
            <w:vAlign w:val="top"/>
          </w:tcPr>
          <w:p w14:paraId="46C9E524">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62429A3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承包人代表</w:t>
            </w:r>
            <w:r>
              <w:rPr>
                <w:rFonts w:hint="eastAsia" w:asciiTheme="minorEastAsia" w:hAnsiTheme="minorEastAsia" w:eastAsiaTheme="minorEastAsia" w:cstheme="minorEastAsia"/>
                <w:color w:val="auto"/>
                <w:kern w:val="0"/>
                <w:sz w:val="21"/>
                <w:szCs w:val="21"/>
                <w:highlight w:val="none"/>
                <w:u w:val="single"/>
              </w:rPr>
              <w:t xml:space="preserve">            </w:t>
            </w:r>
          </w:p>
        </w:tc>
        <w:tc>
          <w:tcPr>
            <w:tcW w:w="3681" w:type="dxa"/>
            <w:tcBorders>
              <w:top w:val="nil"/>
              <w:left w:val="nil"/>
              <w:bottom w:val="nil"/>
              <w:right w:val="single" w:color="auto" w:sz="4" w:space="0"/>
            </w:tcBorders>
            <w:noWrap w:val="0"/>
            <w:vAlign w:val="top"/>
          </w:tcPr>
          <w:p w14:paraId="2F28F61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p w14:paraId="78FE158D">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7B2FD976">
        <w:tblPrEx>
          <w:tblCellMar>
            <w:top w:w="0" w:type="dxa"/>
            <w:left w:w="0" w:type="dxa"/>
            <w:bottom w:w="0" w:type="dxa"/>
            <w:right w:w="0" w:type="dxa"/>
          </w:tblCellMar>
        </w:tblPrEx>
        <w:trPr>
          <w:trHeight w:val="479" w:hRule="atLeast"/>
          <w:jc w:val="center"/>
        </w:trPr>
        <w:tc>
          <w:tcPr>
            <w:tcW w:w="4938" w:type="dxa"/>
            <w:gridSpan w:val="2"/>
            <w:tcBorders>
              <w:top w:val="single" w:color="000000" w:sz="4" w:space="0"/>
              <w:left w:val="single" w:color="000000" w:sz="4" w:space="0"/>
              <w:bottom w:val="nil"/>
              <w:right w:val="single" w:color="000000" w:sz="4" w:space="0"/>
            </w:tcBorders>
            <w:noWrap w:val="0"/>
            <w:vAlign w:val="center"/>
          </w:tcPr>
          <w:p w14:paraId="0041150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c>
          <w:tcPr>
            <w:tcW w:w="4664" w:type="dxa"/>
            <w:gridSpan w:val="2"/>
            <w:tcBorders>
              <w:top w:val="single" w:color="000000" w:sz="4" w:space="0"/>
              <w:left w:val="nil"/>
              <w:bottom w:val="nil"/>
              <w:right w:val="single" w:color="000000" w:sz="4" w:space="0"/>
            </w:tcBorders>
            <w:noWrap w:val="0"/>
            <w:vAlign w:val="center"/>
          </w:tcPr>
          <w:p w14:paraId="0B5393A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复核意见：</w:t>
            </w:r>
          </w:p>
        </w:tc>
      </w:tr>
      <w:tr w14:paraId="03C26257">
        <w:tblPrEx>
          <w:tblCellMar>
            <w:top w:w="0" w:type="dxa"/>
            <w:left w:w="0" w:type="dxa"/>
            <w:bottom w:w="0" w:type="dxa"/>
            <w:right w:w="0" w:type="dxa"/>
          </w:tblCellMar>
        </w:tblPrEx>
        <w:trPr>
          <w:trHeight w:val="601" w:hRule="atLeast"/>
          <w:jc w:val="center"/>
        </w:trPr>
        <w:tc>
          <w:tcPr>
            <w:tcW w:w="4938" w:type="dxa"/>
            <w:gridSpan w:val="2"/>
            <w:tcBorders>
              <w:top w:val="nil"/>
              <w:left w:val="single" w:color="000000" w:sz="4" w:space="0"/>
              <w:bottom w:val="nil"/>
              <w:right w:val="single" w:color="000000" w:sz="4" w:space="0"/>
            </w:tcBorders>
            <w:noWrap w:val="0"/>
            <w:vAlign w:val="center"/>
          </w:tcPr>
          <w:p w14:paraId="048E59C5">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□与实际施工情况不相符</w:t>
            </w:r>
            <w:r>
              <w:rPr>
                <w:rFonts w:hint="eastAsia" w:asciiTheme="minorEastAsia" w:hAnsiTheme="minorEastAsia" w:eastAsiaTheme="minorEastAsia" w:cstheme="minorEastAsia"/>
                <w:color w:val="auto"/>
                <w:kern w:val="0"/>
                <w:sz w:val="21"/>
                <w:szCs w:val="21"/>
                <w:highlight w:val="none"/>
                <w:lang w:eastAsia="zh-CN"/>
              </w:rPr>
              <w:t>，</w:t>
            </w:r>
            <w:r>
              <w:rPr>
                <w:rFonts w:hint="eastAsia" w:asciiTheme="minorEastAsia" w:hAnsiTheme="minorEastAsia" w:eastAsiaTheme="minorEastAsia" w:cstheme="minorEastAsia"/>
                <w:color w:val="auto"/>
                <w:kern w:val="0"/>
                <w:sz w:val="21"/>
                <w:szCs w:val="21"/>
                <w:highlight w:val="none"/>
              </w:rPr>
              <w:t>修改意见见附件</w:t>
            </w:r>
          </w:p>
        </w:tc>
        <w:tc>
          <w:tcPr>
            <w:tcW w:w="4664" w:type="dxa"/>
            <w:gridSpan w:val="2"/>
            <w:vMerge w:val="restart"/>
            <w:tcBorders>
              <w:top w:val="nil"/>
              <w:left w:val="nil"/>
              <w:bottom w:val="nil"/>
              <w:right w:val="single" w:color="000000" w:sz="4" w:space="0"/>
            </w:tcBorders>
            <w:noWrap w:val="0"/>
            <w:vAlign w:val="top"/>
          </w:tcPr>
          <w:p w14:paraId="07EB1D21">
            <w:pPr>
              <w:keepNext w:val="0"/>
              <w:keepLines w:val="0"/>
              <w:suppressLineNumbers w:val="0"/>
              <w:spacing w:before="0" w:beforeAutospacing="0" w:after="0" w:afterAutospacing="0" w:line="246" w:lineRule="exact"/>
              <w:ind w:left="0" w:right="0" w:firstLine="428" w:firstLineChars="20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2"/>
                <w:kern w:val="0"/>
                <w:sz w:val="21"/>
                <w:szCs w:val="21"/>
                <w:highlight w:val="none"/>
              </w:rPr>
              <w:t>你方提出的支付申请经复核</w:t>
            </w:r>
            <w:r>
              <w:rPr>
                <w:rFonts w:hint="eastAsia" w:asciiTheme="minorEastAsia" w:hAnsiTheme="minorEastAsia" w:eastAsiaTheme="minorEastAsia" w:cstheme="minorEastAsia"/>
                <w:color w:val="auto"/>
                <w:spacing w:val="2"/>
                <w:kern w:val="0"/>
                <w:sz w:val="21"/>
                <w:szCs w:val="21"/>
                <w:highlight w:val="none"/>
                <w:lang w:eastAsia="zh-CN"/>
              </w:rPr>
              <w:t>，</w:t>
            </w:r>
            <w:r>
              <w:rPr>
                <w:rFonts w:hint="eastAsia" w:asciiTheme="minorEastAsia" w:hAnsiTheme="minorEastAsia" w:eastAsiaTheme="minorEastAsia" w:cstheme="minorEastAsia"/>
                <w:color w:val="auto"/>
                <w:spacing w:val="2"/>
                <w:kern w:val="0"/>
                <w:sz w:val="21"/>
                <w:szCs w:val="21"/>
                <w:highlight w:val="none"/>
              </w:rPr>
              <w:t>本期间应支付金额为（大写）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rPr>
              <w:t>（小写</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u w:val="single"/>
              </w:rPr>
              <w:t xml:space="preserve">      </w:t>
            </w:r>
            <w:r>
              <w:rPr>
                <w:rFonts w:hint="eastAsia" w:asciiTheme="minorEastAsia" w:hAnsiTheme="minorEastAsia" w:eastAsiaTheme="minorEastAsia" w:cstheme="minorEastAsia"/>
                <w:color w:val="auto"/>
                <w:spacing w:val="2"/>
                <w:kern w:val="0"/>
                <w:sz w:val="21"/>
                <w:szCs w:val="21"/>
                <w:highlight w:val="none"/>
                <w:u w:val="single"/>
              </w:rPr>
              <w:tab/>
            </w:r>
            <w:r>
              <w:rPr>
                <w:rFonts w:hint="eastAsia" w:asciiTheme="minorEastAsia" w:hAnsiTheme="minorEastAsia" w:eastAsiaTheme="minorEastAsia" w:cstheme="minorEastAsia"/>
                <w:color w:val="auto"/>
                <w:spacing w:val="2"/>
                <w:kern w:val="0"/>
                <w:sz w:val="21"/>
                <w:szCs w:val="21"/>
                <w:highlight w:val="none"/>
              </w:rPr>
              <w:t>）。</w:t>
            </w:r>
          </w:p>
        </w:tc>
      </w:tr>
      <w:tr w14:paraId="27A1DBE5">
        <w:tblPrEx>
          <w:tblCellMar>
            <w:top w:w="0" w:type="dxa"/>
            <w:left w:w="0" w:type="dxa"/>
            <w:bottom w:w="0" w:type="dxa"/>
            <w:right w:w="0" w:type="dxa"/>
          </w:tblCellMar>
        </w:tblPrEx>
        <w:trPr>
          <w:trHeight w:val="623" w:hRule="atLeast"/>
          <w:jc w:val="center"/>
        </w:trPr>
        <w:tc>
          <w:tcPr>
            <w:tcW w:w="4938" w:type="dxa"/>
            <w:gridSpan w:val="2"/>
            <w:tcBorders>
              <w:top w:val="nil"/>
              <w:left w:val="single" w:color="000000" w:sz="4" w:space="0"/>
              <w:bottom w:val="nil"/>
              <w:right w:val="single" w:color="000000" w:sz="4" w:space="0"/>
            </w:tcBorders>
            <w:noWrap w:val="0"/>
            <w:vAlign w:val="center"/>
          </w:tcPr>
          <w:p w14:paraId="41217DAC">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spacing w:val="7"/>
                <w:kern w:val="0"/>
                <w:sz w:val="21"/>
                <w:szCs w:val="21"/>
                <w:highlight w:val="none"/>
              </w:rPr>
              <w:t>□与实际施工</w:t>
            </w:r>
            <w:r>
              <w:rPr>
                <w:rFonts w:hint="eastAsia" w:asciiTheme="minorEastAsia" w:hAnsiTheme="minorEastAsia" w:eastAsiaTheme="minorEastAsia" w:cstheme="minorEastAsia"/>
                <w:color w:val="auto"/>
                <w:spacing w:val="4"/>
                <w:kern w:val="0"/>
                <w:sz w:val="21"/>
                <w:szCs w:val="21"/>
                <w:highlight w:val="none"/>
              </w:rPr>
              <w:t>情</w:t>
            </w:r>
            <w:r>
              <w:rPr>
                <w:rFonts w:hint="eastAsia" w:asciiTheme="minorEastAsia" w:hAnsiTheme="minorEastAsia" w:eastAsiaTheme="minorEastAsia" w:cstheme="minorEastAsia"/>
                <w:color w:val="auto"/>
                <w:spacing w:val="7"/>
                <w:kern w:val="0"/>
                <w:sz w:val="21"/>
                <w:szCs w:val="21"/>
                <w:highlight w:val="none"/>
              </w:rPr>
              <w:t>况相符</w:t>
            </w:r>
            <w:r>
              <w:rPr>
                <w:rFonts w:hint="eastAsia" w:asciiTheme="minorEastAsia" w:hAnsiTheme="minorEastAsia" w:eastAsiaTheme="minorEastAsia" w:cstheme="minorEastAsia"/>
                <w:color w:val="auto"/>
                <w:spacing w:val="7"/>
                <w:kern w:val="0"/>
                <w:sz w:val="21"/>
                <w:szCs w:val="21"/>
                <w:highlight w:val="none"/>
                <w:lang w:eastAsia="zh-CN"/>
              </w:rPr>
              <w:t>，</w:t>
            </w:r>
            <w:r>
              <w:rPr>
                <w:rFonts w:hint="eastAsia" w:asciiTheme="minorEastAsia" w:hAnsiTheme="minorEastAsia" w:eastAsiaTheme="minorEastAsia" w:cstheme="minorEastAsia"/>
                <w:color w:val="auto"/>
                <w:spacing w:val="4"/>
                <w:kern w:val="0"/>
                <w:sz w:val="21"/>
                <w:szCs w:val="21"/>
                <w:highlight w:val="none"/>
              </w:rPr>
              <w:t>具体</w:t>
            </w:r>
            <w:r>
              <w:rPr>
                <w:rFonts w:hint="eastAsia" w:asciiTheme="minorEastAsia" w:hAnsiTheme="minorEastAsia" w:eastAsiaTheme="minorEastAsia" w:cstheme="minorEastAsia"/>
                <w:color w:val="auto"/>
                <w:spacing w:val="7"/>
                <w:kern w:val="0"/>
                <w:sz w:val="21"/>
                <w:szCs w:val="21"/>
                <w:highlight w:val="none"/>
              </w:rPr>
              <w:t>金额应由造价工</w:t>
            </w:r>
            <w:r>
              <w:rPr>
                <w:rFonts w:hint="eastAsia" w:asciiTheme="minorEastAsia" w:hAnsiTheme="minorEastAsia" w:eastAsiaTheme="minorEastAsia" w:cstheme="minorEastAsia"/>
                <w:color w:val="auto"/>
                <w:spacing w:val="4"/>
                <w:kern w:val="0"/>
                <w:sz w:val="21"/>
                <w:szCs w:val="21"/>
                <w:highlight w:val="none"/>
              </w:rPr>
              <w:t>程</w:t>
            </w:r>
            <w:r>
              <w:rPr>
                <w:rFonts w:hint="eastAsia" w:asciiTheme="minorEastAsia" w:hAnsiTheme="minorEastAsia" w:eastAsiaTheme="minorEastAsia" w:cstheme="minorEastAsia"/>
                <w:color w:val="auto"/>
                <w:spacing w:val="7"/>
                <w:kern w:val="0"/>
                <w:sz w:val="21"/>
                <w:szCs w:val="21"/>
                <w:highlight w:val="none"/>
              </w:rPr>
              <w:t>师</w:t>
            </w:r>
            <w:r>
              <w:rPr>
                <w:rFonts w:hint="eastAsia" w:asciiTheme="minorEastAsia" w:hAnsiTheme="minorEastAsia" w:eastAsiaTheme="minorEastAsia" w:cstheme="minorEastAsia"/>
                <w:color w:val="auto"/>
                <w:kern w:val="0"/>
                <w:sz w:val="21"/>
                <w:szCs w:val="21"/>
                <w:highlight w:val="none"/>
              </w:rPr>
              <w:t>复核</w:t>
            </w:r>
          </w:p>
        </w:tc>
        <w:tc>
          <w:tcPr>
            <w:tcW w:w="4664" w:type="dxa"/>
            <w:gridSpan w:val="2"/>
            <w:vMerge w:val="continue"/>
            <w:tcBorders>
              <w:top w:val="nil"/>
              <w:left w:val="nil"/>
              <w:bottom w:val="nil"/>
              <w:right w:val="single" w:color="000000" w:sz="4" w:space="0"/>
            </w:tcBorders>
            <w:noWrap w:val="0"/>
            <w:vAlign w:val="center"/>
          </w:tcPr>
          <w:p w14:paraId="123A25CE">
            <w:pPr>
              <w:keepNext w:val="0"/>
              <w:keepLines w:val="0"/>
              <w:widowControl/>
              <w:suppressLineNumbers w:val="0"/>
              <w:spacing w:before="0" w:beforeAutospacing="0" w:after="0" w:afterAutospacing="0"/>
              <w:ind w:left="0" w:right="0"/>
              <w:jc w:val="left"/>
              <w:rPr>
                <w:rFonts w:hint="eastAsia" w:asciiTheme="minorEastAsia" w:hAnsiTheme="minorEastAsia" w:eastAsiaTheme="minorEastAsia" w:cstheme="minorEastAsia"/>
                <w:color w:val="auto"/>
                <w:kern w:val="0"/>
                <w:sz w:val="21"/>
                <w:szCs w:val="21"/>
                <w:highlight w:val="none"/>
              </w:rPr>
            </w:pPr>
          </w:p>
        </w:tc>
      </w:tr>
      <w:tr w14:paraId="026753B8">
        <w:tblPrEx>
          <w:tblCellMar>
            <w:top w:w="0" w:type="dxa"/>
            <w:left w:w="0" w:type="dxa"/>
            <w:bottom w:w="0" w:type="dxa"/>
            <w:right w:w="0" w:type="dxa"/>
          </w:tblCellMar>
        </w:tblPrEx>
        <w:trPr>
          <w:trHeight w:val="70" w:hRule="atLeast"/>
          <w:jc w:val="center"/>
        </w:trPr>
        <w:tc>
          <w:tcPr>
            <w:tcW w:w="4938" w:type="dxa"/>
            <w:gridSpan w:val="2"/>
            <w:tcBorders>
              <w:top w:val="nil"/>
              <w:left w:val="single" w:color="000000" w:sz="4" w:space="0"/>
              <w:bottom w:val="nil"/>
              <w:right w:val="single" w:color="000000" w:sz="4" w:space="0"/>
            </w:tcBorders>
            <w:noWrap w:val="0"/>
            <w:vAlign w:val="center"/>
          </w:tcPr>
          <w:p w14:paraId="7871ABDE">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c>
          <w:tcPr>
            <w:tcW w:w="4664" w:type="dxa"/>
            <w:gridSpan w:val="2"/>
            <w:tcBorders>
              <w:top w:val="nil"/>
              <w:left w:val="nil"/>
              <w:bottom w:val="nil"/>
              <w:right w:val="single" w:color="000000" w:sz="4" w:space="0"/>
            </w:tcBorders>
            <w:noWrap w:val="0"/>
            <w:vAlign w:val="center"/>
          </w:tcPr>
          <w:p w14:paraId="7C2806FA">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p>
        </w:tc>
      </w:tr>
      <w:tr w14:paraId="134947AE">
        <w:tblPrEx>
          <w:tblCellMar>
            <w:top w:w="0" w:type="dxa"/>
            <w:left w:w="0" w:type="dxa"/>
            <w:bottom w:w="0" w:type="dxa"/>
            <w:right w:w="0" w:type="dxa"/>
          </w:tblCellMar>
        </w:tblPrEx>
        <w:trPr>
          <w:trHeight w:val="899" w:hRule="atLeast"/>
          <w:jc w:val="center"/>
        </w:trPr>
        <w:tc>
          <w:tcPr>
            <w:tcW w:w="4938" w:type="dxa"/>
            <w:gridSpan w:val="2"/>
            <w:tcBorders>
              <w:top w:val="nil"/>
              <w:left w:val="single" w:color="000000" w:sz="4" w:space="0"/>
              <w:bottom w:val="single" w:color="000000" w:sz="4" w:space="0"/>
              <w:right w:val="single" w:color="000000" w:sz="4" w:space="0"/>
            </w:tcBorders>
            <w:noWrap w:val="0"/>
            <w:vAlign w:val="center"/>
          </w:tcPr>
          <w:p w14:paraId="32BAE2CC">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监理工程师</w:t>
            </w:r>
            <w:r>
              <w:rPr>
                <w:rFonts w:hint="eastAsia" w:asciiTheme="minorEastAsia" w:hAnsiTheme="minorEastAsia" w:eastAsiaTheme="minorEastAsia" w:cstheme="minorEastAsia"/>
                <w:color w:val="auto"/>
                <w:kern w:val="0"/>
                <w:sz w:val="21"/>
                <w:szCs w:val="21"/>
                <w:highlight w:val="none"/>
                <w:u w:val="single"/>
              </w:rPr>
              <w:t xml:space="preserve">         </w:t>
            </w:r>
          </w:p>
          <w:p w14:paraId="0FF7B75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c>
          <w:tcPr>
            <w:tcW w:w="4664" w:type="dxa"/>
            <w:gridSpan w:val="2"/>
            <w:tcBorders>
              <w:top w:val="nil"/>
              <w:left w:val="nil"/>
              <w:bottom w:val="single" w:color="000000" w:sz="4" w:space="0"/>
              <w:right w:val="single" w:color="000000" w:sz="4" w:space="0"/>
            </w:tcBorders>
            <w:noWrap w:val="0"/>
            <w:vAlign w:val="center"/>
          </w:tcPr>
          <w:p w14:paraId="1AF7E8BB">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u w:val="single" w:color="000000"/>
              </w:rPr>
            </w:pPr>
            <w:r>
              <w:rPr>
                <w:rFonts w:hint="eastAsia" w:asciiTheme="minorEastAsia" w:hAnsiTheme="minorEastAsia" w:eastAsiaTheme="minorEastAsia" w:cstheme="minorEastAsia"/>
                <w:color w:val="auto"/>
                <w:kern w:val="0"/>
                <w:sz w:val="21"/>
                <w:szCs w:val="21"/>
                <w:highlight w:val="none"/>
              </w:rPr>
              <w:t>一级注册造价工程师</w:t>
            </w:r>
            <w:r>
              <w:rPr>
                <w:rFonts w:hint="eastAsia" w:asciiTheme="minorEastAsia" w:hAnsiTheme="minorEastAsia" w:eastAsiaTheme="minorEastAsia" w:cstheme="minorEastAsia"/>
                <w:color w:val="auto"/>
                <w:kern w:val="0"/>
                <w:sz w:val="21"/>
                <w:szCs w:val="21"/>
                <w:highlight w:val="none"/>
                <w:u w:val="single"/>
              </w:rPr>
              <w:t xml:space="preserve">         </w:t>
            </w:r>
          </w:p>
          <w:p w14:paraId="6F546669">
            <w:pPr>
              <w:keepNext w:val="0"/>
              <w:keepLines w:val="0"/>
              <w:suppressLineNumbers w:val="0"/>
              <w:wordWrap w:val="0"/>
              <w:spacing w:before="0" w:beforeAutospacing="0" w:after="0" w:afterAutospacing="0" w:line="278" w:lineRule="auto"/>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rPr>
              <w:t xml:space="preserve">         </w:t>
            </w:r>
          </w:p>
        </w:tc>
      </w:tr>
      <w:tr w14:paraId="53998930">
        <w:tblPrEx>
          <w:tblCellMar>
            <w:top w:w="0" w:type="dxa"/>
            <w:left w:w="0" w:type="dxa"/>
            <w:bottom w:w="0" w:type="dxa"/>
            <w:right w:w="0" w:type="dxa"/>
          </w:tblCellMar>
        </w:tblPrEx>
        <w:trPr>
          <w:trHeight w:val="403" w:hRule="atLeast"/>
          <w:jc w:val="center"/>
        </w:trPr>
        <w:tc>
          <w:tcPr>
            <w:tcW w:w="9602" w:type="dxa"/>
            <w:gridSpan w:val="4"/>
            <w:tcBorders>
              <w:top w:val="single" w:color="000000" w:sz="4" w:space="0"/>
              <w:left w:val="single" w:color="000000" w:sz="4" w:space="0"/>
              <w:bottom w:val="nil"/>
              <w:right w:val="single" w:color="000000" w:sz="4" w:space="0"/>
            </w:tcBorders>
            <w:noWrap w:val="0"/>
            <w:vAlign w:val="center"/>
          </w:tcPr>
          <w:p w14:paraId="1D683067">
            <w:pPr>
              <w:keepNext w:val="0"/>
              <w:keepLines w:val="0"/>
              <w:suppressLineNumbers w:val="0"/>
              <w:spacing w:before="56" w:beforeAutospacing="0" w:after="0" w:afterAutospacing="0"/>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审核意见：</w:t>
            </w:r>
          </w:p>
        </w:tc>
      </w:tr>
      <w:tr w14:paraId="43CF99BF">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C08C6D0">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□不同意</w:t>
            </w:r>
          </w:p>
        </w:tc>
      </w:tr>
      <w:tr w14:paraId="0ABD38A1">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center"/>
          </w:tcPr>
          <w:p w14:paraId="14FD13D9">
            <w:pPr>
              <w:keepNext w:val="0"/>
              <w:keepLines w:val="0"/>
              <w:suppressLineNumbers w:val="0"/>
              <w:spacing w:before="0" w:beforeAutospacing="0" w:after="0" w:afterAutospacing="0" w:line="246" w:lineRule="exact"/>
              <w:ind w:left="0" w:right="0"/>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□同意</w:t>
            </w:r>
          </w:p>
        </w:tc>
      </w:tr>
      <w:tr w14:paraId="33B702DE">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056036F2">
            <w:pPr>
              <w:keepNext w:val="0"/>
              <w:keepLines w:val="0"/>
              <w:suppressLineNumbers w:val="0"/>
              <w:wordWrap w:val="0"/>
              <w:spacing w:before="0" w:beforeAutospacing="0" w:after="0" w:afterAutospacing="0" w:line="246" w:lineRule="exact"/>
              <w:ind w:left="0" w:right="36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 xml:space="preserve">发包人（章）     </w:t>
            </w:r>
          </w:p>
        </w:tc>
      </w:tr>
      <w:tr w14:paraId="6162E2D7">
        <w:tblPrEx>
          <w:tblCellMar>
            <w:top w:w="0" w:type="dxa"/>
            <w:left w:w="0" w:type="dxa"/>
            <w:bottom w:w="0" w:type="dxa"/>
            <w:right w:w="0" w:type="dxa"/>
          </w:tblCellMar>
        </w:tblPrEx>
        <w:trPr>
          <w:trHeight w:val="319" w:hRule="atLeast"/>
          <w:jc w:val="center"/>
        </w:trPr>
        <w:tc>
          <w:tcPr>
            <w:tcW w:w="9602" w:type="dxa"/>
            <w:gridSpan w:val="4"/>
            <w:tcBorders>
              <w:top w:val="nil"/>
              <w:left w:val="single" w:color="000000" w:sz="4" w:space="0"/>
              <w:bottom w:val="nil"/>
              <w:right w:val="single" w:color="000000" w:sz="4" w:space="0"/>
            </w:tcBorders>
            <w:noWrap w:val="0"/>
            <w:vAlign w:val="top"/>
          </w:tcPr>
          <w:p w14:paraId="3090106F">
            <w:pPr>
              <w:keepNext w:val="0"/>
              <w:keepLines w:val="0"/>
              <w:suppressLineNumbers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发包人代表</w:t>
            </w:r>
            <w:r>
              <w:rPr>
                <w:rFonts w:hint="eastAsia" w:asciiTheme="minorEastAsia" w:hAnsiTheme="minorEastAsia" w:eastAsiaTheme="minorEastAsia" w:cstheme="minorEastAsia"/>
                <w:color w:val="auto"/>
                <w:kern w:val="0"/>
                <w:sz w:val="21"/>
                <w:szCs w:val="21"/>
                <w:highlight w:val="none"/>
                <w:u w:val="single"/>
              </w:rPr>
              <w:tab/>
            </w:r>
            <w:r>
              <w:rPr>
                <w:rFonts w:hint="eastAsia" w:asciiTheme="minorEastAsia" w:hAnsiTheme="minorEastAsia" w:eastAsiaTheme="minorEastAsia" w:cstheme="minorEastAsia"/>
                <w:color w:val="auto"/>
                <w:kern w:val="0"/>
                <w:sz w:val="21"/>
                <w:szCs w:val="21"/>
                <w:highlight w:val="none"/>
                <w:u w:val="single"/>
              </w:rPr>
              <w:t xml:space="preserve">    </w:t>
            </w:r>
            <w:r>
              <w:rPr>
                <w:rFonts w:hint="eastAsia" w:asciiTheme="minorEastAsia" w:hAnsiTheme="minorEastAsia" w:eastAsiaTheme="minorEastAsia" w:cstheme="minorEastAsia"/>
                <w:color w:val="auto"/>
                <w:kern w:val="0"/>
                <w:sz w:val="21"/>
                <w:szCs w:val="21"/>
                <w:highlight w:val="none"/>
                <w:u w:val="single" w:color="000000"/>
              </w:rPr>
              <w:tab/>
            </w:r>
          </w:p>
        </w:tc>
      </w:tr>
      <w:tr w14:paraId="41E121EB">
        <w:tblPrEx>
          <w:tblCellMar>
            <w:top w:w="0" w:type="dxa"/>
            <w:left w:w="0" w:type="dxa"/>
            <w:bottom w:w="0" w:type="dxa"/>
            <w:right w:w="0" w:type="dxa"/>
          </w:tblCellMar>
        </w:tblPrEx>
        <w:trPr>
          <w:trHeight w:val="489" w:hRule="atLeast"/>
          <w:jc w:val="center"/>
        </w:trPr>
        <w:tc>
          <w:tcPr>
            <w:tcW w:w="9602" w:type="dxa"/>
            <w:gridSpan w:val="4"/>
            <w:tcBorders>
              <w:top w:val="nil"/>
              <w:left w:val="single" w:color="000000" w:sz="4" w:space="0"/>
              <w:bottom w:val="single" w:color="000000" w:sz="4" w:space="0"/>
              <w:right w:val="single" w:color="000000" w:sz="4" w:space="0"/>
            </w:tcBorders>
            <w:noWrap w:val="0"/>
            <w:vAlign w:val="top"/>
          </w:tcPr>
          <w:p w14:paraId="757F5C27">
            <w:pPr>
              <w:keepNext w:val="0"/>
              <w:keepLines w:val="0"/>
              <w:suppressLineNumbers w:val="0"/>
              <w:wordWrap w:val="0"/>
              <w:spacing w:before="0" w:beforeAutospacing="0" w:after="0" w:afterAutospacing="0" w:line="246" w:lineRule="exact"/>
              <w:ind w:left="0" w:right="0"/>
              <w:jc w:val="right"/>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日期</w:t>
            </w:r>
            <w:r>
              <w:rPr>
                <w:rFonts w:hint="eastAsia" w:asciiTheme="minorEastAsia" w:hAnsiTheme="minorEastAsia" w:eastAsiaTheme="minorEastAsia" w:cstheme="minorEastAsia"/>
                <w:color w:val="auto"/>
                <w:kern w:val="0"/>
                <w:sz w:val="21"/>
                <w:szCs w:val="21"/>
                <w:highlight w:val="none"/>
                <w:u w:val="single" w:color="000000"/>
              </w:rPr>
              <w:tab/>
            </w:r>
            <w:r>
              <w:rPr>
                <w:rFonts w:hint="eastAsia" w:asciiTheme="minorEastAsia" w:hAnsiTheme="minorEastAsia" w:eastAsiaTheme="minorEastAsia" w:cstheme="minorEastAsia"/>
                <w:color w:val="auto"/>
                <w:kern w:val="0"/>
                <w:sz w:val="21"/>
                <w:szCs w:val="21"/>
                <w:highlight w:val="none"/>
                <w:u w:val="single" w:color="000000"/>
              </w:rPr>
              <w:t xml:space="preserve">      </w:t>
            </w:r>
          </w:p>
        </w:tc>
      </w:tr>
    </w:tbl>
    <w:p w14:paraId="0C0B995C">
      <w:pPr>
        <w:spacing w:line="243" w:lineRule="exact"/>
        <w:ind w:firstLine="0" w:firstLineChars="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r>
        <w:rPr>
          <w:rFonts w:hint="eastAsia" w:asciiTheme="minorEastAsia" w:hAnsiTheme="minorEastAsia" w:eastAsiaTheme="minorEastAsia" w:cstheme="minorEastAsia"/>
          <w:color w:val="auto"/>
          <w:spacing w:val="1"/>
          <w:sz w:val="21"/>
          <w:szCs w:val="21"/>
          <w:highlight w:val="none"/>
        </w:rPr>
        <w:t>1  应</w:t>
      </w:r>
      <w:r>
        <w:rPr>
          <w:rFonts w:hint="eastAsia" w:asciiTheme="minorEastAsia" w:hAnsiTheme="minorEastAsia" w:eastAsiaTheme="minorEastAsia" w:cstheme="minorEastAsia"/>
          <w:color w:val="auto"/>
          <w:sz w:val="21"/>
          <w:szCs w:val="21"/>
          <w:highlight w:val="none"/>
        </w:rPr>
        <w:t>在选择栏中的</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内作标识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pacing w:val="-92"/>
          <w:sz w:val="21"/>
          <w:szCs w:val="21"/>
          <w:highlight w:val="none"/>
          <w:lang w:eastAsia="zh-CN"/>
        </w:rPr>
        <w:t>”</w:t>
      </w:r>
      <w:r>
        <w:rPr>
          <w:rFonts w:hint="eastAsia" w:asciiTheme="minorEastAsia" w:hAnsiTheme="minorEastAsia" w:eastAsiaTheme="minorEastAsia" w:cstheme="minorEastAsia"/>
          <w:color w:val="auto"/>
          <w:sz w:val="21"/>
          <w:szCs w:val="21"/>
          <w:highlight w:val="none"/>
        </w:rPr>
        <w:t>。如监理人已退场</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监理工程师栏可空缺；</w:t>
      </w:r>
    </w:p>
    <w:p w14:paraId="7B6D5D14">
      <w:pPr>
        <w:spacing w:before="46"/>
        <w:ind w:firstLine="424"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2  </w:t>
      </w:r>
      <w:r>
        <w:rPr>
          <w:rFonts w:hint="eastAsia" w:asciiTheme="minorEastAsia" w:hAnsiTheme="minorEastAsia" w:eastAsiaTheme="minorEastAsia" w:cstheme="minorEastAsia"/>
          <w:color w:val="auto"/>
          <w:sz w:val="21"/>
          <w:szCs w:val="21"/>
          <w:highlight w:val="none"/>
        </w:rPr>
        <w:t>本表一式四份</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应由承包人填报</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发包人、监理人、工程造价咨询人、承包人各存一份；</w:t>
      </w:r>
    </w:p>
    <w:p w14:paraId="76A9DE62">
      <w:pPr>
        <w:spacing w:before="46" w:beforeLines="-2147483648"/>
        <w:ind w:left="0" w:firstLine="424"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pacing w:val="1"/>
          <w:sz w:val="21"/>
          <w:szCs w:val="21"/>
          <w:highlight w:val="none"/>
        </w:rPr>
        <w:t xml:space="preserve">3  </w:t>
      </w:r>
      <w:r>
        <w:rPr>
          <w:rFonts w:hint="eastAsia" w:asciiTheme="minorEastAsia" w:hAnsiTheme="minorEastAsia" w:eastAsiaTheme="minorEastAsia" w:cstheme="minorEastAsia"/>
          <w:color w:val="auto"/>
          <w:sz w:val="21"/>
          <w:szCs w:val="21"/>
          <w:highlight w:val="none"/>
        </w:rPr>
        <w:t>编制人员、一级注册造价工程师应签字和盖章</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承包人代表、监理工程师、发包人代表应签字或盖章。</w:t>
      </w:r>
    </w:p>
    <w:p w14:paraId="792257BB">
      <w:pPr>
        <w:spacing w:before="46" w:beforeLines="-2147483648"/>
        <w:ind w:left="0" w:firstLine="210" w:firstLineChars="100"/>
        <w:rPr>
          <w:rFonts w:hint="eastAsia" w:asciiTheme="minorEastAsia" w:hAnsiTheme="minorEastAsia" w:eastAsiaTheme="minorEastAsia" w:cstheme="minorEastAsia"/>
          <w:color w:val="auto"/>
          <w:sz w:val="21"/>
          <w:szCs w:val="21"/>
          <w:highlight w:val="none"/>
        </w:rPr>
      </w:pPr>
    </w:p>
    <w:p w14:paraId="0F0B1C5A">
      <w:pPr>
        <w:spacing w:before="46" w:beforeLines="-2147483648"/>
        <w:ind w:left="0" w:firstLine="300" w:firstLineChars="100"/>
        <w:rPr>
          <w:rFonts w:ascii="宋体"/>
          <w:color w:val="auto"/>
          <w:sz w:val="30"/>
          <w:szCs w:val="30"/>
          <w:highlight w:val="none"/>
        </w:rPr>
      </w:pPr>
    </w:p>
    <w:p w14:paraId="7321E95F">
      <w:pPr>
        <w:spacing w:before="120" w:beforeLines="50" w:after="120" w:afterLines="50" w:line="440" w:lineRule="exact"/>
        <w:jc w:val="left"/>
        <w:rPr>
          <w:rFonts w:hint="eastAsia" w:ascii="仿宋_GB2312" w:eastAsia="仿宋_GB2312" w:cs="仿宋_GB2312"/>
          <w:color w:val="auto"/>
          <w:sz w:val="30"/>
          <w:szCs w:val="30"/>
          <w:highlight w:val="none"/>
        </w:rPr>
      </w:pPr>
    </w:p>
    <w:p w14:paraId="2F1AA24F">
      <w:pPr>
        <w:spacing w:before="120" w:beforeLines="50" w:after="120" w:afterLines="50" w:line="440" w:lineRule="exact"/>
        <w:jc w:val="left"/>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附件</w:t>
      </w:r>
      <w:r>
        <w:rPr>
          <w:rFonts w:hint="eastAsia" w:asciiTheme="minorEastAsia" w:hAnsiTheme="minorEastAsia" w:eastAsiaTheme="minorEastAsia" w:cstheme="minorEastAsia"/>
          <w:color w:val="auto"/>
          <w:sz w:val="32"/>
          <w:szCs w:val="32"/>
          <w:highlight w:val="none"/>
          <w:lang w:val="en-US" w:eastAsia="zh-CN"/>
        </w:rPr>
        <w:t>9</w:t>
      </w:r>
      <w:r>
        <w:rPr>
          <w:rFonts w:hint="eastAsia" w:asciiTheme="minorEastAsia" w:hAnsiTheme="minorEastAsia" w:eastAsiaTheme="minorEastAsia" w:cstheme="minorEastAsia"/>
          <w:color w:val="auto"/>
          <w:sz w:val="32"/>
          <w:szCs w:val="32"/>
          <w:highlight w:val="none"/>
        </w:rPr>
        <w:t>：进度款支付分解表</w:t>
      </w:r>
    </w:p>
    <w:p w14:paraId="28289039">
      <w:pPr>
        <w:ind w:firstLine="1928" w:firstLineChars="600"/>
        <w:outlineLvl w:val="1"/>
        <w:rPr>
          <w:rFonts w:hint="eastAsia" w:asciiTheme="minorEastAsia" w:hAnsiTheme="minorEastAsia" w:eastAsiaTheme="minorEastAsia" w:cstheme="minorEastAsia"/>
          <w:b/>
          <w:color w:val="auto"/>
          <w:kern w:val="2"/>
          <w:sz w:val="32"/>
          <w:szCs w:val="32"/>
          <w:highlight w:val="none"/>
          <w:lang w:val="en"/>
        </w:rPr>
      </w:pPr>
      <w:r>
        <w:rPr>
          <w:rFonts w:hint="eastAsia" w:asciiTheme="minorEastAsia" w:hAnsiTheme="minorEastAsia" w:eastAsiaTheme="minorEastAsia" w:cstheme="minorEastAsia"/>
          <w:b/>
          <w:color w:val="auto"/>
          <w:sz w:val="32"/>
          <w:szCs w:val="32"/>
          <w:highlight w:val="none"/>
          <w:lang w:val="en"/>
        </w:rPr>
        <w:t>进度款支付分解表</w:t>
      </w:r>
      <w:r>
        <w:rPr>
          <w:rFonts w:hint="eastAsia" w:asciiTheme="minorEastAsia" w:hAnsiTheme="minorEastAsia" w:eastAsiaTheme="minorEastAsia" w:cstheme="minorEastAsia"/>
          <w:b/>
          <w:color w:val="auto"/>
          <w:sz w:val="32"/>
          <w:szCs w:val="32"/>
          <w:highlight w:val="none"/>
          <w:lang w:val="en" w:eastAsia="zh-CN"/>
        </w:rPr>
        <w:t>（适用于</w:t>
      </w:r>
      <w:r>
        <w:rPr>
          <w:rFonts w:hint="eastAsia" w:asciiTheme="minorEastAsia" w:hAnsiTheme="minorEastAsia" w:eastAsiaTheme="minorEastAsia" w:cstheme="minorEastAsia"/>
          <w:b/>
          <w:color w:val="auto"/>
          <w:sz w:val="32"/>
          <w:szCs w:val="32"/>
          <w:highlight w:val="none"/>
          <w:lang w:val="en"/>
        </w:rPr>
        <w:t>总价合同</w:t>
      </w:r>
      <w:r>
        <w:rPr>
          <w:rFonts w:hint="eastAsia" w:asciiTheme="minorEastAsia" w:hAnsiTheme="minorEastAsia" w:eastAsiaTheme="minorEastAsia" w:cstheme="minorEastAsia"/>
          <w:b/>
          <w:color w:val="auto"/>
          <w:sz w:val="32"/>
          <w:szCs w:val="32"/>
          <w:highlight w:val="none"/>
          <w:lang w:val="en" w:eastAsia="zh-CN"/>
        </w:rPr>
        <w:t>）</w:t>
      </w:r>
    </w:p>
    <w:p w14:paraId="60776D78">
      <w:pPr>
        <w:spacing w:line="360" w:lineRule="auto"/>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工程名称：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19"/>
        <w:gridCol w:w="675"/>
        <w:gridCol w:w="2268"/>
        <w:gridCol w:w="1276"/>
      </w:tblGrid>
      <w:tr w14:paraId="5D94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63BB022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进度款期次</w:t>
            </w:r>
          </w:p>
        </w:tc>
        <w:tc>
          <w:tcPr>
            <w:tcW w:w="3794" w:type="dxa"/>
            <w:gridSpan w:val="2"/>
            <w:noWrap w:val="0"/>
            <w:vAlign w:val="top"/>
          </w:tcPr>
          <w:p w14:paraId="4B1404E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形象进度</w:t>
            </w:r>
          </w:p>
        </w:tc>
        <w:tc>
          <w:tcPr>
            <w:tcW w:w="2268" w:type="dxa"/>
            <w:noWrap w:val="0"/>
            <w:vAlign w:val="top"/>
          </w:tcPr>
          <w:p w14:paraId="62C181D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进度款付款金额（元）</w:t>
            </w:r>
          </w:p>
        </w:tc>
        <w:tc>
          <w:tcPr>
            <w:tcW w:w="1276" w:type="dxa"/>
            <w:noWrap w:val="0"/>
            <w:vAlign w:val="top"/>
          </w:tcPr>
          <w:p w14:paraId="051022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备注</w:t>
            </w:r>
          </w:p>
        </w:tc>
      </w:tr>
      <w:tr w14:paraId="56ED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15C995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第一期</w:t>
            </w:r>
          </w:p>
        </w:tc>
        <w:tc>
          <w:tcPr>
            <w:tcW w:w="3794" w:type="dxa"/>
            <w:gridSpan w:val="2"/>
            <w:noWrap w:val="0"/>
            <w:vAlign w:val="top"/>
          </w:tcPr>
          <w:p w14:paraId="680D73C0">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147B676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3BDBF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1D2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1400080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第二期</w:t>
            </w:r>
          </w:p>
        </w:tc>
        <w:tc>
          <w:tcPr>
            <w:tcW w:w="3794" w:type="dxa"/>
            <w:gridSpan w:val="2"/>
            <w:noWrap w:val="0"/>
            <w:vAlign w:val="top"/>
          </w:tcPr>
          <w:p w14:paraId="0F82D68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4F96397">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531AE996">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30DC3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323042E">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第三期</w:t>
            </w:r>
          </w:p>
        </w:tc>
        <w:tc>
          <w:tcPr>
            <w:tcW w:w="3794" w:type="dxa"/>
            <w:gridSpan w:val="2"/>
            <w:noWrap w:val="0"/>
            <w:vAlign w:val="top"/>
          </w:tcPr>
          <w:p w14:paraId="3E4CCF1F">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62761479">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F35560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6B4A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noWrap w:val="0"/>
            <w:vAlign w:val="top"/>
          </w:tcPr>
          <w:p w14:paraId="0C344104">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w:t>
            </w:r>
          </w:p>
        </w:tc>
        <w:tc>
          <w:tcPr>
            <w:tcW w:w="3794" w:type="dxa"/>
            <w:gridSpan w:val="2"/>
            <w:noWrap w:val="0"/>
            <w:vAlign w:val="top"/>
          </w:tcPr>
          <w:p w14:paraId="09CBE4BD">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2268" w:type="dxa"/>
            <w:noWrap w:val="0"/>
            <w:vAlign w:val="top"/>
          </w:tcPr>
          <w:p w14:paraId="38997B9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c>
          <w:tcPr>
            <w:tcW w:w="1276" w:type="dxa"/>
            <w:noWrap w:val="0"/>
            <w:vAlign w:val="top"/>
          </w:tcPr>
          <w:p w14:paraId="6E694591">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0"/>
                <w:sz w:val="21"/>
                <w:szCs w:val="21"/>
                <w:highlight w:val="none"/>
              </w:rPr>
            </w:pPr>
          </w:p>
        </w:tc>
      </w:tr>
      <w:tr w14:paraId="0991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36" w:type="dxa"/>
            <w:gridSpan w:val="2"/>
            <w:noWrap w:val="0"/>
            <w:vAlign w:val="top"/>
          </w:tcPr>
          <w:p w14:paraId="0A845A00">
            <w:pPr>
              <w:keepNext w:val="0"/>
              <w:keepLines w:val="0"/>
              <w:suppressLineNumbers w:val="0"/>
              <w:spacing w:before="0" w:beforeAutospacing="0" w:after="0" w:afterAutospacing="0" w:line="360" w:lineRule="exact"/>
              <w:ind w:left="0" w:right="0" w:firstLine="435"/>
              <w:jc w:val="right"/>
              <w:rPr>
                <w:rFonts w:hint="eastAsia" w:asciiTheme="minorEastAsia" w:hAnsiTheme="minorEastAsia" w:eastAsiaTheme="minorEastAsia" w:cstheme="minorEastAsia"/>
                <w:color w:val="auto"/>
                <w:sz w:val="21"/>
                <w:szCs w:val="21"/>
                <w:highlight w:val="none"/>
              </w:rPr>
            </w:pPr>
          </w:p>
          <w:p w14:paraId="6E10D4C7">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30A518F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发包人代表签字：</w:t>
            </w:r>
          </w:p>
          <w:p w14:paraId="4126F7C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10C9C8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发包人（盖公章）</w:t>
            </w:r>
          </w:p>
          <w:p w14:paraId="4CC28AD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A710F1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        </w:t>
            </w:r>
            <w:r>
              <w:rPr>
                <w:rFonts w:hint="eastAsia" w:asciiTheme="minorEastAsia" w:hAnsiTheme="minorEastAsia" w:eastAsiaTheme="minorEastAsia" w:cstheme="minorEastAsia"/>
                <w:color w:val="auto"/>
                <w:sz w:val="21"/>
                <w:szCs w:val="21"/>
                <w:highlight w:val="none"/>
                <w:u w:val="single"/>
              </w:rPr>
              <w:t xml:space="preserve">   </w:t>
            </w:r>
          </w:p>
        </w:tc>
        <w:tc>
          <w:tcPr>
            <w:tcW w:w="4219" w:type="dxa"/>
            <w:gridSpan w:val="3"/>
            <w:noWrap w:val="0"/>
            <w:vAlign w:val="top"/>
          </w:tcPr>
          <w:p w14:paraId="44457FB6">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513006C2">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p>
          <w:p w14:paraId="61B9D25D">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承包人代表签字：</w:t>
            </w:r>
          </w:p>
          <w:p w14:paraId="6FCAA7B4">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4D8AA7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承包人（盖公章）</w:t>
            </w:r>
          </w:p>
          <w:p w14:paraId="57CFA9E8">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rPr>
            </w:pPr>
          </w:p>
          <w:p w14:paraId="66C60F91">
            <w:pPr>
              <w:keepNext w:val="0"/>
              <w:keepLines w:val="0"/>
              <w:suppressLineNumbers w:val="0"/>
              <w:spacing w:before="0" w:beforeAutospacing="0" w:after="0" w:afterAutospacing="0" w:line="360" w:lineRule="exact"/>
              <w:ind w:left="0" w:right="0" w:firstLine="435"/>
              <w:jc w:val="center"/>
              <w:rPr>
                <w:rFonts w:hint="eastAsia" w:asciiTheme="minorEastAsia" w:hAnsiTheme="minorEastAsia" w:eastAsiaTheme="minorEastAsia" w:cstheme="minorEastAsia"/>
                <w:color w:val="auto"/>
                <w:sz w:val="21"/>
                <w:szCs w:val="21"/>
                <w:highlight w:val="none"/>
                <w:u w:val="single"/>
              </w:rPr>
            </w:pPr>
            <w:r>
              <w:rPr>
                <w:rFonts w:hint="eastAsia" w:asciiTheme="minorEastAsia" w:hAnsiTheme="minorEastAsia" w:eastAsiaTheme="minorEastAsia" w:cstheme="minorEastAsia"/>
                <w:color w:val="auto"/>
                <w:sz w:val="21"/>
                <w:szCs w:val="21"/>
                <w:highlight w:val="none"/>
              </w:rPr>
              <w:t xml:space="preserve">        日      期</w:t>
            </w:r>
            <w:r>
              <w:rPr>
                <w:rFonts w:hint="eastAsia" w:asciiTheme="minorEastAsia" w:hAnsiTheme="minorEastAsia" w:eastAsiaTheme="minorEastAsia" w:cstheme="minorEastAsia"/>
                <w:color w:val="auto"/>
                <w:sz w:val="21"/>
                <w:szCs w:val="21"/>
                <w:highlight w:val="none"/>
                <w:u w:val="single"/>
              </w:rPr>
              <w:t xml:space="preserve">        </w:t>
            </w:r>
          </w:p>
        </w:tc>
      </w:tr>
    </w:tbl>
    <w:p w14:paraId="44B3FD86">
      <w:pPr>
        <w:pStyle w:val="2"/>
        <w:jc w:val="center"/>
        <w:rPr>
          <w:rFonts w:hint="eastAsia" w:ascii="宋体" w:hAnsi="宋体" w:eastAsia="宋体" w:cs="宋体"/>
          <w:b w:val="0"/>
          <w:color w:val="auto"/>
          <w:highlight w:val="none"/>
          <w:lang w:eastAsia="zh-CN"/>
        </w:rPr>
      </w:pPr>
    </w:p>
    <w:p w14:paraId="37CC11CB">
      <w:pPr>
        <w:pStyle w:val="2"/>
        <w:jc w:val="center"/>
        <w:rPr>
          <w:rFonts w:hint="eastAsia" w:ascii="宋体" w:hAnsi="宋体" w:eastAsia="宋体" w:cs="宋体"/>
          <w:b w:val="0"/>
          <w:color w:val="auto"/>
          <w:highlight w:val="none"/>
          <w:lang w:eastAsia="zh-CN"/>
        </w:rPr>
      </w:pPr>
    </w:p>
    <w:p w14:paraId="7945F657">
      <w:pPr>
        <w:pStyle w:val="2"/>
        <w:jc w:val="center"/>
        <w:rPr>
          <w:rFonts w:hint="eastAsia" w:ascii="宋体" w:hAnsi="宋体" w:eastAsia="宋体" w:cs="宋体"/>
          <w:b w:val="0"/>
          <w:color w:val="auto"/>
          <w:highlight w:val="none"/>
          <w:lang w:eastAsia="zh-CN"/>
        </w:rPr>
      </w:pPr>
    </w:p>
    <w:p w14:paraId="626D7DF0">
      <w:pPr>
        <w:rPr>
          <w:rFonts w:hint="eastAsia" w:ascii="宋体" w:hAnsi="宋体" w:eastAsia="宋体" w:cs="宋体"/>
          <w:b w:val="0"/>
          <w:color w:val="auto"/>
          <w:highlight w:val="none"/>
          <w:lang w:eastAsia="zh-CN"/>
        </w:rPr>
      </w:pPr>
    </w:p>
    <w:p w14:paraId="2B432CAD">
      <w:pPr>
        <w:pStyle w:val="18"/>
        <w:rPr>
          <w:rFonts w:hint="eastAsia" w:ascii="宋体" w:hAnsi="宋体" w:eastAsia="宋体" w:cs="宋体"/>
          <w:b w:val="0"/>
          <w:color w:val="auto"/>
          <w:highlight w:val="none"/>
          <w:lang w:eastAsia="zh-CN"/>
        </w:rPr>
      </w:pPr>
    </w:p>
    <w:p w14:paraId="541720CE">
      <w:pPr>
        <w:pStyle w:val="18"/>
        <w:rPr>
          <w:rFonts w:hint="eastAsia" w:ascii="宋体" w:hAnsi="宋体" w:eastAsia="宋体" w:cs="宋体"/>
          <w:b w:val="0"/>
          <w:color w:val="auto"/>
          <w:highlight w:val="none"/>
          <w:lang w:eastAsia="zh-CN"/>
        </w:rPr>
      </w:pPr>
    </w:p>
    <w:p w14:paraId="113FF52C">
      <w:pPr>
        <w:pStyle w:val="18"/>
        <w:rPr>
          <w:rFonts w:hint="eastAsia" w:ascii="宋体" w:hAnsi="宋体" w:eastAsia="宋体" w:cs="宋体"/>
          <w:b w:val="0"/>
          <w:color w:val="auto"/>
          <w:highlight w:val="none"/>
          <w:lang w:eastAsia="zh-CN"/>
        </w:rPr>
      </w:pPr>
    </w:p>
    <w:p w14:paraId="1DC6995B">
      <w:pPr>
        <w:pStyle w:val="18"/>
        <w:ind w:left="0" w:leftChars="0" w:firstLine="0" w:firstLineChars="0"/>
        <w:rPr>
          <w:rFonts w:hint="eastAsia" w:ascii="宋体" w:hAnsi="宋体" w:eastAsia="宋体" w:cs="宋体"/>
          <w:b w:val="0"/>
          <w:color w:val="auto"/>
          <w:highlight w:val="none"/>
          <w:lang w:eastAsia="zh-CN"/>
        </w:rPr>
      </w:pPr>
    </w:p>
    <w:p w14:paraId="68B12CB3">
      <w:pPr>
        <w:spacing w:before="202" w:line="219" w:lineRule="auto"/>
        <w:ind w:left="31"/>
        <w:rPr>
          <w:rFonts w:hint="eastAsia" w:asciiTheme="majorEastAsia" w:hAnsiTheme="majorEastAsia" w:eastAsiaTheme="majorEastAsia" w:cstheme="majorEastAsia"/>
          <w:sz w:val="32"/>
          <w:szCs w:val="32"/>
          <w:highlight w:val="none"/>
          <w:lang w:eastAsia="zh-CN"/>
        </w:rPr>
      </w:pPr>
      <w:r>
        <w:rPr>
          <w:rFonts w:hint="eastAsia" w:asciiTheme="majorEastAsia" w:hAnsiTheme="majorEastAsia" w:eastAsiaTheme="majorEastAsia" w:cstheme="majorEastAsia"/>
          <w:spacing w:val="-16"/>
          <w:sz w:val="32"/>
          <w:szCs w:val="32"/>
          <w:highlight w:val="none"/>
        </w:rPr>
        <w:t>附件</w:t>
      </w:r>
      <w:r>
        <w:rPr>
          <w:rFonts w:hint="eastAsia" w:asciiTheme="majorEastAsia" w:hAnsiTheme="majorEastAsia" w:eastAsiaTheme="majorEastAsia" w:cstheme="majorEastAsia"/>
          <w:spacing w:val="-37"/>
          <w:sz w:val="32"/>
          <w:szCs w:val="32"/>
          <w:highlight w:val="none"/>
        </w:rPr>
        <w:t xml:space="preserve"> </w:t>
      </w:r>
      <w:r>
        <w:rPr>
          <w:rFonts w:hint="eastAsia" w:asciiTheme="majorEastAsia" w:hAnsiTheme="majorEastAsia" w:eastAsiaTheme="majorEastAsia" w:cstheme="majorEastAsia"/>
          <w:spacing w:val="-16"/>
          <w:sz w:val="32"/>
          <w:szCs w:val="32"/>
          <w:highlight w:val="none"/>
        </w:rPr>
        <w:t>1</w:t>
      </w:r>
      <w:r>
        <w:rPr>
          <w:rFonts w:hint="eastAsia" w:asciiTheme="majorEastAsia" w:hAnsiTheme="majorEastAsia" w:eastAsiaTheme="majorEastAsia" w:cstheme="majorEastAsia"/>
          <w:spacing w:val="-16"/>
          <w:sz w:val="32"/>
          <w:szCs w:val="32"/>
          <w:highlight w:val="none"/>
          <w:lang w:val="en-US" w:eastAsia="zh-CN"/>
        </w:rPr>
        <w:t>0</w:t>
      </w:r>
      <w:r>
        <w:rPr>
          <w:rFonts w:hint="eastAsia" w:asciiTheme="majorEastAsia" w:hAnsiTheme="majorEastAsia" w:eastAsiaTheme="majorEastAsia" w:cstheme="majorEastAsia"/>
          <w:spacing w:val="-16"/>
          <w:sz w:val="32"/>
          <w:szCs w:val="32"/>
          <w:highlight w:val="none"/>
          <w:lang w:eastAsia="zh-CN"/>
        </w:rPr>
        <w:t>：安全生产合同</w:t>
      </w:r>
    </w:p>
    <w:p w14:paraId="27438956">
      <w:pPr>
        <w:spacing w:before="100" w:line="223" w:lineRule="auto"/>
        <w:ind w:left="3523"/>
        <w:rPr>
          <w:rFonts w:hint="eastAsia" w:asciiTheme="majorEastAsia" w:hAnsiTheme="majorEastAsia" w:eastAsiaTheme="majorEastAsia" w:cstheme="majorEastAsia"/>
          <w:b/>
          <w:bCs/>
          <w:sz w:val="32"/>
          <w:szCs w:val="32"/>
          <w:highlight w:val="none"/>
        </w:rPr>
      </w:pPr>
      <w:r>
        <w:rPr>
          <w:rFonts w:hint="eastAsia" w:asciiTheme="majorEastAsia" w:hAnsiTheme="majorEastAsia" w:eastAsiaTheme="majorEastAsia" w:cstheme="majorEastAsia"/>
          <w:b/>
          <w:bCs/>
          <w:spacing w:val="5"/>
          <w:sz w:val="32"/>
          <w:szCs w:val="32"/>
          <w:highlight w:val="none"/>
        </w:rPr>
        <w:t>安全生产合同</w:t>
      </w:r>
    </w:p>
    <w:p w14:paraId="31B2BC7C">
      <w:pPr>
        <w:pStyle w:val="9"/>
        <w:spacing w:line="241" w:lineRule="auto"/>
        <w:rPr>
          <w:highlight w:val="none"/>
        </w:rPr>
      </w:pPr>
    </w:p>
    <w:p w14:paraId="1C52F24D">
      <w:pPr>
        <w:spacing w:before="65" w:line="228" w:lineRule="auto"/>
        <w:ind w:left="429"/>
        <w:rPr>
          <w:rFonts w:ascii="宋体" w:hAnsi="宋体" w:eastAsia="宋体" w:cs="宋体"/>
          <w:sz w:val="20"/>
          <w:szCs w:val="20"/>
          <w:highlight w:val="none"/>
        </w:rPr>
      </w:pPr>
      <w:r>
        <w:rPr>
          <w:rFonts w:ascii="宋体" w:hAnsi="宋体" w:eastAsia="宋体" w:cs="宋体"/>
          <w:spacing w:val="9"/>
          <w:sz w:val="20"/>
          <w:szCs w:val="20"/>
          <w:highlight w:val="none"/>
        </w:rPr>
        <w:t>为在施工合同的实施过程中创造安全、高效的施工环境，切实做好</w:t>
      </w:r>
      <w:r>
        <w:rPr>
          <w:rFonts w:ascii="宋体" w:hAnsi="宋体" w:eastAsia="宋体" w:cs="宋体"/>
          <w:spacing w:val="-91"/>
          <w:sz w:val="20"/>
          <w:szCs w:val="20"/>
          <w:highlight w:val="none"/>
        </w:rPr>
        <w:t xml:space="preserve"> </w:t>
      </w:r>
      <w:r>
        <w:rPr>
          <w:rFonts w:ascii="宋体" w:hAnsi="宋体" w:eastAsia="宋体" w:cs="宋体"/>
          <w:spacing w:val="1"/>
          <w:sz w:val="20"/>
          <w:szCs w:val="20"/>
          <w:highlight w:val="none"/>
          <w:u w:val="single" w:color="auto"/>
        </w:rPr>
        <w:t xml:space="preserve">                           </w:t>
      </w:r>
      <w:r>
        <w:rPr>
          <w:rFonts w:ascii="宋体" w:hAnsi="宋体" w:eastAsia="宋体" w:cs="宋体"/>
          <w:spacing w:val="-87"/>
          <w:sz w:val="20"/>
          <w:szCs w:val="20"/>
          <w:highlight w:val="none"/>
        </w:rPr>
        <w:t xml:space="preserve"> </w:t>
      </w:r>
      <w:r>
        <w:rPr>
          <w:rFonts w:ascii="宋体" w:hAnsi="宋体" w:eastAsia="宋体" w:cs="宋体"/>
          <w:spacing w:val="9"/>
          <w:sz w:val="20"/>
          <w:szCs w:val="20"/>
          <w:highlight w:val="none"/>
        </w:rPr>
        <w:t>项</w:t>
      </w:r>
    </w:p>
    <w:p w14:paraId="4B5A10D3">
      <w:pPr>
        <w:spacing w:before="154" w:line="369" w:lineRule="auto"/>
        <w:ind w:left="17" w:firstLine="29"/>
        <w:rPr>
          <w:rFonts w:ascii="宋体" w:hAnsi="宋体" w:eastAsia="宋体" w:cs="宋体"/>
          <w:sz w:val="20"/>
          <w:szCs w:val="20"/>
          <w:highlight w:val="none"/>
        </w:rPr>
      </w:pPr>
      <w:r>
        <w:rPr>
          <w:rFonts w:ascii="宋体" w:hAnsi="宋体" w:eastAsia="宋体" w:cs="宋体"/>
          <w:spacing w:val="6"/>
          <w:sz w:val="20"/>
          <w:szCs w:val="20"/>
          <w:highlight w:val="none"/>
        </w:rPr>
        <w:t>目的安全管理工作，本项目业主</w:t>
      </w:r>
      <w:r>
        <w:rPr>
          <w:rFonts w:ascii="宋体" w:hAnsi="宋体" w:eastAsia="宋体" w:cs="宋体"/>
          <w:spacing w:val="6"/>
          <w:sz w:val="20"/>
          <w:szCs w:val="20"/>
          <w:highlight w:val="none"/>
          <w:u w:val="single" w:color="auto"/>
        </w:rPr>
        <w:t xml:space="preserve"> </w:t>
      </w:r>
      <w:r>
        <w:rPr>
          <w:rFonts w:hint="eastAsia" w:ascii="宋体" w:hAnsi="宋体" w:eastAsia="宋体" w:cs="宋体"/>
          <w:spacing w:val="6"/>
          <w:sz w:val="20"/>
          <w:szCs w:val="20"/>
          <w:highlight w:val="none"/>
          <w:u w:val="single" w:color="auto"/>
          <w:lang w:eastAsia="zh-CN"/>
        </w:rPr>
        <w:t>崇左市江州区农业农村局</w:t>
      </w:r>
      <w:r>
        <w:rPr>
          <w:rFonts w:ascii="宋体" w:hAnsi="宋体" w:eastAsia="宋体" w:cs="宋体"/>
          <w:spacing w:val="6"/>
          <w:sz w:val="20"/>
          <w:szCs w:val="20"/>
          <w:highlight w:val="none"/>
          <w:u w:val="single" w:color="auto"/>
        </w:rPr>
        <w:t xml:space="preserve"> </w:t>
      </w:r>
      <w:r>
        <w:rPr>
          <w:rFonts w:ascii="宋体" w:hAnsi="宋体" w:eastAsia="宋体" w:cs="宋体"/>
          <w:spacing w:val="6"/>
          <w:sz w:val="20"/>
          <w:szCs w:val="20"/>
          <w:highlight w:val="none"/>
        </w:rPr>
        <w:t>（以下简称“</w:t>
      </w:r>
      <w:r>
        <w:rPr>
          <w:rFonts w:ascii="宋体" w:hAnsi="宋体" w:eastAsia="宋体" w:cs="宋体"/>
          <w:spacing w:val="-62"/>
          <w:sz w:val="20"/>
          <w:szCs w:val="20"/>
          <w:highlight w:val="none"/>
        </w:rPr>
        <w:t xml:space="preserve"> </w:t>
      </w:r>
      <w:r>
        <w:rPr>
          <w:rFonts w:ascii="宋体" w:hAnsi="宋体" w:eastAsia="宋体" w:cs="宋体"/>
          <w:spacing w:val="6"/>
          <w:sz w:val="20"/>
          <w:szCs w:val="20"/>
          <w:highlight w:val="none"/>
        </w:rPr>
        <w:t>甲方</w:t>
      </w:r>
      <w:r>
        <w:rPr>
          <w:rFonts w:ascii="宋体" w:hAnsi="宋体" w:eastAsia="宋体" w:cs="宋体"/>
          <w:spacing w:val="-70"/>
          <w:sz w:val="20"/>
          <w:szCs w:val="20"/>
          <w:highlight w:val="none"/>
        </w:rPr>
        <w:t xml:space="preserve"> </w:t>
      </w:r>
      <w:r>
        <w:rPr>
          <w:rFonts w:ascii="宋体" w:hAnsi="宋体" w:eastAsia="宋体" w:cs="宋体"/>
          <w:spacing w:val="6"/>
          <w:sz w:val="20"/>
          <w:szCs w:val="20"/>
          <w:highlight w:val="none"/>
        </w:rPr>
        <w:t>”</w:t>
      </w:r>
      <w:r>
        <w:rPr>
          <w:rFonts w:ascii="宋体" w:hAnsi="宋体" w:eastAsia="宋体" w:cs="宋体"/>
          <w:spacing w:val="5"/>
          <w:sz w:val="20"/>
          <w:szCs w:val="20"/>
          <w:highlight w:val="none"/>
        </w:rPr>
        <w:t>）与承包人</w:t>
      </w:r>
      <w:r>
        <w:rPr>
          <w:rFonts w:ascii="宋体" w:hAnsi="宋体" w:eastAsia="宋体" w:cs="宋体"/>
          <w:spacing w:val="5"/>
          <w:sz w:val="20"/>
          <w:szCs w:val="20"/>
          <w:highlight w:val="none"/>
          <w:u w:val="single" w:color="auto"/>
        </w:rPr>
        <w:t xml:space="preserve">                      </w:t>
      </w:r>
      <w:r>
        <w:rPr>
          <w:rFonts w:ascii="宋体" w:hAnsi="宋体" w:eastAsia="宋体" w:cs="宋体"/>
          <w:spacing w:val="5"/>
          <w:sz w:val="20"/>
          <w:szCs w:val="20"/>
          <w:highlight w:val="none"/>
        </w:rPr>
        <w:t>（以下简称“</w:t>
      </w:r>
      <w:r>
        <w:rPr>
          <w:rFonts w:ascii="宋体" w:hAnsi="宋体" w:eastAsia="宋体" w:cs="宋体"/>
          <w:spacing w:val="-55"/>
          <w:sz w:val="20"/>
          <w:szCs w:val="20"/>
          <w:highlight w:val="none"/>
        </w:rPr>
        <w:t xml:space="preserve"> </w:t>
      </w:r>
      <w:r>
        <w:rPr>
          <w:rFonts w:ascii="宋体" w:hAnsi="宋体" w:eastAsia="宋体" w:cs="宋体"/>
          <w:spacing w:val="5"/>
          <w:sz w:val="20"/>
          <w:szCs w:val="20"/>
          <w:highlight w:val="none"/>
        </w:rPr>
        <w:t>乙方</w:t>
      </w:r>
      <w:r>
        <w:rPr>
          <w:rFonts w:ascii="宋体" w:hAnsi="宋体" w:eastAsia="宋体" w:cs="宋体"/>
          <w:spacing w:val="-70"/>
          <w:sz w:val="20"/>
          <w:szCs w:val="20"/>
          <w:highlight w:val="none"/>
        </w:rPr>
        <w:t xml:space="preserve"> </w:t>
      </w:r>
      <w:r>
        <w:rPr>
          <w:rFonts w:ascii="宋体" w:hAnsi="宋体" w:eastAsia="宋体" w:cs="宋体"/>
          <w:spacing w:val="5"/>
          <w:sz w:val="20"/>
          <w:szCs w:val="20"/>
          <w:highlight w:val="none"/>
        </w:rPr>
        <w:t>”）特此签订安全生产合同：</w:t>
      </w:r>
    </w:p>
    <w:p w14:paraId="3F84742A">
      <w:pPr>
        <w:spacing w:line="229" w:lineRule="auto"/>
        <w:ind w:left="430"/>
        <w:rPr>
          <w:rFonts w:ascii="宋体" w:hAnsi="宋体" w:eastAsia="宋体" w:cs="宋体"/>
          <w:sz w:val="20"/>
          <w:szCs w:val="20"/>
          <w:highlight w:val="none"/>
        </w:rPr>
      </w:pPr>
      <w:r>
        <w:rPr>
          <w:rFonts w:ascii="宋体" w:hAnsi="宋体" w:eastAsia="宋体" w:cs="宋体"/>
          <w:sz w:val="20"/>
          <w:szCs w:val="20"/>
          <w:highlight w:val="none"/>
        </w:rPr>
        <w:t>一、</w:t>
      </w:r>
      <w:r>
        <w:rPr>
          <w:rFonts w:ascii="宋体" w:hAnsi="宋体" w:eastAsia="宋体" w:cs="宋体"/>
          <w:spacing w:val="-55"/>
          <w:sz w:val="20"/>
          <w:szCs w:val="20"/>
          <w:highlight w:val="none"/>
        </w:rPr>
        <w:t xml:space="preserve"> </w:t>
      </w:r>
      <w:r>
        <w:rPr>
          <w:rFonts w:ascii="宋体" w:hAnsi="宋体" w:eastAsia="宋体" w:cs="宋体"/>
          <w:sz w:val="20"/>
          <w:szCs w:val="20"/>
          <w:highlight w:val="none"/>
        </w:rPr>
        <w:t>甲方职责</w:t>
      </w:r>
    </w:p>
    <w:p w14:paraId="37D39E49">
      <w:pPr>
        <w:spacing w:before="152" w:line="228" w:lineRule="auto"/>
        <w:ind w:left="442"/>
        <w:rPr>
          <w:rFonts w:ascii="宋体" w:hAnsi="宋体" w:eastAsia="宋体" w:cs="宋体"/>
          <w:sz w:val="20"/>
          <w:szCs w:val="20"/>
          <w:highlight w:val="none"/>
        </w:rPr>
      </w:pPr>
      <w:r>
        <w:rPr>
          <w:rFonts w:ascii="宋体" w:hAnsi="宋体" w:eastAsia="宋体" w:cs="宋体"/>
          <w:spacing w:val="9"/>
          <w:sz w:val="20"/>
          <w:szCs w:val="20"/>
          <w:highlight w:val="none"/>
        </w:rPr>
        <w:t>1.严格遵守国家有关安全生产的法律法规，认真执行工程承包合同中的</w:t>
      </w:r>
      <w:r>
        <w:rPr>
          <w:rFonts w:ascii="宋体" w:hAnsi="宋体" w:eastAsia="宋体" w:cs="宋体"/>
          <w:spacing w:val="8"/>
          <w:sz w:val="20"/>
          <w:szCs w:val="20"/>
          <w:highlight w:val="none"/>
        </w:rPr>
        <w:t>有关安全要求。</w:t>
      </w:r>
    </w:p>
    <w:p w14:paraId="33E56E2B">
      <w:pPr>
        <w:spacing w:before="154" w:line="369" w:lineRule="auto"/>
        <w:ind w:left="11" w:right="3" w:firstLine="418"/>
        <w:rPr>
          <w:rFonts w:ascii="宋体" w:hAnsi="宋体" w:eastAsia="宋体" w:cs="宋体"/>
          <w:sz w:val="20"/>
          <w:szCs w:val="20"/>
          <w:highlight w:val="none"/>
        </w:rPr>
      </w:pPr>
      <w:r>
        <w:rPr>
          <w:rFonts w:ascii="宋体" w:hAnsi="宋体" w:eastAsia="宋体" w:cs="宋体"/>
          <w:spacing w:val="12"/>
          <w:sz w:val="20"/>
          <w:szCs w:val="20"/>
          <w:highlight w:val="none"/>
        </w:rPr>
        <w:t>2.按照“安全第一、预防为主</w:t>
      </w:r>
      <w:r>
        <w:rPr>
          <w:rFonts w:ascii="宋体" w:hAnsi="宋体" w:eastAsia="宋体" w:cs="宋体"/>
          <w:spacing w:val="-56"/>
          <w:sz w:val="20"/>
          <w:szCs w:val="20"/>
          <w:highlight w:val="none"/>
        </w:rPr>
        <w:t xml:space="preserve"> </w:t>
      </w:r>
      <w:r>
        <w:rPr>
          <w:rFonts w:ascii="宋体" w:hAnsi="宋体" w:eastAsia="宋体" w:cs="宋体"/>
          <w:spacing w:val="12"/>
          <w:sz w:val="20"/>
          <w:szCs w:val="20"/>
          <w:highlight w:val="none"/>
        </w:rPr>
        <w:t>”和坚持“管生产必须管安全</w:t>
      </w:r>
      <w:r>
        <w:rPr>
          <w:rFonts w:ascii="宋体" w:hAnsi="宋体" w:eastAsia="宋体" w:cs="宋体"/>
          <w:spacing w:val="-68"/>
          <w:sz w:val="20"/>
          <w:szCs w:val="20"/>
          <w:highlight w:val="none"/>
        </w:rPr>
        <w:t xml:space="preserve"> </w:t>
      </w:r>
      <w:r>
        <w:rPr>
          <w:rFonts w:ascii="宋体" w:hAnsi="宋体" w:eastAsia="宋体" w:cs="宋体"/>
          <w:spacing w:val="12"/>
          <w:sz w:val="20"/>
          <w:szCs w:val="20"/>
          <w:highlight w:val="none"/>
        </w:rPr>
        <w:t>”的原则进行安全生产管理，做到生产</w:t>
      </w:r>
      <w:r>
        <w:rPr>
          <w:rFonts w:ascii="宋体" w:hAnsi="宋体" w:eastAsia="宋体" w:cs="宋体"/>
          <w:spacing w:val="9"/>
          <w:sz w:val="20"/>
          <w:szCs w:val="20"/>
          <w:highlight w:val="none"/>
        </w:rPr>
        <w:t>与安全工作同时计划、布置、检查、总结和</w:t>
      </w:r>
      <w:r>
        <w:rPr>
          <w:rFonts w:ascii="宋体" w:hAnsi="宋体" w:eastAsia="宋体" w:cs="宋体"/>
          <w:spacing w:val="8"/>
          <w:sz w:val="20"/>
          <w:szCs w:val="20"/>
          <w:highlight w:val="none"/>
        </w:rPr>
        <w:t>评比。</w:t>
      </w:r>
    </w:p>
    <w:p w14:paraId="09831ACC">
      <w:pPr>
        <w:spacing w:before="2" w:line="368" w:lineRule="auto"/>
        <w:ind w:left="6" w:right="3" w:firstLine="425"/>
        <w:rPr>
          <w:rFonts w:ascii="宋体" w:hAnsi="宋体" w:eastAsia="宋体" w:cs="宋体"/>
          <w:sz w:val="20"/>
          <w:szCs w:val="20"/>
          <w:highlight w:val="none"/>
        </w:rPr>
      </w:pPr>
      <w:r>
        <w:rPr>
          <w:rFonts w:ascii="宋体" w:hAnsi="宋体" w:eastAsia="宋体" w:cs="宋体"/>
          <w:spacing w:val="13"/>
          <w:sz w:val="20"/>
          <w:szCs w:val="20"/>
          <w:highlight w:val="none"/>
        </w:rPr>
        <w:t>3.重要的安全设施必须坚持与主体工程“三同时</w:t>
      </w:r>
      <w:r>
        <w:rPr>
          <w:rFonts w:ascii="宋体" w:hAnsi="宋体" w:eastAsia="宋体" w:cs="宋体"/>
          <w:spacing w:val="-68"/>
          <w:sz w:val="20"/>
          <w:szCs w:val="20"/>
          <w:highlight w:val="none"/>
        </w:rPr>
        <w:t xml:space="preserve"> </w:t>
      </w:r>
      <w:r>
        <w:rPr>
          <w:rFonts w:ascii="宋体" w:hAnsi="宋体" w:eastAsia="宋体" w:cs="宋体"/>
          <w:spacing w:val="13"/>
          <w:sz w:val="20"/>
          <w:szCs w:val="20"/>
          <w:highlight w:val="none"/>
        </w:rPr>
        <w:t>”的原则，即：同时设计、审批，同时施工，</w:t>
      </w:r>
      <w:r>
        <w:rPr>
          <w:rFonts w:ascii="宋体" w:hAnsi="宋体" w:eastAsia="宋体" w:cs="宋体"/>
          <w:spacing w:val="12"/>
          <w:sz w:val="20"/>
          <w:szCs w:val="20"/>
          <w:highlight w:val="none"/>
        </w:rPr>
        <w:t>同时</w:t>
      </w:r>
      <w:r>
        <w:rPr>
          <w:rFonts w:ascii="宋体" w:hAnsi="宋体" w:eastAsia="宋体" w:cs="宋体"/>
          <w:spacing w:val="7"/>
          <w:sz w:val="20"/>
          <w:szCs w:val="20"/>
          <w:highlight w:val="none"/>
        </w:rPr>
        <w:t>验收，投入使用。</w:t>
      </w:r>
    </w:p>
    <w:p w14:paraId="74825FFD">
      <w:pPr>
        <w:spacing w:before="1" w:line="226" w:lineRule="auto"/>
        <w:ind w:left="426"/>
        <w:rPr>
          <w:rFonts w:ascii="宋体" w:hAnsi="宋体" w:eastAsia="宋体" w:cs="宋体"/>
          <w:sz w:val="20"/>
          <w:szCs w:val="20"/>
          <w:highlight w:val="none"/>
        </w:rPr>
      </w:pPr>
      <w:r>
        <w:rPr>
          <w:rFonts w:ascii="宋体" w:hAnsi="宋体" w:eastAsia="宋体" w:cs="宋体"/>
          <w:spacing w:val="9"/>
          <w:sz w:val="20"/>
          <w:szCs w:val="20"/>
          <w:highlight w:val="none"/>
        </w:rPr>
        <w:t>4.定期召开安全生产调度会，及时传达中央及地方有关安全生产的精神。</w:t>
      </w:r>
    </w:p>
    <w:p w14:paraId="4F287B08">
      <w:pPr>
        <w:spacing w:before="154" w:line="228" w:lineRule="auto"/>
        <w:ind w:left="431"/>
        <w:rPr>
          <w:rFonts w:ascii="宋体" w:hAnsi="宋体" w:eastAsia="宋体" w:cs="宋体"/>
          <w:sz w:val="20"/>
          <w:szCs w:val="20"/>
          <w:highlight w:val="none"/>
        </w:rPr>
      </w:pPr>
      <w:r>
        <w:rPr>
          <w:rFonts w:ascii="宋体" w:hAnsi="宋体" w:eastAsia="宋体" w:cs="宋体"/>
          <w:spacing w:val="9"/>
          <w:sz w:val="20"/>
          <w:szCs w:val="20"/>
          <w:highlight w:val="none"/>
        </w:rPr>
        <w:t>5.组织对乙方施工现场安全生产检查，监督乙方及时处理发现的各种安全隐患。</w:t>
      </w:r>
    </w:p>
    <w:p w14:paraId="5060EA16">
      <w:pPr>
        <w:spacing w:before="154" w:line="229" w:lineRule="auto"/>
        <w:ind w:left="430"/>
        <w:rPr>
          <w:rFonts w:ascii="宋体" w:hAnsi="宋体" w:eastAsia="宋体" w:cs="宋体"/>
          <w:sz w:val="20"/>
          <w:szCs w:val="20"/>
          <w:highlight w:val="none"/>
        </w:rPr>
      </w:pPr>
      <w:r>
        <w:rPr>
          <w:rFonts w:ascii="宋体" w:hAnsi="宋体" w:eastAsia="宋体" w:cs="宋体"/>
          <w:spacing w:val="7"/>
          <w:sz w:val="20"/>
          <w:szCs w:val="20"/>
          <w:highlight w:val="none"/>
        </w:rPr>
        <w:t>二、乙方职责</w:t>
      </w:r>
    </w:p>
    <w:p w14:paraId="796FFC4A">
      <w:pPr>
        <w:spacing w:before="151" w:line="370" w:lineRule="auto"/>
        <w:ind w:left="26" w:firstLine="415"/>
        <w:rPr>
          <w:rFonts w:ascii="宋体" w:hAnsi="宋体" w:eastAsia="宋体" w:cs="宋体"/>
          <w:sz w:val="20"/>
          <w:szCs w:val="20"/>
          <w:highlight w:val="none"/>
        </w:rPr>
      </w:pPr>
      <w:r>
        <w:rPr>
          <w:rFonts w:ascii="宋体" w:hAnsi="宋体" w:eastAsia="宋体" w:cs="宋体"/>
          <w:spacing w:val="14"/>
          <w:sz w:val="20"/>
          <w:szCs w:val="20"/>
          <w:highlight w:val="none"/>
        </w:rPr>
        <w:t>1.严格遵守国家有关安全生产的法律法规及建</w:t>
      </w:r>
      <w:r>
        <w:rPr>
          <w:rFonts w:ascii="宋体" w:hAnsi="宋体" w:eastAsia="宋体" w:cs="宋体"/>
          <w:spacing w:val="13"/>
          <w:sz w:val="20"/>
          <w:szCs w:val="20"/>
          <w:highlight w:val="none"/>
        </w:rPr>
        <w:t>筑工程有关安全生产的规定，认真执行工程承包合同</w:t>
      </w:r>
      <w:r>
        <w:rPr>
          <w:rFonts w:ascii="宋体" w:hAnsi="宋体" w:eastAsia="宋体" w:cs="宋体"/>
          <w:spacing w:val="5"/>
          <w:sz w:val="20"/>
          <w:szCs w:val="20"/>
          <w:highlight w:val="none"/>
        </w:rPr>
        <w:t>中的有关安全要求。</w:t>
      </w:r>
    </w:p>
    <w:p w14:paraId="4CF4C9DD">
      <w:pPr>
        <w:spacing w:before="3" w:line="368" w:lineRule="auto"/>
        <w:ind w:left="10" w:right="3" w:firstLine="419"/>
        <w:rPr>
          <w:rFonts w:ascii="宋体" w:hAnsi="宋体" w:eastAsia="宋体" w:cs="宋体"/>
          <w:sz w:val="20"/>
          <w:szCs w:val="20"/>
          <w:highlight w:val="none"/>
        </w:rPr>
      </w:pPr>
      <w:r>
        <w:rPr>
          <w:rFonts w:ascii="宋体" w:hAnsi="宋体" w:eastAsia="宋体" w:cs="宋体"/>
          <w:spacing w:val="12"/>
          <w:sz w:val="20"/>
          <w:szCs w:val="20"/>
          <w:highlight w:val="none"/>
        </w:rPr>
        <w:t>2.坚持“安全第一、预防为主</w:t>
      </w:r>
      <w:r>
        <w:rPr>
          <w:rFonts w:ascii="宋体" w:hAnsi="宋体" w:eastAsia="宋体" w:cs="宋体"/>
          <w:spacing w:val="-56"/>
          <w:sz w:val="20"/>
          <w:szCs w:val="20"/>
          <w:highlight w:val="none"/>
        </w:rPr>
        <w:t xml:space="preserve"> </w:t>
      </w:r>
      <w:r>
        <w:rPr>
          <w:rFonts w:ascii="宋体" w:hAnsi="宋体" w:eastAsia="宋体" w:cs="宋体"/>
          <w:spacing w:val="12"/>
          <w:sz w:val="20"/>
          <w:szCs w:val="20"/>
          <w:highlight w:val="none"/>
        </w:rPr>
        <w:t>”和“管生产必须管安全</w:t>
      </w:r>
      <w:r>
        <w:rPr>
          <w:rFonts w:ascii="宋体" w:hAnsi="宋体" w:eastAsia="宋体" w:cs="宋体"/>
          <w:spacing w:val="-68"/>
          <w:sz w:val="20"/>
          <w:szCs w:val="20"/>
          <w:highlight w:val="none"/>
        </w:rPr>
        <w:t xml:space="preserve"> </w:t>
      </w:r>
      <w:r>
        <w:rPr>
          <w:rFonts w:ascii="宋体" w:hAnsi="宋体" w:eastAsia="宋体" w:cs="宋体"/>
          <w:spacing w:val="12"/>
          <w:sz w:val="20"/>
          <w:szCs w:val="20"/>
          <w:highlight w:val="none"/>
        </w:rPr>
        <w:t>”的原则，加强安全生产宣传教育，增强全</w:t>
      </w:r>
      <w:r>
        <w:rPr>
          <w:rFonts w:ascii="宋体" w:hAnsi="宋体" w:eastAsia="宋体" w:cs="宋体"/>
          <w:spacing w:val="14"/>
          <w:sz w:val="20"/>
          <w:szCs w:val="20"/>
          <w:highlight w:val="none"/>
        </w:rPr>
        <w:t>员安全生产意识，建立健全各项安全生产的管理机构和安全生产管理制度，配备专职及</w:t>
      </w:r>
      <w:r>
        <w:rPr>
          <w:rFonts w:ascii="宋体" w:hAnsi="宋体" w:eastAsia="宋体" w:cs="宋体"/>
          <w:spacing w:val="13"/>
          <w:sz w:val="20"/>
          <w:szCs w:val="20"/>
          <w:highlight w:val="none"/>
        </w:rPr>
        <w:t>兼职安全检查人</w:t>
      </w:r>
      <w:r>
        <w:rPr>
          <w:rFonts w:ascii="宋体" w:hAnsi="宋体" w:eastAsia="宋体" w:cs="宋体"/>
          <w:spacing w:val="14"/>
          <w:sz w:val="20"/>
          <w:szCs w:val="20"/>
          <w:highlight w:val="none"/>
        </w:rPr>
        <w:t>员，有组织有领导地开展安全生产活动。各级领导、工程技术人员、生产管理人员和具</w:t>
      </w:r>
      <w:r>
        <w:rPr>
          <w:rFonts w:ascii="宋体" w:hAnsi="宋体" w:eastAsia="宋体" w:cs="宋体"/>
          <w:spacing w:val="13"/>
          <w:sz w:val="20"/>
          <w:szCs w:val="20"/>
          <w:highlight w:val="none"/>
        </w:rPr>
        <w:t>体操作人员，必</w:t>
      </w:r>
      <w:r>
        <w:rPr>
          <w:rFonts w:ascii="宋体" w:hAnsi="宋体" w:eastAsia="宋体" w:cs="宋体"/>
          <w:spacing w:val="9"/>
          <w:sz w:val="20"/>
          <w:szCs w:val="20"/>
          <w:highlight w:val="none"/>
        </w:rPr>
        <w:t>须熟悉和遵守本条款的各项规定，做到生产与安全工作同时计划、布置、检查、总结和评比。</w:t>
      </w:r>
    </w:p>
    <w:p w14:paraId="039C898E">
      <w:pPr>
        <w:spacing w:before="3" w:line="369" w:lineRule="auto"/>
        <w:ind w:left="8" w:firstLine="422"/>
        <w:rPr>
          <w:rFonts w:ascii="宋体" w:hAnsi="宋体" w:eastAsia="宋体" w:cs="宋体"/>
          <w:sz w:val="20"/>
          <w:szCs w:val="20"/>
          <w:highlight w:val="none"/>
        </w:rPr>
      </w:pPr>
      <w:r>
        <w:rPr>
          <w:rFonts w:ascii="宋体" w:hAnsi="宋体" w:eastAsia="宋体" w:cs="宋体"/>
          <w:spacing w:val="13"/>
          <w:sz w:val="20"/>
          <w:szCs w:val="20"/>
          <w:highlight w:val="none"/>
        </w:rPr>
        <w:t>3.建立健全安全生产责任制。从派往项目实施的项目负责人到生产工</w:t>
      </w:r>
      <w:r>
        <w:rPr>
          <w:rFonts w:ascii="宋体" w:hAnsi="宋体" w:eastAsia="宋体" w:cs="宋体"/>
          <w:spacing w:val="12"/>
          <w:sz w:val="20"/>
          <w:szCs w:val="20"/>
          <w:highlight w:val="none"/>
        </w:rPr>
        <w:t>人（包括临时雇请</w:t>
      </w:r>
      <w:r>
        <w:rPr>
          <w:rFonts w:hint="eastAsia" w:ascii="宋体" w:hAnsi="宋体" w:eastAsia="宋体" w:cs="宋体"/>
          <w:spacing w:val="12"/>
          <w:sz w:val="20"/>
          <w:szCs w:val="20"/>
          <w:highlight w:val="none"/>
          <w:lang w:eastAsia="zh-CN"/>
        </w:rPr>
        <w:t>的农</w:t>
      </w:r>
      <w:r>
        <w:rPr>
          <w:rFonts w:ascii="宋体" w:hAnsi="宋体" w:eastAsia="宋体" w:cs="宋体"/>
          <w:spacing w:val="12"/>
          <w:sz w:val="20"/>
          <w:szCs w:val="20"/>
          <w:highlight w:val="none"/>
        </w:rPr>
        <w:t>民工）</w:t>
      </w:r>
      <w:r>
        <w:rPr>
          <w:rFonts w:ascii="宋体" w:hAnsi="宋体" w:eastAsia="宋体" w:cs="宋体"/>
          <w:spacing w:val="-54"/>
          <w:sz w:val="20"/>
          <w:szCs w:val="20"/>
          <w:highlight w:val="none"/>
        </w:rPr>
        <w:t xml:space="preserve"> </w:t>
      </w:r>
      <w:r>
        <w:rPr>
          <w:rFonts w:ascii="宋体" w:hAnsi="宋体" w:eastAsia="宋体" w:cs="宋体"/>
          <w:spacing w:val="12"/>
          <w:sz w:val="20"/>
          <w:szCs w:val="20"/>
          <w:highlight w:val="none"/>
        </w:rPr>
        <w:t>的</w:t>
      </w:r>
      <w:r>
        <w:rPr>
          <w:rFonts w:ascii="宋体" w:hAnsi="宋体" w:eastAsia="宋体" w:cs="宋体"/>
          <w:spacing w:val="14"/>
          <w:sz w:val="20"/>
          <w:szCs w:val="20"/>
          <w:highlight w:val="none"/>
        </w:rPr>
        <w:t>安全生产管理系统必须做到纵向到底，一环不漏；各职能部门、人员的安全生产责任制做到横向</w:t>
      </w:r>
      <w:r>
        <w:rPr>
          <w:rFonts w:ascii="宋体" w:hAnsi="宋体" w:eastAsia="宋体" w:cs="宋体"/>
          <w:spacing w:val="13"/>
          <w:sz w:val="20"/>
          <w:szCs w:val="20"/>
          <w:highlight w:val="none"/>
        </w:rPr>
        <w:t>到边，</w:t>
      </w:r>
      <w:r>
        <w:rPr>
          <w:rFonts w:ascii="宋体" w:hAnsi="宋体" w:eastAsia="宋体" w:cs="宋体"/>
          <w:spacing w:val="9"/>
          <w:sz w:val="20"/>
          <w:szCs w:val="20"/>
          <w:highlight w:val="none"/>
        </w:rPr>
        <w:t>人人有责。项目负责人是安全生产的第一责任人。现场设置的安全机构，应按施工人员的</w:t>
      </w:r>
      <w:r>
        <w:rPr>
          <w:rFonts w:ascii="宋体" w:hAnsi="宋体" w:eastAsia="宋体" w:cs="宋体"/>
          <w:spacing w:val="-7"/>
          <w:sz w:val="20"/>
          <w:szCs w:val="20"/>
          <w:highlight w:val="none"/>
        </w:rPr>
        <w:t xml:space="preserve"> </w:t>
      </w:r>
      <w:r>
        <w:rPr>
          <w:rFonts w:hint="eastAsia" w:ascii="宋体" w:hAnsi="宋体" w:eastAsia="宋体" w:cs="宋体"/>
          <w:spacing w:val="-7"/>
          <w:sz w:val="20"/>
          <w:szCs w:val="20"/>
          <w:highlight w:val="none"/>
          <w:lang w:eastAsia="zh-CN"/>
        </w:rPr>
        <w:t>1%～3%</w:t>
      </w:r>
      <w:r>
        <w:rPr>
          <w:rFonts w:ascii="宋体" w:hAnsi="宋体" w:eastAsia="宋体" w:cs="宋体"/>
          <w:spacing w:val="9"/>
          <w:sz w:val="20"/>
          <w:szCs w:val="20"/>
          <w:highlight w:val="none"/>
        </w:rPr>
        <w:t>配备安全</w:t>
      </w:r>
      <w:r>
        <w:rPr>
          <w:rFonts w:ascii="宋体" w:hAnsi="宋体" w:eastAsia="宋体" w:cs="宋体"/>
          <w:spacing w:val="14"/>
          <w:sz w:val="20"/>
          <w:szCs w:val="20"/>
          <w:highlight w:val="none"/>
        </w:rPr>
        <w:t>员，专职负责所有员工的安全和治安保卫工作及预防事故的发生。安全机构人员，有权按有</w:t>
      </w:r>
      <w:r>
        <w:rPr>
          <w:rFonts w:ascii="宋体" w:hAnsi="宋体" w:eastAsia="宋体" w:cs="宋体"/>
          <w:spacing w:val="13"/>
          <w:sz w:val="20"/>
          <w:szCs w:val="20"/>
          <w:highlight w:val="none"/>
        </w:rPr>
        <w:t>关规定发布</w:t>
      </w:r>
      <w:r>
        <w:rPr>
          <w:rFonts w:ascii="宋体" w:hAnsi="宋体" w:eastAsia="宋体" w:cs="宋体"/>
          <w:spacing w:val="8"/>
          <w:sz w:val="20"/>
          <w:szCs w:val="20"/>
          <w:highlight w:val="none"/>
        </w:rPr>
        <w:t>指令，并采取保护性措施防止事故发生。</w:t>
      </w:r>
    </w:p>
    <w:p w14:paraId="5DEC8835">
      <w:pPr>
        <w:spacing w:before="2" w:line="368" w:lineRule="auto"/>
        <w:ind w:left="11" w:firstLine="414"/>
        <w:rPr>
          <w:rFonts w:ascii="宋体" w:hAnsi="宋体" w:eastAsia="宋体" w:cs="宋体"/>
          <w:sz w:val="20"/>
          <w:szCs w:val="20"/>
          <w:highlight w:val="none"/>
        </w:rPr>
      </w:pPr>
      <w:r>
        <w:rPr>
          <w:rFonts w:ascii="宋体" w:hAnsi="宋体" w:eastAsia="宋体" w:cs="宋体"/>
          <w:spacing w:val="14"/>
          <w:sz w:val="20"/>
          <w:szCs w:val="20"/>
          <w:highlight w:val="none"/>
        </w:rPr>
        <w:t>4.乙方在任何时候都应采取各种合理的预防措施，防止其员工发生任何违法、违禁、</w:t>
      </w:r>
      <w:r>
        <w:rPr>
          <w:rFonts w:ascii="宋体" w:hAnsi="宋体" w:eastAsia="宋体" w:cs="宋体"/>
          <w:spacing w:val="13"/>
          <w:sz w:val="20"/>
          <w:szCs w:val="20"/>
          <w:highlight w:val="none"/>
        </w:rPr>
        <w:t>暴力或妨碍治</w:t>
      </w:r>
      <w:r>
        <w:rPr>
          <w:rFonts w:ascii="宋体" w:hAnsi="宋体" w:eastAsia="宋体" w:cs="宋体"/>
          <w:spacing w:val="5"/>
          <w:sz w:val="20"/>
          <w:szCs w:val="20"/>
          <w:highlight w:val="none"/>
        </w:rPr>
        <w:t>安的行为。</w:t>
      </w:r>
    </w:p>
    <w:p w14:paraId="561EF301">
      <w:pPr>
        <w:spacing w:before="1" w:line="369" w:lineRule="auto"/>
        <w:ind w:left="6" w:right="3" w:firstLine="425"/>
        <w:rPr>
          <w:rFonts w:ascii="宋体" w:hAnsi="宋体" w:eastAsia="宋体" w:cs="宋体"/>
          <w:sz w:val="20"/>
          <w:szCs w:val="20"/>
          <w:highlight w:val="none"/>
        </w:rPr>
      </w:pPr>
      <w:r>
        <w:rPr>
          <w:rFonts w:ascii="宋体" w:hAnsi="宋体" w:eastAsia="宋体" w:cs="宋体"/>
          <w:spacing w:val="9"/>
          <w:sz w:val="20"/>
          <w:szCs w:val="20"/>
          <w:highlight w:val="none"/>
        </w:rPr>
        <w:t>5.乙方必须具有劳动安全管理部门颁发的安全生产证书，参加施工的人员，必须接受安全技术</w:t>
      </w:r>
      <w:r>
        <w:rPr>
          <w:rFonts w:ascii="宋体" w:hAnsi="宋体" w:eastAsia="宋体" w:cs="宋体"/>
          <w:spacing w:val="8"/>
          <w:sz w:val="20"/>
          <w:szCs w:val="20"/>
          <w:highlight w:val="none"/>
        </w:rPr>
        <w:t>教育，</w:t>
      </w:r>
      <w:r>
        <w:rPr>
          <w:rFonts w:ascii="宋体" w:hAnsi="宋体" w:eastAsia="宋体" w:cs="宋体"/>
          <w:spacing w:val="14"/>
          <w:sz w:val="20"/>
          <w:szCs w:val="20"/>
          <w:highlight w:val="none"/>
        </w:rPr>
        <w:t>熟知和遵守本工种的各项安全技术操作规程，定期进行安全技术考核，合格者方准上岗操作。对</w:t>
      </w:r>
      <w:r>
        <w:rPr>
          <w:rFonts w:ascii="宋体" w:hAnsi="宋体" w:eastAsia="宋体" w:cs="宋体"/>
          <w:spacing w:val="13"/>
          <w:sz w:val="20"/>
          <w:szCs w:val="20"/>
          <w:highlight w:val="none"/>
        </w:rPr>
        <w:t>于从事</w:t>
      </w:r>
      <w:r>
        <w:rPr>
          <w:rFonts w:ascii="宋体" w:hAnsi="宋体" w:eastAsia="宋体" w:cs="宋体"/>
          <w:spacing w:val="14"/>
          <w:sz w:val="20"/>
          <w:szCs w:val="20"/>
          <w:highlight w:val="none"/>
        </w:rPr>
        <w:t>电气、起重、建筑登高架设作业、锅炉、压力容器、焊接、机动车船艇驾驶、爆破、潜水、瓦斯</w:t>
      </w:r>
      <w:r>
        <w:rPr>
          <w:rFonts w:ascii="宋体" w:hAnsi="宋体" w:eastAsia="宋体" w:cs="宋体"/>
          <w:spacing w:val="13"/>
          <w:sz w:val="20"/>
          <w:szCs w:val="20"/>
          <w:highlight w:val="none"/>
        </w:rPr>
        <w:t>检验等</w:t>
      </w:r>
      <w:r>
        <w:rPr>
          <w:rFonts w:ascii="宋体" w:hAnsi="宋体" w:eastAsia="宋体" w:cs="宋体"/>
          <w:spacing w:val="14"/>
          <w:sz w:val="20"/>
          <w:szCs w:val="20"/>
          <w:highlight w:val="none"/>
        </w:rPr>
        <w:t>特殊工种的人员，经过专业培训，获得《安全</w:t>
      </w:r>
      <w:r>
        <w:rPr>
          <w:rFonts w:hint="eastAsia" w:ascii="宋体" w:hAnsi="宋体" w:eastAsia="宋体" w:cs="宋体"/>
          <w:spacing w:val="14"/>
          <w:sz w:val="20"/>
          <w:szCs w:val="20"/>
          <w:highlight w:val="none"/>
          <w:lang w:eastAsia="zh-CN"/>
        </w:rPr>
        <w:t>操作台</w:t>
      </w:r>
      <w:r>
        <w:rPr>
          <w:rFonts w:ascii="宋体" w:hAnsi="宋体" w:eastAsia="宋体" w:cs="宋体"/>
          <w:spacing w:val="14"/>
          <w:sz w:val="20"/>
          <w:szCs w:val="20"/>
          <w:highlight w:val="none"/>
        </w:rPr>
        <w:t>格证》后，方准持证上岗。施工现场如出现</w:t>
      </w:r>
      <w:r>
        <w:rPr>
          <w:rFonts w:ascii="宋体" w:hAnsi="宋体" w:eastAsia="宋体" w:cs="宋体"/>
          <w:spacing w:val="13"/>
          <w:sz w:val="20"/>
          <w:szCs w:val="20"/>
          <w:highlight w:val="none"/>
        </w:rPr>
        <w:t>特种作</w:t>
      </w:r>
      <w:r>
        <w:rPr>
          <w:rFonts w:ascii="宋体" w:hAnsi="宋体" w:eastAsia="宋体" w:cs="宋体"/>
          <w:spacing w:val="9"/>
          <w:sz w:val="20"/>
          <w:szCs w:val="20"/>
          <w:highlight w:val="none"/>
        </w:rPr>
        <w:t>业无证操作现象，项目负责人必须承担管理责任。</w:t>
      </w:r>
    </w:p>
    <w:p w14:paraId="2F95F32C">
      <w:pPr>
        <w:spacing w:before="181" w:line="228" w:lineRule="auto"/>
        <w:ind w:left="8"/>
        <w:rPr>
          <w:rFonts w:ascii="宋体" w:hAnsi="宋体" w:eastAsia="宋体" w:cs="宋体"/>
          <w:sz w:val="20"/>
          <w:szCs w:val="20"/>
          <w:highlight w:val="none"/>
        </w:rPr>
      </w:pPr>
      <w:r>
        <w:rPr>
          <w:rFonts w:ascii="宋体" w:hAnsi="宋体" w:eastAsia="宋体" w:cs="宋体"/>
          <w:spacing w:val="14"/>
          <w:sz w:val="20"/>
          <w:szCs w:val="20"/>
          <w:highlight w:val="none"/>
        </w:rPr>
        <w:t>6.对于易燃易爆的材料除应专门妥善保管</w:t>
      </w:r>
      <w:r>
        <w:rPr>
          <w:rFonts w:hint="eastAsia" w:ascii="宋体" w:hAnsi="宋体" w:eastAsia="宋体" w:cs="宋体"/>
          <w:spacing w:val="14"/>
          <w:sz w:val="20"/>
          <w:szCs w:val="20"/>
          <w:highlight w:val="none"/>
          <w:lang w:eastAsia="zh-CN"/>
        </w:rPr>
        <w:t>之外，还应配备足够</w:t>
      </w:r>
      <w:r>
        <w:rPr>
          <w:rFonts w:ascii="宋体" w:hAnsi="宋体" w:eastAsia="宋体" w:cs="宋体"/>
          <w:spacing w:val="14"/>
          <w:sz w:val="20"/>
          <w:szCs w:val="20"/>
          <w:highlight w:val="none"/>
        </w:rPr>
        <w:t>的消防设施，</w:t>
      </w:r>
      <w:r>
        <w:rPr>
          <w:rFonts w:ascii="宋体" w:hAnsi="宋体" w:eastAsia="宋体" w:cs="宋体"/>
          <w:spacing w:val="13"/>
          <w:sz w:val="20"/>
          <w:szCs w:val="20"/>
          <w:highlight w:val="none"/>
        </w:rPr>
        <w:t>所有施工人员都应熟悉消防设备的性能和使用方法；</w:t>
      </w:r>
      <w:r>
        <w:rPr>
          <w:rFonts w:ascii="宋体" w:hAnsi="宋体" w:eastAsia="宋体" w:cs="宋体"/>
          <w:spacing w:val="-51"/>
          <w:sz w:val="20"/>
          <w:szCs w:val="20"/>
          <w:highlight w:val="none"/>
        </w:rPr>
        <w:t xml:space="preserve"> </w:t>
      </w:r>
      <w:r>
        <w:rPr>
          <w:rFonts w:ascii="宋体" w:hAnsi="宋体" w:eastAsia="宋体" w:cs="宋体"/>
          <w:spacing w:val="13"/>
          <w:sz w:val="20"/>
          <w:szCs w:val="20"/>
          <w:highlight w:val="none"/>
        </w:rPr>
        <w:t>乙方不得将任何种类的爆炸物给予、易货或</w:t>
      </w:r>
      <w:r>
        <w:rPr>
          <w:rFonts w:ascii="宋体" w:hAnsi="宋体" w:eastAsia="宋体" w:cs="宋体"/>
          <w:spacing w:val="12"/>
          <w:sz w:val="20"/>
          <w:szCs w:val="20"/>
          <w:highlight w:val="none"/>
        </w:rPr>
        <w:t>以其他方式转让给任何其他</w:t>
      </w:r>
      <w:r>
        <w:rPr>
          <w:rFonts w:ascii="宋体" w:hAnsi="宋体" w:eastAsia="宋体" w:cs="宋体"/>
          <w:spacing w:val="8"/>
          <w:sz w:val="20"/>
          <w:szCs w:val="20"/>
          <w:highlight w:val="none"/>
        </w:rPr>
        <w:t>人，或允许、容忍上述同样行为。</w:t>
      </w:r>
    </w:p>
    <w:p w14:paraId="03855E9F">
      <w:pPr>
        <w:spacing w:before="153" w:line="369" w:lineRule="auto"/>
        <w:ind w:left="11" w:firstLine="420"/>
        <w:rPr>
          <w:rFonts w:ascii="宋体" w:hAnsi="宋体" w:eastAsia="宋体" w:cs="宋体"/>
          <w:sz w:val="20"/>
          <w:szCs w:val="20"/>
          <w:highlight w:val="none"/>
        </w:rPr>
      </w:pPr>
      <w:r>
        <w:rPr>
          <w:rFonts w:ascii="宋体" w:hAnsi="宋体" w:eastAsia="宋体" w:cs="宋体"/>
          <w:spacing w:val="14"/>
          <w:sz w:val="20"/>
          <w:szCs w:val="20"/>
          <w:highlight w:val="none"/>
        </w:rPr>
        <w:t>7.操作人员上岗，必须按规定穿戴防护用品。项目经理和安全检查员应</w:t>
      </w:r>
      <w:r>
        <w:rPr>
          <w:rFonts w:ascii="宋体" w:hAnsi="宋体" w:eastAsia="宋体" w:cs="宋体"/>
          <w:spacing w:val="13"/>
          <w:sz w:val="20"/>
          <w:szCs w:val="20"/>
          <w:highlight w:val="none"/>
        </w:rPr>
        <w:t>随时检查劳动防护用品的穿</w:t>
      </w:r>
      <w:r>
        <w:rPr>
          <w:rFonts w:ascii="宋体" w:hAnsi="宋体" w:eastAsia="宋体" w:cs="宋体"/>
          <w:spacing w:val="9"/>
          <w:sz w:val="20"/>
          <w:szCs w:val="20"/>
          <w:highlight w:val="none"/>
        </w:rPr>
        <w:t>戴情况，不按规定穿戴防护用品的人员不得</w:t>
      </w:r>
      <w:r>
        <w:rPr>
          <w:rFonts w:ascii="宋体" w:hAnsi="宋体" w:eastAsia="宋体" w:cs="宋体"/>
          <w:spacing w:val="8"/>
          <w:sz w:val="20"/>
          <w:szCs w:val="20"/>
          <w:highlight w:val="none"/>
        </w:rPr>
        <w:t>上岗。</w:t>
      </w:r>
    </w:p>
    <w:p w14:paraId="54F59F1F">
      <w:pPr>
        <w:spacing w:before="2" w:line="369" w:lineRule="auto"/>
        <w:ind w:left="6" w:firstLine="420"/>
        <w:rPr>
          <w:rFonts w:ascii="宋体" w:hAnsi="宋体" w:eastAsia="宋体" w:cs="宋体"/>
          <w:sz w:val="20"/>
          <w:szCs w:val="20"/>
          <w:highlight w:val="none"/>
        </w:rPr>
      </w:pPr>
      <w:r>
        <w:rPr>
          <w:rFonts w:ascii="宋体" w:hAnsi="宋体" w:eastAsia="宋体" w:cs="宋体"/>
          <w:spacing w:val="14"/>
          <w:sz w:val="20"/>
          <w:szCs w:val="20"/>
          <w:highlight w:val="none"/>
        </w:rPr>
        <w:t>8.所有施工机械设备和高空作业的设备均应定期检查，并有安全员的签字记录，</w:t>
      </w:r>
      <w:r>
        <w:rPr>
          <w:rFonts w:ascii="宋体" w:hAnsi="宋体" w:eastAsia="宋体" w:cs="宋体"/>
          <w:spacing w:val="13"/>
          <w:sz w:val="20"/>
          <w:szCs w:val="20"/>
          <w:highlight w:val="none"/>
        </w:rPr>
        <w:t>保证其经常处于完</w:t>
      </w:r>
      <w:r>
        <w:rPr>
          <w:rFonts w:ascii="宋体" w:hAnsi="宋体" w:eastAsia="宋体" w:cs="宋体"/>
          <w:spacing w:val="9"/>
          <w:sz w:val="20"/>
          <w:szCs w:val="20"/>
          <w:highlight w:val="none"/>
        </w:rPr>
        <w:t>好状态；不合格的机具、设备和劳动保护用品严禁使用。</w:t>
      </w:r>
    </w:p>
    <w:p w14:paraId="417F8A58">
      <w:pPr>
        <w:spacing w:before="1" w:line="368" w:lineRule="auto"/>
        <w:ind w:left="11" w:firstLine="416"/>
        <w:rPr>
          <w:rFonts w:ascii="宋体" w:hAnsi="宋体" w:eastAsia="宋体" w:cs="宋体"/>
          <w:sz w:val="20"/>
          <w:szCs w:val="20"/>
          <w:highlight w:val="none"/>
        </w:rPr>
      </w:pPr>
      <w:r>
        <w:rPr>
          <w:rFonts w:ascii="宋体" w:hAnsi="宋体" w:eastAsia="宋体" w:cs="宋体"/>
          <w:spacing w:val="14"/>
          <w:sz w:val="20"/>
          <w:szCs w:val="20"/>
          <w:highlight w:val="none"/>
        </w:rPr>
        <w:t>9.施工中采用新技术、新工艺、新设备、新材料时，必须制定相应的安全技术措</w:t>
      </w:r>
      <w:r>
        <w:rPr>
          <w:rFonts w:ascii="宋体" w:hAnsi="宋体" w:eastAsia="宋体" w:cs="宋体"/>
          <w:spacing w:val="13"/>
          <w:sz w:val="20"/>
          <w:szCs w:val="20"/>
          <w:highlight w:val="none"/>
        </w:rPr>
        <w:t>施，施工现场必须</w:t>
      </w:r>
      <w:r>
        <w:rPr>
          <w:rFonts w:ascii="宋体" w:hAnsi="宋体" w:eastAsia="宋体" w:cs="宋体"/>
          <w:spacing w:val="7"/>
          <w:sz w:val="20"/>
          <w:szCs w:val="20"/>
          <w:highlight w:val="none"/>
        </w:rPr>
        <w:t>具有相关的安全标志牌。</w:t>
      </w:r>
    </w:p>
    <w:p w14:paraId="055BC3EF">
      <w:pPr>
        <w:spacing w:before="1" w:line="369" w:lineRule="auto"/>
        <w:ind w:left="9" w:right="3" w:firstLine="432"/>
        <w:rPr>
          <w:rFonts w:ascii="宋体" w:hAnsi="宋体" w:eastAsia="宋体" w:cs="宋体"/>
          <w:sz w:val="20"/>
          <w:szCs w:val="20"/>
          <w:highlight w:val="none"/>
        </w:rPr>
      </w:pPr>
      <w:r>
        <w:rPr>
          <w:rFonts w:ascii="宋体" w:hAnsi="宋体" w:eastAsia="宋体" w:cs="宋体"/>
          <w:spacing w:val="11"/>
          <w:sz w:val="20"/>
          <w:szCs w:val="20"/>
          <w:highlight w:val="none"/>
        </w:rPr>
        <w:t>10.乙方必须按照本工程项目特点，组织制定本工程实施中的生产安全事故应急救援预案；</w:t>
      </w:r>
      <w:r>
        <w:rPr>
          <w:rFonts w:ascii="宋体" w:hAnsi="宋体" w:eastAsia="宋体" w:cs="宋体"/>
          <w:spacing w:val="10"/>
          <w:sz w:val="20"/>
          <w:szCs w:val="20"/>
          <w:highlight w:val="none"/>
        </w:rPr>
        <w:t>如果发生</w:t>
      </w:r>
      <w:r>
        <w:rPr>
          <w:rFonts w:ascii="宋体" w:hAnsi="宋体" w:eastAsia="宋体" w:cs="宋体"/>
          <w:spacing w:val="13"/>
          <w:sz w:val="20"/>
          <w:szCs w:val="20"/>
          <w:highlight w:val="none"/>
        </w:rPr>
        <w:t>安全事故，应按照《国务院关于特大安全事故行政责任追究的规定》</w:t>
      </w:r>
      <w:r>
        <w:rPr>
          <w:rFonts w:ascii="宋体" w:hAnsi="宋体" w:eastAsia="宋体" w:cs="宋体"/>
          <w:spacing w:val="-50"/>
          <w:sz w:val="20"/>
          <w:szCs w:val="20"/>
          <w:highlight w:val="none"/>
        </w:rPr>
        <w:t xml:space="preserve"> </w:t>
      </w:r>
      <w:r>
        <w:rPr>
          <w:rFonts w:ascii="宋体" w:hAnsi="宋体" w:eastAsia="宋体" w:cs="宋体"/>
          <w:spacing w:val="13"/>
          <w:sz w:val="20"/>
          <w:szCs w:val="20"/>
          <w:highlight w:val="none"/>
        </w:rPr>
        <w:t>以及其它</w:t>
      </w:r>
      <w:r>
        <w:rPr>
          <w:rFonts w:ascii="宋体" w:hAnsi="宋体" w:eastAsia="宋体" w:cs="宋体"/>
          <w:spacing w:val="12"/>
          <w:sz w:val="20"/>
          <w:szCs w:val="20"/>
          <w:highlight w:val="none"/>
        </w:rPr>
        <w:t>有关规定，及时上报有关</w:t>
      </w:r>
      <w:r>
        <w:rPr>
          <w:rFonts w:ascii="宋体" w:hAnsi="宋体" w:eastAsia="宋体" w:cs="宋体"/>
          <w:spacing w:val="7"/>
          <w:sz w:val="20"/>
          <w:szCs w:val="20"/>
          <w:highlight w:val="none"/>
        </w:rPr>
        <w:t>部门，并坚持“</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四不放过</w:t>
      </w:r>
      <w:r>
        <w:rPr>
          <w:rFonts w:ascii="宋体" w:hAnsi="宋体" w:eastAsia="宋体" w:cs="宋体"/>
          <w:spacing w:val="-70"/>
          <w:sz w:val="20"/>
          <w:szCs w:val="20"/>
          <w:highlight w:val="none"/>
        </w:rPr>
        <w:t xml:space="preserve"> </w:t>
      </w:r>
      <w:r>
        <w:rPr>
          <w:rFonts w:ascii="宋体" w:hAnsi="宋体" w:eastAsia="宋体" w:cs="宋体"/>
          <w:spacing w:val="7"/>
          <w:sz w:val="20"/>
          <w:szCs w:val="20"/>
          <w:highlight w:val="none"/>
        </w:rPr>
        <w:t>”的原则，严肃处理相</w:t>
      </w:r>
      <w:r>
        <w:rPr>
          <w:rFonts w:ascii="宋体" w:hAnsi="宋体" w:eastAsia="宋体" w:cs="宋体"/>
          <w:spacing w:val="6"/>
          <w:sz w:val="20"/>
          <w:szCs w:val="20"/>
          <w:highlight w:val="none"/>
        </w:rPr>
        <w:t>关责任人。</w:t>
      </w:r>
    </w:p>
    <w:p w14:paraId="12486D43">
      <w:pPr>
        <w:spacing w:line="227" w:lineRule="auto"/>
        <w:ind w:left="426"/>
        <w:rPr>
          <w:rFonts w:ascii="宋体" w:hAnsi="宋体" w:eastAsia="宋体" w:cs="宋体"/>
          <w:sz w:val="20"/>
          <w:szCs w:val="20"/>
          <w:highlight w:val="none"/>
        </w:rPr>
      </w:pPr>
      <w:r>
        <w:rPr>
          <w:rFonts w:ascii="宋体" w:hAnsi="宋体" w:eastAsia="宋体" w:cs="宋体"/>
          <w:spacing w:val="8"/>
          <w:sz w:val="20"/>
          <w:szCs w:val="20"/>
          <w:highlight w:val="none"/>
        </w:rPr>
        <w:t>三、违约责任</w:t>
      </w:r>
    </w:p>
    <w:p w14:paraId="08493656">
      <w:pPr>
        <w:spacing w:before="155" w:line="227" w:lineRule="auto"/>
        <w:ind w:left="430"/>
        <w:rPr>
          <w:rFonts w:ascii="宋体" w:hAnsi="宋体" w:eastAsia="宋体" w:cs="宋体"/>
          <w:sz w:val="20"/>
          <w:szCs w:val="20"/>
          <w:highlight w:val="none"/>
        </w:rPr>
      </w:pPr>
      <w:r>
        <w:rPr>
          <w:rFonts w:ascii="宋体" w:hAnsi="宋体" w:eastAsia="宋体" w:cs="宋体"/>
          <w:spacing w:val="9"/>
          <w:sz w:val="20"/>
          <w:szCs w:val="20"/>
          <w:highlight w:val="none"/>
        </w:rPr>
        <w:t>如因甲方或乙方违约造成安全事故，将依法追究责任。</w:t>
      </w:r>
    </w:p>
    <w:p w14:paraId="125AD605">
      <w:pPr>
        <w:spacing w:before="153" w:line="371" w:lineRule="auto"/>
        <w:ind w:left="9" w:right="3" w:firstLine="418"/>
        <w:rPr>
          <w:rFonts w:ascii="宋体" w:hAnsi="宋体" w:eastAsia="宋体" w:cs="宋体"/>
          <w:sz w:val="20"/>
          <w:szCs w:val="20"/>
          <w:highlight w:val="none"/>
        </w:rPr>
      </w:pPr>
      <w:r>
        <w:rPr>
          <w:rFonts w:ascii="宋体" w:hAnsi="宋体" w:eastAsia="宋体" w:cs="宋体"/>
          <w:spacing w:val="13"/>
          <w:sz w:val="20"/>
          <w:szCs w:val="20"/>
          <w:highlight w:val="none"/>
        </w:rPr>
        <w:t>本合同作为主合同附件，</w:t>
      </w:r>
      <w:r>
        <w:rPr>
          <w:rFonts w:ascii="宋体" w:hAnsi="宋体" w:eastAsia="宋体" w:cs="宋体"/>
          <w:spacing w:val="-53"/>
          <w:sz w:val="20"/>
          <w:szCs w:val="20"/>
          <w:highlight w:val="none"/>
        </w:rPr>
        <w:t xml:space="preserve"> </w:t>
      </w:r>
      <w:r>
        <w:rPr>
          <w:rFonts w:ascii="宋体" w:hAnsi="宋体" w:eastAsia="宋体" w:cs="宋体"/>
          <w:spacing w:val="13"/>
          <w:sz w:val="20"/>
          <w:szCs w:val="20"/>
          <w:highlight w:val="none"/>
        </w:rPr>
        <w:t>由双方法定代表人或其授权的代理人签署与加盖公章后生效，全部工程竣</w:t>
      </w:r>
      <w:r>
        <w:rPr>
          <w:rFonts w:ascii="宋体" w:hAnsi="宋体" w:eastAsia="宋体" w:cs="宋体"/>
          <w:spacing w:val="6"/>
          <w:sz w:val="20"/>
          <w:szCs w:val="20"/>
          <w:highlight w:val="none"/>
        </w:rPr>
        <w:t>工验收后失效。</w:t>
      </w:r>
    </w:p>
    <w:p w14:paraId="72159693">
      <w:pPr>
        <w:pStyle w:val="9"/>
        <w:spacing w:line="328" w:lineRule="auto"/>
        <w:rPr>
          <w:highlight w:val="none"/>
        </w:rPr>
      </w:pPr>
    </w:p>
    <w:p w14:paraId="532AE31C">
      <w:pPr>
        <w:spacing w:before="65" w:line="227" w:lineRule="auto"/>
        <w:ind w:left="10"/>
        <w:rPr>
          <w:rFonts w:ascii="宋体" w:hAnsi="宋体" w:eastAsia="宋体" w:cs="宋体"/>
          <w:sz w:val="20"/>
          <w:szCs w:val="20"/>
          <w:highlight w:val="none"/>
        </w:rPr>
      </w:pPr>
      <w:r>
        <w:rPr>
          <w:rFonts w:ascii="宋体" w:hAnsi="宋体" w:eastAsia="宋体" w:cs="宋体"/>
          <w:spacing w:val="7"/>
          <w:sz w:val="20"/>
          <w:szCs w:val="20"/>
          <w:highlight w:val="none"/>
        </w:rPr>
        <w:t>发包人：                          承包人</w:t>
      </w:r>
      <w:r>
        <w:rPr>
          <w:rFonts w:ascii="宋体" w:hAnsi="宋体" w:eastAsia="宋体" w:cs="宋体"/>
          <w:spacing w:val="-5"/>
          <w:sz w:val="20"/>
          <w:szCs w:val="20"/>
          <w:highlight w:val="none"/>
        </w:rPr>
        <w:t>：（</w:t>
      </w:r>
      <w:r>
        <w:rPr>
          <w:rFonts w:ascii="宋体" w:hAnsi="宋体" w:eastAsia="宋体" w:cs="宋体"/>
          <w:spacing w:val="7"/>
          <w:sz w:val="20"/>
          <w:szCs w:val="20"/>
          <w:highlight w:val="none"/>
        </w:rPr>
        <w:t>联合体牵</w:t>
      </w:r>
      <w:r>
        <w:rPr>
          <w:rFonts w:ascii="宋体" w:hAnsi="宋体" w:eastAsia="宋体" w:cs="宋体"/>
          <w:spacing w:val="6"/>
          <w:sz w:val="20"/>
          <w:szCs w:val="20"/>
          <w:highlight w:val="none"/>
        </w:rPr>
        <w:t>头人）</w:t>
      </w:r>
    </w:p>
    <w:p w14:paraId="03EB652E">
      <w:pPr>
        <w:pStyle w:val="9"/>
        <w:spacing w:line="242" w:lineRule="auto"/>
        <w:rPr>
          <w:highlight w:val="none"/>
        </w:rPr>
      </w:pPr>
      <w:r>
        <w:rPr>
          <w:rFonts w:hint="eastAsia"/>
          <w:highlight w:val="none"/>
          <w:lang w:eastAsia="zh-CN"/>
        </w:rPr>
        <w:t>崇左市江州区农业农村局</w:t>
      </w:r>
    </w:p>
    <w:p w14:paraId="2F246EA7">
      <w:pPr>
        <w:pStyle w:val="9"/>
        <w:spacing w:line="243" w:lineRule="auto"/>
        <w:rPr>
          <w:highlight w:val="none"/>
        </w:rPr>
      </w:pPr>
    </w:p>
    <w:p w14:paraId="1282A869">
      <w:pPr>
        <w:spacing w:before="65" w:line="227" w:lineRule="auto"/>
        <w:ind w:left="17"/>
        <w:rPr>
          <w:rFonts w:ascii="宋体" w:hAnsi="宋体" w:eastAsia="宋体" w:cs="宋体"/>
          <w:sz w:val="20"/>
          <w:szCs w:val="20"/>
          <w:highlight w:val="none"/>
        </w:rPr>
      </w:pPr>
      <w:r>
        <w:rPr>
          <w:rFonts w:ascii="宋体" w:hAnsi="宋体" w:eastAsia="宋体" w:cs="宋体"/>
          <w:spacing w:val="10"/>
          <w:sz w:val="20"/>
          <w:szCs w:val="20"/>
          <w:highlight w:val="none"/>
        </w:rPr>
        <w:t>（公章或合同专用章</w:t>
      </w:r>
      <w:r>
        <w:rPr>
          <w:rFonts w:ascii="宋体" w:hAnsi="宋体" w:eastAsia="宋体" w:cs="宋体"/>
          <w:spacing w:val="-14"/>
          <w:sz w:val="20"/>
          <w:szCs w:val="20"/>
          <w:highlight w:val="none"/>
        </w:rPr>
        <w:t>）</w:t>
      </w:r>
      <w:r>
        <w:rPr>
          <w:rFonts w:ascii="宋体" w:hAnsi="宋体" w:eastAsia="宋体" w:cs="宋体"/>
          <w:spacing w:val="6"/>
          <w:sz w:val="20"/>
          <w:szCs w:val="20"/>
          <w:highlight w:val="none"/>
        </w:rPr>
        <w:t xml:space="preserve">             </w:t>
      </w:r>
      <w:r>
        <w:rPr>
          <w:rFonts w:ascii="宋体" w:hAnsi="宋体" w:eastAsia="宋体" w:cs="宋体"/>
          <w:spacing w:val="-14"/>
          <w:sz w:val="20"/>
          <w:szCs w:val="20"/>
          <w:highlight w:val="none"/>
        </w:rPr>
        <w:t>（</w:t>
      </w:r>
      <w:r>
        <w:rPr>
          <w:rFonts w:ascii="宋体" w:hAnsi="宋体" w:eastAsia="宋体" w:cs="宋体"/>
          <w:spacing w:val="10"/>
          <w:sz w:val="20"/>
          <w:szCs w:val="20"/>
          <w:highlight w:val="none"/>
        </w:rPr>
        <w:t>公章或合同专用章）</w:t>
      </w:r>
    </w:p>
    <w:p w14:paraId="4186030D">
      <w:pPr>
        <w:pStyle w:val="9"/>
        <w:spacing w:line="243" w:lineRule="auto"/>
        <w:rPr>
          <w:highlight w:val="none"/>
        </w:rPr>
      </w:pPr>
    </w:p>
    <w:p w14:paraId="560FE001">
      <w:pPr>
        <w:pStyle w:val="9"/>
        <w:spacing w:line="244" w:lineRule="auto"/>
        <w:rPr>
          <w:highlight w:val="none"/>
        </w:rPr>
      </w:pPr>
    </w:p>
    <w:p w14:paraId="750763F1">
      <w:pPr>
        <w:spacing w:before="66" w:line="228" w:lineRule="auto"/>
        <w:ind w:left="7"/>
        <w:rPr>
          <w:rFonts w:ascii="宋体" w:hAnsi="宋体" w:eastAsia="宋体" w:cs="宋体"/>
          <w:sz w:val="20"/>
          <w:szCs w:val="20"/>
          <w:highlight w:val="none"/>
        </w:rPr>
      </w:pPr>
      <w:r>
        <w:rPr>
          <w:rFonts w:ascii="宋体" w:hAnsi="宋体" w:eastAsia="宋体" w:cs="宋体"/>
          <w:spacing w:val="6"/>
          <w:sz w:val="20"/>
          <w:szCs w:val="20"/>
          <w:highlight w:val="none"/>
        </w:rPr>
        <w:t>法定代表人：</w:t>
      </w:r>
      <w:r>
        <w:rPr>
          <w:rFonts w:ascii="宋体" w:hAnsi="宋体" w:eastAsia="宋体" w:cs="宋体"/>
          <w:spacing w:val="1"/>
          <w:sz w:val="20"/>
          <w:szCs w:val="20"/>
          <w:highlight w:val="none"/>
        </w:rPr>
        <w:t xml:space="preserve">                        </w:t>
      </w:r>
      <w:r>
        <w:rPr>
          <w:rFonts w:ascii="宋体" w:hAnsi="宋体" w:eastAsia="宋体" w:cs="宋体"/>
          <w:spacing w:val="6"/>
          <w:sz w:val="20"/>
          <w:szCs w:val="20"/>
          <w:highlight w:val="none"/>
        </w:rPr>
        <w:t>法定代表人：</w:t>
      </w:r>
    </w:p>
    <w:p w14:paraId="1ACA2826">
      <w:pPr>
        <w:spacing w:before="151" w:line="227" w:lineRule="auto"/>
        <w:ind w:left="17"/>
        <w:rPr>
          <w:rFonts w:ascii="宋体" w:hAnsi="宋体" w:eastAsia="宋体" w:cs="宋体"/>
          <w:sz w:val="20"/>
          <w:szCs w:val="20"/>
          <w:highlight w:val="none"/>
        </w:rPr>
      </w:pPr>
      <w:r>
        <w:rPr>
          <w:rFonts w:ascii="宋体" w:hAnsi="宋体" w:eastAsia="宋体" w:cs="宋体"/>
          <w:spacing w:val="9"/>
          <w:sz w:val="20"/>
          <w:szCs w:val="20"/>
          <w:highlight w:val="none"/>
        </w:rPr>
        <w:t>（签字或盖章</w:t>
      </w:r>
      <w:r>
        <w:rPr>
          <w:rFonts w:ascii="宋体" w:hAnsi="宋体" w:eastAsia="宋体" w:cs="宋体"/>
          <w:spacing w:val="-9"/>
          <w:sz w:val="20"/>
          <w:szCs w:val="20"/>
          <w:highlight w:val="none"/>
        </w:rPr>
        <w:t>）</w:t>
      </w:r>
      <w:r>
        <w:rPr>
          <w:rFonts w:ascii="宋体" w:hAnsi="宋体" w:eastAsia="宋体" w:cs="宋体"/>
          <w:sz w:val="20"/>
          <w:szCs w:val="20"/>
          <w:highlight w:val="none"/>
        </w:rPr>
        <w:t xml:space="preserve">                     </w:t>
      </w:r>
      <w:r>
        <w:rPr>
          <w:rFonts w:ascii="宋体" w:hAnsi="宋体" w:eastAsia="宋体" w:cs="宋体"/>
          <w:spacing w:val="-9"/>
          <w:sz w:val="20"/>
          <w:szCs w:val="20"/>
          <w:highlight w:val="none"/>
        </w:rPr>
        <w:t>（</w:t>
      </w:r>
      <w:r>
        <w:rPr>
          <w:rFonts w:ascii="宋体" w:hAnsi="宋体" w:eastAsia="宋体" w:cs="宋体"/>
          <w:spacing w:val="9"/>
          <w:sz w:val="20"/>
          <w:szCs w:val="20"/>
          <w:highlight w:val="none"/>
        </w:rPr>
        <w:t>签字或盖章）</w:t>
      </w:r>
    </w:p>
    <w:p w14:paraId="4C0B5C5B">
      <w:pPr>
        <w:pStyle w:val="9"/>
        <w:spacing w:line="243" w:lineRule="auto"/>
        <w:rPr>
          <w:highlight w:val="none"/>
        </w:rPr>
      </w:pPr>
    </w:p>
    <w:p w14:paraId="63C1BAB5">
      <w:pPr>
        <w:pStyle w:val="9"/>
        <w:spacing w:line="244" w:lineRule="auto"/>
        <w:rPr>
          <w:highlight w:val="none"/>
        </w:rPr>
      </w:pPr>
    </w:p>
    <w:p w14:paraId="0711EB68">
      <w:pPr>
        <w:spacing w:before="66" w:line="237" w:lineRule="auto"/>
        <w:ind w:left="6"/>
        <w:rPr>
          <w:rFonts w:ascii="宋体" w:hAnsi="宋体" w:eastAsia="宋体" w:cs="宋体"/>
          <w:sz w:val="20"/>
          <w:szCs w:val="20"/>
          <w:highlight w:val="none"/>
        </w:rPr>
      </w:pPr>
      <w:r>
        <w:rPr>
          <w:rFonts w:ascii="宋体" w:hAnsi="宋体" w:eastAsia="宋体" w:cs="宋体"/>
          <w:spacing w:val="2"/>
          <w:sz w:val="20"/>
          <w:szCs w:val="20"/>
          <w:highlight w:val="none"/>
        </w:rPr>
        <w:t>地址：                           地址：</w:t>
      </w:r>
    </w:p>
    <w:p w14:paraId="051BE9F7">
      <w:pPr>
        <w:spacing w:before="142" w:line="228" w:lineRule="auto"/>
        <w:ind w:left="42"/>
        <w:rPr>
          <w:rFonts w:ascii="宋体" w:hAnsi="宋体" w:eastAsia="宋体" w:cs="宋体"/>
          <w:sz w:val="20"/>
          <w:szCs w:val="20"/>
          <w:highlight w:val="none"/>
        </w:rPr>
      </w:pPr>
      <w:r>
        <w:rPr>
          <w:rFonts w:ascii="宋体" w:hAnsi="宋体" w:eastAsia="宋体" w:cs="宋体"/>
          <w:spacing w:val="-5"/>
          <w:sz w:val="20"/>
          <w:szCs w:val="20"/>
          <w:highlight w:val="none"/>
        </w:rPr>
        <w:t>日期：                             日期：</w:t>
      </w:r>
    </w:p>
    <w:p w14:paraId="7EE4499B">
      <w:pPr>
        <w:spacing w:line="228" w:lineRule="auto"/>
        <w:rPr>
          <w:rFonts w:ascii="宋体" w:hAnsi="宋体" w:eastAsia="宋体" w:cs="宋体"/>
          <w:sz w:val="20"/>
          <w:szCs w:val="20"/>
          <w:highlight w:val="none"/>
        </w:rPr>
        <w:sectPr>
          <w:footerReference r:id="rId18" w:type="default"/>
          <w:pgSz w:w="11906" w:h="16839"/>
          <w:pgMar w:top="1091" w:right="1134" w:bottom="1156" w:left="1134" w:header="1076" w:footer="994" w:gutter="0"/>
          <w:cols w:space="720" w:num="1"/>
          <w:formProt w:val="0"/>
        </w:sectPr>
      </w:pPr>
    </w:p>
    <w:p w14:paraId="68376B3E">
      <w:pPr>
        <w:pStyle w:val="18"/>
        <w:rPr>
          <w:rFonts w:hint="eastAsia" w:ascii="宋体" w:hAnsi="宋体" w:eastAsia="宋体" w:cs="宋体"/>
          <w:b w:val="0"/>
          <w:color w:val="auto"/>
          <w:highlight w:val="none"/>
          <w:lang w:eastAsia="zh-CN"/>
        </w:rPr>
      </w:pPr>
    </w:p>
    <w:p w14:paraId="07638C07">
      <w:pPr>
        <w:pStyle w:val="18"/>
        <w:rPr>
          <w:rFonts w:hint="eastAsia" w:ascii="宋体" w:hAnsi="宋体" w:eastAsia="宋体" w:cs="宋体"/>
          <w:b w:val="0"/>
          <w:color w:val="auto"/>
          <w:highlight w:val="none"/>
          <w:lang w:eastAsia="zh-CN"/>
        </w:rPr>
      </w:pPr>
    </w:p>
    <w:p w14:paraId="3F46D6F5">
      <w:pPr>
        <w:pStyle w:val="18"/>
        <w:rPr>
          <w:rFonts w:hint="eastAsia" w:ascii="宋体" w:hAnsi="宋体" w:eastAsia="宋体" w:cs="宋体"/>
          <w:b w:val="0"/>
          <w:color w:val="auto"/>
          <w:highlight w:val="none"/>
          <w:lang w:eastAsia="zh-CN"/>
        </w:rPr>
      </w:pPr>
    </w:p>
    <w:p w14:paraId="0E853A94">
      <w:pPr>
        <w:pStyle w:val="18"/>
        <w:rPr>
          <w:rFonts w:hint="eastAsia" w:ascii="宋体" w:hAnsi="宋体" w:eastAsia="宋体" w:cs="宋体"/>
          <w:b w:val="0"/>
          <w:color w:val="auto"/>
          <w:highlight w:val="none"/>
          <w:lang w:eastAsia="zh-CN"/>
        </w:rPr>
      </w:pPr>
    </w:p>
    <w:p w14:paraId="0D354DF9">
      <w:pPr>
        <w:pStyle w:val="18"/>
        <w:rPr>
          <w:rFonts w:hint="eastAsia" w:ascii="宋体" w:hAnsi="宋体" w:eastAsia="宋体" w:cs="宋体"/>
          <w:b w:val="0"/>
          <w:color w:val="auto"/>
          <w:highlight w:val="none"/>
          <w:lang w:eastAsia="zh-CN"/>
        </w:rPr>
      </w:pPr>
    </w:p>
    <w:p w14:paraId="0F2DB507">
      <w:pPr>
        <w:pStyle w:val="18"/>
        <w:rPr>
          <w:rFonts w:hint="eastAsia" w:ascii="宋体" w:hAnsi="宋体" w:eastAsia="宋体" w:cs="宋体"/>
          <w:b w:val="0"/>
          <w:color w:val="auto"/>
          <w:highlight w:val="none"/>
          <w:lang w:eastAsia="zh-CN"/>
        </w:rPr>
      </w:pPr>
    </w:p>
    <w:p w14:paraId="06579A72">
      <w:pPr>
        <w:pStyle w:val="18"/>
        <w:rPr>
          <w:rFonts w:hint="eastAsia" w:ascii="宋体" w:hAnsi="宋体" w:eastAsia="宋体" w:cs="宋体"/>
          <w:b w:val="0"/>
          <w:color w:val="auto"/>
          <w:highlight w:val="none"/>
          <w:lang w:eastAsia="zh-CN"/>
        </w:rPr>
      </w:pPr>
    </w:p>
    <w:p w14:paraId="4117C6D1">
      <w:pPr>
        <w:pStyle w:val="18"/>
        <w:rPr>
          <w:rFonts w:hint="eastAsia" w:ascii="宋体" w:hAnsi="宋体" w:eastAsia="宋体" w:cs="宋体"/>
          <w:b w:val="0"/>
          <w:color w:val="auto"/>
          <w:highlight w:val="none"/>
          <w:lang w:eastAsia="zh-CN"/>
        </w:rPr>
      </w:pPr>
    </w:p>
    <w:p w14:paraId="6F45FDE4">
      <w:pPr>
        <w:pStyle w:val="18"/>
        <w:rPr>
          <w:rFonts w:hint="eastAsia" w:ascii="宋体" w:hAnsi="宋体" w:eastAsia="宋体" w:cs="宋体"/>
          <w:b w:val="0"/>
          <w:color w:val="auto"/>
          <w:highlight w:val="none"/>
          <w:lang w:eastAsia="zh-CN"/>
        </w:rPr>
      </w:pPr>
    </w:p>
    <w:p w14:paraId="3708108D">
      <w:pPr>
        <w:pStyle w:val="18"/>
        <w:rPr>
          <w:rFonts w:hint="eastAsia" w:ascii="宋体" w:hAnsi="宋体" w:eastAsia="宋体" w:cs="宋体"/>
          <w:b w:val="0"/>
          <w:color w:val="auto"/>
          <w:highlight w:val="none"/>
          <w:lang w:eastAsia="zh-CN"/>
        </w:rPr>
      </w:pPr>
    </w:p>
    <w:p w14:paraId="5C727E85">
      <w:pPr>
        <w:pStyle w:val="18"/>
        <w:rPr>
          <w:rFonts w:hint="eastAsia" w:ascii="宋体" w:hAnsi="宋体" w:eastAsia="宋体" w:cs="宋体"/>
          <w:b w:val="0"/>
          <w:color w:val="auto"/>
          <w:highlight w:val="none"/>
          <w:lang w:eastAsia="zh-CN"/>
        </w:rPr>
      </w:pPr>
    </w:p>
    <w:p w14:paraId="28003A4D">
      <w:pPr>
        <w:pStyle w:val="18"/>
        <w:rPr>
          <w:rFonts w:hint="eastAsia" w:ascii="宋体" w:hAnsi="宋体" w:eastAsia="宋体" w:cs="宋体"/>
          <w:b w:val="0"/>
          <w:color w:val="auto"/>
          <w:highlight w:val="none"/>
          <w:lang w:eastAsia="zh-CN"/>
        </w:rPr>
      </w:pPr>
    </w:p>
    <w:p w14:paraId="316497C5">
      <w:pPr>
        <w:pStyle w:val="18"/>
        <w:rPr>
          <w:rFonts w:hint="eastAsia" w:ascii="宋体" w:hAnsi="宋体" w:eastAsia="宋体" w:cs="宋体"/>
          <w:b w:val="0"/>
          <w:color w:val="auto"/>
          <w:highlight w:val="none"/>
          <w:lang w:eastAsia="zh-CN"/>
        </w:rPr>
      </w:pPr>
    </w:p>
    <w:p w14:paraId="741F7AEA">
      <w:pPr>
        <w:pStyle w:val="2"/>
        <w:jc w:val="center"/>
        <w:rPr>
          <w:rFonts w:hint="eastAsia" w:ascii="宋体" w:hAnsi="宋体" w:eastAsia="宋体" w:cs="宋体"/>
          <w:color w:val="auto"/>
          <w:highlight w:val="none"/>
          <w:lang w:val="en-US"/>
        </w:rPr>
        <w:sectPr>
          <w:headerReference r:id="rId19" w:type="default"/>
          <w:footerReference r:id="rId20" w:type="default"/>
          <w:pgSz w:w="11910" w:h="16840"/>
          <w:pgMar w:top="1340" w:right="1500" w:bottom="280" w:left="1680" w:header="720" w:footer="720" w:gutter="0"/>
          <w:pgNumType w:fmt="decimal"/>
          <w:cols w:space="720" w:num="1"/>
          <w:formProt w:val="0"/>
        </w:sectPr>
      </w:pPr>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1093"/>
      <w:bookmarkEnd w:id="1094"/>
    </w:p>
    <w:p w14:paraId="4527DCC7">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6610937E">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28809FF6">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0694C3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D3DDD47">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07CFD29">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51508902">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FDC4A9F">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A468511">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FB26F7F">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57616FA3">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E57F04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19906D7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5AF87112">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1341AA49">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66E9BF58">
      <w:pPr>
        <w:pStyle w:val="11"/>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0BBA113">
      <w:pPr>
        <w:pStyle w:val="11"/>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0BB4592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56556DE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6F3F7D6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B37D80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4D2491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062CE22">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5FA5FA6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2E5B2005">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49E91883">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6C88561">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26491E9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6B473388">
      <w:pPr>
        <w:pStyle w:val="11"/>
        <w:spacing w:line="360" w:lineRule="auto"/>
        <w:contextualSpacing/>
        <w:rPr>
          <w:rFonts w:hint="eastAsia" w:ascii="宋体" w:hAnsi="宋体" w:eastAsia="宋体" w:cs="宋体"/>
          <w:b/>
          <w:color w:val="auto"/>
          <w:sz w:val="24"/>
          <w:szCs w:val="24"/>
          <w:highlight w:val="none"/>
          <w:lang w:eastAsia="zh-CN"/>
        </w:rPr>
      </w:pPr>
    </w:p>
    <w:p w14:paraId="664A80C6">
      <w:pPr>
        <w:pStyle w:val="11"/>
        <w:spacing w:line="360" w:lineRule="auto"/>
        <w:contextualSpacing/>
        <w:rPr>
          <w:rFonts w:hint="eastAsia" w:ascii="宋体" w:hAnsi="宋体" w:eastAsia="宋体" w:cs="宋体"/>
          <w:b/>
          <w:color w:val="auto"/>
          <w:sz w:val="24"/>
          <w:szCs w:val="24"/>
          <w:highlight w:val="none"/>
          <w:lang w:eastAsia="zh-CN"/>
        </w:rPr>
      </w:pPr>
    </w:p>
    <w:p w14:paraId="2C038C60">
      <w:pPr>
        <w:pStyle w:val="5"/>
        <w:rPr>
          <w:rFonts w:hint="eastAsia"/>
          <w:color w:val="auto"/>
          <w:highlight w:val="none"/>
          <w:lang w:eastAsia="zh-CN"/>
        </w:rPr>
      </w:pPr>
    </w:p>
    <w:p w14:paraId="7FE8AA46">
      <w:pPr>
        <w:pStyle w:val="11"/>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0D4F5AAA">
      <w:pPr>
        <w:pStyle w:val="11"/>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7CDFE658">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F531DFC">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45652B3E">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13D0AE6A">
      <w:pPr>
        <w:pStyle w:val="11"/>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41506B08">
      <w:pPr>
        <w:pStyle w:val="11"/>
        <w:snapToGrid w:val="0"/>
        <w:rPr>
          <w:rFonts w:hint="eastAsia" w:ascii="宋体" w:hAnsi="宋体" w:eastAsia="宋体" w:cs="宋体"/>
          <w:b/>
          <w:color w:val="auto"/>
          <w:sz w:val="24"/>
          <w:szCs w:val="24"/>
          <w:highlight w:val="none"/>
        </w:rPr>
      </w:pPr>
    </w:p>
    <w:p w14:paraId="25DFB99D">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123FEB83">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7ECCB571">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6B2BE2A">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AA5020E">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FD5E52E">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431E390">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BE22A0D">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4E1E36F">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D29C6E9">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96CA15">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DFC5999">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56B7ED89">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AB3DE0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A92CB4D">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39B34C06">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1187CF9F">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5E466074">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664649F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28A13FA">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8BB47E">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3E39AEE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67B5B0D0">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0FA3BDFF">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96E01A5">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24E1E362">
      <w:pPr>
        <w:pStyle w:val="11"/>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17407E1E">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2554A87">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6D19D451">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69E3843">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31E52221">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08AFF3E4">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1EEAB123">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3788F27">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B36D1FC">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282BE601">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D9A75D7">
      <w:pPr>
        <w:pStyle w:val="11"/>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C7F8F9F">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2EBFFFB9">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1AB98E71">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7841683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166AA05C">
      <w:pPr>
        <w:pStyle w:val="11"/>
        <w:spacing w:line="360" w:lineRule="auto"/>
        <w:ind w:left="25" w:leftChars="12" w:firstLine="352" w:firstLineChars="147"/>
        <w:rPr>
          <w:rFonts w:hint="eastAsia" w:ascii="宋体" w:hAnsi="宋体" w:eastAsia="宋体" w:cs="宋体"/>
          <w:color w:val="auto"/>
          <w:sz w:val="24"/>
          <w:szCs w:val="24"/>
          <w:highlight w:val="none"/>
        </w:rPr>
      </w:pPr>
    </w:p>
    <w:p w14:paraId="0BE2D619">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42D21A36">
      <w:pPr>
        <w:pStyle w:val="11"/>
        <w:spacing w:line="360" w:lineRule="auto"/>
        <w:ind w:left="25" w:leftChars="12" w:firstLine="352" w:firstLineChars="147"/>
        <w:rPr>
          <w:rFonts w:hint="eastAsia" w:ascii="宋体" w:hAnsi="宋体" w:eastAsia="宋体" w:cs="宋体"/>
          <w:color w:val="auto"/>
          <w:sz w:val="24"/>
          <w:szCs w:val="24"/>
          <w:highlight w:val="none"/>
        </w:rPr>
      </w:pPr>
    </w:p>
    <w:p w14:paraId="5837F366">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38CBF80">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4BB2C1B6">
      <w:pPr>
        <w:pStyle w:val="11"/>
        <w:snapToGrid w:val="0"/>
        <w:spacing w:line="360" w:lineRule="auto"/>
        <w:rPr>
          <w:rFonts w:hint="eastAsia" w:ascii="宋体" w:hAnsi="宋体" w:eastAsia="宋体" w:cs="宋体"/>
          <w:b/>
          <w:color w:val="auto"/>
          <w:sz w:val="24"/>
          <w:szCs w:val="24"/>
          <w:highlight w:val="none"/>
        </w:rPr>
      </w:pPr>
    </w:p>
    <w:p w14:paraId="53BDE879">
      <w:pPr>
        <w:pStyle w:val="11"/>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40FC704A">
      <w:pPr>
        <w:pStyle w:val="11"/>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279B4B5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F612DEE">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09C7998E">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794AF4A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56133040">
      <w:pPr>
        <w:pStyle w:val="11"/>
        <w:spacing w:line="360" w:lineRule="auto"/>
        <w:ind w:left="25" w:leftChars="12" w:firstLine="354" w:firstLineChars="147"/>
        <w:rPr>
          <w:rStyle w:val="22"/>
          <w:rFonts w:hint="eastAsia" w:ascii="宋体" w:hAnsi="宋体" w:cs="宋体" w:eastAsiaTheme="minorEastAsia"/>
          <w:b w:val="0"/>
          <w:bCs w:val="0"/>
          <w:i w:val="0"/>
          <w:iCs w:val="0"/>
          <w:smallCaps w:val="0"/>
          <w:color w:val="auto"/>
          <w:kern w:val="0"/>
          <w:sz w:val="27"/>
          <w:szCs w:val="27"/>
          <w:highlight w:val="none"/>
          <w:lang w:eastAsia="zh-CN"/>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6A5B65AD">
      <w:pPr>
        <w:rPr>
          <w:color w:val="auto"/>
          <w:highlight w:val="none"/>
        </w:rPr>
      </w:pPr>
    </w:p>
    <w:p w14:paraId="4CE27431">
      <w:pPr>
        <w:rPr>
          <w:color w:val="auto"/>
          <w:highlight w:val="none"/>
        </w:rPr>
      </w:pPr>
    </w:p>
    <w:p w14:paraId="469442EE">
      <w:pPr>
        <w:rPr>
          <w:color w:val="auto"/>
          <w:highlight w:val="none"/>
        </w:rPr>
      </w:pPr>
    </w:p>
    <w:p w14:paraId="11ADDC6B">
      <w:pPr>
        <w:rPr>
          <w:color w:val="auto"/>
          <w:highlight w:val="none"/>
        </w:rPr>
      </w:pPr>
    </w:p>
    <w:p w14:paraId="2290D532">
      <w:pPr>
        <w:rPr>
          <w:highlight w:val="none"/>
        </w:rPr>
      </w:pPr>
    </w:p>
    <w:p w14:paraId="7A2A7255">
      <w:pPr>
        <w:rPr>
          <w:highlight w:val="none"/>
        </w:rPr>
      </w:pPr>
    </w:p>
    <w:sectPr>
      <w:headerReference r:id="rId21" w:type="default"/>
      <w:footerReference r:id="rId22" w:type="default"/>
      <w:pgSz w:w="11910" w:h="16840"/>
      <w:pgMar w:top="1340" w:right="1500" w:bottom="280" w:left="1680" w:header="720" w:footer="720" w:gutter="0"/>
      <w:pgNumType w:fmt="decimal"/>
      <w:cols w:space="720" w:num="1"/>
      <w:formProt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auto"/>
    <w:pitch w:val="default"/>
    <w:sig w:usb0="00000000" w:usb1="00000000" w:usb2="00000000" w:usb3="00000000" w:csb0="8000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4"/>
      <w:framePr w:wrap="around" w:vAnchor="text" w:hAnchor="margin" w:xAlign="center" w:y="1"/>
      <w:rPr>
        <w:rStyle w:val="24"/>
        <w:sz w:val="21"/>
      </w:rPr>
    </w:pPr>
    <w:r>
      <w:rPr>
        <w:sz w:val="21"/>
      </w:rPr>
      <w:fldChar w:fldCharType="begin"/>
    </w:r>
    <w:r>
      <w:rPr>
        <w:rStyle w:val="24"/>
        <w:sz w:val="21"/>
      </w:rPr>
      <w:instrText xml:space="preserve">PAGE  </w:instrText>
    </w:r>
    <w:r>
      <w:rPr>
        <w:sz w:val="21"/>
      </w:rPr>
      <w:fldChar w:fldCharType="separate"/>
    </w:r>
    <w:r>
      <w:rPr>
        <w:rStyle w:val="24"/>
        <w:sz w:val="21"/>
      </w:rPr>
      <w:t>0</w:t>
    </w:r>
    <w:r>
      <w:rPr>
        <w:sz w:val="21"/>
      </w:rPr>
      <w:fldChar w:fldCharType="end"/>
    </w:r>
  </w:p>
  <w:p w14:paraId="7B31C5E6">
    <w:pPr>
      <w:pStyle w:val="1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576E">
    <w:pPr>
      <w:pStyle w:val="14"/>
      <w:tabs>
        <w:tab w:val="center" w:pos="4439"/>
        <w:tab w:val="clear" w:pos="4153"/>
      </w:tabs>
      <w:jc w:val="both"/>
    </w:pPr>
  </w:p>
  <w:p w14:paraId="6BCED1FA">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CDEA">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BE16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1BBE16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864C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0864CB">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E30186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4"/>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62FFA">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7462FFA">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54757">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954757">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730E5C84">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4"/>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BBF">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0FBBF">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611DC614">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6F8A">
    <w:pPr>
      <w:pStyle w:val="14"/>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CEAF4">
    <w:pPr>
      <w:spacing w:line="176" w:lineRule="auto"/>
      <w:ind w:left="4704"/>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133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CC2E2">
    <w:pPr>
      <w:pStyle w:val="14"/>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F20E38">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F20E38">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4"/>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CD5B5">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4ACD5B5">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5"/>
      <w:pBdr>
        <w:bottom w:val="none" w:color="auto" w:sz="0" w:space="1"/>
      </w:pBdr>
      <w:tabs>
        <w:tab w:val="center" w:pos="0"/>
        <w:tab w:val="clear" w:pos="4153"/>
      </w:tabs>
      <w:jc w:val="both"/>
    </w:pPr>
    <w:r>
      <w:rPr>
        <w:vanish/>
        <w:highlight w:val="yellow"/>
      </w:rPr>
      <w:t>&gt;</w:t>
    </w:r>
  </w:p>
  <w:p w14:paraId="27F75DC0">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9F1D8">
    <w:pPr>
      <w:pStyle w:val="15"/>
      <w:pBdr>
        <w:bottom w:val="none" w:color="auto" w:sz="0" w:space="1"/>
      </w:pBdr>
      <w:tabs>
        <w:tab w:val="center" w:pos="0"/>
        <w:tab w:val="clear" w:pos="4153"/>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6E0AE">
    <w:pPr>
      <w:pStyle w:val="15"/>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C4698">
    <w:pPr>
      <w:pStyle w:val="1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A471A4C9"/>
    <w:multiLevelType w:val="singleLevel"/>
    <w:tmpl w:val="A471A4C9"/>
    <w:lvl w:ilvl="0" w:tentative="0">
      <w:start w:val="1"/>
      <w:numFmt w:val="decimal"/>
      <w:lvlText w:val="(%1)"/>
      <w:lvlJc w:val="left"/>
      <w:pPr>
        <w:ind w:left="425" w:hanging="425"/>
      </w:pPr>
      <w:rPr>
        <w:rFonts w:hint="default"/>
      </w:rPr>
    </w:lvl>
  </w:abstractNum>
  <w:abstractNum w:abstractNumId="2">
    <w:nsid w:val="D0FD6BEA"/>
    <w:multiLevelType w:val="singleLevel"/>
    <w:tmpl w:val="D0FD6BEA"/>
    <w:lvl w:ilvl="0" w:tentative="0">
      <w:start w:val="7"/>
      <w:numFmt w:val="chineseCounting"/>
      <w:suff w:val="space"/>
      <w:lvlText w:val="第%1章"/>
      <w:lvlJc w:val="left"/>
      <w:rPr>
        <w:rFonts w:hint="eastAsia"/>
      </w:rPr>
    </w:lvl>
  </w:abstractNum>
  <w:abstractNum w:abstractNumId="3">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9CE30FA"/>
    <w:multiLevelType w:val="singleLevel"/>
    <w:tmpl w:val="09CE30FA"/>
    <w:lvl w:ilvl="0" w:tentative="0">
      <w:start w:val="1"/>
      <w:numFmt w:val="decimal"/>
      <w:pStyle w:val="6"/>
      <w:lvlText w:val="%1."/>
      <w:lvlJc w:val="left"/>
      <w:pPr>
        <w:tabs>
          <w:tab w:val="left" w:pos="360"/>
        </w:tabs>
        <w:ind w:left="360" w:hanging="360"/>
      </w:pPr>
    </w:lvl>
  </w:abstractNum>
  <w:abstractNum w:abstractNumId="6">
    <w:nsid w:val="21088742"/>
    <w:multiLevelType w:val="singleLevel"/>
    <w:tmpl w:val="21088742"/>
    <w:lvl w:ilvl="0" w:tentative="0">
      <w:start w:val="1"/>
      <w:numFmt w:val="decimal"/>
      <w:suff w:val="nothing"/>
      <w:lvlText w:val="（%1）"/>
      <w:lvlJc w:val="left"/>
    </w:lvl>
  </w:abstractNum>
  <w:abstractNum w:abstractNumId="7">
    <w:nsid w:val="315E5A2F"/>
    <w:multiLevelType w:val="singleLevel"/>
    <w:tmpl w:val="315E5A2F"/>
    <w:lvl w:ilvl="0" w:tentative="0">
      <w:start w:val="1"/>
      <w:numFmt w:val="chineseCounting"/>
      <w:suff w:val="space"/>
      <w:lvlText w:val="第%1部分"/>
      <w:lvlJc w:val="left"/>
      <w:rPr>
        <w:rFonts w:hint="eastAsia"/>
      </w:rPr>
    </w:lvl>
  </w:abstractNum>
  <w:abstractNum w:abstractNumId="8">
    <w:nsid w:val="480542EC"/>
    <w:multiLevelType w:val="singleLevel"/>
    <w:tmpl w:val="480542EC"/>
    <w:lvl w:ilvl="0" w:tentative="0">
      <w:start w:val="1"/>
      <w:numFmt w:val="decimal"/>
      <w:suff w:val="nothing"/>
      <w:lvlText w:val="（%1）"/>
      <w:lvlJc w:val="left"/>
    </w:lvl>
  </w:abstractNum>
  <w:abstractNum w:abstractNumId="9">
    <w:nsid w:val="5498E193"/>
    <w:multiLevelType w:val="singleLevel"/>
    <w:tmpl w:val="5498E193"/>
    <w:lvl w:ilvl="0" w:tentative="0">
      <w:start w:val="11"/>
      <w:numFmt w:val="decimal"/>
      <w:suff w:val="space"/>
      <w:lvlText w:val="%1."/>
      <w:lvlJc w:val="left"/>
    </w:lvl>
  </w:abstractNum>
  <w:num w:numId="1">
    <w:abstractNumId w:val="5"/>
  </w:num>
  <w:num w:numId="2">
    <w:abstractNumId w:val="6"/>
  </w:num>
  <w:num w:numId="3">
    <w:abstractNumId w:val="4"/>
    <w:lvlOverride w:ilvl="0">
      <w:startOverride w:val="1"/>
    </w:lvlOverride>
  </w:num>
  <w:num w:numId="4">
    <w:abstractNumId w:val="3"/>
    <w:lvlOverride w:ilvl="0">
      <w:startOverride w:val="1"/>
    </w:lvlOverride>
  </w:num>
  <w:num w:numId="5">
    <w:abstractNumId w:val="0"/>
  </w:num>
  <w:num w:numId="6">
    <w:abstractNumId w:val="2"/>
  </w:num>
  <w:num w:numId="7">
    <w:abstractNumId w:val="7"/>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dit="readOnly" w:enforcement="1" w:cryptProviderType="rsaFull" w:cryptAlgorithmClass="hash" w:cryptAlgorithmType="typeAny" w:cryptAlgorithmSid="4" w:cryptSpinCount="0" w:hash="5LGigg2l+eBJUiAXzhHT2KSeLrA=" w:salt="a0wZdCRZkPcMj7BPY7hEj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D5C46"/>
    <w:rsid w:val="00216C36"/>
    <w:rsid w:val="00417EF4"/>
    <w:rsid w:val="02D05560"/>
    <w:rsid w:val="03144686"/>
    <w:rsid w:val="035B498F"/>
    <w:rsid w:val="03707B19"/>
    <w:rsid w:val="037C2264"/>
    <w:rsid w:val="04A22F2C"/>
    <w:rsid w:val="06127C3D"/>
    <w:rsid w:val="067368C1"/>
    <w:rsid w:val="06AF52AB"/>
    <w:rsid w:val="06B4767F"/>
    <w:rsid w:val="074B1659"/>
    <w:rsid w:val="074D481C"/>
    <w:rsid w:val="075E096D"/>
    <w:rsid w:val="07DC5543"/>
    <w:rsid w:val="07EE316C"/>
    <w:rsid w:val="08752E14"/>
    <w:rsid w:val="091A12E3"/>
    <w:rsid w:val="09273A00"/>
    <w:rsid w:val="0A56459C"/>
    <w:rsid w:val="0AF2189A"/>
    <w:rsid w:val="0BB8442B"/>
    <w:rsid w:val="0D6B035F"/>
    <w:rsid w:val="0E5D5C46"/>
    <w:rsid w:val="0E8924D6"/>
    <w:rsid w:val="0E8F2773"/>
    <w:rsid w:val="0EDD06A4"/>
    <w:rsid w:val="0F34186A"/>
    <w:rsid w:val="103A226A"/>
    <w:rsid w:val="12767ED2"/>
    <w:rsid w:val="15197217"/>
    <w:rsid w:val="173D7535"/>
    <w:rsid w:val="17571954"/>
    <w:rsid w:val="18001FEB"/>
    <w:rsid w:val="189803CD"/>
    <w:rsid w:val="1A0044B0"/>
    <w:rsid w:val="1B846C34"/>
    <w:rsid w:val="1BA93F2C"/>
    <w:rsid w:val="1C2C1F07"/>
    <w:rsid w:val="1CA15CE4"/>
    <w:rsid w:val="1DDA56A2"/>
    <w:rsid w:val="1F971B9B"/>
    <w:rsid w:val="1F99651E"/>
    <w:rsid w:val="1FFE32B4"/>
    <w:rsid w:val="20025D53"/>
    <w:rsid w:val="208F10F1"/>
    <w:rsid w:val="211F00E7"/>
    <w:rsid w:val="214473ED"/>
    <w:rsid w:val="21CC6C28"/>
    <w:rsid w:val="221B63A0"/>
    <w:rsid w:val="22F416BE"/>
    <w:rsid w:val="243606C7"/>
    <w:rsid w:val="24D40547"/>
    <w:rsid w:val="26495488"/>
    <w:rsid w:val="266100F9"/>
    <w:rsid w:val="26D75E02"/>
    <w:rsid w:val="26EE6C03"/>
    <w:rsid w:val="28184D60"/>
    <w:rsid w:val="29B0281D"/>
    <w:rsid w:val="2A8D770F"/>
    <w:rsid w:val="2B3E5A34"/>
    <w:rsid w:val="2B445405"/>
    <w:rsid w:val="2B623090"/>
    <w:rsid w:val="2B815083"/>
    <w:rsid w:val="2CD47877"/>
    <w:rsid w:val="2D3538C3"/>
    <w:rsid w:val="2DA63C67"/>
    <w:rsid w:val="2DB90D3B"/>
    <w:rsid w:val="2E6B1DAF"/>
    <w:rsid w:val="2ED578D6"/>
    <w:rsid w:val="2ED718A0"/>
    <w:rsid w:val="2EFA291D"/>
    <w:rsid w:val="2F9217E7"/>
    <w:rsid w:val="30BD2111"/>
    <w:rsid w:val="30D37E45"/>
    <w:rsid w:val="322E1CC9"/>
    <w:rsid w:val="32423F03"/>
    <w:rsid w:val="32B6568D"/>
    <w:rsid w:val="33371DBC"/>
    <w:rsid w:val="348F4919"/>
    <w:rsid w:val="34DF763D"/>
    <w:rsid w:val="34F21C96"/>
    <w:rsid w:val="34FB483D"/>
    <w:rsid w:val="35341350"/>
    <w:rsid w:val="36DB7A54"/>
    <w:rsid w:val="37ED3EE3"/>
    <w:rsid w:val="38E22C12"/>
    <w:rsid w:val="390A5A09"/>
    <w:rsid w:val="39D32C64"/>
    <w:rsid w:val="39E64819"/>
    <w:rsid w:val="3A6A0CCC"/>
    <w:rsid w:val="3ABF721B"/>
    <w:rsid w:val="3AEA64B7"/>
    <w:rsid w:val="3B2156CC"/>
    <w:rsid w:val="3BEB0739"/>
    <w:rsid w:val="3C9E39FD"/>
    <w:rsid w:val="3D7309E6"/>
    <w:rsid w:val="3DC66425"/>
    <w:rsid w:val="3EED18E7"/>
    <w:rsid w:val="3F232327"/>
    <w:rsid w:val="40B50C76"/>
    <w:rsid w:val="40F736DC"/>
    <w:rsid w:val="410F2D9D"/>
    <w:rsid w:val="419B486F"/>
    <w:rsid w:val="43323DB0"/>
    <w:rsid w:val="44522BBC"/>
    <w:rsid w:val="454C4C8D"/>
    <w:rsid w:val="45521983"/>
    <w:rsid w:val="45B24909"/>
    <w:rsid w:val="462B25E4"/>
    <w:rsid w:val="46BD20B0"/>
    <w:rsid w:val="47F46BC7"/>
    <w:rsid w:val="48276F9D"/>
    <w:rsid w:val="48DC1F15"/>
    <w:rsid w:val="49331A49"/>
    <w:rsid w:val="4A9A0151"/>
    <w:rsid w:val="4ACE4B79"/>
    <w:rsid w:val="4C6E544A"/>
    <w:rsid w:val="4C701451"/>
    <w:rsid w:val="4C7327B1"/>
    <w:rsid w:val="4D8C1DAE"/>
    <w:rsid w:val="4D9505C7"/>
    <w:rsid w:val="4DCB7F29"/>
    <w:rsid w:val="4FD035BF"/>
    <w:rsid w:val="500807AC"/>
    <w:rsid w:val="51170852"/>
    <w:rsid w:val="51226553"/>
    <w:rsid w:val="51E43FB1"/>
    <w:rsid w:val="536270DB"/>
    <w:rsid w:val="537868DB"/>
    <w:rsid w:val="54200348"/>
    <w:rsid w:val="542953F2"/>
    <w:rsid w:val="54350128"/>
    <w:rsid w:val="54C751A2"/>
    <w:rsid w:val="54D74EBC"/>
    <w:rsid w:val="54F53C87"/>
    <w:rsid w:val="55302AFB"/>
    <w:rsid w:val="563B15AD"/>
    <w:rsid w:val="56F00286"/>
    <w:rsid w:val="57034728"/>
    <w:rsid w:val="57437223"/>
    <w:rsid w:val="57D76DD3"/>
    <w:rsid w:val="5864122B"/>
    <w:rsid w:val="59934A3A"/>
    <w:rsid w:val="5A31056B"/>
    <w:rsid w:val="5BD80E9F"/>
    <w:rsid w:val="5D7B6B1F"/>
    <w:rsid w:val="5D90357E"/>
    <w:rsid w:val="5DAF4C1B"/>
    <w:rsid w:val="5EBD51DA"/>
    <w:rsid w:val="5F5328C6"/>
    <w:rsid w:val="60421418"/>
    <w:rsid w:val="60634492"/>
    <w:rsid w:val="60B4516D"/>
    <w:rsid w:val="60CF38D6"/>
    <w:rsid w:val="610E08AA"/>
    <w:rsid w:val="61903065"/>
    <w:rsid w:val="63711B25"/>
    <w:rsid w:val="63A32E39"/>
    <w:rsid w:val="63E91B17"/>
    <w:rsid w:val="6429154F"/>
    <w:rsid w:val="64302D7F"/>
    <w:rsid w:val="64396635"/>
    <w:rsid w:val="64AC28AC"/>
    <w:rsid w:val="64FB738F"/>
    <w:rsid w:val="6505117F"/>
    <w:rsid w:val="651741AC"/>
    <w:rsid w:val="65283E59"/>
    <w:rsid w:val="65863E33"/>
    <w:rsid w:val="65875E80"/>
    <w:rsid w:val="65980FB1"/>
    <w:rsid w:val="66E93289"/>
    <w:rsid w:val="67A52627"/>
    <w:rsid w:val="681373FD"/>
    <w:rsid w:val="681B6637"/>
    <w:rsid w:val="68596F1F"/>
    <w:rsid w:val="687A4A6F"/>
    <w:rsid w:val="69186811"/>
    <w:rsid w:val="69E91A7D"/>
    <w:rsid w:val="6A522CA7"/>
    <w:rsid w:val="6AE12B83"/>
    <w:rsid w:val="6B383ED3"/>
    <w:rsid w:val="6B682357"/>
    <w:rsid w:val="6BBF4BA6"/>
    <w:rsid w:val="6C7517D5"/>
    <w:rsid w:val="6D3527BF"/>
    <w:rsid w:val="6D5D0BE7"/>
    <w:rsid w:val="6F8C1AB1"/>
    <w:rsid w:val="71061776"/>
    <w:rsid w:val="71816E6E"/>
    <w:rsid w:val="718D7F2D"/>
    <w:rsid w:val="71A1186D"/>
    <w:rsid w:val="71AE7C98"/>
    <w:rsid w:val="71E73175"/>
    <w:rsid w:val="72852F61"/>
    <w:rsid w:val="733F0D8F"/>
    <w:rsid w:val="7367613B"/>
    <w:rsid w:val="737369F5"/>
    <w:rsid w:val="73AD4CC9"/>
    <w:rsid w:val="740212A2"/>
    <w:rsid w:val="742B5E27"/>
    <w:rsid w:val="756F085C"/>
    <w:rsid w:val="75C36CD8"/>
    <w:rsid w:val="75F14126"/>
    <w:rsid w:val="76D938D4"/>
    <w:rsid w:val="76F86DCF"/>
    <w:rsid w:val="772067E2"/>
    <w:rsid w:val="777F0DB7"/>
    <w:rsid w:val="78254908"/>
    <w:rsid w:val="78737BE6"/>
    <w:rsid w:val="787C7F46"/>
    <w:rsid w:val="787D7674"/>
    <w:rsid w:val="78DE14AE"/>
    <w:rsid w:val="79344AEC"/>
    <w:rsid w:val="79F76EF1"/>
    <w:rsid w:val="7B160627"/>
    <w:rsid w:val="7B2528B4"/>
    <w:rsid w:val="7B6A461A"/>
    <w:rsid w:val="7B752E6E"/>
    <w:rsid w:val="7BD96240"/>
    <w:rsid w:val="7C2459DE"/>
    <w:rsid w:val="7CE66779"/>
    <w:rsid w:val="7E506AA8"/>
    <w:rsid w:val="7E920BEE"/>
    <w:rsid w:val="7F2A11C9"/>
    <w:rsid w:val="7FFC0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w:basedOn w:val="1"/>
    <w:unhideWhenUsed/>
    <w:qFormat/>
    <w:uiPriority w:val="0"/>
    <w:pPr>
      <w:spacing w:after="120"/>
    </w:pPr>
  </w:style>
  <w:style w:type="paragraph" w:styleId="10">
    <w:name w:val="Body Text Indent"/>
    <w:basedOn w:val="1"/>
    <w:next w:val="11"/>
    <w:qFormat/>
    <w:uiPriority w:val="0"/>
    <w:pPr>
      <w:ind w:firstLine="830" w:firstLineChars="352"/>
    </w:pPr>
    <w:rPr>
      <w:rFonts w:ascii="仿宋_GB2312" w:eastAsia="仿宋_GB2312"/>
      <w:kern w:val="0"/>
      <w:sz w:val="32"/>
      <w:szCs w:val="20"/>
    </w:rPr>
  </w:style>
  <w:style w:type="paragraph" w:styleId="11">
    <w:name w:val="Plain Text"/>
    <w:basedOn w:val="1"/>
    <w:next w:val="5"/>
    <w:qFormat/>
    <w:uiPriority w:val="0"/>
    <w:rPr>
      <w:rFonts w:ascii="宋体" w:hAnsi="Courier New"/>
      <w:kern w:val="0"/>
      <w:sz w:val="20"/>
      <w:szCs w:val="21"/>
    </w:rPr>
  </w:style>
  <w:style w:type="paragraph" w:styleId="12">
    <w:name w:val="List 2"/>
    <w:basedOn w:val="1"/>
    <w:unhideWhenUsed/>
    <w:qFormat/>
    <w:uiPriority w:val="99"/>
    <w:pPr>
      <w:ind w:left="100" w:leftChars="200" w:hanging="200" w:hangingChars="200"/>
      <w:contextualSpacing/>
    </w:pPr>
  </w:style>
  <w:style w:type="paragraph" w:styleId="13">
    <w:name w:val="toc 3"/>
    <w:basedOn w:val="1"/>
    <w:next w:val="1"/>
    <w:unhideWhenUsed/>
    <w:qFormat/>
    <w:uiPriority w:val="39"/>
    <w:pPr>
      <w:ind w:left="840" w:leftChars="400"/>
    </w:p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First Indent"/>
    <w:basedOn w:val="9"/>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19">
    <w:name w:val="Body Text First Indent 2"/>
    <w:basedOn w:val="10"/>
    <w:unhideWhenUsed/>
    <w:qFormat/>
    <w:uiPriority w:val="99"/>
    <w:pPr>
      <w:ind w:firstLine="420" w:firstLineChars="200"/>
    </w:pPr>
  </w:style>
  <w:style w:type="table" w:styleId="21">
    <w:name w:val="Table Grid"/>
    <w:basedOn w:val="2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qFormat/>
    <w:uiPriority w:val="0"/>
    <w:rPr>
      <w:color w:val="0000FF"/>
      <w:u w:val="single"/>
    </w:rPr>
  </w:style>
  <w:style w:type="paragraph" w:customStyle="1" w:styleId="26">
    <w:name w:val="正文1"/>
    <w:basedOn w:val="1"/>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7">
    <w:name w:val="表格文字"/>
    <w:basedOn w:val="10"/>
    <w:qFormat/>
    <w:uiPriority w:val="0"/>
    <w:pPr>
      <w:adjustRightInd w:val="0"/>
      <w:spacing w:line="420" w:lineRule="atLeast"/>
      <w:jc w:val="left"/>
      <w:textAlignment w:val="baseline"/>
    </w:pPr>
    <w:rPr>
      <w:kern w:val="0"/>
    </w:rPr>
  </w:style>
  <w:style w:type="paragraph" w:customStyle="1" w:styleId="28">
    <w:name w:val="正文文本1"/>
    <w:basedOn w:val="26"/>
    <w:next w:val="26"/>
    <w:qFormat/>
    <w:uiPriority w:val="0"/>
    <w:rPr>
      <w:rFonts w:ascii="金山简黑体" w:hAnsi="金山简黑体" w:eastAsia="金山简黑体"/>
      <w:b/>
      <w:spacing w:val="-8"/>
      <w:sz w:val="44"/>
      <w:szCs w:val="20"/>
    </w:rPr>
  </w:style>
  <w:style w:type="paragraph" w:customStyle="1" w:styleId="29">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30">
    <w:name w:val="标题 1 Char"/>
    <w:link w:val="2"/>
    <w:qFormat/>
    <w:uiPriority w:val="9"/>
    <w:rPr>
      <w:b/>
      <w:bCs/>
      <w:kern w:val="44"/>
      <w:sz w:val="44"/>
      <w:szCs w:val="44"/>
    </w:rPr>
  </w:style>
  <w:style w:type="paragraph" w:customStyle="1" w:styleId="31">
    <w:name w:val="样式7"/>
    <w:basedOn w:val="1"/>
    <w:qFormat/>
    <w:uiPriority w:val="0"/>
    <w:pPr>
      <w:spacing w:line="480" w:lineRule="exact"/>
      <w:jc w:val="center"/>
    </w:pPr>
    <w:rPr>
      <w:rFonts w:eastAsia="方正大标宋简体"/>
      <w:spacing w:val="6"/>
      <w:sz w:val="44"/>
    </w:rPr>
  </w:style>
  <w:style w:type="paragraph" w:customStyle="1" w:styleId="32">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3">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4">
    <w:name w:val="Table Paragraph"/>
    <w:basedOn w:val="1"/>
    <w:qFormat/>
    <w:uiPriority w:val="1"/>
    <w:pPr>
      <w:jc w:val="left"/>
    </w:pPr>
    <w:rPr>
      <w:rFonts w:ascii="Calibri" w:hAnsi="Calibri"/>
      <w:kern w:val="0"/>
      <w:sz w:val="22"/>
      <w:szCs w:val="22"/>
      <w:lang w:eastAsia="en-US"/>
    </w:rPr>
  </w:style>
  <w:style w:type="paragraph" w:customStyle="1" w:styleId="35">
    <w:name w:val="Normal_0"/>
    <w:qFormat/>
    <w:uiPriority w:val="0"/>
    <w:pPr>
      <w:widowControl w:val="0"/>
      <w:jc w:val="both"/>
    </w:pPr>
    <w:rPr>
      <w:rFonts w:ascii="Times New Roman" w:hAnsi="Times New Roman" w:eastAsia="Times New Roman" w:cs="Times New Roman"/>
      <w:sz w:val="21"/>
      <w:szCs w:val="22"/>
      <w:lang w:val="en-US" w:eastAsia="zh-CN" w:bidi="ar-SA"/>
    </w:rPr>
  </w:style>
  <w:style w:type="paragraph" w:customStyle="1" w:styleId="36">
    <w:name w:val="段落2"/>
    <w:basedOn w:val="1"/>
    <w:qFormat/>
    <w:uiPriority w:val="0"/>
    <w:pPr>
      <w:spacing w:line="360" w:lineRule="auto"/>
      <w:ind w:firstLine="480" w:firstLineChars="200"/>
    </w:pPr>
    <w:rPr>
      <w:rFonts w:ascii="Calibri" w:hAnsi="Calibri" w:eastAsia="宋体" w:cs="Courier New"/>
      <w:sz w:val="24"/>
      <w:szCs w:val="21"/>
    </w:rPr>
  </w:style>
  <w:style w:type="paragraph" w:customStyle="1" w:styleId="37">
    <w:name w:val="Table Text"/>
    <w:basedOn w:val="1"/>
    <w:qFormat/>
    <w:uiPriority w:val="0"/>
    <w:rPr>
      <w:rFonts w:ascii="Arial" w:hAnsi="Arial" w:eastAsia="Arial" w:cs="Arial"/>
      <w:szCs w:val="21"/>
      <w:lang w:eastAsia="en-US"/>
    </w:rPr>
  </w:style>
  <w:style w:type="table" w:customStyle="1" w:styleId="38">
    <w:name w:val="Table Normal"/>
    <w:qFormat/>
    <w:uiPriority w:val="0"/>
    <w:rPr>
      <w:rFonts w:ascii="等线" w:hAnsi="等线" w:eastAsia="等线"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header" Target="header6.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header" Target="header5.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19063</Words>
  <Characters>20806</Characters>
  <Lines>0</Lines>
  <Paragraphs>0</Paragraphs>
  <TotalTime>17</TotalTime>
  <ScaleCrop>false</ScaleCrop>
  <LinksUpToDate>false</LinksUpToDate>
  <CharactersWithSpaces>21097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2026-04-13T13:01:00Z</dcterms:created>
  <dc:creator>歪歪</dc:creator>
  <cp:lastModifiedBy>_CC陈小哥</cp:lastModifiedBy>
  <dcterms:modified xsi:type="dcterms:W3CDTF">2026-09-30T08:25:31Z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C7477C75DA394E438F80CE055F44A0A8_11</vt:lpwstr>
  </property>
  <property fmtid="{D5CDD505-2E9C-101B-9397-08002B2CF9AE}" pid="4" name="KSOTemplateDocerSaveRecord">
    <vt:lpwstr>eyJoZGlkIjoiOWJjY2M4ZGFkZTQ5NGFlOGRiYjEwOWJmMDRkYzc2ZWEiLCJ1c2VySWQiOiIyMzI2Mzc2NTQifQ==</vt:lpwstr>
  </property>
</Properties>
</file>