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287E9">
      <w:pPr>
        <w:spacing w:before="165" w:beforeLines="50" w:line="360" w:lineRule="auto"/>
        <w:jc w:val="center"/>
        <w:rPr>
          <w:rFonts w:hint="eastAsia" w:ascii="宋体" w:hAnsi="宋体"/>
          <w:color w:val="auto"/>
          <w:sz w:val="52"/>
          <w:szCs w:val="52"/>
          <w:highlight w:val="none"/>
        </w:rPr>
      </w:pPr>
      <w:r>
        <w:rPr>
          <w:rFonts w:hint="eastAsia" w:ascii="仿宋_GB2312" w:hAnsi="宋体" w:eastAsia="仿宋_GB2312"/>
          <w:b/>
          <w:bCs/>
          <w:color w:val="auto"/>
          <w:w w:val="95"/>
          <w:sz w:val="30"/>
          <w:szCs w:val="30"/>
          <w:highlight w:val="none"/>
          <w:lang w:eastAsia="zh-CN"/>
        </w:rPr>
        <w:drawing>
          <wp:anchor distT="0" distB="0" distL="114300" distR="114300" simplePos="0" relativeHeight="251665408" behindDoc="0" locked="0" layoutInCell="1" allowOverlap="1">
            <wp:simplePos x="0" y="0"/>
            <wp:positionH relativeFrom="column">
              <wp:posOffset>-986790</wp:posOffset>
            </wp:positionH>
            <wp:positionV relativeFrom="paragraph">
              <wp:posOffset>-553720</wp:posOffset>
            </wp:positionV>
            <wp:extent cx="7538720" cy="10367010"/>
            <wp:effectExtent l="0" t="0" r="5080" b="15240"/>
            <wp:wrapNone/>
            <wp:docPr id="1" name="图片 1" descr="扉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扉页"/>
                    <pic:cNvPicPr>
                      <a:picLocks noChangeAspect="1"/>
                    </pic:cNvPicPr>
                  </pic:nvPicPr>
                  <pic:blipFill>
                    <a:blip r:embed="rId12"/>
                    <a:stretch>
                      <a:fillRect/>
                    </a:stretch>
                  </pic:blipFill>
                  <pic:spPr>
                    <a:xfrm>
                      <a:off x="0" y="0"/>
                      <a:ext cx="7538720" cy="10367010"/>
                    </a:xfrm>
                    <a:prstGeom prst="rect">
                      <a:avLst/>
                    </a:prstGeom>
                  </pic:spPr>
                </pic:pic>
              </a:graphicData>
            </a:graphic>
          </wp:anchor>
        </w:drawing>
      </w:r>
    </w:p>
    <w:p w14:paraId="011876AC">
      <w:pPr>
        <w:spacing w:before="165" w:beforeLines="50" w:line="360" w:lineRule="auto"/>
        <w:jc w:val="center"/>
        <w:rPr>
          <w:rFonts w:hint="eastAsia" w:ascii="宋体" w:hAnsi="宋体"/>
          <w:color w:val="auto"/>
          <w:sz w:val="52"/>
          <w:szCs w:val="52"/>
          <w:highlight w:val="none"/>
        </w:rPr>
      </w:pPr>
    </w:p>
    <w:p w14:paraId="0273CEC2">
      <w:pPr>
        <w:spacing w:before="165" w:beforeLines="50" w:line="360" w:lineRule="auto"/>
        <w:jc w:val="center"/>
        <w:rPr>
          <w:rFonts w:ascii="宋体" w:hAnsi="宋体"/>
          <w:color w:val="auto"/>
          <w:sz w:val="52"/>
          <w:szCs w:val="52"/>
          <w:highlight w:val="none"/>
        </w:rPr>
      </w:pPr>
      <w:r>
        <w:rPr>
          <w:rFonts w:hint="eastAsia" w:ascii="宋体" w:hAnsi="宋体"/>
          <w:color w:val="auto"/>
          <w:sz w:val="52"/>
          <w:szCs w:val="52"/>
          <w:highlight w:val="none"/>
        </w:rPr>
        <w:t>南宁市政府采购</w:t>
      </w:r>
    </w:p>
    <w:p w14:paraId="6F554C54">
      <w:pPr>
        <w:spacing w:before="165" w:beforeLines="50" w:line="360" w:lineRule="auto"/>
        <w:jc w:val="center"/>
        <w:rPr>
          <w:rFonts w:hint="eastAsia" w:ascii="宋体" w:hAnsi="宋体"/>
          <w:color w:val="auto"/>
          <w:sz w:val="52"/>
          <w:szCs w:val="52"/>
          <w:highlight w:val="none"/>
        </w:rPr>
      </w:pPr>
      <w:r>
        <w:rPr>
          <w:rFonts w:hint="eastAsia" w:ascii="宋体" w:hAnsi="宋体"/>
          <w:color w:val="auto"/>
          <w:sz w:val="52"/>
          <w:szCs w:val="52"/>
          <w:highlight w:val="none"/>
        </w:rPr>
        <w:t>竞争性磋商文件（工程类）</w:t>
      </w:r>
    </w:p>
    <w:p w14:paraId="58681198">
      <w:pPr>
        <w:spacing w:before="165" w:beforeLines="50" w:line="360" w:lineRule="auto"/>
        <w:jc w:val="center"/>
        <w:rPr>
          <w:rFonts w:hint="eastAsia" w:ascii="宋体" w:hAnsi="宋体" w:eastAsia="宋体"/>
          <w:color w:val="auto"/>
          <w:sz w:val="36"/>
          <w:szCs w:val="36"/>
          <w:highlight w:val="none"/>
          <w:lang w:eastAsia="zh-CN"/>
        </w:rPr>
      </w:pPr>
    </w:p>
    <w:p w14:paraId="0F379BCF">
      <w:pPr>
        <w:snapToGrid w:val="0"/>
        <w:spacing w:before="165" w:beforeLines="50"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16228BE0">
      <w:pPr>
        <w:spacing w:before="331" w:beforeLines="100" w:after="165" w:afterLines="50" w:line="360" w:lineRule="auto"/>
        <w:jc w:val="center"/>
        <w:rPr>
          <w:rFonts w:hint="eastAsia" w:ascii="宋体" w:hAnsi="宋体"/>
          <w:color w:val="auto"/>
          <w:szCs w:val="21"/>
          <w:highlight w:val="none"/>
        </w:rPr>
      </w:pPr>
      <w:r>
        <w:rPr>
          <w:rFonts w:hint="eastAsia" w:ascii="宋体" w:hAnsi="宋体"/>
          <w:color w:val="auto"/>
          <w:szCs w:val="21"/>
          <w:highlight w:val="none"/>
        </w:rPr>
        <w:t>（全流程电子化评标）</w:t>
      </w:r>
    </w:p>
    <w:p w14:paraId="66EDAC33">
      <w:pPr>
        <w:spacing w:line="360" w:lineRule="auto"/>
        <w:rPr>
          <w:rFonts w:hint="eastAsia" w:ascii="宋体" w:hAnsi="宋体"/>
          <w:b/>
          <w:color w:val="auto"/>
          <w:sz w:val="32"/>
          <w:szCs w:val="32"/>
          <w:highlight w:val="none"/>
        </w:rPr>
      </w:pPr>
    </w:p>
    <w:p w14:paraId="6C0FE46C">
      <w:pPr>
        <w:spacing w:line="360" w:lineRule="auto"/>
        <w:jc w:val="center"/>
        <w:rPr>
          <w:rFonts w:hint="eastAsia" w:ascii="宋体" w:hAnsi="宋体" w:eastAsia="宋体"/>
          <w:b/>
          <w:color w:val="auto"/>
          <w:sz w:val="32"/>
          <w:szCs w:val="32"/>
          <w:highlight w:val="none"/>
          <w:lang w:eastAsia="zh-CN"/>
        </w:rPr>
      </w:pPr>
    </w:p>
    <w:p w14:paraId="435DC71D">
      <w:pPr>
        <w:pStyle w:val="14"/>
        <w:snapToGrid w:val="0"/>
        <w:spacing w:line="480" w:lineRule="auto"/>
        <w:ind w:left="1804" w:leftChars="142" w:hanging="1506" w:hangingChars="500"/>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w w:val="95"/>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b/>
          <w:bCs/>
          <w:color w:val="auto"/>
          <w:sz w:val="30"/>
          <w:szCs w:val="30"/>
          <w:highlight w:val="none"/>
          <w:lang w:eastAsia="zh-CN"/>
        </w:rPr>
        <w:t>南宁市五化灌区总干渠水毁应急抢险工程</w:t>
      </w:r>
    </w:p>
    <w:p w14:paraId="1779BB04">
      <w:pPr>
        <w:snapToGrid w:val="0"/>
        <w:spacing w:line="480" w:lineRule="auto"/>
        <w:ind w:firstLine="301" w:firstLineChars="100"/>
        <w:rPr>
          <w:rFonts w:hint="eastAsia" w:ascii="仿宋_GB2312" w:hAnsi="宋体" w:eastAsia="仿宋_GB2312" w:cs="Times New Roman"/>
          <w:b/>
          <w:bCs/>
          <w:color w:val="auto"/>
          <w:kern w:val="0"/>
          <w:sz w:val="30"/>
          <w:szCs w:val="30"/>
          <w:highlight w:val="none"/>
          <w:lang w:val="en-US" w:eastAsia="zh-CN" w:bidi="ar-SA"/>
        </w:rPr>
      </w:pPr>
      <w:r>
        <w:rPr>
          <w:rFonts w:hint="eastAsia" w:ascii="仿宋_GB2312" w:hAnsi="宋体" w:eastAsia="仿宋_GB2312" w:cs="Times New Roman"/>
          <w:b/>
          <w:bCs/>
          <w:color w:val="auto"/>
          <w:kern w:val="0"/>
          <w:sz w:val="30"/>
          <w:szCs w:val="30"/>
          <w:highlight w:val="none"/>
          <w:lang w:val="en-US" w:eastAsia="zh-CN" w:bidi="ar-SA"/>
        </w:rPr>
        <w:t>项目编号：NNZC2026-C2-990977-GXXB</w:t>
      </w:r>
    </w:p>
    <w:p w14:paraId="1F3937A1">
      <w:pPr>
        <w:snapToGrid w:val="0"/>
        <w:spacing w:line="480" w:lineRule="auto"/>
        <w:ind w:firstLine="301" w:firstLineChars="100"/>
        <w:rPr>
          <w:rFonts w:hint="eastAsia" w:ascii="仿宋_GB2312" w:hAnsi="宋体" w:eastAsia="仿宋_GB2312"/>
          <w:b/>
          <w:color w:val="auto"/>
          <w:sz w:val="30"/>
          <w:szCs w:val="48"/>
          <w:highlight w:val="none"/>
        </w:rPr>
      </w:pPr>
      <w:r>
        <w:rPr>
          <w:rFonts w:hint="eastAsia" w:ascii="仿宋_GB2312" w:hAnsi="宋体" w:eastAsia="仿宋_GB2312"/>
          <w:b/>
          <w:color w:val="auto"/>
          <w:sz w:val="30"/>
          <w:szCs w:val="48"/>
          <w:highlight w:val="none"/>
        </w:rPr>
        <w:t>项目所属区划：</w:t>
      </w:r>
      <w:r>
        <w:rPr>
          <w:rFonts w:hint="eastAsia" w:ascii="仿宋_GB2312" w:hAnsi="宋体" w:eastAsia="仿宋_GB2312"/>
          <w:b/>
          <w:color w:val="auto"/>
          <w:sz w:val="30"/>
          <w:szCs w:val="48"/>
          <w:highlight w:val="none"/>
          <w:u w:val="single"/>
        </w:rPr>
        <w:t>南宁市</w:t>
      </w:r>
    </w:p>
    <w:p w14:paraId="2917B4B7">
      <w:pPr>
        <w:pStyle w:val="14"/>
        <w:snapToGrid w:val="0"/>
        <w:spacing w:line="480" w:lineRule="auto"/>
        <w:ind w:firstLine="286" w:firstLineChars="1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采 购 人：</w:t>
      </w:r>
      <w:r>
        <w:rPr>
          <w:rFonts w:hint="eastAsia" w:ascii="仿宋_GB2312" w:hAnsi="宋体" w:eastAsia="仿宋_GB2312"/>
          <w:b/>
          <w:bCs/>
          <w:color w:val="auto"/>
          <w:w w:val="95"/>
          <w:sz w:val="30"/>
          <w:szCs w:val="30"/>
          <w:highlight w:val="none"/>
          <w:lang w:eastAsia="zh-CN"/>
        </w:rPr>
        <w:t>南宁市灌区管理中心</w:t>
      </w:r>
    </w:p>
    <w:p w14:paraId="3E5961A8">
      <w:pPr>
        <w:pStyle w:val="14"/>
        <w:snapToGrid w:val="0"/>
        <w:spacing w:line="480" w:lineRule="auto"/>
        <w:ind w:firstLine="286" w:firstLineChars="100"/>
        <w:rPr>
          <w:rFonts w:hint="eastAsia"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采购代理机构：</w:t>
      </w:r>
      <w:bookmarkStart w:id="0" w:name="PO_3000001866_PM031"/>
      <w:r>
        <w:rPr>
          <w:rFonts w:hint="eastAsia" w:ascii="仿宋_GB2312" w:hAnsi="宋体" w:eastAsia="仿宋_GB2312"/>
          <w:b/>
          <w:bCs/>
          <w:color w:val="auto"/>
          <w:w w:val="95"/>
          <w:sz w:val="30"/>
          <w:szCs w:val="30"/>
          <w:highlight w:val="none"/>
        </w:rPr>
        <w:t>广西兴邦工程管理服务有限公司</w:t>
      </w:r>
      <w:bookmarkEnd w:id="0"/>
    </w:p>
    <w:p w14:paraId="09E9FB72">
      <w:pPr>
        <w:pStyle w:val="14"/>
        <w:snapToGrid w:val="0"/>
        <w:spacing w:before="50" w:after="120" w:line="360" w:lineRule="auto"/>
        <w:ind w:firstLine="3128" w:firstLineChars="1093"/>
        <w:jc w:val="both"/>
        <w:rPr>
          <w:rFonts w:hint="eastAsia" w:ascii="仿宋_GB2312" w:hAnsi="宋体" w:eastAsia="仿宋_GB2312"/>
          <w:b/>
          <w:bCs/>
          <w:color w:val="auto"/>
          <w:w w:val="95"/>
          <w:sz w:val="30"/>
          <w:szCs w:val="30"/>
          <w:highlight w:val="none"/>
        </w:rPr>
      </w:pPr>
      <w:r>
        <w:rPr>
          <w:rFonts w:hint="eastAsia" w:ascii="仿宋_GB2312" w:hAnsi="宋体" w:eastAsia="仿宋_GB2312"/>
          <w:b/>
          <w:bCs/>
          <w:color w:val="auto"/>
          <w:w w:val="95"/>
          <w:sz w:val="30"/>
          <w:szCs w:val="30"/>
          <w:highlight w:val="none"/>
        </w:rPr>
        <w:t>202</w:t>
      </w:r>
      <w:r>
        <w:rPr>
          <w:rFonts w:hint="eastAsia" w:ascii="仿宋_GB2312" w:hAnsi="宋体" w:eastAsia="仿宋_GB2312"/>
          <w:b/>
          <w:bCs/>
          <w:color w:val="auto"/>
          <w:w w:val="95"/>
          <w:sz w:val="30"/>
          <w:szCs w:val="30"/>
          <w:highlight w:val="none"/>
          <w:lang w:val="en-US" w:eastAsia="zh-CN"/>
        </w:rPr>
        <w:t>6</w:t>
      </w:r>
      <w:r>
        <w:rPr>
          <w:rFonts w:hint="eastAsia" w:ascii="仿宋_GB2312" w:hAnsi="宋体" w:eastAsia="仿宋_GB2312"/>
          <w:b/>
          <w:bCs/>
          <w:color w:val="auto"/>
          <w:w w:val="95"/>
          <w:sz w:val="30"/>
          <w:szCs w:val="30"/>
          <w:highlight w:val="none"/>
        </w:rPr>
        <w:t>年</w:t>
      </w:r>
      <w:r>
        <w:rPr>
          <w:rFonts w:hint="eastAsia" w:ascii="仿宋_GB2312" w:hAnsi="宋体" w:eastAsia="仿宋_GB2312"/>
          <w:b/>
          <w:bCs/>
          <w:color w:val="auto"/>
          <w:w w:val="95"/>
          <w:sz w:val="30"/>
          <w:szCs w:val="30"/>
          <w:highlight w:val="none"/>
          <w:lang w:val="en-US" w:eastAsia="zh-CN"/>
        </w:rPr>
        <w:t>10</w:t>
      </w:r>
      <w:r>
        <w:rPr>
          <w:rFonts w:hint="eastAsia" w:ascii="仿宋_GB2312" w:hAnsi="宋体" w:eastAsia="仿宋_GB2312"/>
          <w:b/>
          <w:bCs/>
          <w:color w:val="auto"/>
          <w:w w:val="95"/>
          <w:sz w:val="30"/>
          <w:szCs w:val="30"/>
          <w:highlight w:val="none"/>
        </w:rPr>
        <w:t>月</w:t>
      </w:r>
      <w:r>
        <w:rPr>
          <w:rFonts w:hint="eastAsia" w:ascii="仿宋_GB2312" w:hAnsi="宋体" w:eastAsia="仿宋_GB2312"/>
          <w:b/>
          <w:bCs/>
          <w:color w:val="auto"/>
          <w:w w:val="95"/>
          <w:sz w:val="30"/>
          <w:szCs w:val="30"/>
          <w:highlight w:val="none"/>
          <w:lang w:val="en-US" w:eastAsia="zh-CN"/>
        </w:rPr>
        <w:t>19</w:t>
      </w:r>
      <w:r>
        <w:rPr>
          <w:rFonts w:hint="eastAsia" w:ascii="仿宋_GB2312" w:hAnsi="宋体" w:eastAsia="仿宋_GB2312"/>
          <w:b/>
          <w:bCs/>
          <w:color w:val="auto"/>
          <w:w w:val="95"/>
          <w:sz w:val="30"/>
          <w:szCs w:val="30"/>
          <w:highlight w:val="none"/>
        </w:rPr>
        <w:t>日</w:t>
      </w:r>
    </w:p>
    <w:p w14:paraId="57C5FF58">
      <w:pPr>
        <w:widowControl/>
        <w:spacing w:line="360" w:lineRule="auto"/>
        <w:jc w:val="left"/>
        <w:rPr>
          <w:rFonts w:ascii="仿宋_GB2312" w:hAnsi="宋体" w:eastAsia="仿宋_GB2312"/>
          <w:b/>
          <w:bCs/>
          <w:color w:val="auto"/>
          <w:w w:val="95"/>
          <w:kern w:val="0"/>
          <w:sz w:val="30"/>
          <w:szCs w:val="30"/>
          <w:highlight w:val="none"/>
        </w:rPr>
        <w:sectPr>
          <w:headerReference r:id="rId3" w:type="default"/>
          <w:pgSz w:w="11905" w:h="16838"/>
          <w:pgMar w:top="958" w:right="1440" w:bottom="958" w:left="1587" w:header="850" w:footer="992" w:gutter="0"/>
          <w:pgNumType w:start="1"/>
          <w:cols w:space="720" w:num="1"/>
          <w:rtlGutter w:val="0"/>
          <w:docGrid w:type="lines" w:linePitch="317" w:charSpace="0"/>
        </w:sectPr>
      </w:pPr>
    </w:p>
    <w:p w14:paraId="0335F379">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6F654CFC">
      <w:pPr>
        <w:spacing w:line="400" w:lineRule="exact"/>
        <w:jc w:val="center"/>
        <w:rPr>
          <w:rFonts w:hint="eastAsia" w:ascii="宋体" w:hAnsi="宋体"/>
          <w:b/>
          <w:color w:val="auto"/>
          <w:sz w:val="44"/>
          <w:szCs w:val="44"/>
          <w:highlight w:val="none"/>
        </w:rPr>
      </w:pPr>
    </w:p>
    <w:p w14:paraId="123DE2A0">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"1-3"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_Toc24273 </w:instrText>
      </w:r>
      <w:r>
        <w:rPr>
          <w:rFonts w:hint="eastAsia" w:ascii="宋体" w:hAnsi="宋体" w:eastAsia="宋体" w:cs="宋体"/>
          <w:color w:val="auto"/>
          <w:szCs w:val="24"/>
          <w:highlight w:val="none"/>
        </w:rPr>
        <w:fldChar w:fldCharType="separate"/>
      </w:r>
      <w:r>
        <w:rPr>
          <w:rFonts w:hint="eastAsia"/>
          <w:color w:val="auto"/>
          <w:highlight w:val="none"/>
        </w:rPr>
        <w:t>第一章</w:t>
      </w:r>
      <w:r>
        <w:rPr>
          <w:color w:val="auto"/>
          <w:highlight w:val="none"/>
        </w:rPr>
        <w:t xml:space="preserve"> </w:t>
      </w:r>
      <w:r>
        <w:rPr>
          <w:rFonts w:hint="eastAsia"/>
          <w:color w:val="auto"/>
          <w:highlight w:val="none"/>
        </w:rPr>
        <w:t>竞争性磋商公告</w:t>
      </w:r>
      <w:r>
        <w:rPr>
          <w:color w:val="auto"/>
          <w:highlight w:val="none"/>
        </w:rPr>
        <w:tab/>
      </w:r>
      <w:r>
        <w:rPr>
          <w:color w:val="auto"/>
          <w:highlight w:val="none"/>
        </w:rPr>
        <w:fldChar w:fldCharType="begin"/>
      </w:r>
      <w:r>
        <w:rPr>
          <w:color w:val="auto"/>
          <w:highlight w:val="none"/>
        </w:rPr>
        <w:instrText xml:space="preserve"> PAGEREF _Toc24273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szCs w:val="24"/>
          <w:highlight w:val="none"/>
        </w:rPr>
        <w:fldChar w:fldCharType="end"/>
      </w:r>
    </w:p>
    <w:p w14:paraId="2130010D">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_Toc1202 </w:instrText>
      </w:r>
      <w:r>
        <w:rPr>
          <w:rFonts w:hint="eastAsia" w:ascii="宋体" w:hAnsi="宋体" w:eastAsia="宋体" w:cs="宋体"/>
          <w:color w:val="auto"/>
          <w:szCs w:val="24"/>
          <w:highlight w:val="none"/>
        </w:rPr>
        <w:fldChar w:fldCharType="separate"/>
      </w:r>
      <w:r>
        <w:rPr>
          <w:rFonts w:hint="eastAsia" w:ascii="Cambria" w:hAnsi="Cambria"/>
          <w:bCs w:val="0"/>
          <w:color w:val="auto"/>
          <w:szCs w:val="32"/>
          <w:highlight w:val="none"/>
        </w:rPr>
        <w:t>第二章</w:t>
      </w:r>
      <w:r>
        <w:rPr>
          <w:rFonts w:ascii="Cambria" w:hAnsi="Cambria"/>
          <w:bCs w:val="0"/>
          <w:color w:val="auto"/>
          <w:szCs w:val="32"/>
          <w:highlight w:val="none"/>
        </w:rPr>
        <w:t xml:space="preserve"> </w:t>
      </w:r>
      <w:r>
        <w:rPr>
          <w:rFonts w:hint="eastAsia" w:ascii="Cambria" w:hAnsi="Cambria"/>
          <w:bCs w:val="0"/>
          <w:color w:val="auto"/>
          <w:szCs w:val="32"/>
          <w:highlight w:val="none"/>
        </w:rPr>
        <w:t>采购需求</w:t>
      </w:r>
      <w:r>
        <w:rPr>
          <w:color w:val="auto"/>
          <w:highlight w:val="none"/>
        </w:rPr>
        <w:tab/>
      </w:r>
      <w:r>
        <w:rPr>
          <w:color w:val="auto"/>
          <w:highlight w:val="none"/>
        </w:rPr>
        <w:fldChar w:fldCharType="begin"/>
      </w:r>
      <w:r>
        <w:rPr>
          <w:color w:val="auto"/>
          <w:highlight w:val="none"/>
        </w:rPr>
        <w:instrText xml:space="preserve"> PAGEREF _Toc1202 \h </w:instrText>
      </w:r>
      <w:r>
        <w:rPr>
          <w:color w:val="auto"/>
          <w:highlight w:val="none"/>
        </w:rPr>
        <w:fldChar w:fldCharType="separate"/>
      </w:r>
      <w:r>
        <w:rPr>
          <w:color w:val="auto"/>
          <w:highlight w:val="none"/>
        </w:rPr>
        <w:t>5</w:t>
      </w:r>
      <w:r>
        <w:rPr>
          <w:color w:val="auto"/>
          <w:highlight w:val="none"/>
        </w:rPr>
        <w:fldChar w:fldCharType="end"/>
      </w:r>
      <w:r>
        <w:rPr>
          <w:rFonts w:hint="eastAsia" w:ascii="宋体" w:hAnsi="宋体" w:eastAsia="宋体" w:cs="宋体"/>
          <w:color w:val="auto"/>
          <w:szCs w:val="24"/>
          <w:highlight w:val="none"/>
        </w:rPr>
        <w:fldChar w:fldCharType="end"/>
      </w:r>
    </w:p>
    <w:p w14:paraId="4BE1D566">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_Toc17669 </w:instrText>
      </w:r>
      <w:r>
        <w:rPr>
          <w:rFonts w:hint="eastAsia" w:ascii="宋体" w:hAnsi="宋体" w:eastAsia="宋体" w:cs="宋体"/>
          <w:color w:val="auto"/>
          <w:szCs w:val="24"/>
          <w:highlight w:val="none"/>
        </w:rPr>
        <w:fldChar w:fldCharType="separate"/>
      </w:r>
      <w:r>
        <w:rPr>
          <w:rFonts w:hint="eastAsia" w:ascii="Cambria" w:hAnsi="Cambria"/>
          <w:bCs w:val="0"/>
          <w:color w:val="auto"/>
          <w:szCs w:val="32"/>
          <w:highlight w:val="none"/>
        </w:rPr>
        <w:t>第三章</w:t>
      </w:r>
      <w:r>
        <w:rPr>
          <w:rFonts w:ascii="Cambria" w:hAnsi="Cambria"/>
          <w:bCs w:val="0"/>
          <w:color w:val="auto"/>
          <w:szCs w:val="32"/>
          <w:highlight w:val="none"/>
        </w:rPr>
        <w:t xml:space="preserve"> </w:t>
      </w:r>
      <w:r>
        <w:rPr>
          <w:rFonts w:hint="eastAsia" w:ascii="Cambria" w:hAnsi="Cambria"/>
          <w:bCs w:val="0"/>
          <w:color w:val="auto"/>
          <w:szCs w:val="32"/>
          <w:highlight w:val="none"/>
        </w:rPr>
        <w:t>供应商须知</w:t>
      </w:r>
      <w:r>
        <w:rPr>
          <w:color w:val="auto"/>
          <w:highlight w:val="none"/>
        </w:rPr>
        <w:tab/>
      </w:r>
      <w:r>
        <w:rPr>
          <w:color w:val="auto"/>
          <w:highlight w:val="none"/>
        </w:rPr>
        <w:fldChar w:fldCharType="begin"/>
      </w:r>
      <w:r>
        <w:rPr>
          <w:color w:val="auto"/>
          <w:highlight w:val="none"/>
        </w:rPr>
        <w:instrText xml:space="preserve"> PAGEREF _Toc17669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zCs w:val="24"/>
          <w:highlight w:val="none"/>
        </w:rPr>
        <w:fldChar w:fldCharType="end"/>
      </w:r>
    </w:p>
    <w:p w14:paraId="2AF9CB8B">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_Toc31322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第一节 供应商须知前附表</w:t>
      </w:r>
      <w:r>
        <w:rPr>
          <w:color w:val="auto"/>
          <w:highlight w:val="none"/>
        </w:rPr>
        <w:tab/>
      </w:r>
      <w:r>
        <w:rPr>
          <w:color w:val="auto"/>
          <w:highlight w:val="none"/>
        </w:rPr>
        <w:fldChar w:fldCharType="begin"/>
      </w:r>
      <w:r>
        <w:rPr>
          <w:color w:val="auto"/>
          <w:highlight w:val="none"/>
        </w:rPr>
        <w:instrText xml:space="preserve"> PAGEREF _Toc31322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eastAsia="宋体" w:cs="宋体"/>
          <w:color w:val="auto"/>
          <w:szCs w:val="24"/>
          <w:highlight w:val="none"/>
        </w:rPr>
        <w:fldChar w:fldCharType="end"/>
      </w:r>
    </w:p>
    <w:p w14:paraId="50F05F79">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_Toc4827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第二节 供应商须知正文</w:t>
      </w:r>
      <w:r>
        <w:rPr>
          <w:color w:val="auto"/>
          <w:highlight w:val="none"/>
        </w:rPr>
        <w:tab/>
      </w:r>
      <w:r>
        <w:rPr>
          <w:color w:val="auto"/>
          <w:highlight w:val="none"/>
        </w:rPr>
        <w:fldChar w:fldCharType="begin"/>
      </w:r>
      <w:r>
        <w:rPr>
          <w:color w:val="auto"/>
          <w:highlight w:val="none"/>
        </w:rPr>
        <w:instrText xml:space="preserve"> PAGEREF _Toc4827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eastAsia="宋体" w:cs="宋体"/>
          <w:color w:val="auto"/>
          <w:szCs w:val="24"/>
          <w:highlight w:val="none"/>
        </w:rPr>
        <w:fldChar w:fldCharType="end"/>
      </w:r>
    </w:p>
    <w:p w14:paraId="13C79A66">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_Toc3465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一、总则</w:t>
      </w:r>
      <w:r>
        <w:rPr>
          <w:color w:val="auto"/>
          <w:highlight w:val="none"/>
        </w:rPr>
        <w:tab/>
      </w:r>
      <w:r>
        <w:rPr>
          <w:color w:val="auto"/>
          <w:highlight w:val="none"/>
        </w:rPr>
        <w:fldChar w:fldCharType="begin"/>
      </w:r>
      <w:r>
        <w:rPr>
          <w:color w:val="auto"/>
          <w:highlight w:val="none"/>
        </w:rPr>
        <w:instrText xml:space="preserve"> PAGEREF _Toc3465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eastAsia="宋体" w:cs="宋体"/>
          <w:color w:val="auto"/>
          <w:szCs w:val="24"/>
          <w:highlight w:val="none"/>
        </w:rPr>
        <w:fldChar w:fldCharType="end"/>
      </w:r>
    </w:p>
    <w:p w14:paraId="4C87323B">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_Toc18396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二、磋商文件</w:t>
      </w:r>
      <w:r>
        <w:rPr>
          <w:color w:val="auto"/>
          <w:highlight w:val="none"/>
        </w:rPr>
        <w:tab/>
      </w:r>
      <w:r>
        <w:rPr>
          <w:color w:val="auto"/>
          <w:highlight w:val="none"/>
        </w:rPr>
        <w:fldChar w:fldCharType="begin"/>
      </w:r>
      <w:r>
        <w:rPr>
          <w:color w:val="auto"/>
          <w:highlight w:val="none"/>
        </w:rPr>
        <w:instrText xml:space="preserve"> PAGEREF _Toc18396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eastAsia="宋体" w:cs="宋体"/>
          <w:color w:val="auto"/>
          <w:szCs w:val="24"/>
          <w:highlight w:val="none"/>
        </w:rPr>
        <w:fldChar w:fldCharType="end"/>
      </w:r>
    </w:p>
    <w:p w14:paraId="32F88904">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_Toc29948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_Toc29948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eastAsia="宋体" w:cs="宋体"/>
          <w:color w:val="auto"/>
          <w:szCs w:val="24"/>
          <w:highlight w:val="none"/>
        </w:rPr>
        <w:fldChar w:fldCharType="end"/>
      </w:r>
    </w:p>
    <w:p w14:paraId="1C17B861">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_Toc1987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四、评审及磋商</w:t>
      </w:r>
      <w:r>
        <w:rPr>
          <w:color w:val="auto"/>
          <w:highlight w:val="none"/>
        </w:rPr>
        <w:tab/>
      </w:r>
      <w:r>
        <w:rPr>
          <w:color w:val="auto"/>
          <w:highlight w:val="none"/>
        </w:rPr>
        <w:fldChar w:fldCharType="begin"/>
      </w:r>
      <w:r>
        <w:rPr>
          <w:color w:val="auto"/>
          <w:highlight w:val="none"/>
        </w:rPr>
        <w:instrText xml:space="preserve"> PAGEREF _Toc1987 \h </w:instrText>
      </w:r>
      <w:r>
        <w:rPr>
          <w:color w:val="auto"/>
          <w:highlight w:val="none"/>
        </w:rPr>
        <w:fldChar w:fldCharType="separate"/>
      </w:r>
      <w:r>
        <w:rPr>
          <w:color w:val="auto"/>
          <w:highlight w:val="none"/>
        </w:rPr>
        <w:t>25</w:t>
      </w:r>
      <w:r>
        <w:rPr>
          <w:color w:val="auto"/>
          <w:highlight w:val="none"/>
        </w:rPr>
        <w:fldChar w:fldCharType="end"/>
      </w:r>
      <w:r>
        <w:rPr>
          <w:rFonts w:hint="eastAsia" w:ascii="宋体" w:hAnsi="宋体" w:eastAsia="宋体" w:cs="宋体"/>
          <w:color w:val="auto"/>
          <w:szCs w:val="24"/>
          <w:highlight w:val="none"/>
        </w:rPr>
        <w:fldChar w:fldCharType="end"/>
      </w:r>
    </w:p>
    <w:p w14:paraId="1017F064">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_Toc13742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五、成交及合同</w:t>
      </w:r>
      <w:r>
        <w:rPr>
          <w:color w:val="auto"/>
          <w:highlight w:val="none"/>
        </w:rPr>
        <w:tab/>
      </w:r>
      <w:r>
        <w:rPr>
          <w:color w:val="auto"/>
          <w:highlight w:val="none"/>
        </w:rPr>
        <w:fldChar w:fldCharType="begin"/>
      </w:r>
      <w:r>
        <w:rPr>
          <w:color w:val="auto"/>
          <w:highlight w:val="none"/>
        </w:rPr>
        <w:instrText xml:space="preserve"> PAGEREF _Toc13742 \h </w:instrText>
      </w:r>
      <w:r>
        <w:rPr>
          <w:color w:val="auto"/>
          <w:highlight w:val="none"/>
        </w:rPr>
        <w:fldChar w:fldCharType="separate"/>
      </w:r>
      <w:r>
        <w:rPr>
          <w:color w:val="auto"/>
          <w:highlight w:val="none"/>
        </w:rPr>
        <w:t>26</w:t>
      </w:r>
      <w:r>
        <w:rPr>
          <w:color w:val="auto"/>
          <w:highlight w:val="none"/>
        </w:rPr>
        <w:fldChar w:fldCharType="end"/>
      </w:r>
      <w:r>
        <w:rPr>
          <w:rFonts w:hint="eastAsia" w:ascii="宋体" w:hAnsi="宋体" w:eastAsia="宋体" w:cs="宋体"/>
          <w:color w:val="auto"/>
          <w:szCs w:val="24"/>
          <w:highlight w:val="none"/>
        </w:rPr>
        <w:fldChar w:fldCharType="end"/>
      </w:r>
    </w:p>
    <w:p w14:paraId="11996728">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_Toc6940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六、验收</w:t>
      </w:r>
      <w:r>
        <w:rPr>
          <w:color w:val="auto"/>
          <w:highlight w:val="none"/>
        </w:rPr>
        <w:tab/>
      </w:r>
      <w:r>
        <w:rPr>
          <w:color w:val="auto"/>
          <w:highlight w:val="none"/>
        </w:rPr>
        <w:fldChar w:fldCharType="begin"/>
      </w:r>
      <w:r>
        <w:rPr>
          <w:color w:val="auto"/>
          <w:highlight w:val="none"/>
        </w:rPr>
        <w:instrText xml:space="preserve"> PAGEREF _Toc6940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eastAsia="宋体" w:cs="宋体"/>
          <w:color w:val="auto"/>
          <w:szCs w:val="24"/>
          <w:highlight w:val="none"/>
        </w:rPr>
        <w:fldChar w:fldCharType="end"/>
      </w:r>
    </w:p>
    <w:p w14:paraId="3D29E476">
      <w:pPr>
        <w:pStyle w:val="13"/>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_Toc30576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七、其他事项</w:t>
      </w:r>
      <w:r>
        <w:rPr>
          <w:color w:val="auto"/>
          <w:highlight w:val="none"/>
        </w:rPr>
        <w:tab/>
      </w:r>
      <w:r>
        <w:rPr>
          <w:color w:val="auto"/>
          <w:highlight w:val="none"/>
        </w:rPr>
        <w:fldChar w:fldCharType="begin"/>
      </w:r>
      <w:r>
        <w:rPr>
          <w:color w:val="auto"/>
          <w:highlight w:val="none"/>
        </w:rPr>
        <w:instrText xml:space="preserve"> PAGEREF _Toc30576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eastAsia="宋体" w:cs="宋体"/>
          <w:color w:val="auto"/>
          <w:szCs w:val="24"/>
          <w:highlight w:val="none"/>
        </w:rPr>
        <w:fldChar w:fldCharType="end"/>
      </w:r>
    </w:p>
    <w:p w14:paraId="0E3B15A4">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_Toc28172 </w:instrText>
      </w:r>
      <w:r>
        <w:rPr>
          <w:rFonts w:hint="eastAsia" w:ascii="宋体" w:hAnsi="宋体" w:eastAsia="宋体" w:cs="宋体"/>
          <w:color w:val="auto"/>
          <w:szCs w:val="24"/>
          <w:highlight w:val="none"/>
        </w:rPr>
        <w:fldChar w:fldCharType="separate"/>
      </w:r>
      <w:r>
        <w:rPr>
          <w:rFonts w:hint="eastAsia"/>
          <w:color w:val="auto"/>
          <w:highlight w:val="none"/>
        </w:rPr>
        <w:t>第四章</w:t>
      </w:r>
      <w:r>
        <w:rPr>
          <w:color w:val="auto"/>
          <w:highlight w:val="none"/>
        </w:rPr>
        <w:t xml:space="preserve">  </w:t>
      </w:r>
      <w:r>
        <w:rPr>
          <w:rFonts w:hint="eastAsia"/>
          <w:color w:val="auto"/>
          <w:highlight w:val="none"/>
        </w:rPr>
        <w:t>评审程序、评审方法和评审标准</w:t>
      </w:r>
      <w:r>
        <w:rPr>
          <w:color w:val="auto"/>
          <w:highlight w:val="none"/>
        </w:rPr>
        <w:tab/>
      </w:r>
      <w:r>
        <w:rPr>
          <w:color w:val="auto"/>
          <w:highlight w:val="none"/>
        </w:rPr>
        <w:fldChar w:fldCharType="begin"/>
      </w:r>
      <w:r>
        <w:rPr>
          <w:color w:val="auto"/>
          <w:highlight w:val="none"/>
        </w:rPr>
        <w:instrText xml:space="preserve"> PAGEREF _Toc28172 \h </w:instrText>
      </w:r>
      <w:r>
        <w:rPr>
          <w:color w:val="auto"/>
          <w:highlight w:val="none"/>
        </w:rPr>
        <w:fldChar w:fldCharType="separate"/>
      </w:r>
      <w:r>
        <w:rPr>
          <w:color w:val="auto"/>
          <w:highlight w:val="none"/>
        </w:rPr>
        <w:t>32</w:t>
      </w:r>
      <w:r>
        <w:rPr>
          <w:color w:val="auto"/>
          <w:highlight w:val="none"/>
        </w:rPr>
        <w:fldChar w:fldCharType="end"/>
      </w:r>
      <w:r>
        <w:rPr>
          <w:rFonts w:hint="eastAsia" w:ascii="宋体" w:hAnsi="宋体" w:eastAsia="宋体" w:cs="宋体"/>
          <w:color w:val="auto"/>
          <w:szCs w:val="24"/>
          <w:highlight w:val="none"/>
        </w:rPr>
        <w:fldChar w:fldCharType="end"/>
      </w:r>
    </w:p>
    <w:p w14:paraId="52B3E602">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_Toc4899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第一节 评审程序和评审方法</w:t>
      </w:r>
      <w:r>
        <w:rPr>
          <w:color w:val="auto"/>
          <w:highlight w:val="none"/>
        </w:rPr>
        <w:tab/>
      </w:r>
      <w:r>
        <w:rPr>
          <w:color w:val="auto"/>
          <w:highlight w:val="none"/>
        </w:rPr>
        <w:fldChar w:fldCharType="begin"/>
      </w:r>
      <w:r>
        <w:rPr>
          <w:color w:val="auto"/>
          <w:highlight w:val="none"/>
        </w:rPr>
        <w:instrText xml:space="preserve"> PAGEREF _Toc4899 \h </w:instrText>
      </w:r>
      <w:r>
        <w:rPr>
          <w:color w:val="auto"/>
          <w:highlight w:val="none"/>
        </w:rPr>
        <w:fldChar w:fldCharType="separate"/>
      </w:r>
      <w:r>
        <w:rPr>
          <w:color w:val="auto"/>
          <w:highlight w:val="none"/>
        </w:rPr>
        <w:t>32</w:t>
      </w:r>
      <w:r>
        <w:rPr>
          <w:color w:val="auto"/>
          <w:highlight w:val="none"/>
        </w:rPr>
        <w:fldChar w:fldCharType="end"/>
      </w:r>
      <w:r>
        <w:rPr>
          <w:rFonts w:hint="eastAsia" w:ascii="宋体" w:hAnsi="宋体" w:eastAsia="宋体" w:cs="宋体"/>
          <w:color w:val="auto"/>
          <w:szCs w:val="24"/>
          <w:highlight w:val="none"/>
        </w:rPr>
        <w:fldChar w:fldCharType="end"/>
      </w:r>
    </w:p>
    <w:p w14:paraId="7E748454">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_Toc17935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第二节 评标报告</w:t>
      </w:r>
      <w:r>
        <w:rPr>
          <w:color w:val="auto"/>
          <w:highlight w:val="none"/>
        </w:rPr>
        <w:tab/>
      </w:r>
      <w:r>
        <w:rPr>
          <w:color w:val="auto"/>
          <w:highlight w:val="none"/>
        </w:rPr>
        <w:fldChar w:fldCharType="begin"/>
      </w:r>
      <w:r>
        <w:rPr>
          <w:color w:val="auto"/>
          <w:highlight w:val="none"/>
        </w:rPr>
        <w:instrText xml:space="preserve"> PAGEREF _Toc17935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eastAsia="宋体" w:cs="宋体"/>
          <w:color w:val="auto"/>
          <w:szCs w:val="24"/>
          <w:highlight w:val="none"/>
        </w:rPr>
        <w:fldChar w:fldCharType="end"/>
      </w:r>
    </w:p>
    <w:p w14:paraId="14D26A46">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_Toc20457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第三节 评审过程的保密与录像</w:t>
      </w:r>
      <w:r>
        <w:rPr>
          <w:color w:val="auto"/>
          <w:highlight w:val="none"/>
        </w:rPr>
        <w:tab/>
      </w:r>
      <w:r>
        <w:rPr>
          <w:color w:val="auto"/>
          <w:highlight w:val="none"/>
        </w:rPr>
        <w:fldChar w:fldCharType="begin"/>
      </w:r>
      <w:r>
        <w:rPr>
          <w:color w:val="auto"/>
          <w:highlight w:val="none"/>
        </w:rPr>
        <w:instrText xml:space="preserve"> PAGEREF _Toc20457 \h </w:instrText>
      </w:r>
      <w:r>
        <w:rPr>
          <w:color w:val="auto"/>
          <w:highlight w:val="none"/>
        </w:rPr>
        <w:fldChar w:fldCharType="separate"/>
      </w:r>
      <w:r>
        <w:rPr>
          <w:color w:val="auto"/>
          <w:highlight w:val="none"/>
        </w:rPr>
        <w:t>44</w:t>
      </w:r>
      <w:r>
        <w:rPr>
          <w:color w:val="auto"/>
          <w:highlight w:val="none"/>
        </w:rPr>
        <w:fldChar w:fldCharType="end"/>
      </w:r>
      <w:r>
        <w:rPr>
          <w:rFonts w:hint="eastAsia" w:ascii="宋体" w:hAnsi="宋体" w:eastAsia="宋体" w:cs="宋体"/>
          <w:color w:val="auto"/>
          <w:szCs w:val="24"/>
          <w:highlight w:val="none"/>
        </w:rPr>
        <w:fldChar w:fldCharType="end"/>
      </w:r>
    </w:p>
    <w:p w14:paraId="1209DF61">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_Toc28399 </w:instrText>
      </w:r>
      <w:r>
        <w:rPr>
          <w:rFonts w:hint="eastAsia" w:ascii="宋体" w:hAnsi="宋体" w:eastAsia="宋体" w:cs="宋体"/>
          <w:color w:val="auto"/>
          <w:szCs w:val="24"/>
          <w:highlight w:val="none"/>
        </w:rPr>
        <w:fldChar w:fldCharType="separate"/>
      </w:r>
      <w:r>
        <w:rPr>
          <w:rFonts w:hint="eastAsia"/>
          <w:color w:val="auto"/>
          <w:highlight w:val="none"/>
        </w:rPr>
        <w:t>第五章</w:t>
      </w:r>
      <w:r>
        <w:rPr>
          <w:color w:val="auto"/>
          <w:highlight w:val="none"/>
        </w:rPr>
        <w:t xml:space="preserve"> </w:t>
      </w:r>
      <w:r>
        <w:rPr>
          <w:rFonts w:hint="eastAsia"/>
          <w:color w:val="auto"/>
          <w:highlight w:val="none"/>
        </w:rPr>
        <w:t>响应文件格式</w:t>
      </w:r>
      <w:r>
        <w:rPr>
          <w:color w:val="auto"/>
          <w:highlight w:val="none"/>
        </w:rPr>
        <w:tab/>
      </w:r>
      <w:r>
        <w:rPr>
          <w:color w:val="auto"/>
          <w:highlight w:val="none"/>
        </w:rPr>
        <w:fldChar w:fldCharType="begin"/>
      </w:r>
      <w:r>
        <w:rPr>
          <w:color w:val="auto"/>
          <w:highlight w:val="none"/>
        </w:rPr>
        <w:instrText xml:space="preserve"> PAGEREF _Toc28399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eastAsia="宋体" w:cs="宋体"/>
          <w:color w:val="auto"/>
          <w:szCs w:val="24"/>
          <w:highlight w:val="none"/>
        </w:rPr>
        <w:fldChar w:fldCharType="end"/>
      </w:r>
    </w:p>
    <w:p w14:paraId="6A94CAC6">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_Toc11983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第一节 封面格式</w:t>
      </w:r>
      <w:r>
        <w:rPr>
          <w:color w:val="auto"/>
          <w:highlight w:val="none"/>
        </w:rPr>
        <w:tab/>
      </w:r>
      <w:r>
        <w:rPr>
          <w:color w:val="auto"/>
          <w:highlight w:val="none"/>
        </w:rPr>
        <w:fldChar w:fldCharType="begin"/>
      </w:r>
      <w:r>
        <w:rPr>
          <w:color w:val="auto"/>
          <w:highlight w:val="none"/>
        </w:rPr>
        <w:instrText xml:space="preserve"> PAGEREF _Toc11983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eastAsia="宋体" w:cs="宋体"/>
          <w:color w:val="auto"/>
          <w:szCs w:val="24"/>
          <w:highlight w:val="none"/>
        </w:rPr>
        <w:fldChar w:fldCharType="end"/>
      </w:r>
    </w:p>
    <w:p w14:paraId="17669C17">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_Toc24651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第二节 资格证明文件格式</w:t>
      </w:r>
      <w:r>
        <w:rPr>
          <w:color w:val="auto"/>
          <w:highlight w:val="none"/>
        </w:rPr>
        <w:tab/>
      </w:r>
      <w:r>
        <w:rPr>
          <w:color w:val="auto"/>
          <w:highlight w:val="none"/>
        </w:rPr>
        <w:fldChar w:fldCharType="begin"/>
      </w:r>
      <w:r>
        <w:rPr>
          <w:color w:val="auto"/>
          <w:highlight w:val="none"/>
        </w:rPr>
        <w:instrText xml:space="preserve"> PAGEREF _Toc24651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eastAsia="宋体" w:cs="宋体"/>
          <w:color w:val="auto"/>
          <w:szCs w:val="24"/>
          <w:highlight w:val="none"/>
        </w:rPr>
        <w:fldChar w:fldCharType="end"/>
      </w:r>
    </w:p>
    <w:p w14:paraId="4766EF4C">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_Toc24754 </w:instrText>
      </w:r>
      <w:r>
        <w:rPr>
          <w:rFonts w:hint="eastAsia" w:ascii="宋体" w:hAnsi="宋体" w:eastAsia="宋体" w:cs="宋体"/>
          <w:color w:val="auto"/>
          <w:szCs w:val="24"/>
          <w:highlight w:val="none"/>
        </w:rPr>
        <w:fldChar w:fldCharType="separate"/>
      </w:r>
      <w:r>
        <w:rPr>
          <w:rFonts w:hint="eastAsia" w:ascii="宋体" w:hAnsi="宋体"/>
          <w:bCs/>
          <w:color w:val="auto"/>
          <w:highlight w:val="none"/>
        </w:rPr>
        <w:t>第三节 商务技术文件格式</w:t>
      </w:r>
      <w:r>
        <w:rPr>
          <w:color w:val="auto"/>
          <w:highlight w:val="none"/>
        </w:rPr>
        <w:tab/>
      </w:r>
      <w:r>
        <w:rPr>
          <w:color w:val="auto"/>
          <w:highlight w:val="none"/>
        </w:rPr>
        <w:fldChar w:fldCharType="begin"/>
      </w:r>
      <w:r>
        <w:rPr>
          <w:color w:val="auto"/>
          <w:highlight w:val="none"/>
        </w:rPr>
        <w:instrText xml:space="preserve"> PAGEREF _Toc24754 \h </w:instrText>
      </w:r>
      <w:r>
        <w:rPr>
          <w:color w:val="auto"/>
          <w:highlight w:val="none"/>
        </w:rPr>
        <w:fldChar w:fldCharType="separate"/>
      </w:r>
      <w:r>
        <w:rPr>
          <w:color w:val="auto"/>
          <w:highlight w:val="none"/>
        </w:rPr>
        <w:t>54</w:t>
      </w:r>
      <w:r>
        <w:rPr>
          <w:color w:val="auto"/>
          <w:highlight w:val="none"/>
        </w:rPr>
        <w:fldChar w:fldCharType="end"/>
      </w:r>
      <w:r>
        <w:rPr>
          <w:rFonts w:hint="eastAsia" w:ascii="宋体" w:hAnsi="宋体" w:eastAsia="宋体" w:cs="宋体"/>
          <w:color w:val="auto"/>
          <w:szCs w:val="24"/>
          <w:highlight w:val="none"/>
        </w:rPr>
        <w:fldChar w:fldCharType="end"/>
      </w:r>
    </w:p>
    <w:p w14:paraId="7308DEBC">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_Toc10330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第四节 报价文件格式</w:t>
      </w:r>
      <w:r>
        <w:rPr>
          <w:color w:val="auto"/>
          <w:highlight w:val="none"/>
        </w:rPr>
        <w:tab/>
      </w:r>
      <w:r>
        <w:rPr>
          <w:color w:val="auto"/>
          <w:highlight w:val="none"/>
        </w:rPr>
        <w:fldChar w:fldCharType="begin"/>
      </w:r>
      <w:r>
        <w:rPr>
          <w:color w:val="auto"/>
          <w:highlight w:val="none"/>
        </w:rPr>
        <w:instrText xml:space="preserve"> PAGEREF _Toc10330 \h </w:instrText>
      </w:r>
      <w:r>
        <w:rPr>
          <w:color w:val="auto"/>
          <w:highlight w:val="none"/>
        </w:rPr>
        <w:fldChar w:fldCharType="separate"/>
      </w:r>
      <w:r>
        <w:rPr>
          <w:color w:val="auto"/>
          <w:highlight w:val="none"/>
        </w:rPr>
        <w:t>72</w:t>
      </w:r>
      <w:r>
        <w:rPr>
          <w:color w:val="auto"/>
          <w:highlight w:val="none"/>
        </w:rPr>
        <w:fldChar w:fldCharType="end"/>
      </w:r>
      <w:r>
        <w:rPr>
          <w:rFonts w:hint="eastAsia" w:ascii="宋体" w:hAnsi="宋体" w:eastAsia="宋体" w:cs="宋体"/>
          <w:color w:val="auto"/>
          <w:szCs w:val="24"/>
          <w:highlight w:val="none"/>
        </w:rPr>
        <w:fldChar w:fldCharType="end"/>
      </w:r>
    </w:p>
    <w:p w14:paraId="04F31E31">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_Toc8309 </w:instrText>
      </w:r>
      <w:r>
        <w:rPr>
          <w:rFonts w:hint="eastAsia" w:ascii="宋体" w:hAnsi="宋体" w:eastAsia="宋体" w:cs="宋体"/>
          <w:color w:val="auto"/>
          <w:szCs w:val="24"/>
          <w:highlight w:val="none"/>
        </w:rPr>
        <w:fldChar w:fldCharType="separate"/>
      </w:r>
      <w:r>
        <w:rPr>
          <w:rFonts w:hint="eastAsia" w:ascii="宋体" w:hAnsi="宋体"/>
          <w:color w:val="auto"/>
          <w:highlight w:val="none"/>
        </w:rPr>
        <w:t>第五节 其他文书、文件格式</w:t>
      </w:r>
      <w:r>
        <w:rPr>
          <w:color w:val="auto"/>
          <w:highlight w:val="none"/>
        </w:rPr>
        <w:tab/>
      </w:r>
      <w:r>
        <w:rPr>
          <w:color w:val="auto"/>
          <w:highlight w:val="none"/>
        </w:rPr>
        <w:fldChar w:fldCharType="begin"/>
      </w:r>
      <w:r>
        <w:rPr>
          <w:color w:val="auto"/>
          <w:highlight w:val="none"/>
        </w:rPr>
        <w:instrText xml:space="preserve"> PAGEREF _Toc8309 \h </w:instrText>
      </w:r>
      <w:r>
        <w:rPr>
          <w:color w:val="auto"/>
          <w:highlight w:val="none"/>
        </w:rPr>
        <w:fldChar w:fldCharType="separate"/>
      </w:r>
      <w:r>
        <w:rPr>
          <w:color w:val="auto"/>
          <w:highlight w:val="none"/>
        </w:rPr>
        <w:t>79</w:t>
      </w:r>
      <w:r>
        <w:rPr>
          <w:color w:val="auto"/>
          <w:highlight w:val="none"/>
        </w:rPr>
        <w:fldChar w:fldCharType="end"/>
      </w:r>
      <w:r>
        <w:rPr>
          <w:rFonts w:hint="eastAsia" w:ascii="宋体" w:hAnsi="宋体" w:eastAsia="宋体" w:cs="宋体"/>
          <w:color w:val="auto"/>
          <w:szCs w:val="24"/>
          <w:highlight w:val="none"/>
        </w:rPr>
        <w:fldChar w:fldCharType="end"/>
      </w:r>
    </w:p>
    <w:p w14:paraId="01ACB442">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_Toc3545 </w:instrText>
      </w:r>
      <w:r>
        <w:rPr>
          <w:rFonts w:hint="eastAsia" w:ascii="宋体" w:hAnsi="宋体" w:eastAsia="宋体" w:cs="宋体"/>
          <w:color w:val="auto"/>
          <w:szCs w:val="24"/>
          <w:highlight w:val="none"/>
        </w:rPr>
        <w:fldChar w:fldCharType="separate"/>
      </w:r>
      <w:r>
        <w:rPr>
          <w:rFonts w:hint="eastAsia" w:ascii="宋体" w:hAnsi="宋体"/>
          <w:bCs w:val="0"/>
          <w:color w:val="auto"/>
          <w:highlight w:val="none"/>
        </w:rPr>
        <w:t>第六章  合同文本</w:t>
      </w:r>
      <w:r>
        <w:rPr>
          <w:color w:val="auto"/>
          <w:highlight w:val="none"/>
        </w:rPr>
        <w:tab/>
      </w:r>
      <w:r>
        <w:rPr>
          <w:color w:val="auto"/>
          <w:highlight w:val="none"/>
        </w:rPr>
        <w:fldChar w:fldCharType="begin"/>
      </w:r>
      <w:r>
        <w:rPr>
          <w:color w:val="auto"/>
          <w:highlight w:val="none"/>
        </w:rPr>
        <w:instrText xml:space="preserve"> PAGEREF _Toc3545 \h </w:instrText>
      </w:r>
      <w:r>
        <w:rPr>
          <w:color w:val="auto"/>
          <w:highlight w:val="none"/>
        </w:rPr>
        <w:fldChar w:fldCharType="separate"/>
      </w:r>
      <w:r>
        <w:rPr>
          <w:color w:val="auto"/>
          <w:highlight w:val="none"/>
        </w:rPr>
        <w:t>81</w:t>
      </w:r>
      <w:r>
        <w:rPr>
          <w:color w:val="auto"/>
          <w:highlight w:val="none"/>
        </w:rPr>
        <w:fldChar w:fldCharType="end"/>
      </w:r>
      <w:r>
        <w:rPr>
          <w:rFonts w:hint="eastAsia" w:ascii="宋体" w:hAnsi="宋体" w:eastAsia="宋体" w:cs="宋体"/>
          <w:color w:val="auto"/>
          <w:szCs w:val="24"/>
          <w:highlight w:val="none"/>
        </w:rPr>
        <w:fldChar w:fldCharType="end"/>
      </w:r>
    </w:p>
    <w:p w14:paraId="4D7EEB01">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_Toc15299 </w:instrText>
      </w:r>
      <w:r>
        <w:rPr>
          <w:rFonts w:hint="eastAsia" w:ascii="宋体" w:hAnsi="宋体" w:eastAsia="宋体" w:cs="宋体"/>
          <w:color w:val="auto"/>
          <w:szCs w:val="24"/>
          <w:highlight w:val="none"/>
        </w:rPr>
        <w:fldChar w:fldCharType="separate"/>
      </w:r>
      <w:r>
        <w:rPr>
          <w:rFonts w:hint="eastAsia" w:ascii="Cambria" w:hAnsi="Cambria" w:eastAsia="宋体" w:cs="Times New Roman"/>
          <w:bCs/>
          <w:color w:val="auto"/>
          <w:kern w:val="2"/>
          <w:szCs w:val="32"/>
          <w:highlight w:val="none"/>
          <w:lang w:val="en-US" w:eastAsia="zh-CN" w:bidi="ar-SA"/>
        </w:rPr>
        <w:t>第一节</w:t>
      </w:r>
      <w:r>
        <w:rPr>
          <w:rFonts w:hint="eastAsia" w:cs="Times New Roman"/>
          <w:bCs/>
          <w:color w:val="auto"/>
          <w:kern w:val="2"/>
          <w:szCs w:val="32"/>
          <w:highlight w:val="none"/>
          <w:lang w:val="en-US" w:eastAsia="zh-CN" w:bidi="ar-SA"/>
        </w:rPr>
        <w:t xml:space="preserve"> </w:t>
      </w:r>
      <w:r>
        <w:rPr>
          <w:rFonts w:hint="eastAsia"/>
          <w:color w:val="auto"/>
          <w:highlight w:val="none"/>
          <w:lang w:val="en-US" w:eastAsia="zh-CN"/>
        </w:rPr>
        <w:t>合同协议书</w:t>
      </w:r>
      <w:r>
        <w:rPr>
          <w:color w:val="auto"/>
          <w:highlight w:val="none"/>
        </w:rPr>
        <w:tab/>
      </w:r>
      <w:r>
        <w:rPr>
          <w:color w:val="auto"/>
          <w:highlight w:val="none"/>
        </w:rPr>
        <w:fldChar w:fldCharType="begin"/>
      </w:r>
      <w:r>
        <w:rPr>
          <w:color w:val="auto"/>
          <w:highlight w:val="none"/>
        </w:rPr>
        <w:instrText xml:space="preserve"> PAGEREF _Toc15299 \h </w:instrText>
      </w:r>
      <w:r>
        <w:rPr>
          <w:color w:val="auto"/>
          <w:highlight w:val="none"/>
        </w:rPr>
        <w:fldChar w:fldCharType="separate"/>
      </w:r>
      <w:r>
        <w:rPr>
          <w:color w:val="auto"/>
          <w:highlight w:val="none"/>
        </w:rPr>
        <w:t>83</w:t>
      </w:r>
      <w:r>
        <w:rPr>
          <w:color w:val="auto"/>
          <w:highlight w:val="none"/>
        </w:rPr>
        <w:fldChar w:fldCharType="end"/>
      </w:r>
      <w:r>
        <w:rPr>
          <w:rFonts w:hint="eastAsia" w:ascii="宋体" w:hAnsi="宋体" w:eastAsia="宋体" w:cs="宋体"/>
          <w:color w:val="auto"/>
          <w:szCs w:val="24"/>
          <w:highlight w:val="none"/>
        </w:rPr>
        <w:fldChar w:fldCharType="end"/>
      </w:r>
    </w:p>
    <w:p w14:paraId="6A43CF8E">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_Toc10810 </w:instrText>
      </w:r>
      <w:r>
        <w:rPr>
          <w:rFonts w:hint="eastAsia" w:ascii="宋体" w:hAnsi="宋体" w:eastAsia="宋体" w:cs="宋体"/>
          <w:color w:val="auto"/>
          <w:szCs w:val="24"/>
          <w:highlight w:val="none"/>
        </w:rPr>
        <w:fldChar w:fldCharType="separate"/>
      </w:r>
      <w:r>
        <w:rPr>
          <w:rFonts w:hint="eastAsia" w:ascii="Cambria" w:hAnsi="Cambria" w:eastAsia="宋体" w:cs="Times New Roman"/>
          <w:bCs/>
          <w:color w:val="auto"/>
          <w:kern w:val="2"/>
          <w:szCs w:val="32"/>
          <w:highlight w:val="none"/>
          <w:lang w:val="en-US" w:eastAsia="zh-CN" w:bidi="ar-SA"/>
        </w:rPr>
        <w:t>第二节</w:t>
      </w:r>
      <w:r>
        <w:rPr>
          <w:rFonts w:hint="eastAsia" w:eastAsia="宋体" w:cs="Times New Roman"/>
          <w:bCs/>
          <w:color w:val="auto"/>
          <w:kern w:val="2"/>
          <w:szCs w:val="32"/>
          <w:highlight w:val="none"/>
          <w:lang w:val="en-US" w:eastAsia="zh-CN" w:bidi="ar-SA"/>
        </w:rPr>
        <w:t xml:space="preserve"> </w:t>
      </w:r>
      <w:r>
        <w:rPr>
          <w:rFonts w:hint="eastAsia" w:ascii="Cambria" w:hAnsi="Cambria" w:eastAsia="宋体" w:cs="Times New Roman"/>
          <w:bCs/>
          <w:color w:val="auto"/>
          <w:kern w:val="2"/>
          <w:szCs w:val="32"/>
          <w:highlight w:val="none"/>
          <w:lang w:val="en-US" w:eastAsia="zh-CN" w:bidi="ar-SA"/>
        </w:rPr>
        <w:t>专用合同条款</w:t>
      </w:r>
      <w:r>
        <w:rPr>
          <w:color w:val="auto"/>
          <w:highlight w:val="none"/>
        </w:rPr>
        <w:tab/>
      </w:r>
      <w:r>
        <w:rPr>
          <w:color w:val="auto"/>
          <w:highlight w:val="none"/>
        </w:rPr>
        <w:fldChar w:fldCharType="begin"/>
      </w:r>
      <w:r>
        <w:rPr>
          <w:color w:val="auto"/>
          <w:highlight w:val="none"/>
        </w:rPr>
        <w:instrText xml:space="preserve"> PAGEREF _Toc10810 \h </w:instrText>
      </w:r>
      <w:r>
        <w:rPr>
          <w:color w:val="auto"/>
          <w:highlight w:val="none"/>
        </w:rPr>
        <w:fldChar w:fldCharType="separate"/>
      </w:r>
      <w:r>
        <w:rPr>
          <w:color w:val="auto"/>
          <w:highlight w:val="none"/>
        </w:rPr>
        <w:t>84</w:t>
      </w:r>
      <w:r>
        <w:rPr>
          <w:color w:val="auto"/>
          <w:highlight w:val="none"/>
        </w:rPr>
        <w:fldChar w:fldCharType="end"/>
      </w:r>
      <w:r>
        <w:rPr>
          <w:rFonts w:hint="eastAsia" w:ascii="宋体" w:hAnsi="宋体" w:eastAsia="宋体" w:cs="宋体"/>
          <w:color w:val="auto"/>
          <w:szCs w:val="24"/>
          <w:highlight w:val="none"/>
        </w:rPr>
        <w:fldChar w:fldCharType="end"/>
      </w:r>
    </w:p>
    <w:p w14:paraId="5E400260">
      <w:pPr>
        <w:pStyle w:val="19"/>
        <w:keepNext w:val="0"/>
        <w:keepLines w:val="0"/>
        <w:pageBreakBefore w:val="0"/>
        <w:widowControl w:val="0"/>
        <w:tabs>
          <w:tab w:val="right" w:leader="dot" w:pos="8878"/>
          <w:tab w:val="clear" w:pos="8296"/>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_Toc27720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32"/>
          <w:highlight w:val="none"/>
          <w:lang w:val="en-US" w:eastAsia="en-US"/>
        </w:rPr>
        <w:t>第</w:t>
      </w:r>
      <w:r>
        <w:rPr>
          <w:rFonts w:hint="eastAsia" w:ascii="宋体" w:hAnsi="宋体" w:cs="宋体"/>
          <w:color w:val="auto"/>
          <w:szCs w:val="32"/>
          <w:highlight w:val="none"/>
          <w:lang w:val="en-US" w:eastAsia="zh-CN"/>
        </w:rPr>
        <w:t>三</w:t>
      </w:r>
      <w:r>
        <w:rPr>
          <w:rFonts w:hint="eastAsia" w:ascii="宋体" w:hAnsi="宋体" w:eastAsia="宋体" w:cs="宋体"/>
          <w:color w:val="auto"/>
          <w:szCs w:val="32"/>
          <w:highlight w:val="none"/>
          <w:lang w:val="en-US" w:eastAsia="en-US"/>
        </w:rPr>
        <w:t>节 通用合同条款</w:t>
      </w:r>
      <w:r>
        <w:rPr>
          <w:color w:val="auto"/>
          <w:highlight w:val="none"/>
        </w:rPr>
        <w:tab/>
      </w:r>
      <w:r>
        <w:rPr>
          <w:color w:val="auto"/>
          <w:highlight w:val="none"/>
        </w:rPr>
        <w:fldChar w:fldCharType="begin"/>
      </w:r>
      <w:r>
        <w:rPr>
          <w:color w:val="auto"/>
          <w:highlight w:val="none"/>
        </w:rPr>
        <w:instrText xml:space="preserve"> PAGEREF _Toc27720 \h </w:instrText>
      </w:r>
      <w:r>
        <w:rPr>
          <w:color w:val="auto"/>
          <w:highlight w:val="none"/>
        </w:rPr>
        <w:fldChar w:fldCharType="separate"/>
      </w:r>
      <w:r>
        <w:rPr>
          <w:color w:val="auto"/>
          <w:highlight w:val="none"/>
        </w:rPr>
        <w:t>103</w:t>
      </w:r>
      <w:r>
        <w:rPr>
          <w:color w:val="auto"/>
          <w:highlight w:val="none"/>
        </w:rPr>
        <w:fldChar w:fldCharType="end"/>
      </w:r>
      <w:r>
        <w:rPr>
          <w:rFonts w:hint="eastAsia" w:ascii="宋体" w:hAnsi="宋体" w:eastAsia="宋体" w:cs="宋体"/>
          <w:color w:val="auto"/>
          <w:szCs w:val="24"/>
          <w:highlight w:val="none"/>
        </w:rPr>
        <w:fldChar w:fldCharType="end"/>
      </w:r>
    </w:p>
    <w:p w14:paraId="3AD9DCC3">
      <w:pPr>
        <w:pStyle w:val="17"/>
        <w:keepNext w:val="0"/>
        <w:keepLines w:val="0"/>
        <w:pageBreakBefore w:val="0"/>
        <w:widowControl w:val="0"/>
        <w:tabs>
          <w:tab w:val="right" w:leader="dot" w:pos="8878"/>
        </w:tabs>
        <w:kinsoku/>
        <w:wordWrap/>
        <w:overflowPunct/>
        <w:topLinePunct w:val="0"/>
        <w:autoSpaceDE/>
        <w:autoSpaceDN/>
        <w:bidi w:val="0"/>
        <w:adjustRightInd/>
        <w:snapToGrid/>
        <w:spacing w:line="360" w:lineRule="auto"/>
        <w:textAlignment w:val="auto"/>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_Toc18254 </w:instrText>
      </w:r>
      <w:r>
        <w:rPr>
          <w:rFonts w:hint="eastAsia" w:ascii="宋体" w:hAnsi="宋体" w:eastAsia="宋体" w:cs="宋体"/>
          <w:color w:val="auto"/>
          <w:szCs w:val="24"/>
          <w:highlight w:val="none"/>
        </w:rPr>
        <w:fldChar w:fldCharType="separate"/>
      </w:r>
      <w:r>
        <w:rPr>
          <w:rFonts w:hint="eastAsia" w:ascii="宋体" w:hAnsi="宋体" w:cs="仿宋_GB2312"/>
          <w:color w:val="auto"/>
          <w:highlight w:val="none"/>
        </w:rPr>
        <w:t>第七章 质疑、投诉材料格式</w:t>
      </w:r>
      <w:r>
        <w:rPr>
          <w:color w:val="auto"/>
          <w:highlight w:val="none"/>
        </w:rPr>
        <w:tab/>
      </w:r>
      <w:r>
        <w:rPr>
          <w:color w:val="auto"/>
          <w:highlight w:val="none"/>
        </w:rPr>
        <w:fldChar w:fldCharType="begin"/>
      </w:r>
      <w:r>
        <w:rPr>
          <w:color w:val="auto"/>
          <w:highlight w:val="none"/>
        </w:rPr>
        <w:instrText xml:space="preserve"> PAGEREF _Toc18254 \h </w:instrText>
      </w:r>
      <w:r>
        <w:rPr>
          <w:color w:val="auto"/>
          <w:highlight w:val="none"/>
        </w:rPr>
        <w:fldChar w:fldCharType="separate"/>
      </w:r>
      <w:r>
        <w:rPr>
          <w:color w:val="auto"/>
          <w:highlight w:val="none"/>
        </w:rPr>
        <w:t>138</w:t>
      </w:r>
      <w:r>
        <w:rPr>
          <w:color w:val="auto"/>
          <w:highlight w:val="none"/>
        </w:rPr>
        <w:fldChar w:fldCharType="end"/>
      </w:r>
      <w:r>
        <w:rPr>
          <w:rFonts w:hint="eastAsia" w:ascii="宋体" w:hAnsi="宋体" w:eastAsia="宋体" w:cs="宋体"/>
          <w:color w:val="auto"/>
          <w:szCs w:val="24"/>
          <w:highlight w:val="none"/>
        </w:rPr>
        <w:fldChar w:fldCharType="end"/>
      </w:r>
    </w:p>
    <w:p w14:paraId="34CF6564">
      <w:pPr>
        <w:pStyle w:val="19"/>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b/>
          <w:color w:val="auto"/>
          <w:sz w:val="32"/>
          <w:szCs w:val="32"/>
          <w:highlight w:val="none"/>
        </w:rPr>
      </w:pPr>
      <w:r>
        <w:rPr>
          <w:rFonts w:hint="eastAsia" w:ascii="宋体" w:hAnsi="宋体" w:eastAsia="宋体" w:cs="宋体"/>
          <w:color w:val="auto"/>
          <w:szCs w:val="24"/>
          <w:highlight w:val="none"/>
        </w:rPr>
        <w:fldChar w:fldCharType="end"/>
      </w:r>
    </w:p>
    <w:p w14:paraId="285EE4AC">
      <w:pPr>
        <w:widowControl/>
        <w:jc w:val="left"/>
        <w:rPr>
          <w:rFonts w:ascii="宋体" w:hAnsi="宋体"/>
          <w:b/>
          <w:color w:val="auto"/>
          <w:sz w:val="32"/>
          <w:szCs w:val="32"/>
          <w:highlight w:val="none"/>
        </w:rPr>
        <w:sectPr>
          <w:pgSz w:w="11905" w:h="16838"/>
          <w:pgMar w:top="958" w:right="1440" w:bottom="958" w:left="1587" w:header="850" w:footer="992" w:gutter="0"/>
          <w:pgNumType w:start="0"/>
          <w:cols w:space="720" w:num="1"/>
          <w:rtlGutter w:val="0"/>
          <w:docGrid w:type="lines" w:linePitch="317" w:charSpace="0"/>
        </w:sectPr>
      </w:pPr>
    </w:p>
    <w:p w14:paraId="66E91B1E">
      <w:pPr>
        <w:pStyle w:val="2"/>
        <w:spacing w:before="0" w:line="480" w:lineRule="exact"/>
        <w:jc w:val="center"/>
        <w:rPr>
          <w:rFonts w:hint="eastAsia"/>
          <w:color w:val="auto"/>
          <w:highlight w:val="none"/>
        </w:rPr>
      </w:pPr>
      <w:bookmarkStart w:id="1" w:name="_Toc24273"/>
      <w:r>
        <w:rPr>
          <w:rFonts w:hint="eastAsia"/>
          <w:color w:val="auto"/>
          <w:highlight w:val="none"/>
        </w:rPr>
        <w:t>第一章</w:t>
      </w:r>
      <w:r>
        <w:rPr>
          <w:color w:val="auto"/>
          <w:highlight w:val="none"/>
        </w:rPr>
        <w:t xml:space="preserve"> </w:t>
      </w:r>
      <w:r>
        <w:rPr>
          <w:rFonts w:hint="eastAsia"/>
          <w:color w:val="auto"/>
          <w:highlight w:val="none"/>
        </w:rPr>
        <w:t>竞争性磋商公告</w:t>
      </w:r>
      <w:bookmarkEnd w:id="1"/>
    </w:p>
    <w:tbl>
      <w:tblPr>
        <w:tblStyle w:val="21"/>
        <w:tblW w:w="8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1"/>
      </w:tblGrid>
      <w:tr w14:paraId="28CA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8831" w:type="dxa"/>
            <w:noWrap w:val="0"/>
            <w:vAlign w:val="top"/>
          </w:tcPr>
          <w:p w14:paraId="1D24AB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olor w:val="auto"/>
                <w:szCs w:val="21"/>
                <w:highlight w:val="none"/>
                <w:u w:val="single"/>
                <w:lang w:val="en-US" w:eastAsia="zh-CN"/>
              </w:rPr>
            </w:pPr>
            <w:r>
              <w:rPr>
                <w:rFonts w:hint="eastAsia" w:ascii="宋体" w:hAnsi="宋体"/>
                <w:color w:val="auto"/>
                <w:szCs w:val="21"/>
                <w:highlight w:val="none"/>
                <w:u w:val="single"/>
                <w:lang w:val="en-US" w:eastAsia="zh-CN"/>
              </w:rPr>
              <w:t>项目概况</w:t>
            </w:r>
          </w:p>
          <w:p w14:paraId="1AA2A6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vertAlign w:val="baseline"/>
              </w:rPr>
            </w:pPr>
            <w:r>
              <w:rPr>
                <w:rFonts w:hint="eastAsia" w:ascii="宋体" w:hAnsi="宋体"/>
                <w:color w:val="auto"/>
                <w:szCs w:val="21"/>
                <w:highlight w:val="none"/>
                <w:u w:val="single"/>
                <w:lang w:eastAsia="zh-CN"/>
              </w:rPr>
              <w:t>南宁市五化灌区总干渠水毁应急抢险工程</w:t>
            </w:r>
            <w:r>
              <w:rPr>
                <w:rFonts w:hint="eastAsia" w:ascii="宋体" w:hAnsi="宋体"/>
                <w:color w:val="auto"/>
                <w:szCs w:val="21"/>
                <w:highlight w:val="none"/>
              </w:rPr>
              <w:t>采购项目的潜在供应商应在广西政府采购云平台（https://login.gcy.zfcg.gxzf.gov.cn/）获取（下载）竞争性磋商文件，并于</w:t>
            </w: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30   13</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00</w:t>
            </w:r>
            <w:r>
              <w:rPr>
                <w:rFonts w:hint="eastAsia" w:ascii="宋体" w:hAnsi="宋体"/>
                <w:color w:val="auto"/>
                <w:szCs w:val="21"/>
                <w:highlight w:val="none"/>
                <w:u w:val="single"/>
              </w:rPr>
              <w:t>:00</w:t>
            </w:r>
            <w:r>
              <w:rPr>
                <w:rFonts w:hint="eastAsia" w:ascii="宋体" w:hAnsi="宋体"/>
                <w:bCs/>
                <w:color w:val="auto"/>
                <w:szCs w:val="21"/>
                <w:highlight w:val="none"/>
              </w:rPr>
              <w:t>（北京时间）前提交响应文件</w:t>
            </w:r>
            <w:r>
              <w:rPr>
                <w:rFonts w:hint="eastAsia" w:ascii="宋体" w:hAnsi="宋体"/>
                <w:color w:val="auto"/>
                <w:szCs w:val="21"/>
                <w:highlight w:val="none"/>
              </w:rPr>
              <w:t>。</w:t>
            </w:r>
          </w:p>
        </w:tc>
      </w:tr>
    </w:tbl>
    <w:p w14:paraId="4B3B1F9A">
      <w:pPr>
        <w:rPr>
          <w:rFonts w:hint="eastAsia"/>
          <w:color w:val="auto"/>
          <w:highlight w:val="none"/>
        </w:rPr>
      </w:pPr>
    </w:p>
    <w:p w14:paraId="45378235">
      <w:pPr>
        <w:spacing w:line="360" w:lineRule="auto"/>
        <w:ind w:firstLine="480" w:firstLineChars="200"/>
        <w:rPr>
          <w:rFonts w:hint="eastAsia"/>
          <w:color w:val="auto"/>
          <w:highlight w:val="none"/>
        </w:rPr>
      </w:pPr>
      <w:r>
        <w:rPr>
          <w:rFonts w:hint="eastAsia" w:ascii="黑体" w:hAnsi="黑体" w:eastAsia="黑体" w:cs="宋体"/>
          <w:bCs/>
          <w:color w:val="auto"/>
          <w:sz w:val="24"/>
          <w:highlight w:val="none"/>
        </w:rPr>
        <w:t>一、项目基本情况</w:t>
      </w:r>
    </w:p>
    <w:p w14:paraId="24DAA279">
      <w:pPr>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lang w:eastAsia="zh-CN"/>
        </w:rPr>
        <w:t>项目编号：</w:t>
      </w:r>
      <w:r>
        <w:rPr>
          <w:rFonts w:hint="eastAsia" w:ascii="宋体" w:hAnsi="宋体"/>
          <w:color w:val="auto"/>
          <w:szCs w:val="21"/>
          <w:highlight w:val="none"/>
          <w:lang w:val="en-US" w:eastAsia="zh-CN"/>
        </w:rPr>
        <w:t>NNZC2026-C2-990977-GXXB</w:t>
      </w:r>
    </w:p>
    <w:p w14:paraId="34A655C1">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南宁市五化灌区总干渠水毁应急抢险工程</w:t>
      </w:r>
    </w:p>
    <w:p w14:paraId="7D4B0E3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w:t>
      </w:r>
    </w:p>
    <w:p w14:paraId="5DBA648B">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预算总金额（元）：</w:t>
      </w:r>
      <w:r>
        <w:rPr>
          <w:rFonts w:hint="eastAsia" w:ascii="宋体" w:hAnsi="宋体"/>
          <w:color w:val="auto"/>
          <w:szCs w:val="21"/>
          <w:highlight w:val="none"/>
          <w:lang w:val="en-US" w:eastAsia="zh-CN"/>
        </w:rPr>
        <w:t>2645559.35</w:t>
      </w:r>
    </w:p>
    <w:p w14:paraId="39CD540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p>
    <w:p w14:paraId="23512752">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标项名称:</w:t>
      </w:r>
      <w:r>
        <w:rPr>
          <w:rFonts w:hint="eastAsia" w:ascii="宋体" w:hAnsi="宋体"/>
          <w:color w:val="auto"/>
          <w:szCs w:val="21"/>
          <w:highlight w:val="none"/>
          <w:lang w:eastAsia="zh-CN"/>
        </w:rPr>
        <w:t>南宁市五化灌区总干渠水毁应急抢险工程</w:t>
      </w:r>
    </w:p>
    <w:p w14:paraId="08E674C0">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数量:</w:t>
      </w:r>
      <w:r>
        <w:rPr>
          <w:rFonts w:hint="eastAsia" w:ascii="宋体" w:hAnsi="宋体"/>
          <w:color w:val="auto"/>
          <w:szCs w:val="21"/>
          <w:highlight w:val="none"/>
          <w:lang w:val="en-US" w:eastAsia="zh-CN"/>
        </w:rPr>
        <w:t>1</w:t>
      </w:r>
    </w:p>
    <w:p w14:paraId="11DD6EFA">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预算金额（元）:</w:t>
      </w:r>
      <w:r>
        <w:rPr>
          <w:rFonts w:hint="eastAsia" w:ascii="宋体" w:hAnsi="宋体"/>
          <w:color w:val="auto"/>
          <w:szCs w:val="21"/>
          <w:highlight w:val="none"/>
          <w:lang w:val="en-US" w:eastAsia="zh-CN"/>
        </w:rPr>
        <w:t>2645559.35</w:t>
      </w:r>
    </w:p>
    <w:p w14:paraId="1A49B22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简要规格描述或项目基本概况介绍、用途：</w:t>
      </w:r>
      <w:r>
        <w:rPr>
          <w:rFonts w:hint="eastAsia" w:ascii="宋体" w:hAnsi="宋体"/>
          <w:color w:val="auto"/>
          <w:szCs w:val="21"/>
          <w:highlight w:val="none"/>
          <w:lang w:eastAsia="zh-CN"/>
        </w:rPr>
        <w:t>南宁市五化灌区总干渠水毁应急抢险工程，工程量清单和图纸要求范围内所有内容，</w:t>
      </w:r>
      <w:r>
        <w:rPr>
          <w:rFonts w:hint="eastAsia" w:ascii="宋体" w:hAnsi="宋体"/>
          <w:color w:val="auto"/>
          <w:szCs w:val="21"/>
          <w:highlight w:val="none"/>
          <w:lang w:val="en-US" w:eastAsia="zh-CN"/>
        </w:rPr>
        <w:t>具体内容详见第二章采购需求</w:t>
      </w:r>
      <w:r>
        <w:rPr>
          <w:rFonts w:hint="eastAsia" w:ascii="宋体" w:hAnsi="宋体"/>
          <w:color w:val="auto"/>
          <w:szCs w:val="21"/>
          <w:highlight w:val="none"/>
          <w:lang w:eastAsia="zh-CN"/>
        </w:rPr>
        <w:t>。</w:t>
      </w:r>
    </w:p>
    <w:p w14:paraId="6840B9B4">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最高限价（元）：</w:t>
      </w:r>
      <w:r>
        <w:rPr>
          <w:rFonts w:hint="eastAsia" w:ascii="宋体" w:hAnsi="宋体" w:eastAsia="宋体"/>
          <w:color w:val="auto"/>
          <w:szCs w:val="21"/>
          <w:highlight w:val="none"/>
          <w:lang w:val="en-US" w:eastAsia="zh-CN"/>
        </w:rPr>
        <w:t>2645559.35</w:t>
      </w:r>
    </w:p>
    <w:p w14:paraId="1D2109E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合同履约期限：</w:t>
      </w:r>
      <w:r>
        <w:rPr>
          <w:rFonts w:hint="eastAsia" w:ascii="宋体" w:hAnsi="宋体"/>
          <w:color w:val="auto"/>
          <w:szCs w:val="21"/>
          <w:highlight w:val="none"/>
          <w:lang w:val="en-US" w:eastAsia="zh-CN"/>
        </w:rPr>
        <w:t>3个月</w:t>
      </w:r>
    </w:p>
    <w:p w14:paraId="69B8A86E">
      <w:pPr>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本标项（否）接受联合体投标</w:t>
      </w:r>
      <w:r>
        <w:rPr>
          <w:rFonts w:hint="eastAsia" w:ascii="宋体" w:hAnsi="宋体"/>
          <w:color w:val="auto"/>
          <w:szCs w:val="21"/>
          <w:highlight w:val="none"/>
          <w:lang w:eastAsia="zh-CN"/>
        </w:rPr>
        <w:t>。</w:t>
      </w:r>
    </w:p>
    <w:p w14:paraId="409AEE8B">
      <w:pPr>
        <w:spacing w:line="360" w:lineRule="auto"/>
        <w:ind w:firstLine="420" w:firstLineChars="200"/>
        <w:rPr>
          <w:rFonts w:hint="eastAsia"/>
          <w:color w:val="auto"/>
          <w:highlight w:val="none"/>
        </w:rPr>
      </w:pPr>
      <w:r>
        <w:rPr>
          <w:rFonts w:hint="eastAsia" w:ascii="宋体" w:hAnsi="宋体"/>
          <w:color w:val="auto"/>
          <w:szCs w:val="21"/>
          <w:highlight w:val="none"/>
        </w:rPr>
        <w:t>备注：</w:t>
      </w:r>
      <w:r>
        <w:rPr>
          <w:rFonts w:hint="eastAsia" w:ascii="宋体" w:hAnsi="宋体"/>
          <w:color w:val="auto"/>
          <w:szCs w:val="21"/>
          <w:highlight w:val="none"/>
          <w:lang w:val="en-US" w:eastAsia="zh-CN"/>
        </w:rPr>
        <w:t>/。</w:t>
      </w:r>
    </w:p>
    <w:p w14:paraId="3F8A35E3">
      <w:pPr>
        <w:spacing w:line="360" w:lineRule="auto"/>
        <w:ind w:firstLine="482" w:firstLineChars="200"/>
        <w:rPr>
          <w:rFonts w:hint="eastAsia" w:ascii="黑体" w:hAnsi="黑体" w:eastAsia="黑体" w:cs="宋体"/>
          <w:bCs/>
          <w:color w:val="auto"/>
          <w:sz w:val="24"/>
          <w:highlight w:val="none"/>
        </w:rPr>
      </w:pPr>
      <w:r>
        <w:rPr>
          <w:rFonts w:hint="eastAsia" w:ascii="黑体" w:hAnsi="黑体" w:eastAsia="黑体" w:cs="宋体"/>
          <w:b/>
          <w:color w:val="auto"/>
          <w:kern w:val="44"/>
          <w:sz w:val="24"/>
          <w:highlight w:val="none"/>
        </w:rPr>
        <w:t>二、供应商的资格条件</w:t>
      </w:r>
    </w:p>
    <w:p w14:paraId="288809A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1.满足《中华人民共和国政府采购法》第二十二条规定；</w:t>
      </w:r>
    </w:p>
    <w:p w14:paraId="04142A5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2.落实政府采购政策需满足的资格要求：</w:t>
      </w:r>
    </w:p>
    <w:p w14:paraId="6759CB4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☑专门面向中小企业采购的项目（供应商应为中小微企业、监狱企业、残疾人福利性单位)</w:t>
      </w:r>
    </w:p>
    <w:p w14:paraId="34B6528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□非专门面向中小企业采购的项目</w:t>
      </w:r>
    </w:p>
    <w:p w14:paraId="21B59BC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3.本项目的特定资格要求：具备水利水电工程施工总承包叁级（含叁级）及以上资质，具有省级（含省级）及以上建设行政主管部门颁发的安全生产许可证，并在人员、设备、资金等方面具备相应的施工能力。</w:t>
      </w:r>
    </w:p>
    <w:p w14:paraId="1DAB5362">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三、获取竞争性磋商文件</w:t>
      </w:r>
    </w:p>
    <w:p w14:paraId="630EFAB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时间：自公告发布之日起。</w:t>
      </w:r>
    </w:p>
    <w:p w14:paraId="22B9D1B9">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地点（网址）：广西政府采购云平台线上获取</w:t>
      </w:r>
    </w:p>
    <w:p w14:paraId="65EA55BF">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方式：网上下载。本项目不发放纸质采购文件，供应商可自行在“广西政府采购云平台”（https://login.gcy.zfcg.gxzf.gov.cn/）下载采购文件（操作路径：登录“广西政府采购云平台”-项目采购-获取采购文件-找到本项目-点击“申请获取采购文件”），电子响应文件制作需要基于“广西政府采购云平台”（https://login.gcy.zfcg.gxzf.gov.cn/）获取的采购文件编制。</w:t>
      </w:r>
    </w:p>
    <w:p w14:paraId="754D0E88">
      <w:pPr>
        <w:snapToGrid w:val="0"/>
        <w:spacing w:line="360" w:lineRule="auto"/>
        <w:ind w:firstLine="420" w:firstLineChars="200"/>
        <w:rPr>
          <w:rFonts w:hint="eastAsia" w:ascii="宋体" w:hAnsi="宋体"/>
          <w:color w:val="auto"/>
          <w:szCs w:val="21"/>
          <w:highlight w:val="none"/>
        </w:rPr>
      </w:pPr>
      <w:r>
        <w:rPr>
          <w:rFonts w:hint="eastAsia" w:ascii="宋体" w:hAnsi="宋体" w:eastAsia="宋体" w:cs="Times New Roman"/>
          <w:color w:val="auto"/>
          <w:szCs w:val="21"/>
          <w:highlight w:val="none"/>
        </w:rPr>
        <w:t>售价（元）：0</w:t>
      </w:r>
    </w:p>
    <w:p w14:paraId="3D80792D">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四、响应文件提交</w:t>
      </w:r>
    </w:p>
    <w:p w14:paraId="1F38A652">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1、首次响应文件提交截止时间</w:t>
      </w:r>
      <w:r>
        <w:rPr>
          <w:rFonts w:hint="eastAsia" w:ascii="宋体" w:hAnsi="宋体"/>
          <w:bCs/>
          <w:color w:val="auto"/>
          <w:szCs w:val="21"/>
          <w:highlight w:val="none"/>
        </w:rPr>
        <w:t>（北京时间）：</w:t>
      </w: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30   13</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00</w:t>
      </w:r>
      <w:r>
        <w:rPr>
          <w:rFonts w:hint="eastAsia" w:ascii="宋体" w:hAnsi="宋体"/>
          <w:color w:val="auto"/>
          <w:szCs w:val="21"/>
          <w:highlight w:val="none"/>
          <w:u w:val="single"/>
        </w:rPr>
        <w:t>:00</w:t>
      </w:r>
    </w:p>
    <w:p w14:paraId="11068B1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2、首次响应文件提交地点：</w:t>
      </w:r>
    </w:p>
    <w:p w14:paraId="26EB43A8">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响应文件提交方式：本项目为南宁市全流程电子化项目，通过“广西政府采购云平台”实行在线电子响应，供应商应先安装““广西政府采购云平台电子交易客户端”（请自行前往“广西政府采购云平台”进行下载），并按照本项目采购文件和“广西政府采购云平台”的要求编制、加密后在投标截止时间前通过网络上传至南宁市“广西政府采购云平台”，供应商在“广西政府采购云平台”提交电子版响应文件时，请填写参加远程采购活动经办人联系方式，电子响应文件具体操作流程详见本公告附件2。</w:t>
      </w:r>
    </w:p>
    <w:p w14:paraId="22DE14BD">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供应商只需办理其中一家CA数字证书及签章。</w:t>
      </w:r>
    </w:p>
    <w:p w14:paraId="6AADCCBA">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79BB70AA">
      <w:pPr>
        <w:snapToGrid w:val="0"/>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26CDE26F">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首次响应文件开启时，须要供应商携带制作响应文件时用来加密的有效数字证书（CA认证）登录“广西政府采购云平台”电子开标大厅现场按规定时间对加密的响应文件进行解密，未能按要求进行解密的，由此产生的后果由投标人自行承担。</w:t>
      </w:r>
    </w:p>
    <w:p w14:paraId="29B93E40">
      <w:pPr>
        <w:snapToGrid w:val="0"/>
        <w:spacing w:line="360" w:lineRule="auto"/>
        <w:ind w:firstLine="420" w:firstLineChars="200"/>
        <w:rPr>
          <w:rFonts w:hint="eastAsia" w:ascii="黑体" w:hAnsi="黑体" w:eastAsia="黑体"/>
          <w:b/>
          <w:bCs/>
          <w:color w:val="auto"/>
          <w:sz w:val="24"/>
          <w:highlight w:val="none"/>
        </w:rPr>
      </w:pPr>
      <w:r>
        <w:rPr>
          <w:rFonts w:hint="eastAsia" w:ascii="宋体" w:hAnsi="宋体" w:cs="宋体"/>
          <w:color w:val="auto"/>
          <w:kern w:val="0"/>
          <w:szCs w:val="21"/>
          <w:highlight w:val="none"/>
        </w:rPr>
        <w:t>4、供应商需要在具备有摄像头及语音功能且互联网网络状况良好的电脑登录“广西政府采购云平台”远程开标大厅参与本次磋商，否则后果自负。</w:t>
      </w:r>
    </w:p>
    <w:p w14:paraId="63ABED57">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五、开启（首次响应文件开启时间）</w:t>
      </w:r>
    </w:p>
    <w:p w14:paraId="21D7784B">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1.时间</w:t>
      </w:r>
      <w:r>
        <w:rPr>
          <w:rFonts w:hint="eastAsia" w:ascii="宋体" w:hAnsi="宋体"/>
          <w:bCs/>
          <w:color w:val="auto"/>
          <w:szCs w:val="21"/>
          <w:highlight w:val="none"/>
        </w:rPr>
        <w:t>（北京时间）</w:t>
      </w:r>
      <w:r>
        <w:rPr>
          <w:rFonts w:hint="eastAsia" w:ascii="宋体" w:hAnsi="宋体"/>
          <w:color w:val="auto"/>
          <w:szCs w:val="21"/>
          <w:highlight w:val="none"/>
        </w:rPr>
        <w:t>：</w:t>
      </w: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10</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30   13</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00</w:t>
      </w:r>
      <w:r>
        <w:rPr>
          <w:rFonts w:hint="eastAsia" w:ascii="宋体" w:hAnsi="宋体"/>
          <w:color w:val="auto"/>
          <w:szCs w:val="21"/>
          <w:highlight w:val="none"/>
          <w:u w:val="single"/>
        </w:rPr>
        <w:t>:00</w:t>
      </w:r>
      <w:r>
        <w:rPr>
          <w:rFonts w:hint="eastAsia" w:ascii="宋体" w:hAnsi="宋体"/>
          <w:color w:val="auto"/>
          <w:szCs w:val="21"/>
          <w:highlight w:val="none"/>
        </w:rPr>
        <w:t>后</w:t>
      </w:r>
    </w:p>
    <w:p w14:paraId="36C2444D">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2.地点：“广西政府采购云平台”远程开标大厅</w:t>
      </w:r>
    </w:p>
    <w:p w14:paraId="0D83C195">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六、公告期限</w:t>
      </w:r>
    </w:p>
    <w:p w14:paraId="11AACB7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6F7E26E1">
      <w:pPr>
        <w:spacing w:line="360" w:lineRule="auto"/>
        <w:ind w:firstLine="482" w:firstLineChars="200"/>
        <w:rPr>
          <w:rFonts w:hint="eastAsia" w:ascii="黑体" w:hAnsi="黑体" w:eastAsia="黑体"/>
          <w:b/>
          <w:bCs/>
          <w:color w:val="auto"/>
          <w:sz w:val="24"/>
          <w:highlight w:val="none"/>
        </w:rPr>
      </w:pPr>
      <w:r>
        <w:rPr>
          <w:rFonts w:hint="eastAsia" w:ascii="黑体" w:hAnsi="黑体" w:eastAsia="黑体"/>
          <w:b/>
          <w:bCs/>
          <w:color w:val="auto"/>
          <w:sz w:val="24"/>
          <w:highlight w:val="none"/>
        </w:rPr>
        <w:t>七、其他补充事宜</w:t>
      </w:r>
    </w:p>
    <w:p w14:paraId="295A8BF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1.磋商保证金：本项目不收取磋商保证金</w:t>
      </w:r>
    </w:p>
    <w:p w14:paraId="1633301E">
      <w:pPr>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2.采购意向公开链接：</w:t>
      </w:r>
      <w:bookmarkStart w:id="2" w:name="PO_3000001868_PM100"/>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35B2E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6" w:type="dxa"/>
            <w:noWrap w:val="0"/>
            <w:vAlign w:val="top"/>
          </w:tcPr>
          <w:p w14:paraId="7E985424">
            <w:pPr>
              <w:spacing w:line="360" w:lineRule="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采购意向公示链接</w:t>
            </w:r>
          </w:p>
        </w:tc>
      </w:tr>
      <w:tr w14:paraId="239D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6" w:type="dxa"/>
            <w:noWrap w:val="0"/>
            <w:vAlign w:val="top"/>
          </w:tcPr>
          <w:p w14:paraId="2C4DB0C2">
            <w:pPr>
              <w:spacing w:line="360" w:lineRule="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http://www.ccgp-guangxi.gov.cn/site/detail?parentId=66485&amp;articleId=dc+5TfvcN61GH6dpc9gkWA==</w:t>
            </w:r>
          </w:p>
        </w:tc>
      </w:tr>
      <w:bookmarkEnd w:id="2"/>
    </w:tbl>
    <w:p w14:paraId="0B792E7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3.网上查询地址</w:t>
      </w:r>
    </w:p>
    <w:p w14:paraId="0072EC2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中国政府采购网、广西政府采购网、全国公共资源交易平台（广西·南宁）网站</w:t>
      </w:r>
    </w:p>
    <w:p w14:paraId="449CC50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4.本项目需要落实的政府采购政策</w:t>
      </w:r>
    </w:p>
    <w:p w14:paraId="0CDDA91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6368491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69B0D04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41607903">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527E57D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14:paraId="70C12C67">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056A253">
      <w:pPr>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76F2582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7D67AF83">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 xml:space="preserve">.若对项目采购电子交易系统操作有疑问，可登录“广西政府采购云平台”，点击右侧咨询小采，获取采小蜜智能服务管家帮助，或拨打“广西政府采购云平台”服务热线 400-881-7190 获取热线服务帮助。 </w:t>
      </w:r>
    </w:p>
    <w:p w14:paraId="4AFC9C65">
      <w:pPr>
        <w:spacing w:line="360" w:lineRule="auto"/>
        <w:ind w:firstLine="482" w:firstLineChars="200"/>
        <w:rPr>
          <w:rFonts w:hint="eastAsia" w:ascii="黑体" w:hAnsi="黑体" w:eastAsia="黑体" w:cs="宋体"/>
          <w:bCs/>
          <w:color w:val="auto"/>
          <w:sz w:val="24"/>
          <w:highlight w:val="none"/>
        </w:rPr>
      </w:pPr>
      <w:r>
        <w:rPr>
          <w:rFonts w:hint="eastAsia" w:ascii="黑体" w:hAnsi="黑体" w:eastAsia="黑体" w:cs="宋体"/>
          <w:b/>
          <w:color w:val="auto"/>
          <w:kern w:val="44"/>
          <w:sz w:val="24"/>
          <w:highlight w:val="none"/>
        </w:rPr>
        <w:t>八、凡对本次采购提出询问，请按以下方式联系</w:t>
      </w:r>
    </w:p>
    <w:p w14:paraId="074C8EA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1.采购人信息</w:t>
      </w:r>
    </w:p>
    <w:p w14:paraId="47DC5F7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名称：</w:t>
      </w:r>
      <w:r>
        <w:rPr>
          <w:rFonts w:hint="eastAsia" w:ascii="宋体" w:hAnsi="宋体"/>
          <w:color w:val="auto"/>
          <w:szCs w:val="21"/>
          <w:highlight w:val="none"/>
          <w:lang w:val="en-US" w:eastAsia="zh-CN"/>
        </w:rPr>
        <w:t>南宁市灌区管理中心</w:t>
      </w:r>
    </w:p>
    <w:p w14:paraId="6E5090C0">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地址：</w:t>
      </w:r>
      <w:bookmarkStart w:id="3" w:name="PO_3000001866_PM030"/>
      <w:r>
        <w:rPr>
          <w:rFonts w:hint="eastAsia" w:ascii="宋体" w:hAnsi="宋体" w:eastAsia="宋体" w:cs="Times New Roman"/>
          <w:color w:val="auto"/>
          <w:szCs w:val="21"/>
          <w:highlight w:val="none"/>
          <w:lang w:val="en-US" w:eastAsia="zh-CN"/>
        </w:rPr>
        <w:t>南宁市青秀区东葛路20号</w:t>
      </w:r>
      <w:bookmarkEnd w:id="3"/>
    </w:p>
    <w:p w14:paraId="0896D049">
      <w:pPr>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项目联系人：潘立强</w:t>
      </w:r>
    </w:p>
    <w:p w14:paraId="0A32F7D4">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联系电话：0771-3132629</w:t>
      </w:r>
    </w:p>
    <w:p w14:paraId="233907F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2.采购代理机构信息</w:t>
      </w:r>
    </w:p>
    <w:p w14:paraId="760F6E1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名称：广西兴邦工程管理服务有限公司</w:t>
      </w:r>
    </w:p>
    <w:p w14:paraId="06C5CB0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地址：</w:t>
      </w:r>
      <w:bookmarkStart w:id="4" w:name="PO_3000001870_PM035"/>
      <w:r>
        <w:rPr>
          <w:rFonts w:hint="eastAsia" w:ascii="宋体" w:hAnsi="宋体"/>
          <w:color w:val="auto"/>
          <w:szCs w:val="21"/>
          <w:highlight w:val="none"/>
        </w:rPr>
        <w:t>南宁市西乡塘区北湖南路43号优活时代1号楼8</w:t>
      </w:r>
      <w:bookmarkEnd w:id="4"/>
      <w:r>
        <w:rPr>
          <w:rFonts w:hint="eastAsia" w:ascii="宋体" w:hAnsi="宋体"/>
          <w:color w:val="auto"/>
          <w:szCs w:val="21"/>
          <w:highlight w:val="none"/>
        </w:rPr>
        <w:t>楼</w:t>
      </w:r>
    </w:p>
    <w:p w14:paraId="41CE2CC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联系电话：0771-3389592</w:t>
      </w:r>
    </w:p>
    <w:p w14:paraId="626D882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3.项目联系方式</w:t>
      </w:r>
    </w:p>
    <w:p w14:paraId="59B6ED32">
      <w:pPr>
        <w:spacing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项目联系人：</w:t>
      </w:r>
      <w:r>
        <w:rPr>
          <w:rFonts w:hint="eastAsia" w:ascii="宋体" w:hAnsi="宋体"/>
          <w:color w:val="auto"/>
          <w:szCs w:val="21"/>
          <w:highlight w:val="none"/>
          <w:lang w:val="en-US" w:eastAsia="zh-CN"/>
        </w:rPr>
        <w:t>李文婷</w:t>
      </w:r>
    </w:p>
    <w:p w14:paraId="02D3C57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电话：0771-3389592</w:t>
      </w:r>
    </w:p>
    <w:p w14:paraId="1FBDBA18">
      <w:pPr>
        <w:pStyle w:val="7"/>
        <w:spacing w:line="360" w:lineRule="auto"/>
        <w:ind w:firstLine="420" w:firstLineChars="200"/>
        <w:rPr>
          <w:rFonts w:hint="eastAsia"/>
          <w:color w:val="auto"/>
          <w:highlight w:val="none"/>
        </w:rPr>
      </w:pPr>
      <w:r>
        <w:rPr>
          <w:rFonts w:hint="eastAsia" w:ascii="宋体" w:hAnsi="宋体"/>
          <w:color w:val="auto"/>
          <w:szCs w:val="21"/>
          <w:highlight w:val="none"/>
        </w:rPr>
        <w:t>附件： 1.CA证书申请方式及操作指南下载地址（登陆</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23"/>
          <w:color w:val="auto"/>
          <w:highlight w:val="none"/>
        </w:rPr>
        <w:t>http://nncz.nanning.gov.cn/</w:t>
      </w:r>
      <w:r>
        <w:rPr>
          <w:color w:val="auto"/>
          <w:highlight w:val="none"/>
        </w:rPr>
        <w:fldChar w:fldCharType="end"/>
      </w:r>
      <w:r>
        <w:rPr>
          <w:rFonts w:hint="eastAsia"/>
          <w:color w:val="auto"/>
          <w:highlight w:val="none"/>
        </w:rPr>
        <w:t>（南宁市财政局官网）</w:t>
      </w:r>
      <w:r>
        <w:rPr>
          <w:color w:val="auto"/>
          <w:highlight w:val="none"/>
        </w:rPr>
        <w:t>-</w:t>
      </w:r>
      <w:r>
        <w:rPr>
          <w:rFonts w:hint="eastAsia"/>
          <w:color w:val="auto"/>
          <w:highlight w:val="none"/>
        </w:rPr>
        <w:t>业务专题-政府采购监督管理-资料下载</w:t>
      </w:r>
      <w:r>
        <w:rPr>
          <w:color w:val="auto"/>
          <w:highlight w:val="none"/>
        </w:rPr>
        <w:t>-</w:t>
      </w:r>
      <w:r>
        <w:rPr>
          <w:rFonts w:hint="eastAsia"/>
          <w:color w:val="auto"/>
          <w:highlight w:val="none"/>
        </w:rPr>
        <w:t>“广西政采云西部</w:t>
      </w:r>
      <w:r>
        <w:rPr>
          <w:color w:val="auto"/>
          <w:highlight w:val="none"/>
        </w:rPr>
        <w:t>CA</w:t>
      </w:r>
      <w:r>
        <w:rPr>
          <w:rFonts w:hint="eastAsia"/>
          <w:color w:val="auto"/>
          <w:highlight w:val="none"/>
        </w:rPr>
        <w:t>办理方式”或“南宁市政采云</w:t>
      </w:r>
      <w:r>
        <w:rPr>
          <w:color w:val="auto"/>
          <w:highlight w:val="none"/>
        </w:rPr>
        <w:t>CA</w:t>
      </w:r>
      <w:r>
        <w:rPr>
          <w:rFonts w:hint="eastAsia"/>
          <w:color w:val="auto"/>
          <w:highlight w:val="none"/>
        </w:rPr>
        <w:t>证书办理操作指南”</w:t>
      </w:r>
      <w:r>
        <w:rPr>
          <w:rFonts w:hint="eastAsia" w:ascii="宋体" w:hAnsi="宋体"/>
          <w:color w:val="auto"/>
          <w:szCs w:val="21"/>
          <w:highlight w:val="none"/>
        </w:rPr>
        <w:t>）</w:t>
      </w:r>
    </w:p>
    <w:p w14:paraId="2685DF24">
      <w:pPr>
        <w:pStyle w:val="7"/>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2.电子投标文件制作与投送教程（在此网址下载：</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23"/>
          <w:color w:val="auto"/>
          <w:highlight w:val="none"/>
        </w:rPr>
        <w:t>http://nncz.nanning.gov.cn/</w:t>
      </w:r>
      <w:r>
        <w:rPr>
          <w:color w:val="auto"/>
          <w:highlight w:val="none"/>
        </w:rPr>
        <w:fldChar w:fldCharType="end"/>
      </w:r>
      <w:r>
        <w:rPr>
          <w:rFonts w:hint="eastAsia"/>
          <w:color w:val="auto"/>
          <w:highlight w:val="none"/>
        </w:rPr>
        <w:t>（南宁市财政局官网）</w:t>
      </w:r>
      <w:r>
        <w:rPr>
          <w:color w:val="auto"/>
          <w:highlight w:val="none"/>
        </w:rPr>
        <w:t>-</w:t>
      </w:r>
      <w:r>
        <w:rPr>
          <w:rFonts w:hint="eastAsia"/>
          <w:color w:val="auto"/>
          <w:highlight w:val="none"/>
        </w:rPr>
        <w:t>业务专题-政府采购监督管理-资料下载-南宁市政府采购项目全流程电子化交易操作指南</w:t>
      </w:r>
      <w:r>
        <w:rPr>
          <w:rFonts w:hint="eastAsia" w:ascii="宋体" w:hAnsi="宋体"/>
          <w:color w:val="auto"/>
          <w:szCs w:val="21"/>
          <w:highlight w:val="none"/>
        </w:rPr>
        <w:t>）</w:t>
      </w:r>
      <w:bookmarkStart w:id="5" w:name="PO_3000001868_PM031_2"/>
    </w:p>
    <w:p w14:paraId="633A6283">
      <w:pPr>
        <w:pStyle w:val="7"/>
        <w:spacing w:line="360" w:lineRule="auto"/>
        <w:ind w:firstLine="420" w:firstLineChars="200"/>
        <w:jc w:val="right"/>
        <w:rPr>
          <w:rFonts w:hint="eastAsia" w:ascii="宋体" w:hAnsi="宋体"/>
          <w:color w:val="auto"/>
          <w:szCs w:val="21"/>
          <w:highlight w:val="none"/>
        </w:rPr>
      </w:pPr>
    </w:p>
    <w:p w14:paraId="748297AD">
      <w:pPr>
        <w:pStyle w:val="7"/>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广西兴邦工程管理服务有限公司</w:t>
      </w:r>
      <w:bookmarkEnd w:id="5"/>
    </w:p>
    <w:p w14:paraId="2BB24BF0">
      <w:pPr>
        <w:spacing w:line="360" w:lineRule="auto"/>
        <w:ind w:firstLine="420" w:firstLineChars="200"/>
        <w:jc w:val="right"/>
        <w:rPr>
          <w:rFonts w:hint="eastAsia" w:ascii="宋体" w:hAnsi="宋体"/>
          <w:color w:val="auto"/>
          <w:sz w:val="32"/>
          <w:szCs w:val="32"/>
          <w:highlight w:val="none"/>
        </w:rPr>
      </w:pPr>
      <w:r>
        <w:rPr>
          <w:rFonts w:hint="eastAsia" w:ascii="宋体" w:hAnsi="宋体"/>
          <w:color w:val="auto"/>
          <w:szCs w:val="21"/>
          <w:highlight w:val="none"/>
        </w:rPr>
        <w:t>202</w:t>
      </w:r>
      <w:r>
        <w:rPr>
          <w:rFonts w:hint="eastAsia" w:ascii="宋体" w:hAnsi="宋体"/>
          <w:color w:val="auto"/>
          <w:szCs w:val="21"/>
          <w:highlight w:val="none"/>
          <w:lang w:val="en-US" w:eastAsia="zh-CN"/>
        </w:rPr>
        <w:t>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19</w:t>
      </w:r>
      <w:r>
        <w:rPr>
          <w:rFonts w:hint="eastAsia" w:ascii="宋体" w:hAnsi="宋体"/>
          <w:color w:val="auto"/>
          <w:szCs w:val="21"/>
          <w:highlight w:val="none"/>
        </w:rPr>
        <w:t>日</w:t>
      </w:r>
      <w:r>
        <w:rPr>
          <w:rFonts w:hint="eastAsia" w:ascii="宋体" w:hAnsi="宋体"/>
          <w:color w:val="auto"/>
          <w:sz w:val="32"/>
          <w:szCs w:val="32"/>
          <w:highlight w:val="none"/>
        </w:rPr>
        <w:br w:type="page"/>
      </w:r>
    </w:p>
    <w:p w14:paraId="5386C82E">
      <w:pPr>
        <w:pStyle w:val="2"/>
        <w:jc w:val="center"/>
        <w:rPr>
          <w:rFonts w:hint="eastAsia"/>
          <w:color w:val="auto"/>
          <w:highlight w:val="none"/>
        </w:rPr>
      </w:pPr>
      <w:bookmarkStart w:id="6" w:name="_Toc1202"/>
      <w:r>
        <w:rPr>
          <w:rFonts w:hint="eastAsia" w:ascii="Cambria" w:hAnsi="Cambria"/>
          <w:bCs w:val="0"/>
          <w:color w:val="auto"/>
          <w:sz w:val="32"/>
          <w:szCs w:val="32"/>
          <w:highlight w:val="none"/>
        </w:rPr>
        <w:t>第二章</w:t>
      </w:r>
      <w:r>
        <w:rPr>
          <w:rFonts w:ascii="Cambria" w:hAnsi="Cambria"/>
          <w:bCs w:val="0"/>
          <w:color w:val="auto"/>
          <w:sz w:val="32"/>
          <w:szCs w:val="32"/>
          <w:highlight w:val="none"/>
        </w:rPr>
        <w:t xml:space="preserve"> </w:t>
      </w:r>
      <w:r>
        <w:rPr>
          <w:rFonts w:hint="eastAsia" w:ascii="Cambria" w:hAnsi="Cambria"/>
          <w:bCs w:val="0"/>
          <w:color w:val="auto"/>
          <w:sz w:val="32"/>
          <w:szCs w:val="32"/>
          <w:highlight w:val="none"/>
        </w:rPr>
        <w:t>采购需求</w:t>
      </w:r>
      <w:bookmarkEnd w:id="6"/>
    </w:p>
    <w:p w14:paraId="0B4648B6">
      <w:pPr>
        <w:spacing w:line="420" w:lineRule="exact"/>
        <w:jc w:val="left"/>
        <w:rPr>
          <w:rFonts w:ascii="宋体" w:hAnsi="宋体" w:cs="宋体"/>
          <w:color w:val="auto"/>
          <w:szCs w:val="21"/>
          <w:highlight w:val="none"/>
        </w:rPr>
      </w:pPr>
      <w:r>
        <w:rPr>
          <w:rFonts w:hint="eastAsia" w:ascii="宋体" w:hAnsi="宋体" w:cs="宋体"/>
          <w:color w:val="auto"/>
          <w:szCs w:val="21"/>
          <w:highlight w:val="none"/>
        </w:rPr>
        <w:t>说明：</w:t>
      </w:r>
    </w:p>
    <w:p w14:paraId="56367868">
      <w:pPr>
        <w:spacing w:line="420" w:lineRule="exact"/>
        <w:ind w:firstLine="420" w:firstLineChars="200"/>
        <w:jc w:val="left"/>
        <w:rPr>
          <w:rFonts w:hint="eastAsia" w:ascii="宋体" w:hAnsi="宋体" w:cs="宋体"/>
          <w:color w:val="auto"/>
          <w:szCs w:val="21"/>
          <w:highlight w:val="none"/>
        </w:rPr>
      </w:pPr>
      <w:r>
        <w:rPr>
          <w:rFonts w:hint="eastAsia" w:ascii="宋体" w:hAnsi="宋体"/>
          <w:color w:val="auto"/>
          <w:highlight w:val="none"/>
        </w:rPr>
        <w:t>1</w:t>
      </w:r>
      <w:r>
        <w:rPr>
          <w:color w:val="auto"/>
          <w:highlight w:val="none"/>
        </w:rPr>
        <w:t xml:space="preserve">. </w:t>
      </w:r>
      <w:r>
        <w:rPr>
          <w:rFonts w:hint="eastAsia"/>
          <w:color w:val="auto"/>
          <w:highlight w:val="none"/>
        </w:rPr>
        <w:t>为落实政府采购政策需满足的要求（根据项目实际情况填写内容）</w:t>
      </w:r>
    </w:p>
    <w:p w14:paraId="55B1573E">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4B7983A3">
      <w:pPr>
        <w:tabs>
          <w:tab w:val="left" w:pos="180"/>
          <w:tab w:val="left" w:pos="1620"/>
        </w:tabs>
        <w:spacing w:line="42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25EF3DB6">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服务项目中包含货物的，根据《关于信息安全产品实施政府采购的通知》（财库〔2010〕48号）的规定，本项目采购范围包含信息安全产品的（信息安全产品包括：防火墙、网络安全隔离卡与线路选择器、安全隔离与信息交换产品、安全路由器、智能卡COS、数据备份与恢复产品、安全操作系统、安全数据库系统、反垃圾邮件产品、入侵检测系统（IDS）、网络脆弱扫描产品、安全审计产品、网站恢复产品），供应商必须在响应文件中提供中国信息安全认证中心授予的有效的信息安全产品认证证书（加盖供应商公章），否则响应文件作无效处理。</w:t>
      </w:r>
    </w:p>
    <w:p w14:paraId="792616CA">
      <w:pPr>
        <w:spacing w:line="420" w:lineRule="exact"/>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w:t>
      </w:r>
    </w:p>
    <w:p w14:paraId="51CD3D8D">
      <w:pPr>
        <w:spacing w:line="420" w:lineRule="exact"/>
        <w:ind w:firstLine="413" w:firstLineChars="196"/>
        <w:rPr>
          <w:rFonts w:hint="eastAsia" w:ascii="宋体" w:hAnsi="宋体" w:cs="宋体"/>
          <w:b/>
          <w:bCs/>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2.“实质性要求”是指采购需求中带“▲”的条款或者不能负偏离的条款或者已经指明不满足按响应文件作无效处理的条款。</w:t>
      </w:r>
    </w:p>
    <w:p w14:paraId="17CB0FAB">
      <w:pPr>
        <w:pStyle w:val="7"/>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不需要供应商对采购需求响应为具体数值的，此采购需求的数值后将以◆号标注。</w:t>
      </w:r>
    </w:p>
    <w:p w14:paraId="3C8378DA">
      <w:pPr>
        <w:pStyle w:val="7"/>
        <w:spacing w:line="420" w:lineRule="exact"/>
        <w:ind w:firstLine="420" w:firstLineChars="200"/>
        <w:rPr>
          <w:rFonts w:hint="eastAsia" w:ascii="宋体" w:hAnsi="宋体" w:cs="宋体"/>
          <w:color w:val="auto"/>
          <w:szCs w:val="21"/>
          <w:highlight w:val="none"/>
        </w:rPr>
      </w:pPr>
    </w:p>
    <w:p w14:paraId="1BB12858">
      <w:pPr>
        <w:pStyle w:val="7"/>
        <w:spacing w:line="420" w:lineRule="exact"/>
        <w:ind w:firstLine="420" w:firstLineChars="200"/>
        <w:rPr>
          <w:rFonts w:hint="eastAsia" w:ascii="宋体" w:hAnsi="宋体" w:cs="宋体"/>
          <w:color w:val="auto"/>
          <w:szCs w:val="21"/>
          <w:highlight w:val="none"/>
        </w:rPr>
      </w:pPr>
    </w:p>
    <w:p w14:paraId="6CD9438A">
      <w:pPr>
        <w:pStyle w:val="7"/>
        <w:spacing w:line="420" w:lineRule="exact"/>
        <w:ind w:firstLine="420" w:firstLineChars="200"/>
        <w:rPr>
          <w:rFonts w:hint="eastAsia" w:ascii="宋体" w:hAnsi="宋体" w:cs="宋体"/>
          <w:color w:val="auto"/>
          <w:szCs w:val="21"/>
          <w:highlight w:val="none"/>
        </w:rPr>
      </w:pPr>
    </w:p>
    <w:p w14:paraId="216726B7">
      <w:pPr>
        <w:pStyle w:val="7"/>
        <w:spacing w:line="420" w:lineRule="exact"/>
        <w:ind w:firstLine="420" w:firstLineChars="200"/>
        <w:rPr>
          <w:rFonts w:hint="eastAsia" w:ascii="宋体" w:hAnsi="宋体" w:cs="宋体"/>
          <w:color w:val="auto"/>
          <w:szCs w:val="21"/>
          <w:highlight w:val="none"/>
        </w:rPr>
      </w:pPr>
    </w:p>
    <w:p w14:paraId="671A7BE4">
      <w:pPr>
        <w:pStyle w:val="7"/>
        <w:spacing w:line="420" w:lineRule="exact"/>
        <w:ind w:firstLine="420" w:firstLineChars="200"/>
        <w:rPr>
          <w:rFonts w:hint="eastAsia" w:ascii="宋体" w:hAnsi="宋体" w:cs="宋体"/>
          <w:color w:val="auto"/>
          <w:szCs w:val="21"/>
          <w:highlight w:val="none"/>
        </w:rPr>
      </w:pPr>
    </w:p>
    <w:p w14:paraId="658F13F4">
      <w:pPr>
        <w:pStyle w:val="7"/>
        <w:spacing w:line="420" w:lineRule="exact"/>
        <w:ind w:firstLine="420" w:firstLineChars="200"/>
        <w:rPr>
          <w:rFonts w:hint="eastAsia" w:ascii="宋体" w:hAnsi="宋体" w:cs="宋体"/>
          <w:color w:val="auto"/>
          <w:szCs w:val="21"/>
          <w:highlight w:val="none"/>
        </w:rPr>
      </w:pPr>
    </w:p>
    <w:p w14:paraId="52824719">
      <w:pPr>
        <w:pStyle w:val="7"/>
        <w:spacing w:line="420" w:lineRule="exact"/>
        <w:ind w:firstLine="420" w:firstLineChars="200"/>
        <w:rPr>
          <w:rFonts w:hint="eastAsia" w:ascii="宋体" w:hAnsi="宋体" w:cs="宋体"/>
          <w:color w:val="auto"/>
          <w:szCs w:val="21"/>
          <w:highlight w:val="none"/>
        </w:rPr>
      </w:pPr>
    </w:p>
    <w:p w14:paraId="205807CD">
      <w:pPr>
        <w:pStyle w:val="7"/>
        <w:spacing w:line="420" w:lineRule="exact"/>
        <w:ind w:firstLine="420" w:firstLineChars="200"/>
        <w:rPr>
          <w:rFonts w:hint="eastAsia" w:ascii="宋体" w:hAnsi="宋体" w:cs="宋体"/>
          <w:color w:val="auto"/>
          <w:szCs w:val="21"/>
          <w:highlight w:val="none"/>
        </w:rPr>
      </w:pPr>
    </w:p>
    <w:p w14:paraId="31E8411F">
      <w:pPr>
        <w:pStyle w:val="7"/>
        <w:spacing w:line="420" w:lineRule="exact"/>
        <w:ind w:firstLine="420" w:firstLineChars="200"/>
        <w:rPr>
          <w:rFonts w:hint="eastAsia" w:ascii="宋体" w:hAnsi="宋体" w:cs="宋体"/>
          <w:color w:val="auto"/>
          <w:szCs w:val="21"/>
          <w:highlight w:val="none"/>
        </w:rPr>
      </w:pPr>
    </w:p>
    <w:p w14:paraId="437F7243">
      <w:pPr>
        <w:pStyle w:val="7"/>
        <w:spacing w:line="420" w:lineRule="exact"/>
        <w:ind w:firstLine="420" w:firstLineChars="200"/>
        <w:rPr>
          <w:rFonts w:hint="eastAsia" w:ascii="宋体" w:hAnsi="宋体" w:cs="宋体"/>
          <w:color w:val="auto"/>
          <w:szCs w:val="21"/>
          <w:highlight w:val="none"/>
        </w:rPr>
        <w:sectPr>
          <w:footerReference r:id="rId4" w:type="default"/>
          <w:pgSz w:w="11905" w:h="16838"/>
          <w:pgMar w:top="958" w:right="1440" w:bottom="958" w:left="1387" w:header="737" w:footer="737" w:gutter="0"/>
          <w:pgNumType w:fmt="decimal" w:start="1"/>
          <w:cols w:space="720" w:num="1"/>
          <w:rtlGutter w:val="0"/>
          <w:docGrid w:type="lines" w:linePitch="317" w:charSpace="0"/>
        </w:sectPr>
      </w:pPr>
    </w:p>
    <w:tbl>
      <w:tblPr>
        <w:tblStyle w:val="20"/>
        <w:tblW w:w="1029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1"/>
        <w:gridCol w:w="376"/>
        <w:gridCol w:w="938"/>
        <w:gridCol w:w="442"/>
        <w:gridCol w:w="377"/>
        <w:gridCol w:w="5148"/>
        <w:gridCol w:w="1296"/>
        <w:gridCol w:w="1047"/>
      </w:tblGrid>
      <w:tr w14:paraId="22D7F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6" w:hRule="atLeast"/>
          <w:jc w:val="center"/>
        </w:trPr>
        <w:tc>
          <w:tcPr>
            <w:tcW w:w="10295" w:type="dxa"/>
            <w:gridSpan w:val="8"/>
            <w:tcBorders>
              <w:top w:val="single" w:color="auto" w:sz="4" w:space="0"/>
              <w:left w:val="single" w:color="auto" w:sz="4" w:space="0"/>
              <w:right w:val="single" w:color="auto" w:sz="4" w:space="0"/>
            </w:tcBorders>
            <w:noWrap w:val="0"/>
            <w:vAlign w:val="center"/>
          </w:tcPr>
          <w:p w14:paraId="301740BE">
            <w:pPr>
              <w:spacing w:line="400" w:lineRule="exact"/>
              <w:jc w:val="center"/>
              <w:rPr>
                <w:rFonts w:hint="eastAsia" w:ascii="宋体" w:hAnsi="宋体" w:cs="宋体"/>
                <w:b/>
                <w:color w:val="auto"/>
                <w:sz w:val="24"/>
                <w:highlight w:val="none"/>
              </w:rPr>
            </w:pPr>
            <w:r>
              <w:rPr>
                <w:rFonts w:hint="eastAsia" w:ascii="宋体" w:hAnsi="宋体" w:cs="宋体"/>
                <w:b/>
                <w:color w:val="auto"/>
                <w:sz w:val="32"/>
                <w:szCs w:val="32"/>
                <w:highlight w:val="none"/>
              </w:rPr>
              <w:t>采购需求一览表</w:t>
            </w:r>
          </w:p>
        </w:tc>
      </w:tr>
      <w:tr w14:paraId="02769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1985" w:type="dxa"/>
            <w:gridSpan w:val="3"/>
            <w:tcBorders>
              <w:top w:val="single" w:color="auto" w:sz="4" w:space="0"/>
              <w:left w:val="single" w:color="auto" w:sz="4" w:space="0"/>
              <w:right w:val="single" w:color="auto" w:sz="4" w:space="0"/>
            </w:tcBorders>
            <w:noWrap w:val="0"/>
            <w:vAlign w:val="center"/>
          </w:tcPr>
          <w:p w14:paraId="014C0A3E">
            <w:pPr>
              <w:spacing w:line="400" w:lineRule="exact"/>
              <w:jc w:val="center"/>
              <w:rPr>
                <w:rFonts w:hint="eastAsia" w:ascii="宋体" w:hAnsi="宋体" w:cs="宋体"/>
                <w:color w:val="auto"/>
                <w:sz w:val="32"/>
                <w:szCs w:val="32"/>
                <w:highlight w:val="none"/>
              </w:rPr>
            </w:pPr>
            <w:r>
              <w:rPr>
                <w:rFonts w:hint="eastAsia" w:ascii="宋体" w:hAnsi="宋体" w:cs="宋体"/>
                <w:b/>
                <w:bCs/>
                <w:color w:val="auto"/>
                <w:sz w:val="32"/>
                <w:szCs w:val="32"/>
                <w:highlight w:val="none"/>
              </w:rPr>
              <w:t>标段</w:t>
            </w:r>
          </w:p>
        </w:tc>
        <w:tc>
          <w:tcPr>
            <w:tcW w:w="8310" w:type="dxa"/>
            <w:gridSpan w:val="5"/>
            <w:tcBorders>
              <w:top w:val="single" w:color="auto" w:sz="4" w:space="0"/>
              <w:left w:val="single" w:color="auto" w:sz="4" w:space="0"/>
              <w:right w:val="single" w:color="auto" w:sz="4" w:space="0"/>
            </w:tcBorders>
            <w:noWrap w:val="0"/>
            <w:vAlign w:val="center"/>
          </w:tcPr>
          <w:p w14:paraId="10475F65">
            <w:pPr>
              <w:spacing w:line="400" w:lineRule="exact"/>
              <w:jc w:val="left"/>
              <w:rPr>
                <w:rFonts w:hint="eastAsia" w:ascii="宋体" w:hAnsi="宋体" w:eastAsia="宋体" w:cs="宋体"/>
                <w:b/>
                <w:bCs/>
                <w:color w:val="auto"/>
                <w:sz w:val="28"/>
                <w:highlight w:val="none"/>
                <w:lang w:eastAsia="zh-CN"/>
              </w:rPr>
            </w:pPr>
            <w:r>
              <w:rPr>
                <w:rFonts w:hint="eastAsia" w:ascii="宋体" w:hAnsi="宋体" w:cs="宋体"/>
                <w:b/>
                <w:bCs/>
                <w:color w:val="auto"/>
                <w:sz w:val="28"/>
                <w:highlight w:val="none"/>
                <w:lang w:eastAsia="zh-CN"/>
              </w:rPr>
              <w:t>南宁市五化灌区总干渠水毁应急抢险工程</w:t>
            </w:r>
          </w:p>
        </w:tc>
      </w:tr>
      <w:tr w14:paraId="6FD305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8" w:hRule="atLeast"/>
          <w:jc w:val="center"/>
        </w:trPr>
        <w:tc>
          <w:tcPr>
            <w:tcW w:w="671" w:type="dxa"/>
            <w:vMerge w:val="restart"/>
            <w:tcBorders>
              <w:top w:val="single" w:color="auto" w:sz="4" w:space="0"/>
              <w:left w:val="single" w:color="auto" w:sz="4" w:space="0"/>
              <w:right w:val="single" w:color="auto" w:sz="4" w:space="0"/>
            </w:tcBorders>
            <w:noWrap w:val="0"/>
            <w:vAlign w:val="center"/>
          </w:tcPr>
          <w:p w14:paraId="1308FBC6">
            <w:pPr>
              <w:spacing w:line="400" w:lineRule="exact"/>
              <w:jc w:val="center"/>
              <w:rPr>
                <w:rFonts w:hint="eastAsia" w:ascii="宋体" w:hAnsi="宋体" w:cs="宋体"/>
                <w:color w:val="auto"/>
                <w:highlight w:val="none"/>
              </w:rPr>
            </w:pPr>
          </w:p>
          <w:p w14:paraId="6F494BD9">
            <w:pPr>
              <w:spacing w:line="400" w:lineRule="exact"/>
              <w:jc w:val="center"/>
              <w:rPr>
                <w:rFonts w:hint="eastAsia" w:ascii="宋体" w:hAnsi="宋体" w:cs="宋体"/>
                <w:color w:val="auto"/>
                <w:highlight w:val="none"/>
              </w:rPr>
            </w:pPr>
          </w:p>
          <w:p w14:paraId="4B1376C2">
            <w:pPr>
              <w:spacing w:line="400" w:lineRule="exact"/>
              <w:jc w:val="center"/>
              <w:rPr>
                <w:rFonts w:hint="eastAsia" w:ascii="宋体" w:hAnsi="宋体" w:cs="宋体"/>
                <w:color w:val="auto"/>
                <w:highlight w:val="none"/>
              </w:rPr>
            </w:pPr>
          </w:p>
          <w:p w14:paraId="11316B44">
            <w:pPr>
              <w:spacing w:line="400" w:lineRule="exact"/>
              <w:jc w:val="center"/>
              <w:rPr>
                <w:rFonts w:hint="eastAsia" w:ascii="宋体" w:hAnsi="宋体" w:cs="宋体"/>
                <w:color w:val="auto"/>
                <w:highlight w:val="none"/>
              </w:rPr>
            </w:pPr>
          </w:p>
          <w:p w14:paraId="7EB8C8C9">
            <w:pPr>
              <w:spacing w:line="400" w:lineRule="exact"/>
              <w:jc w:val="center"/>
              <w:rPr>
                <w:rFonts w:hint="eastAsia" w:ascii="宋体" w:hAnsi="宋体" w:cs="宋体"/>
                <w:color w:val="auto"/>
                <w:highlight w:val="none"/>
              </w:rPr>
            </w:pPr>
          </w:p>
          <w:p w14:paraId="650B35A9">
            <w:pPr>
              <w:spacing w:line="400" w:lineRule="exact"/>
              <w:jc w:val="center"/>
              <w:rPr>
                <w:rFonts w:hint="eastAsia" w:ascii="宋体" w:hAnsi="宋体" w:cs="宋体"/>
                <w:color w:val="auto"/>
                <w:highlight w:val="none"/>
              </w:rPr>
            </w:pPr>
          </w:p>
          <w:p w14:paraId="4C4C64C9">
            <w:pPr>
              <w:spacing w:line="400" w:lineRule="exact"/>
              <w:jc w:val="center"/>
              <w:rPr>
                <w:rFonts w:hint="eastAsia" w:ascii="宋体" w:hAnsi="宋体" w:cs="宋体"/>
                <w:color w:val="auto"/>
                <w:sz w:val="24"/>
                <w:highlight w:val="none"/>
              </w:rPr>
            </w:pPr>
            <w:r>
              <w:rPr>
                <w:rFonts w:hint="eastAsia" w:ascii="宋体" w:hAnsi="宋体" w:cs="宋体"/>
                <w:color w:val="auto"/>
                <w:highlight w:val="none"/>
              </w:rPr>
              <w:t>采购清单及技术参数</w:t>
            </w:r>
          </w:p>
        </w:tc>
        <w:tc>
          <w:tcPr>
            <w:tcW w:w="376"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D29902D">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31A9783F">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标的的名称</w:t>
            </w:r>
          </w:p>
        </w:tc>
        <w:tc>
          <w:tcPr>
            <w:tcW w:w="442" w:type="dxa"/>
            <w:tcBorders>
              <w:top w:val="single" w:color="auto" w:sz="4" w:space="0"/>
              <w:left w:val="single" w:color="auto" w:sz="4" w:space="0"/>
              <w:bottom w:val="single" w:color="auto" w:sz="4" w:space="0"/>
              <w:right w:val="single" w:color="auto" w:sz="4" w:space="0"/>
            </w:tcBorders>
            <w:noWrap w:val="0"/>
            <w:vAlign w:val="center"/>
          </w:tcPr>
          <w:p w14:paraId="2ED2CD5A">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单位</w:t>
            </w:r>
          </w:p>
        </w:tc>
        <w:tc>
          <w:tcPr>
            <w:tcW w:w="377" w:type="dxa"/>
            <w:tcBorders>
              <w:top w:val="single" w:color="auto" w:sz="4" w:space="0"/>
              <w:left w:val="single" w:color="auto" w:sz="4" w:space="0"/>
              <w:bottom w:val="single" w:color="auto" w:sz="4" w:space="0"/>
              <w:right w:val="single" w:color="auto" w:sz="4" w:space="0"/>
            </w:tcBorders>
            <w:noWrap w:val="0"/>
            <w:vAlign w:val="center"/>
          </w:tcPr>
          <w:p w14:paraId="6D38ACFB">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数量</w:t>
            </w:r>
          </w:p>
        </w:tc>
        <w:tc>
          <w:tcPr>
            <w:tcW w:w="5148" w:type="dxa"/>
            <w:tcBorders>
              <w:top w:val="single" w:color="auto" w:sz="4" w:space="0"/>
              <w:left w:val="single" w:color="auto" w:sz="4" w:space="0"/>
              <w:bottom w:val="single" w:color="auto" w:sz="4" w:space="0"/>
              <w:right w:val="single" w:color="auto" w:sz="4" w:space="0"/>
            </w:tcBorders>
            <w:noWrap w:val="0"/>
            <w:vAlign w:val="center"/>
          </w:tcPr>
          <w:p w14:paraId="5838201C">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采购需求内容</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53F5D863">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分项预算合计（元）</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CADFA3B">
            <w:pPr>
              <w:spacing w:line="400" w:lineRule="exact"/>
              <w:jc w:val="center"/>
              <w:rPr>
                <w:rFonts w:hint="eastAsia" w:ascii="宋体" w:hAnsi="宋体" w:cs="宋体"/>
                <w:color w:val="auto"/>
                <w:sz w:val="24"/>
                <w:highlight w:val="none"/>
              </w:rPr>
            </w:pPr>
            <w:r>
              <w:rPr>
                <w:rFonts w:hint="eastAsia" w:ascii="宋体" w:hAnsi="宋体" w:cs="宋体"/>
                <w:color w:val="auto"/>
                <w:highlight w:val="none"/>
              </w:rPr>
              <w:t>中小企业划分标准所属行业名称（行业名称及划分见本章附件）</w:t>
            </w:r>
          </w:p>
        </w:tc>
      </w:tr>
      <w:tr w14:paraId="22DE88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671" w:type="dxa"/>
            <w:vMerge w:val="continue"/>
            <w:tcBorders>
              <w:left w:val="single" w:color="auto" w:sz="4" w:space="0"/>
              <w:right w:val="single" w:color="auto" w:sz="4" w:space="0"/>
            </w:tcBorders>
            <w:noWrap w:val="0"/>
            <w:vAlign w:val="top"/>
          </w:tcPr>
          <w:p w14:paraId="539EF551">
            <w:pPr>
              <w:spacing w:line="400" w:lineRule="exact"/>
              <w:jc w:val="center"/>
              <w:rPr>
                <w:rFonts w:hint="eastAsia" w:ascii="宋体" w:hAnsi="宋体" w:cs="宋体"/>
                <w:b/>
                <w:bCs/>
                <w:color w:val="auto"/>
                <w:highlight w:val="none"/>
              </w:rPr>
            </w:pPr>
          </w:p>
        </w:tc>
        <w:tc>
          <w:tcPr>
            <w:tcW w:w="376" w:type="dxa"/>
            <w:tcBorders>
              <w:top w:val="single" w:color="auto" w:sz="4" w:space="0"/>
              <w:left w:val="single" w:color="auto" w:sz="4" w:space="0"/>
              <w:bottom w:val="single" w:color="auto" w:sz="4" w:space="0"/>
              <w:right w:val="single" w:color="auto" w:sz="4" w:space="0"/>
            </w:tcBorders>
            <w:noWrap w:val="0"/>
            <w:vAlign w:val="center"/>
          </w:tcPr>
          <w:p w14:paraId="7BBA9EC7">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69226064">
            <w:pPr>
              <w:spacing w:line="400" w:lineRule="exact"/>
              <w:jc w:val="center"/>
              <w:rPr>
                <w:rFonts w:hint="eastAsia" w:ascii="宋体" w:hAnsi="宋体" w:eastAsia="宋体" w:cs="宋体"/>
                <w:color w:val="auto"/>
                <w:szCs w:val="21"/>
                <w:highlight w:val="none"/>
                <w:lang w:eastAsia="zh-CN"/>
              </w:rPr>
            </w:pPr>
            <w:r>
              <w:rPr>
                <w:rFonts w:hint="eastAsia" w:ascii="宋体" w:hAnsi="宋体"/>
                <w:color w:val="auto"/>
                <w:szCs w:val="21"/>
                <w:highlight w:val="none"/>
                <w:lang w:eastAsia="zh-CN"/>
              </w:rPr>
              <w:t>南宁市五化灌区总干渠水毁应急抢险工程</w:t>
            </w:r>
          </w:p>
        </w:tc>
        <w:tc>
          <w:tcPr>
            <w:tcW w:w="442" w:type="dxa"/>
            <w:tcBorders>
              <w:top w:val="single" w:color="auto" w:sz="4" w:space="0"/>
              <w:left w:val="single" w:color="auto" w:sz="4" w:space="0"/>
              <w:bottom w:val="single" w:color="auto" w:sz="4" w:space="0"/>
              <w:right w:val="single" w:color="auto" w:sz="4" w:space="0"/>
            </w:tcBorders>
            <w:noWrap w:val="0"/>
            <w:vAlign w:val="center"/>
          </w:tcPr>
          <w:p w14:paraId="2DE812E1">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w:t>
            </w:r>
          </w:p>
        </w:tc>
        <w:tc>
          <w:tcPr>
            <w:tcW w:w="377" w:type="dxa"/>
            <w:tcBorders>
              <w:top w:val="single" w:color="auto" w:sz="4" w:space="0"/>
              <w:left w:val="single" w:color="auto" w:sz="4" w:space="0"/>
              <w:bottom w:val="single" w:color="auto" w:sz="4" w:space="0"/>
              <w:right w:val="single" w:color="auto" w:sz="4" w:space="0"/>
            </w:tcBorders>
            <w:noWrap w:val="0"/>
            <w:vAlign w:val="center"/>
          </w:tcPr>
          <w:p w14:paraId="1A12754D">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148" w:type="dxa"/>
            <w:tcBorders>
              <w:top w:val="single" w:color="auto" w:sz="4" w:space="0"/>
              <w:left w:val="single" w:color="auto" w:sz="4" w:space="0"/>
              <w:bottom w:val="single" w:color="auto" w:sz="4" w:space="0"/>
              <w:right w:val="single" w:color="auto" w:sz="4" w:space="0"/>
            </w:tcBorders>
            <w:noWrap w:val="0"/>
            <w:vAlign w:val="center"/>
          </w:tcPr>
          <w:p w14:paraId="67FA68F6">
            <w:pPr>
              <w:widowControl/>
              <w:spacing w:line="360" w:lineRule="auto"/>
              <w:jc w:val="left"/>
              <w:rPr>
                <w:rFonts w:hint="default" w:ascii="宋体" w:hAnsi="宋体" w:eastAsia="宋体" w:cs="宋体"/>
                <w:b/>
                <w:bCs/>
                <w:color w:val="auto"/>
                <w:kern w:val="0"/>
                <w:szCs w:val="21"/>
                <w:highlight w:val="none"/>
                <w:lang w:val="en-US" w:eastAsia="zh-CN" w:bidi="ar"/>
              </w:rPr>
            </w:pPr>
            <w:r>
              <w:rPr>
                <w:rFonts w:hint="eastAsia" w:ascii="宋体" w:hAnsi="宋体" w:cs="宋体"/>
                <w:b/>
                <w:bCs/>
                <w:color w:val="auto"/>
                <w:kern w:val="0"/>
                <w:szCs w:val="21"/>
                <w:highlight w:val="none"/>
                <w:lang w:bidi="ar"/>
              </w:rPr>
              <w:t>一、项目概括</w:t>
            </w:r>
            <w:r>
              <w:rPr>
                <w:rFonts w:hint="eastAsia" w:ascii="宋体" w:hAnsi="宋体" w:cs="宋体"/>
                <w:b/>
                <w:bCs/>
                <w:color w:val="auto"/>
                <w:kern w:val="0"/>
                <w:szCs w:val="21"/>
                <w:highlight w:val="none"/>
                <w:lang w:val="en-US" w:eastAsia="zh-CN" w:bidi="ar"/>
              </w:rPr>
              <w:t>及必要性</w:t>
            </w:r>
          </w:p>
          <w:p w14:paraId="66582F6D">
            <w:pPr>
              <w:widowControl/>
              <w:spacing w:line="360" w:lineRule="auto"/>
              <w:ind w:firstLine="420" w:firstLineChars="200"/>
              <w:jc w:val="both"/>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受今年第10号台风“美莎克”影响，五化灌区总干渠93处渠段及附属建筑物出现损毁或险情，其中上林县段55处，宾阳县段38处。出险点类型主要包括山体滑坡、崩塌、渠堤冲毁、坍塌、掏空、防渗结构损毁或开裂失稳、渠道堵塞、渗漏塌陷、电力设施及水闸受损等。市灌区管理中心已对8处出险点进行了初步处理，其中上林4 处(桩号:8+100</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62+060-62+220、62+530-62+545、54+900 )，宾阳4处(桩号136+600、131+120、95+540、133+870)。其余85 处险情均未处置。本次对出险严重、应急处置后可恢复渠道排涝输水功能的25处出险点(上林8处，宾阳17处)进行应急处置。</w:t>
            </w:r>
          </w:p>
          <w:p w14:paraId="1344F0AB">
            <w:pPr>
              <w:widowControl/>
              <w:spacing w:line="360" w:lineRule="auto"/>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二、主要施工内容（具体内容详见工程量清单和图纸要求范围）</w:t>
            </w:r>
          </w:p>
          <w:p w14:paraId="47B201B1">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对出险严重、应急处置后可恢复渠道输水及排涝功能的25处出险点(上林8处，宾阳17处)进行应急处置。主要建设内容为</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修复渠道衬砌469m，清淤清障渠道267m，渠堤修复402m，附属建筑物1项(水闸3座，进水涵及进水口6座，反虹管1座)，电力设施1项(电线杆立杆1根，架设0.4kV线路50m)。</w:t>
            </w:r>
          </w:p>
          <w:p w14:paraId="03DC9128">
            <w:pPr>
              <w:widowControl/>
              <w:spacing w:line="360" w:lineRule="auto"/>
              <w:jc w:val="left"/>
              <w:rPr>
                <w:rFonts w:hint="eastAsia" w:ascii="宋体" w:hAnsi="宋体" w:eastAsia="宋体" w:cs="宋体"/>
                <w:b/>
                <w:bCs/>
                <w:color w:val="auto"/>
                <w:kern w:val="0"/>
                <w:szCs w:val="21"/>
                <w:highlight w:val="none"/>
                <w:lang w:eastAsia="zh-CN" w:bidi="ar"/>
              </w:rPr>
            </w:pPr>
            <w:r>
              <w:rPr>
                <w:rFonts w:hint="eastAsia" w:ascii="宋体" w:hAnsi="宋体" w:cs="宋体"/>
                <w:color w:val="auto"/>
                <w:highlight w:val="none"/>
              </w:rPr>
              <w:t>▲</w:t>
            </w:r>
            <w:r>
              <w:rPr>
                <w:rFonts w:hint="eastAsia" w:ascii="宋体" w:hAnsi="宋体" w:cs="宋体"/>
                <w:b/>
                <w:bCs/>
                <w:color w:val="auto"/>
                <w:kern w:val="0"/>
                <w:szCs w:val="21"/>
                <w:highlight w:val="none"/>
                <w:lang w:bidi="ar"/>
              </w:rPr>
              <w:t>三、人员最低配备要求</w:t>
            </w:r>
          </w:p>
          <w:p w14:paraId="32F1A1EB">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拟投入本工程的人员必须是本单位的在岗人员，并持有相应的执业资格证书，对相关人员的具体条件要求如下：</w:t>
            </w:r>
          </w:p>
          <w:p w14:paraId="264F488F">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项目经理：持有贰级（含贰级）及以上建造师注册证书，专业是水利水电工程专业（以建造师注册证书中“专业类别”栏所填写的专业为准）；持有省级（含省级）及以上水行政主管部门或其授权部门（机构）颁发的B类安全生产考核合格证书。项目经理不得在任何在建工程中担任任何管理职务。</w:t>
            </w:r>
          </w:p>
          <w:p w14:paraId="6D53A47B">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（2）技术负责人：持有</w:t>
            </w:r>
            <w:r>
              <w:rPr>
                <w:rFonts w:hint="eastAsia" w:ascii="宋体" w:hAnsi="宋体" w:cs="宋体"/>
                <w:color w:val="auto"/>
                <w:kern w:val="0"/>
                <w:szCs w:val="21"/>
                <w:highlight w:val="none"/>
                <w:lang w:val="en-US" w:eastAsia="zh-CN" w:bidi="ar"/>
              </w:rPr>
              <w:t>中</w:t>
            </w:r>
            <w:r>
              <w:rPr>
                <w:rFonts w:hint="eastAsia" w:ascii="宋体" w:hAnsi="宋体" w:cs="宋体"/>
                <w:color w:val="auto"/>
                <w:kern w:val="0"/>
                <w:szCs w:val="21"/>
                <w:highlight w:val="none"/>
                <w:lang w:bidi="ar"/>
              </w:rPr>
              <w:t>级（含</w:t>
            </w:r>
            <w:r>
              <w:rPr>
                <w:rFonts w:hint="eastAsia" w:ascii="宋体" w:hAnsi="宋体" w:cs="宋体"/>
                <w:color w:val="auto"/>
                <w:kern w:val="0"/>
                <w:szCs w:val="21"/>
                <w:highlight w:val="none"/>
                <w:lang w:val="en-US" w:eastAsia="zh-CN" w:bidi="ar"/>
              </w:rPr>
              <w:t>中</w:t>
            </w:r>
            <w:r>
              <w:rPr>
                <w:rFonts w:hint="eastAsia" w:ascii="宋体" w:hAnsi="宋体" w:cs="宋体"/>
                <w:color w:val="auto"/>
                <w:kern w:val="0"/>
                <w:szCs w:val="21"/>
                <w:highlight w:val="none"/>
                <w:lang w:bidi="ar"/>
              </w:rPr>
              <w:t>级）及以上技术职称，专业是水利水电工程类专业（专业以技术职称证书所填写专业为准）。</w:t>
            </w:r>
          </w:p>
          <w:p w14:paraId="05D3470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（3）质量管理员：持有省级（含省级）及以上水行政主管部门或其授权部门（机构）颁发的质量检查员证书。</w:t>
            </w:r>
          </w:p>
          <w:p w14:paraId="082F9EBB">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（4）安全管理员：持有省级（含省级）及以上水行政主管部门或其授权部门（机构）颁发的C类安全生产考核合格证书。</w:t>
            </w:r>
          </w:p>
          <w:p w14:paraId="54983319">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上述（1）－（4）项人员应附相关证书的复印件，并提供上述人员[</w:t>
            </w:r>
            <w:r>
              <w:rPr>
                <w:rFonts w:hint="eastAsia" w:ascii="宋体" w:hAnsi="宋体" w:cs="宋体"/>
                <w:color w:val="auto"/>
                <w:kern w:val="0"/>
                <w:szCs w:val="21"/>
                <w:highlight w:val="none"/>
                <w:lang w:val="en-US" w:eastAsia="zh-CN" w:bidi="ar"/>
              </w:rPr>
              <w:t>响应截止时间前半年内</w:t>
            </w:r>
            <w:r>
              <w:rPr>
                <w:rFonts w:hint="eastAsia" w:ascii="宋体" w:hAnsi="宋体" w:cs="宋体"/>
                <w:color w:val="auto"/>
                <w:kern w:val="0"/>
                <w:szCs w:val="21"/>
                <w:highlight w:val="none"/>
                <w:lang w:bidi="ar"/>
              </w:rPr>
              <w:t>]任意</w:t>
            </w:r>
            <w:r>
              <w:rPr>
                <w:rFonts w:hint="eastAsia" w:ascii="宋体" w:hAnsi="宋体" w:cs="宋体"/>
                <w:color w:val="auto"/>
                <w:kern w:val="0"/>
                <w:szCs w:val="21"/>
                <w:highlight w:val="none"/>
                <w:lang w:val="en-US" w:eastAsia="zh-CN" w:bidi="ar"/>
              </w:rPr>
              <w:t>1</w:t>
            </w:r>
            <w:r>
              <w:rPr>
                <w:rFonts w:hint="eastAsia" w:ascii="宋体" w:hAnsi="宋体" w:cs="宋体"/>
                <w:color w:val="auto"/>
                <w:kern w:val="0"/>
                <w:szCs w:val="21"/>
                <w:highlight w:val="none"/>
                <w:lang w:bidi="ar"/>
              </w:rPr>
              <w:t>个月的依法缴纳社会保障资金的缴费凭证复印件。</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55C3C29C">
            <w:pPr>
              <w:widowControl/>
              <w:spacing w:line="360" w:lineRule="auto"/>
              <w:jc w:val="left"/>
              <w:rPr>
                <w:rFonts w:hint="default" w:ascii="宋体" w:hAnsi="宋体" w:cs="宋体"/>
                <w:color w:val="auto"/>
                <w:kern w:val="0"/>
                <w:szCs w:val="21"/>
                <w:highlight w:val="none"/>
                <w:lang w:val="en-US" w:bidi="ar"/>
              </w:rPr>
            </w:pPr>
            <w:r>
              <w:rPr>
                <w:rFonts w:hint="eastAsia" w:ascii="宋体" w:hAnsi="宋体" w:cs="Times New Roman"/>
                <w:color w:val="auto"/>
                <w:szCs w:val="21"/>
                <w:highlight w:val="none"/>
                <w:lang w:val="en-US" w:eastAsia="zh-CN"/>
              </w:rPr>
              <w:t>2645559.35</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A14935B">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建筑业</w:t>
            </w:r>
          </w:p>
        </w:tc>
      </w:tr>
      <w:tr w14:paraId="02E5AE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671" w:type="dxa"/>
            <w:tcBorders>
              <w:top w:val="single" w:color="auto" w:sz="4" w:space="0"/>
              <w:left w:val="single" w:color="auto" w:sz="4" w:space="0"/>
              <w:bottom w:val="single" w:color="auto" w:sz="4" w:space="0"/>
              <w:right w:val="single" w:color="auto" w:sz="4" w:space="0"/>
            </w:tcBorders>
            <w:noWrap w:val="0"/>
            <w:vAlign w:val="top"/>
          </w:tcPr>
          <w:p w14:paraId="0CF416A8">
            <w:pPr>
              <w:spacing w:line="400" w:lineRule="exact"/>
              <w:jc w:val="center"/>
              <w:rPr>
                <w:rFonts w:hint="eastAsia" w:ascii="宋体" w:hAnsi="宋体" w:cs="宋体"/>
                <w:color w:val="auto"/>
                <w:highlight w:val="none"/>
              </w:rPr>
            </w:pPr>
          </w:p>
          <w:p w14:paraId="5402356D">
            <w:pPr>
              <w:spacing w:line="400" w:lineRule="exact"/>
              <w:jc w:val="center"/>
              <w:rPr>
                <w:rFonts w:hint="eastAsia" w:ascii="宋体" w:hAnsi="宋体" w:cs="宋体"/>
                <w:color w:val="auto"/>
                <w:highlight w:val="none"/>
              </w:rPr>
            </w:pPr>
          </w:p>
          <w:p w14:paraId="325DFC74">
            <w:pPr>
              <w:pStyle w:val="10"/>
              <w:ind w:firstLine="640"/>
              <w:rPr>
                <w:rFonts w:hint="eastAsia" w:ascii="宋体" w:hAnsi="宋体" w:eastAsia="宋体" w:cs="宋体"/>
                <w:color w:val="auto"/>
                <w:highlight w:val="none"/>
              </w:rPr>
            </w:pPr>
          </w:p>
          <w:p w14:paraId="5D2F6C2A">
            <w:pPr>
              <w:pStyle w:val="10"/>
              <w:ind w:firstLine="640"/>
              <w:rPr>
                <w:rFonts w:hint="eastAsia" w:ascii="宋体" w:hAnsi="宋体" w:eastAsia="宋体" w:cs="宋体"/>
                <w:color w:val="auto"/>
                <w:highlight w:val="none"/>
              </w:rPr>
            </w:pPr>
          </w:p>
          <w:p w14:paraId="1AEEF33A">
            <w:pPr>
              <w:pStyle w:val="10"/>
              <w:ind w:firstLine="640"/>
              <w:rPr>
                <w:rFonts w:hint="eastAsia" w:ascii="宋体" w:hAnsi="宋体" w:eastAsia="宋体" w:cs="宋体"/>
                <w:color w:val="auto"/>
                <w:highlight w:val="none"/>
              </w:rPr>
            </w:pPr>
          </w:p>
          <w:p w14:paraId="7E3BE1B8">
            <w:pPr>
              <w:pStyle w:val="10"/>
              <w:ind w:firstLine="640"/>
              <w:rPr>
                <w:rFonts w:hint="eastAsia" w:ascii="宋体" w:hAnsi="宋体" w:eastAsia="宋体" w:cs="宋体"/>
                <w:color w:val="auto"/>
                <w:highlight w:val="none"/>
              </w:rPr>
            </w:pPr>
          </w:p>
          <w:p w14:paraId="5B43E996">
            <w:pPr>
              <w:pStyle w:val="10"/>
              <w:ind w:firstLine="640"/>
              <w:rPr>
                <w:rFonts w:hint="eastAsia" w:ascii="宋体" w:hAnsi="宋体" w:eastAsia="宋体" w:cs="宋体"/>
                <w:color w:val="auto"/>
                <w:highlight w:val="none"/>
              </w:rPr>
            </w:pPr>
          </w:p>
          <w:p w14:paraId="58E47C42">
            <w:pPr>
              <w:spacing w:line="400" w:lineRule="exact"/>
              <w:jc w:val="center"/>
              <w:rPr>
                <w:rFonts w:hint="eastAsia" w:ascii="宋体" w:hAnsi="宋体" w:cs="宋体"/>
                <w:color w:val="auto"/>
                <w:highlight w:val="none"/>
              </w:rPr>
            </w:pPr>
            <w:r>
              <w:rPr>
                <w:rFonts w:hint="eastAsia" w:ascii="宋体" w:hAnsi="宋体" w:cs="宋体"/>
                <w:color w:val="auto"/>
                <w:kern w:val="0"/>
                <w:szCs w:val="21"/>
                <w:highlight w:val="none"/>
                <w:lang w:bidi="ar"/>
              </w:rPr>
              <w:t>商务条款</w:t>
            </w:r>
          </w:p>
        </w:tc>
        <w:tc>
          <w:tcPr>
            <w:tcW w:w="9624" w:type="dxa"/>
            <w:gridSpan w:val="7"/>
            <w:tcBorders>
              <w:top w:val="single" w:color="auto" w:sz="4" w:space="0"/>
              <w:left w:val="single" w:color="auto" w:sz="4" w:space="0"/>
              <w:bottom w:val="single" w:color="auto" w:sz="4" w:space="0"/>
              <w:right w:val="single" w:color="auto" w:sz="4" w:space="0"/>
            </w:tcBorders>
            <w:noWrap w:val="0"/>
            <w:vAlign w:val="top"/>
          </w:tcPr>
          <w:p w14:paraId="3BA9C97C">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highlight w:val="none"/>
              </w:rPr>
              <w:t>▲</w:t>
            </w:r>
            <w:r>
              <w:rPr>
                <w:rFonts w:hint="eastAsia" w:ascii="宋体" w:hAnsi="宋体" w:cs="宋体"/>
                <w:color w:val="auto"/>
                <w:kern w:val="0"/>
                <w:szCs w:val="21"/>
                <w:highlight w:val="none"/>
                <w:lang w:bidi="ar"/>
              </w:rPr>
              <w:t>一、合同签订期：自成交通知书发出之日起25日内（注：成交通知书发出之日起25日内必须签订合同）。</w:t>
            </w:r>
          </w:p>
          <w:p w14:paraId="053993EF">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▲二、合同履行期限（工期）：</w:t>
            </w:r>
            <w:r>
              <w:rPr>
                <w:rFonts w:hint="eastAsia" w:ascii="宋体" w:hAnsi="宋体" w:cs="宋体"/>
                <w:color w:val="auto"/>
                <w:kern w:val="0"/>
                <w:szCs w:val="21"/>
                <w:highlight w:val="none"/>
                <w:lang w:val="en-US" w:eastAsia="zh-CN" w:bidi="ar"/>
              </w:rPr>
              <w:t>3个月</w:t>
            </w:r>
            <w:r>
              <w:rPr>
                <w:rFonts w:hint="eastAsia" w:ascii="宋体" w:hAnsi="宋体" w:cs="宋体"/>
                <w:color w:val="auto"/>
                <w:kern w:val="0"/>
                <w:szCs w:val="21"/>
                <w:highlight w:val="none"/>
                <w:lang w:bidi="ar"/>
              </w:rPr>
              <w:t>。</w:t>
            </w:r>
          </w:p>
          <w:p w14:paraId="4FAD223D">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▲三、验收标准、规范：达到国家施工验收规范合格标准。</w:t>
            </w:r>
          </w:p>
          <w:p w14:paraId="15071833">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▲四、工程质量保修期：双方约定本项目的质量保修期为保修期的起算日至通过竣工验收后一年。</w:t>
            </w:r>
          </w:p>
          <w:p w14:paraId="4CC6DC9F">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▲五、其他要求：</w:t>
            </w:r>
          </w:p>
          <w:p w14:paraId="64BC97DF">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1.报价形式：投标报价不得高于最高限价，且只能有一个有效报价。本项目采用二次报价方式，竞标人的最终报价如有变动，竞标人须提前做好相关准备并按时递交最终报价文件，否则报价无效。</w:t>
            </w:r>
          </w:p>
          <w:p w14:paraId="29D115D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2.其他要求按合同要求执行。</w:t>
            </w:r>
          </w:p>
          <w:p w14:paraId="2D0746F0">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▲六、付款方式：</w:t>
            </w:r>
          </w:p>
          <w:p w14:paraId="5CC0F051">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本项目预付款10%，即（签约合同价-安全文明施工措施费）×10%</w:t>
            </w:r>
            <w:r>
              <w:rPr>
                <w:rFonts w:hint="eastAsia" w:ascii="宋体" w:hAnsi="宋体" w:eastAsia="宋体" w:cs="宋体"/>
                <w:color w:val="auto"/>
                <w:kern w:val="0"/>
                <w:szCs w:val="21"/>
                <w:highlight w:val="none"/>
                <w:lang w:bidi="ar"/>
              </w:rPr>
              <w:t>。</w:t>
            </w:r>
            <w:r>
              <w:rPr>
                <w:rFonts w:hint="eastAsia" w:ascii="宋体" w:hAnsi="宋体" w:cs="宋体"/>
                <w:color w:val="auto"/>
                <w:kern w:val="0"/>
                <w:szCs w:val="21"/>
                <w:highlight w:val="none"/>
                <w:lang w:bidi="ar"/>
              </w:rPr>
              <w:t>工程进度款按工程进度分次申请支付，合同内工程进度款按照当期计量的80%支付，累计不超过合同价的80%</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合同外（设计变更）工程进度款累计增加的变更金额在合同价的10%以内（含10%），按照当期计量的60%支付；累计增加的变更金额超出合同价的10%部分，不进行进度款计量支付，留待工程结算时一并支付。当完成30%合同工程量后可申请支付进度款，结算经财政部门</w:t>
            </w:r>
            <w:r>
              <w:rPr>
                <w:rFonts w:hint="eastAsia" w:ascii="宋体" w:hAnsi="宋体" w:cs="宋体"/>
                <w:color w:val="auto"/>
                <w:kern w:val="0"/>
                <w:szCs w:val="21"/>
                <w:highlight w:val="none"/>
                <w:lang w:val="en-US" w:eastAsia="zh-CN" w:bidi="ar"/>
              </w:rPr>
              <w:t>相关规定</w:t>
            </w:r>
            <w:r>
              <w:rPr>
                <w:rFonts w:hint="eastAsia" w:ascii="宋体" w:hAnsi="宋体" w:cs="宋体"/>
                <w:color w:val="auto"/>
                <w:kern w:val="0"/>
                <w:szCs w:val="21"/>
                <w:highlight w:val="none"/>
                <w:lang w:bidi="ar"/>
              </w:rPr>
              <w:t>审定后，申请支付至结算总价的97%。发包人按工程价款结算总额的3%，预留工程质量保证金。</w:t>
            </w:r>
          </w:p>
          <w:p w14:paraId="02EBC36E">
            <w:pPr>
              <w:widowControl/>
              <w:spacing w:line="360" w:lineRule="auto"/>
              <w:ind w:firstLine="420" w:firstLineChars="200"/>
              <w:jc w:val="left"/>
              <w:rPr>
                <w:rFonts w:hint="eastAsia"/>
                <w:color w:val="auto"/>
                <w:highlight w:val="none"/>
              </w:rPr>
            </w:pPr>
            <w:r>
              <w:rPr>
                <w:rFonts w:hint="eastAsia" w:ascii="宋体" w:hAnsi="宋体" w:cs="宋体"/>
                <w:color w:val="auto"/>
                <w:kern w:val="0"/>
                <w:szCs w:val="21"/>
                <w:highlight w:val="none"/>
                <w:lang w:bidi="ar"/>
              </w:rPr>
              <w:t>每个付款周期在申请施工进度款前，相关的工程计量等有关资料必须完成，材料一式四份（含电子版），经监理工程师审定的实际完成工程量的80%按照财政程序及时支付工程进度款（进度款含因设计变更引起的增加工程量造价同期支付）。</w:t>
            </w:r>
          </w:p>
        </w:tc>
      </w:tr>
      <w:tr w14:paraId="793BA7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671" w:type="dxa"/>
            <w:tcBorders>
              <w:top w:val="single" w:color="auto" w:sz="4" w:space="0"/>
              <w:left w:val="single" w:color="auto" w:sz="4" w:space="0"/>
              <w:bottom w:val="single" w:color="auto" w:sz="4" w:space="0"/>
              <w:right w:val="single" w:color="auto" w:sz="4" w:space="0"/>
            </w:tcBorders>
            <w:noWrap w:val="0"/>
            <w:vAlign w:val="top"/>
          </w:tcPr>
          <w:p w14:paraId="27711C64">
            <w:pPr>
              <w:spacing w:line="400" w:lineRule="exact"/>
              <w:jc w:val="center"/>
              <w:rPr>
                <w:rFonts w:hint="eastAsia" w:ascii="宋体" w:hAnsi="宋体" w:cs="宋体"/>
                <w:color w:val="auto"/>
                <w:kern w:val="0"/>
                <w:szCs w:val="21"/>
                <w:highlight w:val="none"/>
                <w:lang w:bidi="ar"/>
              </w:rPr>
            </w:pPr>
          </w:p>
          <w:p w14:paraId="52C75AE3">
            <w:pPr>
              <w:spacing w:line="400" w:lineRule="exact"/>
              <w:jc w:val="center"/>
              <w:rPr>
                <w:rFonts w:hint="eastAsia" w:ascii="宋体" w:hAnsi="宋体" w:cs="宋体"/>
                <w:color w:val="auto"/>
                <w:highlight w:val="none"/>
              </w:rPr>
            </w:pPr>
            <w:r>
              <w:rPr>
                <w:rFonts w:hint="eastAsia" w:ascii="宋体" w:hAnsi="宋体" w:cs="宋体"/>
                <w:color w:val="auto"/>
                <w:kern w:val="0"/>
                <w:szCs w:val="21"/>
                <w:highlight w:val="none"/>
                <w:lang w:bidi="ar"/>
              </w:rPr>
              <w:t>其他说明</w:t>
            </w:r>
          </w:p>
        </w:tc>
        <w:tc>
          <w:tcPr>
            <w:tcW w:w="9624" w:type="dxa"/>
            <w:gridSpan w:val="7"/>
            <w:tcBorders>
              <w:top w:val="single" w:color="auto" w:sz="4" w:space="0"/>
              <w:left w:val="single" w:color="auto" w:sz="4" w:space="0"/>
              <w:bottom w:val="single" w:color="auto" w:sz="4" w:space="0"/>
              <w:right w:val="single" w:color="auto" w:sz="4" w:space="0"/>
            </w:tcBorders>
            <w:noWrap w:val="0"/>
            <w:vAlign w:val="top"/>
          </w:tcPr>
          <w:p w14:paraId="6371E3C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一、与本项目有关的施工图纸、清单等附件资料及其获取方式 </w:t>
            </w:r>
          </w:p>
          <w:p w14:paraId="3A2BAC89">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资料名称：</w:t>
            </w:r>
            <w:r>
              <w:rPr>
                <w:rFonts w:hint="eastAsia" w:ascii="宋体" w:hAnsi="宋体" w:cs="宋体"/>
                <w:color w:val="auto"/>
                <w:kern w:val="0"/>
                <w:szCs w:val="21"/>
                <w:highlight w:val="none"/>
                <w:lang w:eastAsia="zh-CN" w:bidi="ar"/>
              </w:rPr>
              <w:t>南宁市五化灌区总干渠水毁应急抢险工程</w:t>
            </w:r>
            <w:r>
              <w:rPr>
                <w:rFonts w:hint="eastAsia" w:ascii="宋体" w:hAnsi="宋体" w:cs="宋体"/>
                <w:color w:val="auto"/>
                <w:kern w:val="0"/>
                <w:szCs w:val="21"/>
                <w:highlight w:val="none"/>
                <w:lang w:bidi="ar"/>
              </w:rPr>
              <w:t>图纸、工程量清单；</w:t>
            </w:r>
          </w:p>
          <w:p w14:paraId="05CBEAF1">
            <w:pPr>
              <w:widowControl/>
              <w:spacing w:line="360" w:lineRule="auto"/>
              <w:jc w:val="left"/>
              <w:rPr>
                <w:rFonts w:hint="eastAsia"/>
                <w:color w:val="auto"/>
                <w:highlight w:val="none"/>
              </w:rPr>
            </w:pPr>
            <w:r>
              <w:rPr>
                <w:rFonts w:hint="eastAsia" w:ascii="宋体" w:hAnsi="宋体" w:cs="宋体"/>
                <w:color w:val="auto"/>
                <w:kern w:val="0"/>
                <w:szCs w:val="21"/>
                <w:highlight w:val="none"/>
                <w:lang w:bidi="ar"/>
              </w:rPr>
              <w:t>获取方式：网上下载。供应商可在“广西政府采购云平台”自行下载。</w:t>
            </w:r>
          </w:p>
        </w:tc>
      </w:tr>
    </w:tbl>
    <w:p w14:paraId="0C355113">
      <w:pPr>
        <w:widowControl/>
        <w:spacing w:line="360" w:lineRule="auto"/>
        <w:jc w:val="left"/>
        <w:rPr>
          <w:rFonts w:ascii="宋体" w:hAnsi="宋体" w:cs="宋体"/>
          <w:b/>
          <w:bCs/>
          <w:color w:val="auto"/>
          <w:szCs w:val="21"/>
          <w:highlight w:val="none"/>
        </w:rPr>
        <w:sectPr>
          <w:pgSz w:w="11905" w:h="16838"/>
          <w:pgMar w:top="958" w:right="1440" w:bottom="958" w:left="1587" w:header="737" w:footer="737" w:gutter="0"/>
          <w:pgNumType w:fmt="decimal"/>
          <w:cols w:space="720" w:num="1"/>
          <w:rtlGutter w:val="0"/>
          <w:docGrid w:type="lines" w:linePitch="317" w:charSpace="0"/>
        </w:sectPr>
      </w:pPr>
    </w:p>
    <w:p w14:paraId="4BB77EA9">
      <w:pPr>
        <w:tabs>
          <w:tab w:val="left" w:pos="180"/>
          <w:tab w:val="left" w:pos="1620"/>
        </w:tabs>
        <w:spacing w:line="360" w:lineRule="auto"/>
        <w:ind w:firstLine="422" w:firstLineChars="200"/>
        <w:rPr>
          <w:rFonts w:hint="eastAsia" w:ascii="宋体" w:hAnsi="宋体" w:cs="宋体"/>
          <w:b/>
          <w:bCs/>
          <w:color w:val="auto"/>
          <w:szCs w:val="21"/>
          <w:highlight w:val="none"/>
        </w:rPr>
      </w:pPr>
    </w:p>
    <w:p w14:paraId="43924FE6">
      <w:pPr>
        <w:spacing w:line="428" w:lineRule="exact"/>
        <w:ind w:left="119"/>
        <w:rPr>
          <w:rFonts w:hint="eastAsia" w:ascii="Arial Unicode MS" w:hAnsi="Arial Unicode MS" w:eastAsia="Arial Unicode MS" w:cs="Arial Unicode MS"/>
          <w:color w:val="auto"/>
          <w:sz w:val="17"/>
          <w:szCs w:val="17"/>
          <w:highlight w:val="none"/>
        </w:rPr>
      </w:pPr>
      <w:r>
        <w:rPr>
          <w:rFonts w:hint="eastAsia" w:ascii="微软雅黑" w:hAnsi="微软雅黑" w:eastAsia="微软雅黑" w:cs="微软雅黑"/>
          <w:color w:val="auto"/>
          <w:sz w:val="32"/>
          <w:szCs w:val="32"/>
          <w:highlight w:val="none"/>
        </w:rPr>
        <w:t>附件1：</w:t>
      </w:r>
    </w:p>
    <w:p w14:paraId="0DB74E5B">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116"/>
        <w:gridCol w:w="1516"/>
        <w:gridCol w:w="1612"/>
        <w:gridCol w:w="4335"/>
      </w:tblGrid>
      <w:tr w14:paraId="1B7D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41" w:type="dxa"/>
            <w:noWrap w:val="0"/>
            <w:vAlign w:val="top"/>
          </w:tcPr>
          <w:p w14:paraId="2D501522">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244" w:type="dxa"/>
            <w:gridSpan w:val="3"/>
            <w:noWrap w:val="0"/>
            <w:vAlign w:val="center"/>
          </w:tcPr>
          <w:p w14:paraId="2A3D39C5">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335" w:type="dxa"/>
            <w:noWrap w:val="0"/>
            <w:vAlign w:val="center"/>
          </w:tcPr>
          <w:p w14:paraId="10B5F3A9">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6F57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071CCEE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116" w:type="dxa"/>
            <w:vMerge w:val="restart"/>
            <w:noWrap w:val="0"/>
            <w:vAlign w:val="center"/>
          </w:tcPr>
          <w:p w14:paraId="7C69771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516" w:type="dxa"/>
            <w:noWrap w:val="0"/>
            <w:vAlign w:val="center"/>
          </w:tcPr>
          <w:p w14:paraId="7CFE15E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12" w:type="dxa"/>
            <w:noWrap w:val="0"/>
            <w:vAlign w:val="center"/>
          </w:tcPr>
          <w:p w14:paraId="5BF4853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347899E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6B3C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17FD6CB5">
            <w:pPr>
              <w:widowControl/>
              <w:jc w:val="left"/>
              <w:rPr>
                <w:rFonts w:ascii="宋体" w:hAnsi="宋体" w:cs="宋体"/>
                <w:color w:val="auto"/>
                <w:kern w:val="0"/>
                <w:sz w:val="20"/>
                <w:szCs w:val="20"/>
                <w:highlight w:val="none"/>
              </w:rPr>
            </w:pPr>
          </w:p>
        </w:tc>
        <w:tc>
          <w:tcPr>
            <w:tcW w:w="1116" w:type="dxa"/>
            <w:vMerge w:val="continue"/>
            <w:noWrap w:val="0"/>
            <w:vAlign w:val="center"/>
          </w:tcPr>
          <w:p w14:paraId="26F5D197">
            <w:pPr>
              <w:widowControl/>
              <w:jc w:val="left"/>
              <w:rPr>
                <w:rFonts w:ascii="宋体" w:hAnsi="宋体" w:cs="宋体"/>
                <w:color w:val="auto"/>
                <w:kern w:val="0"/>
                <w:sz w:val="20"/>
                <w:szCs w:val="20"/>
                <w:highlight w:val="none"/>
              </w:rPr>
            </w:pPr>
          </w:p>
        </w:tc>
        <w:tc>
          <w:tcPr>
            <w:tcW w:w="1516" w:type="dxa"/>
            <w:noWrap w:val="0"/>
            <w:vAlign w:val="center"/>
          </w:tcPr>
          <w:p w14:paraId="3AB0C2E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12" w:type="dxa"/>
            <w:noWrap w:val="0"/>
            <w:vAlign w:val="center"/>
          </w:tcPr>
          <w:p w14:paraId="6AB52E4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75627AF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19472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13292B82">
            <w:pPr>
              <w:widowControl/>
              <w:jc w:val="left"/>
              <w:rPr>
                <w:rFonts w:ascii="宋体" w:hAnsi="宋体" w:cs="宋体"/>
                <w:color w:val="auto"/>
                <w:kern w:val="0"/>
                <w:sz w:val="20"/>
                <w:szCs w:val="20"/>
                <w:highlight w:val="none"/>
              </w:rPr>
            </w:pPr>
          </w:p>
        </w:tc>
        <w:tc>
          <w:tcPr>
            <w:tcW w:w="1116" w:type="dxa"/>
            <w:vMerge w:val="continue"/>
            <w:noWrap w:val="0"/>
            <w:vAlign w:val="center"/>
          </w:tcPr>
          <w:p w14:paraId="665A4C03">
            <w:pPr>
              <w:widowControl/>
              <w:jc w:val="left"/>
              <w:rPr>
                <w:rFonts w:ascii="宋体" w:hAnsi="宋体" w:cs="宋体"/>
                <w:color w:val="auto"/>
                <w:kern w:val="0"/>
                <w:sz w:val="20"/>
                <w:szCs w:val="20"/>
                <w:highlight w:val="none"/>
              </w:rPr>
            </w:pPr>
          </w:p>
        </w:tc>
        <w:tc>
          <w:tcPr>
            <w:tcW w:w="1516" w:type="dxa"/>
            <w:noWrap w:val="0"/>
            <w:vAlign w:val="center"/>
          </w:tcPr>
          <w:p w14:paraId="4F4A6A7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12" w:type="dxa"/>
            <w:noWrap w:val="0"/>
            <w:vAlign w:val="center"/>
          </w:tcPr>
          <w:p w14:paraId="0238C70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4B5FC20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1442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6127689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116" w:type="dxa"/>
            <w:vMerge w:val="restart"/>
            <w:noWrap w:val="0"/>
            <w:vAlign w:val="center"/>
          </w:tcPr>
          <w:p w14:paraId="2D0EFB1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516" w:type="dxa"/>
            <w:vMerge w:val="restart"/>
            <w:noWrap w:val="0"/>
            <w:vAlign w:val="center"/>
          </w:tcPr>
          <w:p w14:paraId="763AED3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12" w:type="dxa"/>
            <w:noWrap w:val="0"/>
            <w:vAlign w:val="center"/>
          </w:tcPr>
          <w:p w14:paraId="4345BCC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335" w:type="dxa"/>
            <w:noWrap w:val="0"/>
            <w:vAlign w:val="center"/>
          </w:tcPr>
          <w:p w14:paraId="198155C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4D00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260A1D38">
            <w:pPr>
              <w:widowControl/>
              <w:jc w:val="left"/>
              <w:rPr>
                <w:rFonts w:ascii="宋体" w:hAnsi="宋体" w:cs="宋体"/>
                <w:color w:val="auto"/>
                <w:kern w:val="0"/>
                <w:sz w:val="20"/>
                <w:szCs w:val="20"/>
                <w:highlight w:val="none"/>
              </w:rPr>
            </w:pPr>
          </w:p>
        </w:tc>
        <w:tc>
          <w:tcPr>
            <w:tcW w:w="1116" w:type="dxa"/>
            <w:vMerge w:val="continue"/>
            <w:noWrap w:val="0"/>
            <w:vAlign w:val="center"/>
          </w:tcPr>
          <w:p w14:paraId="214A1919">
            <w:pPr>
              <w:widowControl/>
              <w:jc w:val="left"/>
              <w:rPr>
                <w:rFonts w:ascii="宋体" w:hAnsi="宋体" w:cs="宋体"/>
                <w:color w:val="auto"/>
                <w:kern w:val="0"/>
                <w:sz w:val="20"/>
                <w:szCs w:val="20"/>
                <w:highlight w:val="none"/>
              </w:rPr>
            </w:pPr>
          </w:p>
        </w:tc>
        <w:tc>
          <w:tcPr>
            <w:tcW w:w="1516" w:type="dxa"/>
            <w:vMerge w:val="continue"/>
            <w:noWrap w:val="0"/>
            <w:vAlign w:val="center"/>
          </w:tcPr>
          <w:p w14:paraId="35A7DBF7">
            <w:pPr>
              <w:widowControl/>
              <w:jc w:val="left"/>
              <w:rPr>
                <w:rFonts w:ascii="宋体" w:hAnsi="宋体" w:cs="宋体"/>
                <w:color w:val="auto"/>
                <w:kern w:val="0"/>
                <w:sz w:val="20"/>
                <w:szCs w:val="20"/>
                <w:highlight w:val="none"/>
              </w:rPr>
            </w:pPr>
          </w:p>
        </w:tc>
        <w:tc>
          <w:tcPr>
            <w:tcW w:w="1612" w:type="dxa"/>
            <w:noWrap w:val="0"/>
            <w:vAlign w:val="center"/>
          </w:tcPr>
          <w:p w14:paraId="4A26492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335" w:type="dxa"/>
            <w:noWrap w:val="0"/>
            <w:vAlign w:val="center"/>
          </w:tcPr>
          <w:p w14:paraId="05C1419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748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17B293DF">
            <w:pPr>
              <w:widowControl/>
              <w:jc w:val="left"/>
              <w:rPr>
                <w:rFonts w:ascii="宋体" w:hAnsi="宋体" w:cs="宋体"/>
                <w:color w:val="auto"/>
                <w:kern w:val="0"/>
                <w:sz w:val="20"/>
                <w:szCs w:val="20"/>
                <w:highlight w:val="none"/>
              </w:rPr>
            </w:pPr>
          </w:p>
        </w:tc>
        <w:tc>
          <w:tcPr>
            <w:tcW w:w="1116" w:type="dxa"/>
            <w:vMerge w:val="continue"/>
            <w:noWrap w:val="0"/>
            <w:vAlign w:val="center"/>
          </w:tcPr>
          <w:p w14:paraId="73CD8A1B">
            <w:pPr>
              <w:widowControl/>
              <w:jc w:val="left"/>
              <w:rPr>
                <w:rFonts w:ascii="宋体" w:hAnsi="宋体" w:cs="宋体"/>
                <w:color w:val="auto"/>
                <w:kern w:val="0"/>
                <w:sz w:val="20"/>
                <w:szCs w:val="20"/>
                <w:highlight w:val="none"/>
              </w:rPr>
            </w:pPr>
          </w:p>
        </w:tc>
        <w:tc>
          <w:tcPr>
            <w:tcW w:w="1516" w:type="dxa"/>
            <w:vMerge w:val="continue"/>
            <w:noWrap w:val="0"/>
            <w:vAlign w:val="center"/>
          </w:tcPr>
          <w:p w14:paraId="6AD0F584">
            <w:pPr>
              <w:widowControl/>
              <w:jc w:val="left"/>
              <w:rPr>
                <w:rFonts w:ascii="宋体" w:hAnsi="宋体" w:cs="宋体"/>
                <w:color w:val="auto"/>
                <w:kern w:val="0"/>
                <w:sz w:val="20"/>
                <w:szCs w:val="20"/>
                <w:highlight w:val="none"/>
              </w:rPr>
            </w:pPr>
          </w:p>
        </w:tc>
        <w:tc>
          <w:tcPr>
            <w:tcW w:w="1612" w:type="dxa"/>
            <w:noWrap w:val="0"/>
            <w:vAlign w:val="center"/>
          </w:tcPr>
          <w:p w14:paraId="102DB84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335" w:type="dxa"/>
            <w:noWrap w:val="0"/>
            <w:vAlign w:val="center"/>
          </w:tcPr>
          <w:p w14:paraId="60CDEE0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6FA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527829C0">
            <w:pPr>
              <w:widowControl/>
              <w:jc w:val="left"/>
              <w:rPr>
                <w:rFonts w:ascii="宋体" w:hAnsi="宋体" w:cs="宋体"/>
                <w:color w:val="auto"/>
                <w:kern w:val="0"/>
                <w:sz w:val="20"/>
                <w:szCs w:val="20"/>
                <w:highlight w:val="none"/>
              </w:rPr>
            </w:pPr>
          </w:p>
        </w:tc>
        <w:tc>
          <w:tcPr>
            <w:tcW w:w="1116" w:type="dxa"/>
            <w:vMerge w:val="continue"/>
            <w:noWrap w:val="0"/>
            <w:vAlign w:val="center"/>
          </w:tcPr>
          <w:p w14:paraId="195D9982">
            <w:pPr>
              <w:widowControl/>
              <w:jc w:val="left"/>
              <w:rPr>
                <w:rFonts w:ascii="宋体" w:hAnsi="宋体" w:cs="宋体"/>
                <w:color w:val="auto"/>
                <w:kern w:val="0"/>
                <w:sz w:val="20"/>
                <w:szCs w:val="20"/>
                <w:highlight w:val="none"/>
              </w:rPr>
            </w:pPr>
          </w:p>
        </w:tc>
        <w:tc>
          <w:tcPr>
            <w:tcW w:w="1516" w:type="dxa"/>
            <w:noWrap w:val="0"/>
            <w:vAlign w:val="center"/>
          </w:tcPr>
          <w:p w14:paraId="3692B80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12" w:type="dxa"/>
            <w:noWrap w:val="0"/>
            <w:vAlign w:val="center"/>
          </w:tcPr>
          <w:p w14:paraId="18E53FC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335" w:type="dxa"/>
            <w:noWrap w:val="0"/>
            <w:vAlign w:val="center"/>
          </w:tcPr>
          <w:p w14:paraId="08E7364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1996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1" w:type="dxa"/>
            <w:vMerge w:val="continue"/>
            <w:noWrap w:val="0"/>
            <w:vAlign w:val="center"/>
          </w:tcPr>
          <w:p w14:paraId="40595E12">
            <w:pPr>
              <w:widowControl/>
              <w:jc w:val="left"/>
              <w:rPr>
                <w:rFonts w:ascii="宋体" w:hAnsi="宋体" w:cs="宋体"/>
                <w:color w:val="auto"/>
                <w:kern w:val="0"/>
                <w:sz w:val="20"/>
                <w:szCs w:val="20"/>
                <w:highlight w:val="none"/>
              </w:rPr>
            </w:pPr>
          </w:p>
        </w:tc>
        <w:tc>
          <w:tcPr>
            <w:tcW w:w="1116" w:type="dxa"/>
            <w:vMerge w:val="continue"/>
            <w:noWrap w:val="0"/>
            <w:vAlign w:val="center"/>
          </w:tcPr>
          <w:p w14:paraId="29C46902">
            <w:pPr>
              <w:widowControl/>
              <w:jc w:val="left"/>
              <w:rPr>
                <w:rFonts w:ascii="宋体" w:hAnsi="宋体" w:cs="宋体"/>
                <w:color w:val="auto"/>
                <w:kern w:val="0"/>
                <w:sz w:val="20"/>
                <w:szCs w:val="20"/>
                <w:highlight w:val="none"/>
              </w:rPr>
            </w:pPr>
          </w:p>
        </w:tc>
        <w:tc>
          <w:tcPr>
            <w:tcW w:w="1516" w:type="dxa"/>
            <w:noWrap w:val="0"/>
            <w:vAlign w:val="center"/>
          </w:tcPr>
          <w:p w14:paraId="24D8926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12" w:type="dxa"/>
            <w:noWrap w:val="0"/>
            <w:vAlign w:val="center"/>
          </w:tcPr>
          <w:p w14:paraId="12DA292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335" w:type="dxa"/>
            <w:noWrap w:val="0"/>
            <w:vAlign w:val="center"/>
          </w:tcPr>
          <w:p w14:paraId="39DD9E4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6F63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4D5A385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116" w:type="dxa"/>
            <w:noWrap w:val="0"/>
            <w:vAlign w:val="center"/>
          </w:tcPr>
          <w:p w14:paraId="2C4A81E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516" w:type="dxa"/>
            <w:noWrap w:val="0"/>
            <w:vAlign w:val="center"/>
          </w:tcPr>
          <w:p w14:paraId="20F1BA7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noWrap w:val="0"/>
            <w:vAlign w:val="center"/>
          </w:tcPr>
          <w:p w14:paraId="4CFB6DD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07D1446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3D04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73CDF47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116" w:type="dxa"/>
            <w:noWrap w:val="0"/>
            <w:vAlign w:val="center"/>
          </w:tcPr>
          <w:p w14:paraId="1EDE49A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516" w:type="dxa"/>
            <w:noWrap w:val="0"/>
            <w:vAlign w:val="center"/>
          </w:tcPr>
          <w:p w14:paraId="5162763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noWrap w:val="0"/>
            <w:vAlign w:val="center"/>
          </w:tcPr>
          <w:p w14:paraId="08EF6C3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62C0CD2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FB7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028C757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116" w:type="dxa"/>
            <w:noWrap w:val="0"/>
            <w:vAlign w:val="center"/>
          </w:tcPr>
          <w:p w14:paraId="716846A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516" w:type="dxa"/>
            <w:noWrap w:val="0"/>
            <w:vAlign w:val="center"/>
          </w:tcPr>
          <w:p w14:paraId="0020D57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12" w:type="dxa"/>
            <w:noWrap w:val="0"/>
            <w:vAlign w:val="center"/>
          </w:tcPr>
          <w:p w14:paraId="33A7FFF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38B5B66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3500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restart"/>
            <w:noWrap w:val="0"/>
            <w:vAlign w:val="center"/>
          </w:tcPr>
          <w:p w14:paraId="517DE7D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116" w:type="dxa"/>
            <w:vMerge w:val="restart"/>
            <w:noWrap w:val="0"/>
            <w:vAlign w:val="center"/>
          </w:tcPr>
          <w:p w14:paraId="7415AA1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516" w:type="dxa"/>
            <w:vMerge w:val="restart"/>
            <w:noWrap w:val="0"/>
            <w:vAlign w:val="center"/>
          </w:tcPr>
          <w:p w14:paraId="7034805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12" w:type="dxa"/>
            <w:noWrap w:val="0"/>
            <w:vAlign w:val="center"/>
          </w:tcPr>
          <w:p w14:paraId="51E10C5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335" w:type="dxa"/>
            <w:noWrap w:val="0"/>
            <w:vAlign w:val="center"/>
          </w:tcPr>
          <w:p w14:paraId="38BE390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7D80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5D31B268">
            <w:pPr>
              <w:widowControl/>
              <w:jc w:val="left"/>
              <w:rPr>
                <w:rFonts w:ascii="宋体" w:hAnsi="宋体" w:cs="宋体"/>
                <w:color w:val="auto"/>
                <w:kern w:val="0"/>
                <w:sz w:val="20"/>
                <w:szCs w:val="20"/>
                <w:highlight w:val="none"/>
              </w:rPr>
            </w:pPr>
          </w:p>
        </w:tc>
        <w:tc>
          <w:tcPr>
            <w:tcW w:w="1116" w:type="dxa"/>
            <w:vMerge w:val="continue"/>
            <w:noWrap w:val="0"/>
            <w:vAlign w:val="center"/>
          </w:tcPr>
          <w:p w14:paraId="0D0F1E3C">
            <w:pPr>
              <w:widowControl/>
              <w:jc w:val="left"/>
              <w:rPr>
                <w:rFonts w:ascii="宋体" w:hAnsi="宋体" w:cs="宋体"/>
                <w:color w:val="auto"/>
                <w:kern w:val="0"/>
                <w:sz w:val="20"/>
                <w:szCs w:val="20"/>
                <w:highlight w:val="none"/>
              </w:rPr>
            </w:pPr>
          </w:p>
        </w:tc>
        <w:tc>
          <w:tcPr>
            <w:tcW w:w="1516" w:type="dxa"/>
            <w:vMerge w:val="continue"/>
            <w:noWrap w:val="0"/>
            <w:vAlign w:val="center"/>
          </w:tcPr>
          <w:p w14:paraId="33FA85F6">
            <w:pPr>
              <w:widowControl/>
              <w:jc w:val="left"/>
              <w:rPr>
                <w:rFonts w:ascii="宋体" w:hAnsi="宋体" w:cs="宋体"/>
                <w:color w:val="auto"/>
                <w:kern w:val="0"/>
                <w:sz w:val="20"/>
                <w:szCs w:val="20"/>
                <w:highlight w:val="none"/>
              </w:rPr>
            </w:pPr>
          </w:p>
        </w:tc>
        <w:tc>
          <w:tcPr>
            <w:tcW w:w="1612" w:type="dxa"/>
            <w:noWrap w:val="0"/>
            <w:vAlign w:val="center"/>
          </w:tcPr>
          <w:p w14:paraId="7B54E32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335" w:type="dxa"/>
            <w:noWrap w:val="0"/>
            <w:vAlign w:val="center"/>
          </w:tcPr>
          <w:p w14:paraId="5C72E4F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3623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1DB1B606">
            <w:pPr>
              <w:widowControl/>
              <w:jc w:val="left"/>
              <w:rPr>
                <w:rFonts w:ascii="宋体" w:hAnsi="宋体" w:cs="宋体"/>
                <w:color w:val="auto"/>
                <w:kern w:val="0"/>
                <w:sz w:val="20"/>
                <w:szCs w:val="20"/>
                <w:highlight w:val="none"/>
              </w:rPr>
            </w:pPr>
          </w:p>
        </w:tc>
        <w:tc>
          <w:tcPr>
            <w:tcW w:w="1116" w:type="dxa"/>
            <w:vMerge w:val="continue"/>
            <w:noWrap w:val="0"/>
            <w:vAlign w:val="center"/>
          </w:tcPr>
          <w:p w14:paraId="428A9F31">
            <w:pPr>
              <w:widowControl/>
              <w:jc w:val="left"/>
              <w:rPr>
                <w:rFonts w:ascii="宋体" w:hAnsi="宋体" w:cs="宋体"/>
                <w:color w:val="auto"/>
                <w:kern w:val="0"/>
                <w:sz w:val="20"/>
                <w:szCs w:val="20"/>
                <w:highlight w:val="none"/>
              </w:rPr>
            </w:pPr>
          </w:p>
        </w:tc>
        <w:tc>
          <w:tcPr>
            <w:tcW w:w="1516" w:type="dxa"/>
            <w:vMerge w:val="continue"/>
            <w:noWrap w:val="0"/>
            <w:vAlign w:val="center"/>
          </w:tcPr>
          <w:p w14:paraId="5B4CB7C3">
            <w:pPr>
              <w:widowControl/>
              <w:jc w:val="left"/>
              <w:rPr>
                <w:rFonts w:ascii="宋体" w:hAnsi="宋体" w:cs="宋体"/>
                <w:color w:val="auto"/>
                <w:kern w:val="0"/>
                <w:sz w:val="20"/>
                <w:szCs w:val="20"/>
                <w:highlight w:val="none"/>
              </w:rPr>
            </w:pPr>
          </w:p>
        </w:tc>
        <w:tc>
          <w:tcPr>
            <w:tcW w:w="1612" w:type="dxa"/>
            <w:noWrap w:val="0"/>
            <w:vAlign w:val="center"/>
          </w:tcPr>
          <w:p w14:paraId="7219AB8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335" w:type="dxa"/>
            <w:noWrap w:val="0"/>
            <w:vAlign w:val="center"/>
          </w:tcPr>
          <w:p w14:paraId="5F71E6C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11E9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700D5499">
            <w:pPr>
              <w:widowControl/>
              <w:jc w:val="left"/>
              <w:rPr>
                <w:rFonts w:ascii="宋体" w:hAnsi="宋体" w:cs="宋体"/>
                <w:color w:val="auto"/>
                <w:kern w:val="0"/>
                <w:sz w:val="20"/>
                <w:szCs w:val="20"/>
                <w:highlight w:val="none"/>
              </w:rPr>
            </w:pPr>
          </w:p>
        </w:tc>
        <w:tc>
          <w:tcPr>
            <w:tcW w:w="1116" w:type="dxa"/>
            <w:vMerge w:val="continue"/>
            <w:noWrap w:val="0"/>
            <w:vAlign w:val="center"/>
          </w:tcPr>
          <w:p w14:paraId="0E3EB8FA">
            <w:pPr>
              <w:widowControl/>
              <w:jc w:val="left"/>
              <w:rPr>
                <w:rFonts w:ascii="宋体" w:hAnsi="宋体" w:cs="宋体"/>
                <w:color w:val="auto"/>
                <w:kern w:val="0"/>
                <w:sz w:val="20"/>
                <w:szCs w:val="20"/>
                <w:highlight w:val="none"/>
              </w:rPr>
            </w:pPr>
          </w:p>
        </w:tc>
        <w:tc>
          <w:tcPr>
            <w:tcW w:w="1516" w:type="dxa"/>
            <w:vMerge w:val="restart"/>
            <w:noWrap w:val="0"/>
            <w:vAlign w:val="center"/>
          </w:tcPr>
          <w:p w14:paraId="3E3E1C0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12" w:type="dxa"/>
            <w:noWrap w:val="0"/>
            <w:vAlign w:val="center"/>
          </w:tcPr>
          <w:p w14:paraId="12EC2AD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335" w:type="dxa"/>
            <w:noWrap w:val="0"/>
            <w:vAlign w:val="center"/>
          </w:tcPr>
          <w:p w14:paraId="7768DB0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2640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21AAD1F0">
            <w:pPr>
              <w:widowControl/>
              <w:jc w:val="left"/>
              <w:rPr>
                <w:rFonts w:ascii="宋体" w:hAnsi="宋体" w:cs="宋体"/>
                <w:color w:val="auto"/>
                <w:kern w:val="0"/>
                <w:sz w:val="20"/>
                <w:szCs w:val="20"/>
                <w:highlight w:val="none"/>
              </w:rPr>
            </w:pPr>
          </w:p>
        </w:tc>
        <w:tc>
          <w:tcPr>
            <w:tcW w:w="1116" w:type="dxa"/>
            <w:vMerge w:val="continue"/>
            <w:noWrap w:val="0"/>
            <w:vAlign w:val="center"/>
          </w:tcPr>
          <w:p w14:paraId="0DD95AB1">
            <w:pPr>
              <w:widowControl/>
              <w:jc w:val="left"/>
              <w:rPr>
                <w:rFonts w:ascii="宋体" w:hAnsi="宋体" w:cs="宋体"/>
                <w:color w:val="auto"/>
                <w:kern w:val="0"/>
                <w:sz w:val="20"/>
                <w:szCs w:val="20"/>
                <w:highlight w:val="none"/>
              </w:rPr>
            </w:pPr>
          </w:p>
        </w:tc>
        <w:tc>
          <w:tcPr>
            <w:tcW w:w="1516" w:type="dxa"/>
            <w:vMerge w:val="continue"/>
            <w:noWrap w:val="0"/>
            <w:vAlign w:val="center"/>
          </w:tcPr>
          <w:p w14:paraId="6B961191">
            <w:pPr>
              <w:widowControl/>
              <w:jc w:val="left"/>
              <w:rPr>
                <w:rFonts w:ascii="宋体" w:hAnsi="宋体" w:cs="宋体"/>
                <w:color w:val="auto"/>
                <w:kern w:val="0"/>
                <w:sz w:val="20"/>
                <w:szCs w:val="20"/>
                <w:highlight w:val="none"/>
              </w:rPr>
            </w:pPr>
          </w:p>
        </w:tc>
        <w:tc>
          <w:tcPr>
            <w:tcW w:w="1612" w:type="dxa"/>
            <w:noWrap w:val="0"/>
            <w:vAlign w:val="center"/>
          </w:tcPr>
          <w:p w14:paraId="583E4A2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335" w:type="dxa"/>
            <w:noWrap w:val="0"/>
            <w:vAlign w:val="center"/>
          </w:tcPr>
          <w:p w14:paraId="59BB84C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077D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2A87DFED">
            <w:pPr>
              <w:widowControl/>
              <w:jc w:val="left"/>
              <w:rPr>
                <w:rFonts w:ascii="宋体" w:hAnsi="宋体" w:cs="宋体"/>
                <w:color w:val="auto"/>
                <w:kern w:val="0"/>
                <w:sz w:val="20"/>
                <w:szCs w:val="20"/>
                <w:highlight w:val="none"/>
              </w:rPr>
            </w:pPr>
          </w:p>
        </w:tc>
        <w:tc>
          <w:tcPr>
            <w:tcW w:w="1116" w:type="dxa"/>
            <w:vMerge w:val="continue"/>
            <w:noWrap w:val="0"/>
            <w:vAlign w:val="center"/>
          </w:tcPr>
          <w:p w14:paraId="1B319BEE">
            <w:pPr>
              <w:widowControl/>
              <w:jc w:val="left"/>
              <w:rPr>
                <w:rFonts w:ascii="宋体" w:hAnsi="宋体" w:cs="宋体"/>
                <w:color w:val="auto"/>
                <w:kern w:val="0"/>
                <w:sz w:val="20"/>
                <w:szCs w:val="20"/>
                <w:highlight w:val="none"/>
              </w:rPr>
            </w:pPr>
          </w:p>
        </w:tc>
        <w:tc>
          <w:tcPr>
            <w:tcW w:w="1516" w:type="dxa"/>
            <w:noWrap w:val="0"/>
            <w:vAlign w:val="center"/>
          </w:tcPr>
          <w:p w14:paraId="32814B5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12" w:type="dxa"/>
            <w:noWrap w:val="0"/>
            <w:vAlign w:val="center"/>
          </w:tcPr>
          <w:p w14:paraId="17106D6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335" w:type="dxa"/>
            <w:noWrap w:val="0"/>
            <w:vAlign w:val="center"/>
          </w:tcPr>
          <w:p w14:paraId="2A87BB1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5CAF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21FDE1FC">
            <w:pPr>
              <w:widowControl/>
              <w:jc w:val="left"/>
              <w:rPr>
                <w:rFonts w:ascii="宋体" w:hAnsi="宋体" w:cs="宋体"/>
                <w:color w:val="auto"/>
                <w:kern w:val="0"/>
                <w:sz w:val="20"/>
                <w:szCs w:val="20"/>
                <w:highlight w:val="none"/>
              </w:rPr>
            </w:pPr>
          </w:p>
        </w:tc>
        <w:tc>
          <w:tcPr>
            <w:tcW w:w="1116" w:type="dxa"/>
            <w:vMerge w:val="continue"/>
            <w:noWrap w:val="0"/>
            <w:vAlign w:val="center"/>
          </w:tcPr>
          <w:p w14:paraId="65F14C61">
            <w:pPr>
              <w:widowControl/>
              <w:jc w:val="left"/>
              <w:rPr>
                <w:rFonts w:ascii="宋体" w:hAnsi="宋体" w:cs="宋体"/>
                <w:color w:val="auto"/>
                <w:kern w:val="0"/>
                <w:sz w:val="20"/>
                <w:szCs w:val="20"/>
                <w:highlight w:val="none"/>
              </w:rPr>
            </w:pPr>
          </w:p>
        </w:tc>
        <w:tc>
          <w:tcPr>
            <w:tcW w:w="1516" w:type="dxa"/>
            <w:noWrap w:val="0"/>
            <w:vAlign w:val="center"/>
          </w:tcPr>
          <w:p w14:paraId="1DF786C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12" w:type="dxa"/>
            <w:noWrap w:val="0"/>
            <w:vAlign w:val="center"/>
          </w:tcPr>
          <w:p w14:paraId="6C0BE8D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335" w:type="dxa"/>
            <w:noWrap w:val="0"/>
            <w:vAlign w:val="center"/>
          </w:tcPr>
          <w:p w14:paraId="3053F2E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1CBC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77E144D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116" w:type="dxa"/>
            <w:noWrap w:val="0"/>
            <w:vAlign w:val="center"/>
          </w:tcPr>
          <w:p w14:paraId="5A9B3C0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516" w:type="dxa"/>
            <w:noWrap w:val="0"/>
            <w:vAlign w:val="center"/>
          </w:tcPr>
          <w:p w14:paraId="434453E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noWrap w:val="0"/>
            <w:vAlign w:val="center"/>
          </w:tcPr>
          <w:p w14:paraId="3197133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76396B8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63EC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15DA752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116" w:type="dxa"/>
            <w:noWrap w:val="0"/>
            <w:vAlign w:val="center"/>
          </w:tcPr>
          <w:p w14:paraId="7994174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516" w:type="dxa"/>
            <w:noWrap w:val="0"/>
            <w:vAlign w:val="center"/>
          </w:tcPr>
          <w:p w14:paraId="65CF86C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12" w:type="dxa"/>
            <w:noWrap w:val="0"/>
            <w:vAlign w:val="center"/>
          </w:tcPr>
          <w:p w14:paraId="6AB077A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11B58AF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3951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10AB5B5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116" w:type="dxa"/>
            <w:noWrap w:val="0"/>
            <w:vAlign w:val="center"/>
          </w:tcPr>
          <w:p w14:paraId="2FCB83D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516" w:type="dxa"/>
            <w:noWrap w:val="0"/>
            <w:vAlign w:val="center"/>
          </w:tcPr>
          <w:p w14:paraId="1919E34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12" w:type="dxa"/>
            <w:noWrap w:val="0"/>
            <w:vAlign w:val="center"/>
          </w:tcPr>
          <w:p w14:paraId="2EEFC0D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7EA6C73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234E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3860D52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116" w:type="dxa"/>
            <w:vMerge w:val="restart"/>
            <w:noWrap w:val="0"/>
            <w:vAlign w:val="center"/>
          </w:tcPr>
          <w:p w14:paraId="763ED97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516" w:type="dxa"/>
            <w:noWrap w:val="0"/>
            <w:vAlign w:val="center"/>
          </w:tcPr>
          <w:p w14:paraId="767A875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12" w:type="dxa"/>
            <w:noWrap w:val="0"/>
            <w:vAlign w:val="center"/>
          </w:tcPr>
          <w:p w14:paraId="24033F4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71724BF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3DC4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1" w:type="dxa"/>
            <w:vMerge w:val="continue"/>
            <w:noWrap w:val="0"/>
            <w:vAlign w:val="center"/>
          </w:tcPr>
          <w:p w14:paraId="665E4C0D">
            <w:pPr>
              <w:widowControl/>
              <w:jc w:val="left"/>
              <w:rPr>
                <w:rFonts w:ascii="宋体" w:hAnsi="宋体" w:cs="宋体"/>
                <w:color w:val="auto"/>
                <w:kern w:val="0"/>
                <w:sz w:val="20"/>
                <w:szCs w:val="20"/>
                <w:highlight w:val="none"/>
              </w:rPr>
            </w:pPr>
          </w:p>
        </w:tc>
        <w:tc>
          <w:tcPr>
            <w:tcW w:w="1116" w:type="dxa"/>
            <w:vMerge w:val="continue"/>
            <w:noWrap w:val="0"/>
            <w:vAlign w:val="center"/>
          </w:tcPr>
          <w:p w14:paraId="4BBBC0F9">
            <w:pPr>
              <w:widowControl/>
              <w:jc w:val="left"/>
              <w:rPr>
                <w:rFonts w:ascii="宋体" w:hAnsi="宋体" w:cs="宋体"/>
                <w:color w:val="auto"/>
                <w:kern w:val="0"/>
                <w:sz w:val="20"/>
                <w:szCs w:val="20"/>
                <w:highlight w:val="none"/>
              </w:rPr>
            </w:pPr>
          </w:p>
        </w:tc>
        <w:tc>
          <w:tcPr>
            <w:tcW w:w="1516" w:type="dxa"/>
            <w:vMerge w:val="restart"/>
            <w:noWrap w:val="0"/>
            <w:vAlign w:val="center"/>
          </w:tcPr>
          <w:p w14:paraId="01571AC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12" w:type="dxa"/>
            <w:noWrap w:val="0"/>
            <w:vAlign w:val="center"/>
          </w:tcPr>
          <w:p w14:paraId="6F12F4A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335" w:type="dxa"/>
            <w:noWrap w:val="0"/>
            <w:vAlign w:val="center"/>
          </w:tcPr>
          <w:p w14:paraId="14B8C8F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3D3F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36A4DFA1">
            <w:pPr>
              <w:widowControl/>
              <w:jc w:val="left"/>
              <w:rPr>
                <w:rFonts w:ascii="宋体" w:hAnsi="宋体" w:cs="宋体"/>
                <w:color w:val="auto"/>
                <w:kern w:val="0"/>
                <w:sz w:val="20"/>
                <w:szCs w:val="20"/>
                <w:highlight w:val="none"/>
              </w:rPr>
            </w:pPr>
          </w:p>
        </w:tc>
        <w:tc>
          <w:tcPr>
            <w:tcW w:w="1116" w:type="dxa"/>
            <w:vMerge w:val="continue"/>
            <w:noWrap w:val="0"/>
            <w:vAlign w:val="center"/>
          </w:tcPr>
          <w:p w14:paraId="7908F023">
            <w:pPr>
              <w:widowControl/>
              <w:jc w:val="left"/>
              <w:rPr>
                <w:rFonts w:ascii="宋体" w:hAnsi="宋体" w:cs="宋体"/>
                <w:color w:val="auto"/>
                <w:kern w:val="0"/>
                <w:sz w:val="20"/>
                <w:szCs w:val="20"/>
                <w:highlight w:val="none"/>
              </w:rPr>
            </w:pPr>
          </w:p>
        </w:tc>
        <w:tc>
          <w:tcPr>
            <w:tcW w:w="1516" w:type="dxa"/>
            <w:vMerge w:val="continue"/>
            <w:noWrap w:val="0"/>
            <w:vAlign w:val="center"/>
          </w:tcPr>
          <w:p w14:paraId="3278671D">
            <w:pPr>
              <w:widowControl/>
              <w:jc w:val="left"/>
              <w:rPr>
                <w:rFonts w:ascii="宋体" w:hAnsi="宋体" w:cs="宋体"/>
                <w:color w:val="auto"/>
                <w:kern w:val="0"/>
                <w:sz w:val="20"/>
                <w:szCs w:val="20"/>
                <w:highlight w:val="none"/>
              </w:rPr>
            </w:pPr>
          </w:p>
        </w:tc>
        <w:tc>
          <w:tcPr>
            <w:tcW w:w="1612" w:type="dxa"/>
            <w:noWrap w:val="0"/>
            <w:vAlign w:val="center"/>
          </w:tcPr>
          <w:p w14:paraId="44088AF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335" w:type="dxa"/>
            <w:noWrap w:val="0"/>
            <w:vAlign w:val="center"/>
          </w:tcPr>
          <w:p w14:paraId="363BAD9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5BD9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0009CE02">
            <w:pPr>
              <w:widowControl/>
              <w:jc w:val="left"/>
              <w:rPr>
                <w:rFonts w:ascii="宋体" w:hAnsi="宋体" w:cs="宋体"/>
                <w:color w:val="auto"/>
                <w:kern w:val="0"/>
                <w:sz w:val="20"/>
                <w:szCs w:val="20"/>
                <w:highlight w:val="none"/>
              </w:rPr>
            </w:pPr>
          </w:p>
        </w:tc>
        <w:tc>
          <w:tcPr>
            <w:tcW w:w="1116" w:type="dxa"/>
            <w:vMerge w:val="continue"/>
            <w:noWrap w:val="0"/>
            <w:vAlign w:val="center"/>
          </w:tcPr>
          <w:p w14:paraId="087065B3">
            <w:pPr>
              <w:widowControl/>
              <w:jc w:val="left"/>
              <w:rPr>
                <w:rFonts w:ascii="宋体" w:hAnsi="宋体" w:cs="宋体"/>
                <w:color w:val="auto"/>
                <w:kern w:val="0"/>
                <w:sz w:val="20"/>
                <w:szCs w:val="20"/>
                <w:highlight w:val="none"/>
              </w:rPr>
            </w:pPr>
          </w:p>
        </w:tc>
        <w:tc>
          <w:tcPr>
            <w:tcW w:w="1516" w:type="dxa"/>
            <w:vMerge w:val="continue"/>
            <w:noWrap w:val="0"/>
            <w:vAlign w:val="center"/>
          </w:tcPr>
          <w:p w14:paraId="4932E626">
            <w:pPr>
              <w:widowControl/>
              <w:jc w:val="left"/>
              <w:rPr>
                <w:rFonts w:ascii="宋体" w:hAnsi="宋体" w:cs="宋体"/>
                <w:color w:val="auto"/>
                <w:kern w:val="0"/>
                <w:sz w:val="20"/>
                <w:szCs w:val="20"/>
                <w:highlight w:val="none"/>
              </w:rPr>
            </w:pPr>
          </w:p>
        </w:tc>
        <w:tc>
          <w:tcPr>
            <w:tcW w:w="1612" w:type="dxa"/>
            <w:noWrap w:val="0"/>
            <w:vAlign w:val="center"/>
          </w:tcPr>
          <w:p w14:paraId="47C0D07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335" w:type="dxa"/>
            <w:noWrap w:val="0"/>
            <w:vAlign w:val="center"/>
          </w:tcPr>
          <w:p w14:paraId="428E027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6364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5E5B50E5">
            <w:pPr>
              <w:widowControl/>
              <w:jc w:val="left"/>
              <w:rPr>
                <w:rFonts w:ascii="宋体" w:hAnsi="宋体" w:cs="宋体"/>
                <w:color w:val="auto"/>
                <w:kern w:val="0"/>
                <w:sz w:val="20"/>
                <w:szCs w:val="20"/>
                <w:highlight w:val="none"/>
              </w:rPr>
            </w:pPr>
          </w:p>
        </w:tc>
        <w:tc>
          <w:tcPr>
            <w:tcW w:w="1116" w:type="dxa"/>
            <w:vMerge w:val="continue"/>
            <w:noWrap w:val="0"/>
            <w:vAlign w:val="center"/>
          </w:tcPr>
          <w:p w14:paraId="67A99B15">
            <w:pPr>
              <w:widowControl/>
              <w:jc w:val="left"/>
              <w:rPr>
                <w:rFonts w:ascii="宋体" w:hAnsi="宋体" w:cs="宋体"/>
                <w:color w:val="auto"/>
                <w:kern w:val="0"/>
                <w:sz w:val="20"/>
                <w:szCs w:val="20"/>
                <w:highlight w:val="none"/>
              </w:rPr>
            </w:pPr>
          </w:p>
        </w:tc>
        <w:tc>
          <w:tcPr>
            <w:tcW w:w="1516" w:type="dxa"/>
            <w:noWrap w:val="0"/>
            <w:vAlign w:val="center"/>
          </w:tcPr>
          <w:p w14:paraId="700B75E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12" w:type="dxa"/>
            <w:noWrap w:val="0"/>
            <w:vAlign w:val="center"/>
          </w:tcPr>
          <w:p w14:paraId="35C87B7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40A9367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1140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1640323F">
            <w:pPr>
              <w:widowControl/>
              <w:jc w:val="left"/>
              <w:rPr>
                <w:rFonts w:ascii="宋体" w:hAnsi="宋体" w:cs="宋体"/>
                <w:color w:val="auto"/>
                <w:kern w:val="0"/>
                <w:sz w:val="20"/>
                <w:szCs w:val="20"/>
                <w:highlight w:val="none"/>
              </w:rPr>
            </w:pPr>
          </w:p>
        </w:tc>
        <w:tc>
          <w:tcPr>
            <w:tcW w:w="1116" w:type="dxa"/>
            <w:vMerge w:val="continue"/>
            <w:noWrap w:val="0"/>
            <w:vAlign w:val="center"/>
          </w:tcPr>
          <w:p w14:paraId="4F96AA2E">
            <w:pPr>
              <w:widowControl/>
              <w:jc w:val="left"/>
              <w:rPr>
                <w:rFonts w:ascii="宋体" w:hAnsi="宋体" w:cs="宋体"/>
                <w:color w:val="auto"/>
                <w:kern w:val="0"/>
                <w:sz w:val="20"/>
                <w:szCs w:val="20"/>
                <w:highlight w:val="none"/>
              </w:rPr>
            </w:pPr>
          </w:p>
        </w:tc>
        <w:tc>
          <w:tcPr>
            <w:tcW w:w="1516" w:type="dxa"/>
            <w:vMerge w:val="restart"/>
            <w:noWrap w:val="0"/>
            <w:vAlign w:val="center"/>
          </w:tcPr>
          <w:p w14:paraId="45EF8EB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12" w:type="dxa"/>
            <w:noWrap w:val="0"/>
            <w:vAlign w:val="center"/>
          </w:tcPr>
          <w:p w14:paraId="1611780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335" w:type="dxa"/>
            <w:noWrap w:val="0"/>
            <w:vAlign w:val="center"/>
          </w:tcPr>
          <w:p w14:paraId="57754DB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7F69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203CE895">
            <w:pPr>
              <w:widowControl/>
              <w:jc w:val="left"/>
              <w:rPr>
                <w:rFonts w:ascii="宋体" w:hAnsi="宋体" w:cs="宋体"/>
                <w:color w:val="auto"/>
                <w:kern w:val="0"/>
                <w:sz w:val="20"/>
                <w:szCs w:val="20"/>
                <w:highlight w:val="none"/>
              </w:rPr>
            </w:pPr>
          </w:p>
        </w:tc>
        <w:tc>
          <w:tcPr>
            <w:tcW w:w="1116" w:type="dxa"/>
            <w:vMerge w:val="continue"/>
            <w:noWrap w:val="0"/>
            <w:vAlign w:val="center"/>
          </w:tcPr>
          <w:p w14:paraId="5E24BF6F">
            <w:pPr>
              <w:widowControl/>
              <w:jc w:val="left"/>
              <w:rPr>
                <w:rFonts w:ascii="宋体" w:hAnsi="宋体" w:cs="宋体"/>
                <w:color w:val="auto"/>
                <w:kern w:val="0"/>
                <w:sz w:val="20"/>
                <w:szCs w:val="20"/>
                <w:highlight w:val="none"/>
              </w:rPr>
            </w:pPr>
          </w:p>
        </w:tc>
        <w:tc>
          <w:tcPr>
            <w:tcW w:w="1516" w:type="dxa"/>
            <w:vMerge w:val="continue"/>
            <w:noWrap w:val="0"/>
            <w:vAlign w:val="center"/>
          </w:tcPr>
          <w:p w14:paraId="717793AB">
            <w:pPr>
              <w:widowControl/>
              <w:jc w:val="left"/>
              <w:rPr>
                <w:rFonts w:ascii="宋体" w:hAnsi="宋体" w:cs="宋体"/>
                <w:color w:val="auto"/>
                <w:kern w:val="0"/>
                <w:sz w:val="20"/>
                <w:szCs w:val="20"/>
                <w:highlight w:val="none"/>
              </w:rPr>
            </w:pPr>
          </w:p>
        </w:tc>
        <w:tc>
          <w:tcPr>
            <w:tcW w:w="1612" w:type="dxa"/>
            <w:noWrap w:val="0"/>
            <w:vAlign w:val="center"/>
          </w:tcPr>
          <w:p w14:paraId="1122DA9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335" w:type="dxa"/>
            <w:noWrap w:val="0"/>
            <w:vAlign w:val="center"/>
          </w:tcPr>
          <w:p w14:paraId="53A725C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611F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254D9065">
            <w:pPr>
              <w:widowControl/>
              <w:jc w:val="left"/>
              <w:rPr>
                <w:rFonts w:ascii="宋体" w:hAnsi="宋体" w:cs="宋体"/>
                <w:color w:val="auto"/>
                <w:kern w:val="0"/>
                <w:sz w:val="20"/>
                <w:szCs w:val="20"/>
                <w:highlight w:val="none"/>
              </w:rPr>
            </w:pPr>
          </w:p>
        </w:tc>
        <w:tc>
          <w:tcPr>
            <w:tcW w:w="1116" w:type="dxa"/>
            <w:vMerge w:val="continue"/>
            <w:noWrap w:val="0"/>
            <w:vAlign w:val="center"/>
          </w:tcPr>
          <w:p w14:paraId="5B11230F">
            <w:pPr>
              <w:widowControl/>
              <w:jc w:val="left"/>
              <w:rPr>
                <w:rFonts w:ascii="宋体" w:hAnsi="宋体" w:cs="宋体"/>
                <w:color w:val="auto"/>
                <w:kern w:val="0"/>
                <w:sz w:val="20"/>
                <w:szCs w:val="20"/>
                <w:highlight w:val="none"/>
              </w:rPr>
            </w:pPr>
          </w:p>
        </w:tc>
        <w:tc>
          <w:tcPr>
            <w:tcW w:w="1516" w:type="dxa"/>
            <w:vMerge w:val="continue"/>
            <w:noWrap w:val="0"/>
            <w:vAlign w:val="center"/>
          </w:tcPr>
          <w:p w14:paraId="2B39CB2C">
            <w:pPr>
              <w:widowControl/>
              <w:jc w:val="left"/>
              <w:rPr>
                <w:rFonts w:ascii="宋体" w:hAnsi="宋体" w:cs="宋体"/>
                <w:color w:val="auto"/>
                <w:kern w:val="0"/>
                <w:sz w:val="20"/>
                <w:szCs w:val="20"/>
                <w:highlight w:val="none"/>
              </w:rPr>
            </w:pPr>
          </w:p>
        </w:tc>
        <w:tc>
          <w:tcPr>
            <w:tcW w:w="1612" w:type="dxa"/>
            <w:noWrap w:val="0"/>
            <w:vAlign w:val="center"/>
          </w:tcPr>
          <w:p w14:paraId="3A6E172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335" w:type="dxa"/>
            <w:noWrap w:val="0"/>
            <w:vAlign w:val="center"/>
          </w:tcPr>
          <w:p w14:paraId="60D6D524">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1437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5E55B781">
            <w:pPr>
              <w:widowControl/>
              <w:jc w:val="left"/>
              <w:rPr>
                <w:rFonts w:ascii="宋体" w:hAnsi="宋体" w:cs="宋体"/>
                <w:color w:val="auto"/>
                <w:kern w:val="0"/>
                <w:sz w:val="20"/>
                <w:szCs w:val="20"/>
                <w:highlight w:val="none"/>
              </w:rPr>
            </w:pPr>
          </w:p>
        </w:tc>
        <w:tc>
          <w:tcPr>
            <w:tcW w:w="1116" w:type="dxa"/>
            <w:vMerge w:val="continue"/>
            <w:noWrap w:val="0"/>
            <w:vAlign w:val="center"/>
          </w:tcPr>
          <w:p w14:paraId="73679D87">
            <w:pPr>
              <w:widowControl/>
              <w:jc w:val="left"/>
              <w:rPr>
                <w:rFonts w:ascii="宋体" w:hAnsi="宋体" w:cs="宋体"/>
                <w:color w:val="auto"/>
                <w:kern w:val="0"/>
                <w:sz w:val="20"/>
                <w:szCs w:val="20"/>
                <w:highlight w:val="none"/>
              </w:rPr>
            </w:pPr>
          </w:p>
        </w:tc>
        <w:tc>
          <w:tcPr>
            <w:tcW w:w="1516" w:type="dxa"/>
            <w:vMerge w:val="continue"/>
            <w:noWrap w:val="0"/>
            <w:vAlign w:val="center"/>
          </w:tcPr>
          <w:p w14:paraId="68BD144D">
            <w:pPr>
              <w:widowControl/>
              <w:jc w:val="left"/>
              <w:rPr>
                <w:rFonts w:ascii="宋体" w:hAnsi="宋体" w:cs="宋体"/>
                <w:color w:val="auto"/>
                <w:kern w:val="0"/>
                <w:sz w:val="20"/>
                <w:szCs w:val="20"/>
                <w:highlight w:val="none"/>
              </w:rPr>
            </w:pPr>
          </w:p>
        </w:tc>
        <w:tc>
          <w:tcPr>
            <w:tcW w:w="1612" w:type="dxa"/>
            <w:noWrap w:val="0"/>
            <w:vAlign w:val="center"/>
          </w:tcPr>
          <w:p w14:paraId="73055D5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335" w:type="dxa"/>
            <w:noWrap w:val="0"/>
            <w:vAlign w:val="center"/>
          </w:tcPr>
          <w:p w14:paraId="18F07DB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3613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7E20271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116" w:type="dxa"/>
            <w:vMerge w:val="restart"/>
            <w:noWrap w:val="0"/>
            <w:vAlign w:val="center"/>
          </w:tcPr>
          <w:p w14:paraId="3B1EA58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516" w:type="dxa"/>
            <w:noWrap w:val="0"/>
            <w:vAlign w:val="center"/>
          </w:tcPr>
          <w:p w14:paraId="05FFC91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12" w:type="dxa"/>
            <w:noWrap w:val="0"/>
            <w:vAlign w:val="center"/>
          </w:tcPr>
          <w:p w14:paraId="26FF6D1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5810C7A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482F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6FF00C8D">
            <w:pPr>
              <w:widowControl/>
              <w:jc w:val="left"/>
              <w:rPr>
                <w:rFonts w:ascii="宋体" w:hAnsi="宋体" w:cs="宋体"/>
                <w:color w:val="auto"/>
                <w:kern w:val="0"/>
                <w:sz w:val="20"/>
                <w:szCs w:val="20"/>
                <w:highlight w:val="none"/>
              </w:rPr>
            </w:pPr>
          </w:p>
        </w:tc>
        <w:tc>
          <w:tcPr>
            <w:tcW w:w="1116" w:type="dxa"/>
            <w:vMerge w:val="continue"/>
            <w:noWrap w:val="0"/>
            <w:vAlign w:val="center"/>
          </w:tcPr>
          <w:p w14:paraId="70B97F49">
            <w:pPr>
              <w:widowControl/>
              <w:jc w:val="left"/>
              <w:rPr>
                <w:rFonts w:ascii="宋体" w:hAnsi="宋体" w:cs="宋体"/>
                <w:color w:val="auto"/>
                <w:kern w:val="0"/>
                <w:sz w:val="20"/>
                <w:szCs w:val="20"/>
                <w:highlight w:val="none"/>
              </w:rPr>
            </w:pPr>
          </w:p>
        </w:tc>
        <w:tc>
          <w:tcPr>
            <w:tcW w:w="1516" w:type="dxa"/>
            <w:noWrap w:val="0"/>
            <w:vAlign w:val="center"/>
          </w:tcPr>
          <w:p w14:paraId="6BFDDCC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12" w:type="dxa"/>
            <w:noWrap w:val="0"/>
            <w:vAlign w:val="center"/>
          </w:tcPr>
          <w:p w14:paraId="65A9A95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1CDAE97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15C4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059D58B5">
            <w:pPr>
              <w:widowControl/>
              <w:jc w:val="left"/>
              <w:rPr>
                <w:rFonts w:ascii="宋体" w:hAnsi="宋体" w:cs="宋体"/>
                <w:color w:val="auto"/>
                <w:kern w:val="0"/>
                <w:sz w:val="20"/>
                <w:szCs w:val="20"/>
                <w:highlight w:val="none"/>
              </w:rPr>
            </w:pPr>
          </w:p>
        </w:tc>
        <w:tc>
          <w:tcPr>
            <w:tcW w:w="1116" w:type="dxa"/>
            <w:vMerge w:val="continue"/>
            <w:noWrap w:val="0"/>
            <w:vAlign w:val="center"/>
          </w:tcPr>
          <w:p w14:paraId="0D682410">
            <w:pPr>
              <w:widowControl/>
              <w:jc w:val="left"/>
              <w:rPr>
                <w:rFonts w:ascii="宋体" w:hAnsi="宋体" w:cs="宋体"/>
                <w:color w:val="auto"/>
                <w:kern w:val="0"/>
                <w:sz w:val="20"/>
                <w:szCs w:val="20"/>
                <w:highlight w:val="none"/>
              </w:rPr>
            </w:pPr>
          </w:p>
        </w:tc>
        <w:tc>
          <w:tcPr>
            <w:tcW w:w="1516" w:type="dxa"/>
            <w:noWrap w:val="0"/>
            <w:vAlign w:val="center"/>
          </w:tcPr>
          <w:p w14:paraId="33C3C6F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12" w:type="dxa"/>
            <w:noWrap w:val="0"/>
            <w:vAlign w:val="center"/>
          </w:tcPr>
          <w:p w14:paraId="2BB6422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4102FB8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5C0E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5B794019">
            <w:pPr>
              <w:widowControl/>
              <w:jc w:val="left"/>
              <w:rPr>
                <w:rFonts w:ascii="宋体" w:hAnsi="宋体" w:cs="宋体"/>
                <w:color w:val="auto"/>
                <w:kern w:val="0"/>
                <w:sz w:val="20"/>
                <w:szCs w:val="20"/>
                <w:highlight w:val="none"/>
              </w:rPr>
            </w:pPr>
          </w:p>
        </w:tc>
        <w:tc>
          <w:tcPr>
            <w:tcW w:w="1116" w:type="dxa"/>
            <w:vMerge w:val="continue"/>
            <w:noWrap w:val="0"/>
            <w:vAlign w:val="center"/>
          </w:tcPr>
          <w:p w14:paraId="1FE190C6">
            <w:pPr>
              <w:widowControl/>
              <w:jc w:val="left"/>
              <w:rPr>
                <w:rFonts w:ascii="宋体" w:hAnsi="宋体" w:cs="宋体"/>
                <w:color w:val="auto"/>
                <w:kern w:val="0"/>
                <w:sz w:val="20"/>
                <w:szCs w:val="20"/>
                <w:highlight w:val="none"/>
              </w:rPr>
            </w:pPr>
          </w:p>
        </w:tc>
        <w:tc>
          <w:tcPr>
            <w:tcW w:w="1516" w:type="dxa"/>
            <w:noWrap w:val="0"/>
            <w:vAlign w:val="center"/>
          </w:tcPr>
          <w:p w14:paraId="103B53F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12" w:type="dxa"/>
            <w:noWrap w:val="0"/>
            <w:vAlign w:val="center"/>
          </w:tcPr>
          <w:p w14:paraId="45DFE65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3A3FEE4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557F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noWrap w:val="0"/>
            <w:vAlign w:val="center"/>
          </w:tcPr>
          <w:p w14:paraId="2DCC973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116" w:type="dxa"/>
            <w:noWrap w:val="0"/>
            <w:vAlign w:val="center"/>
          </w:tcPr>
          <w:p w14:paraId="00480BF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516" w:type="dxa"/>
            <w:noWrap w:val="0"/>
            <w:vAlign w:val="center"/>
          </w:tcPr>
          <w:p w14:paraId="410B64B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12" w:type="dxa"/>
            <w:noWrap w:val="0"/>
            <w:vAlign w:val="center"/>
          </w:tcPr>
          <w:p w14:paraId="287A2CD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2B89108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5834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1" w:type="dxa"/>
            <w:noWrap w:val="0"/>
            <w:vAlign w:val="center"/>
          </w:tcPr>
          <w:p w14:paraId="672C5D7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116" w:type="dxa"/>
            <w:noWrap w:val="0"/>
            <w:vAlign w:val="center"/>
          </w:tcPr>
          <w:p w14:paraId="0BCE5BE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516" w:type="dxa"/>
            <w:noWrap w:val="0"/>
            <w:vAlign w:val="center"/>
          </w:tcPr>
          <w:p w14:paraId="0504DA8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12" w:type="dxa"/>
            <w:noWrap w:val="0"/>
            <w:vAlign w:val="center"/>
          </w:tcPr>
          <w:p w14:paraId="72F948C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335" w:type="dxa"/>
            <w:noWrap w:val="0"/>
            <w:vAlign w:val="center"/>
          </w:tcPr>
          <w:p w14:paraId="1CABE14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751A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656D207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116" w:type="dxa"/>
            <w:noWrap w:val="0"/>
            <w:vAlign w:val="center"/>
          </w:tcPr>
          <w:p w14:paraId="2E4C37C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516" w:type="dxa"/>
            <w:noWrap w:val="0"/>
            <w:vAlign w:val="center"/>
          </w:tcPr>
          <w:p w14:paraId="7B6C7D0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12" w:type="dxa"/>
            <w:noWrap w:val="0"/>
            <w:vAlign w:val="center"/>
          </w:tcPr>
          <w:p w14:paraId="17C0592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0734628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79EB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41" w:type="dxa"/>
            <w:vMerge w:val="restart"/>
            <w:noWrap w:val="0"/>
            <w:vAlign w:val="center"/>
          </w:tcPr>
          <w:p w14:paraId="4C97D6D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116" w:type="dxa"/>
            <w:vMerge w:val="restart"/>
            <w:noWrap w:val="0"/>
            <w:vAlign w:val="center"/>
          </w:tcPr>
          <w:p w14:paraId="42C91F1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516" w:type="dxa"/>
            <w:noWrap w:val="0"/>
            <w:vAlign w:val="center"/>
          </w:tcPr>
          <w:p w14:paraId="4A1768D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12" w:type="dxa"/>
            <w:noWrap w:val="0"/>
            <w:vAlign w:val="center"/>
          </w:tcPr>
          <w:p w14:paraId="2FCD24A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6AE0A1B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4AC8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0E48F459">
            <w:pPr>
              <w:widowControl/>
              <w:jc w:val="left"/>
              <w:rPr>
                <w:rFonts w:ascii="宋体" w:hAnsi="宋体" w:cs="宋体"/>
                <w:color w:val="auto"/>
                <w:kern w:val="0"/>
                <w:sz w:val="20"/>
                <w:szCs w:val="20"/>
                <w:highlight w:val="none"/>
              </w:rPr>
            </w:pPr>
          </w:p>
        </w:tc>
        <w:tc>
          <w:tcPr>
            <w:tcW w:w="1116" w:type="dxa"/>
            <w:vMerge w:val="continue"/>
            <w:noWrap w:val="0"/>
            <w:vAlign w:val="center"/>
          </w:tcPr>
          <w:p w14:paraId="07EF0BF2">
            <w:pPr>
              <w:widowControl/>
              <w:jc w:val="left"/>
              <w:rPr>
                <w:rFonts w:ascii="宋体" w:hAnsi="宋体" w:cs="宋体"/>
                <w:color w:val="auto"/>
                <w:kern w:val="0"/>
                <w:sz w:val="20"/>
                <w:szCs w:val="20"/>
                <w:highlight w:val="none"/>
              </w:rPr>
            </w:pPr>
          </w:p>
        </w:tc>
        <w:tc>
          <w:tcPr>
            <w:tcW w:w="1516" w:type="dxa"/>
            <w:noWrap w:val="0"/>
            <w:vAlign w:val="center"/>
          </w:tcPr>
          <w:p w14:paraId="529A8C3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12" w:type="dxa"/>
            <w:noWrap w:val="0"/>
            <w:vAlign w:val="center"/>
          </w:tcPr>
          <w:p w14:paraId="2C0612C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0AE8871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05F2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6A52278C">
            <w:pPr>
              <w:widowControl/>
              <w:jc w:val="left"/>
              <w:rPr>
                <w:rFonts w:ascii="宋体" w:hAnsi="宋体" w:cs="宋体"/>
                <w:color w:val="auto"/>
                <w:kern w:val="0"/>
                <w:sz w:val="20"/>
                <w:szCs w:val="20"/>
                <w:highlight w:val="none"/>
              </w:rPr>
            </w:pPr>
          </w:p>
        </w:tc>
        <w:tc>
          <w:tcPr>
            <w:tcW w:w="1116" w:type="dxa"/>
            <w:vMerge w:val="continue"/>
            <w:noWrap w:val="0"/>
            <w:vAlign w:val="center"/>
          </w:tcPr>
          <w:p w14:paraId="7AD9D617">
            <w:pPr>
              <w:widowControl/>
              <w:jc w:val="left"/>
              <w:rPr>
                <w:rFonts w:ascii="宋体" w:hAnsi="宋体" w:cs="宋体"/>
                <w:color w:val="auto"/>
                <w:kern w:val="0"/>
                <w:sz w:val="20"/>
                <w:szCs w:val="20"/>
                <w:highlight w:val="none"/>
              </w:rPr>
            </w:pPr>
          </w:p>
        </w:tc>
        <w:tc>
          <w:tcPr>
            <w:tcW w:w="1516" w:type="dxa"/>
            <w:noWrap w:val="0"/>
            <w:vAlign w:val="center"/>
          </w:tcPr>
          <w:p w14:paraId="3695FFB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12" w:type="dxa"/>
            <w:noWrap w:val="0"/>
            <w:vAlign w:val="center"/>
          </w:tcPr>
          <w:p w14:paraId="302E6AE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046D3C3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5081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19965B2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116" w:type="dxa"/>
            <w:noWrap w:val="0"/>
            <w:vAlign w:val="center"/>
          </w:tcPr>
          <w:p w14:paraId="32EE418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516" w:type="dxa"/>
            <w:noWrap w:val="0"/>
            <w:vAlign w:val="center"/>
          </w:tcPr>
          <w:p w14:paraId="7609911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noWrap w:val="0"/>
            <w:vAlign w:val="center"/>
          </w:tcPr>
          <w:p w14:paraId="219A045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71D9D22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445E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6AB16A9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116" w:type="dxa"/>
            <w:noWrap w:val="0"/>
            <w:vAlign w:val="center"/>
          </w:tcPr>
          <w:p w14:paraId="42AC181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516" w:type="dxa"/>
            <w:noWrap w:val="0"/>
            <w:vAlign w:val="center"/>
          </w:tcPr>
          <w:p w14:paraId="109B421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noWrap w:val="0"/>
            <w:vAlign w:val="center"/>
          </w:tcPr>
          <w:p w14:paraId="15CD308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379A3D8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772F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27BD091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116" w:type="dxa"/>
            <w:noWrap w:val="0"/>
            <w:vAlign w:val="center"/>
          </w:tcPr>
          <w:p w14:paraId="40DA846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516" w:type="dxa"/>
            <w:noWrap w:val="0"/>
            <w:vAlign w:val="center"/>
          </w:tcPr>
          <w:p w14:paraId="1A5D1A1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12" w:type="dxa"/>
            <w:noWrap w:val="0"/>
            <w:vAlign w:val="center"/>
          </w:tcPr>
          <w:p w14:paraId="6E2DEA2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335" w:type="dxa"/>
            <w:noWrap w:val="0"/>
            <w:vAlign w:val="center"/>
          </w:tcPr>
          <w:p w14:paraId="5D4737F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16FDD503">
      <w:pPr>
        <w:pStyle w:val="9"/>
        <w:spacing w:line="360" w:lineRule="auto"/>
        <w:rPr>
          <w:rFonts w:hint="eastAsia" w:ascii="宋体" w:hAns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5E40A95A">
      <w:pPr>
        <w:pStyle w:val="14"/>
        <w:jc w:val="left"/>
        <w:rPr>
          <w:rFonts w:hint="eastAsia" w:ascii="Arial Unicode MS" w:hAnsi="Arial Unicode MS" w:eastAsia="Arial Unicode MS" w:cs="Arial Unicode MS"/>
          <w:color w:val="auto"/>
          <w:sz w:val="32"/>
          <w:szCs w:val="32"/>
          <w:highlight w:val="none"/>
        </w:rPr>
      </w:pPr>
      <w:r>
        <w:rPr>
          <w:rFonts w:hint="eastAsia" w:hAnsi="宋体"/>
          <w:color w:val="auto"/>
          <w:highlight w:val="none"/>
        </w:rPr>
        <w:t xml:space="preserve">    </w:t>
      </w:r>
      <w:r>
        <w:rPr>
          <w:rFonts w:hint="eastAsia"/>
          <w:color w:val="auto"/>
          <w:highlight w:val="none"/>
        </w:rPr>
        <w:t>2.以</w:t>
      </w:r>
      <w:r>
        <w:rPr>
          <w:color w:val="auto"/>
          <w:highlight w:val="none"/>
        </w:rPr>
        <w:t>“</w:t>
      </w:r>
      <w:r>
        <w:rPr>
          <w:rFonts w:hint="eastAsia"/>
          <w:color w:val="auto"/>
          <w:highlight w:val="none"/>
        </w:rPr>
        <w:t>★</w:t>
      </w:r>
      <w:r>
        <w:rPr>
          <w:color w:val="auto"/>
          <w:highlight w:val="none"/>
        </w:rPr>
        <w:t>”</w:t>
      </w:r>
      <w:r>
        <w:rPr>
          <w:rFonts w:hint="eastAsia"/>
          <w:color w:val="auto"/>
          <w:highlight w:val="none"/>
        </w:rPr>
        <w:t>标注的为政府强制采购产品。</w:t>
      </w:r>
      <w:r>
        <w:rPr>
          <w:rFonts w:hint="eastAsia"/>
          <w:color w:val="auto"/>
          <w:highlight w:val="none"/>
        </w:rPr>
        <w:br w:type="page"/>
      </w:r>
      <w:r>
        <w:rPr>
          <w:rFonts w:hint="eastAsia" w:ascii="微软雅黑" w:hAnsi="微软雅黑" w:eastAsia="微软雅黑" w:cs="微软雅黑"/>
          <w:color w:val="auto"/>
          <w:sz w:val="32"/>
          <w:szCs w:val="32"/>
          <w:highlight w:val="none"/>
        </w:rPr>
        <w:t>附件</w:t>
      </w:r>
      <w:r>
        <w:rPr>
          <w:rFonts w:ascii="Arial Unicode MS" w:hAnsi="Arial Unicode MS" w:eastAsia="Arial Unicode MS" w:cs="Arial Unicode MS"/>
          <w:color w:val="auto"/>
          <w:sz w:val="32"/>
          <w:szCs w:val="32"/>
          <w:highlight w:val="none"/>
        </w:rPr>
        <w:t>2</w:t>
      </w:r>
      <w:r>
        <w:rPr>
          <w:rFonts w:hint="eastAsia" w:ascii="微软雅黑" w:hAnsi="微软雅黑" w:eastAsia="微软雅黑" w:cs="微软雅黑"/>
          <w:color w:val="auto"/>
          <w:sz w:val="32"/>
          <w:szCs w:val="32"/>
          <w:highlight w:val="none"/>
        </w:rPr>
        <w:t>：</w:t>
      </w:r>
    </w:p>
    <w:p w14:paraId="3103B0FF">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20"/>
        <w:tblW w:w="0" w:type="auto"/>
        <w:tblInd w:w="18" w:type="dxa"/>
        <w:tblLayout w:type="fixed"/>
        <w:tblCellMar>
          <w:top w:w="0" w:type="dxa"/>
          <w:left w:w="108" w:type="dxa"/>
          <w:bottom w:w="0" w:type="dxa"/>
          <w:right w:w="108" w:type="dxa"/>
        </w:tblCellMar>
      </w:tblPr>
      <w:tblGrid>
        <w:gridCol w:w="1985"/>
        <w:gridCol w:w="1985"/>
        <w:gridCol w:w="851"/>
        <w:gridCol w:w="1843"/>
        <w:gridCol w:w="1702"/>
        <w:gridCol w:w="1134"/>
      </w:tblGrid>
      <w:tr w14:paraId="29A7B1B5">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014173CA">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noWrap w:val="0"/>
            <w:vAlign w:val="center"/>
          </w:tcPr>
          <w:p w14:paraId="314EB925">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39B4FE0F">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43" w:type="dxa"/>
            <w:tcBorders>
              <w:top w:val="single" w:color="auto" w:sz="4" w:space="0"/>
              <w:left w:val="nil"/>
              <w:bottom w:val="single" w:color="auto" w:sz="4" w:space="0"/>
              <w:right w:val="single" w:color="auto" w:sz="4" w:space="0"/>
            </w:tcBorders>
            <w:noWrap w:val="0"/>
            <w:vAlign w:val="center"/>
          </w:tcPr>
          <w:p w14:paraId="593E2283">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2" w:type="dxa"/>
            <w:tcBorders>
              <w:top w:val="single" w:color="auto" w:sz="4" w:space="0"/>
              <w:left w:val="nil"/>
              <w:bottom w:val="single" w:color="auto" w:sz="4" w:space="0"/>
              <w:right w:val="single" w:color="auto" w:sz="4" w:space="0"/>
            </w:tcBorders>
            <w:noWrap w:val="0"/>
            <w:vAlign w:val="center"/>
          </w:tcPr>
          <w:p w14:paraId="2453CB6A">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49FCD195">
            <w:pPr>
              <w:widowControl/>
              <w:jc w:val="left"/>
              <w:rPr>
                <w:rFonts w:hint="eastAsia"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4964A17C">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3EC48111">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noWrap w:val="0"/>
            <w:vAlign w:val="center"/>
          </w:tcPr>
          <w:p w14:paraId="0CD0148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99E0C5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3EA1324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2" w:type="dxa"/>
            <w:tcBorders>
              <w:top w:val="nil"/>
              <w:left w:val="nil"/>
              <w:bottom w:val="single" w:color="auto" w:sz="4" w:space="0"/>
              <w:right w:val="single" w:color="auto" w:sz="4" w:space="0"/>
            </w:tcBorders>
            <w:noWrap w:val="0"/>
            <w:vAlign w:val="center"/>
          </w:tcPr>
          <w:p w14:paraId="002ED5F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6B4A122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1587C1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25983E0">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noWrap w:val="0"/>
            <w:vAlign w:val="center"/>
          </w:tcPr>
          <w:p w14:paraId="7F5DDAB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B28F2A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4E64588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378C5B5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1731EED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2F8A7C9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F74637B">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516A29C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A8FD59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5A9DC2A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1702" w:type="dxa"/>
            <w:tcBorders>
              <w:top w:val="nil"/>
              <w:left w:val="nil"/>
              <w:bottom w:val="single" w:color="auto" w:sz="4" w:space="0"/>
              <w:right w:val="single" w:color="auto" w:sz="4" w:space="0"/>
            </w:tcBorders>
            <w:noWrap w:val="0"/>
            <w:vAlign w:val="center"/>
          </w:tcPr>
          <w:p w14:paraId="36487C6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78C981B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64A627C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13026F4">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noWrap w:val="0"/>
            <w:vAlign w:val="center"/>
          </w:tcPr>
          <w:p w14:paraId="5C8EF8E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ADDE93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5CB5C13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1702" w:type="dxa"/>
            <w:tcBorders>
              <w:top w:val="nil"/>
              <w:left w:val="nil"/>
              <w:bottom w:val="single" w:color="auto" w:sz="4" w:space="0"/>
              <w:right w:val="single" w:color="auto" w:sz="4" w:space="0"/>
            </w:tcBorders>
            <w:noWrap w:val="0"/>
            <w:vAlign w:val="center"/>
          </w:tcPr>
          <w:p w14:paraId="5F69396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748DFF8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74A2CA6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4ED81BA">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8196F2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FD29D3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3133A34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1702" w:type="dxa"/>
            <w:tcBorders>
              <w:top w:val="nil"/>
              <w:left w:val="nil"/>
              <w:bottom w:val="single" w:color="auto" w:sz="4" w:space="0"/>
              <w:right w:val="single" w:color="auto" w:sz="4" w:space="0"/>
            </w:tcBorders>
            <w:noWrap w:val="0"/>
            <w:vAlign w:val="center"/>
          </w:tcPr>
          <w:p w14:paraId="3349F81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3487D56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0424DE1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0D6D87B">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noWrap w:val="0"/>
            <w:vAlign w:val="center"/>
          </w:tcPr>
          <w:p w14:paraId="1AC55BB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20913E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0A0BBE5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1702" w:type="dxa"/>
            <w:tcBorders>
              <w:top w:val="nil"/>
              <w:left w:val="nil"/>
              <w:bottom w:val="single" w:color="auto" w:sz="4" w:space="0"/>
              <w:right w:val="single" w:color="auto" w:sz="4" w:space="0"/>
            </w:tcBorders>
            <w:noWrap w:val="0"/>
            <w:vAlign w:val="center"/>
          </w:tcPr>
          <w:p w14:paraId="34CCC65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40F0F24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089CB71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B77FED5">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7CDA08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504DC1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198DA75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1702" w:type="dxa"/>
            <w:tcBorders>
              <w:top w:val="nil"/>
              <w:left w:val="nil"/>
              <w:bottom w:val="single" w:color="auto" w:sz="4" w:space="0"/>
              <w:right w:val="single" w:color="auto" w:sz="4" w:space="0"/>
            </w:tcBorders>
            <w:noWrap w:val="0"/>
            <w:vAlign w:val="center"/>
          </w:tcPr>
          <w:p w14:paraId="6E484D3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1B17CDE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6128B7C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42C1F1A">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noWrap w:val="0"/>
            <w:vAlign w:val="center"/>
          </w:tcPr>
          <w:p w14:paraId="483A719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3C6F5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17A6A86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1702" w:type="dxa"/>
            <w:tcBorders>
              <w:top w:val="nil"/>
              <w:left w:val="nil"/>
              <w:bottom w:val="single" w:color="auto" w:sz="4" w:space="0"/>
              <w:right w:val="single" w:color="auto" w:sz="4" w:space="0"/>
            </w:tcBorders>
            <w:noWrap w:val="0"/>
            <w:vAlign w:val="center"/>
          </w:tcPr>
          <w:p w14:paraId="6FCDFE4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624419D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16D47C5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949CE1">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6BA8BD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DB006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7D2B12D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702" w:type="dxa"/>
            <w:tcBorders>
              <w:top w:val="nil"/>
              <w:left w:val="nil"/>
              <w:bottom w:val="single" w:color="auto" w:sz="4" w:space="0"/>
              <w:right w:val="single" w:color="auto" w:sz="4" w:space="0"/>
            </w:tcBorders>
            <w:noWrap w:val="0"/>
            <w:vAlign w:val="center"/>
          </w:tcPr>
          <w:p w14:paraId="6B547E6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6065BAF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348895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01FBB53">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noWrap w:val="0"/>
            <w:vAlign w:val="center"/>
          </w:tcPr>
          <w:p w14:paraId="1757343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02A163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0396B24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2F7196E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0BE4693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2DE5C82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DF10BE6">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370E79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C21FFC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1CF5103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1702" w:type="dxa"/>
            <w:tcBorders>
              <w:top w:val="nil"/>
              <w:left w:val="nil"/>
              <w:bottom w:val="single" w:color="auto" w:sz="4" w:space="0"/>
              <w:right w:val="single" w:color="auto" w:sz="4" w:space="0"/>
            </w:tcBorders>
            <w:noWrap w:val="0"/>
            <w:vAlign w:val="center"/>
          </w:tcPr>
          <w:p w14:paraId="7CD81E3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7CDB92B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273F5F8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FC5E4C5">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noWrap w:val="0"/>
            <w:vAlign w:val="center"/>
          </w:tcPr>
          <w:p w14:paraId="19151D8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032245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7E14BC0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1702" w:type="dxa"/>
            <w:tcBorders>
              <w:top w:val="nil"/>
              <w:left w:val="nil"/>
              <w:bottom w:val="single" w:color="auto" w:sz="4" w:space="0"/>
              <w:right w:val="single" w:color="auto" w:sz="4" w:space="0"/>
            </w:tcBorders>
            <w:noWrap w:val="0"/>
            <w:vAlign w:val="center"/>
          </w:tcPr>
          <w:p w14:paraId="1A52B42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0398B21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76AB93C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0EDA413">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E1D36F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B2A546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4F6ABA6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1702" w:type="dxa"/>
            <w:tcBorders>
              <w:top w:val="nil"/>
              <w:left w:val="nil"/>
              <w:bottom w:val="single" w:color="auto" w:sz="4" w:space="0"/>
              <w:right w:val="single" w:color="auto" w:sz="4" w:space="0"/>
            </w:tcBorders>
            <w:noWrap w:val="0"/>
            <w:vAlign w:val="center"/>
          </w:tcPr>
          <w:p w14:paraId="641151D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750A1BAF">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613A2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460A386">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noWrap w:val="0"/>
            <w:vAlign w:val="center"/>
          </w:tcPr>
          <w:p w14:paraId="6448E41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B55999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186CA0A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5DED95A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12AA6E4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5D248C2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2A4073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F32F5D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1FCCA2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426A676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1702" w:type="dxa"/>
            <w:tcBorders>
              <w:top w:val="nil"/>
              <w:left w:val="nil"/>
              <w:bottom w:val="single" w:color="auto" w:sz="4" w:space="0"/>
              <w:right w:val="single" w:color="auto" w:sz="4" w:space="0"/>
            </w:tcBorders>
            <w:noWrap w:val="0"/>
            <w:vAlign w:val="center"/>
          </w:tcPr>
          <w:p w14:paraId="6A3E11A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15711B7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0063EAE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7AF47AF">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noWrap w:val="0"/>
            <w:vAlign w:val="center"/>
          </w:tcPr>
          <w:p w14:paraId="7005E2A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3FB16F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0AA1C30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03CB8F5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085E751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472D7C3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79D778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0EA829B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1538A7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6BC06AF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2" w:type="dxa"/>
            <w:tcBorders>
              <w:top w:val="nil"/>
              <w:left w:val="nil"/>
              <w:bottom w:val="single" w:color="auto" w:sz="4" w:space="0"/>
              <w:right w:val="single" w:color="auto" w:sz="4" w:space="0"/>
            </w:tcBorders>
            <w:noWrap w:val="0"/>
            <w:vAlign w:val="center"/>
          </w:tcPr>
          <w:p w14:paraId="74CF1E5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CA5237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332AEEC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AF79E26">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noWrap w:val="0"/>
            <w:vAlign w:val="center"/>
          </w:tcPr>
          <w:p w14:paraId="37760AC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BD0FCC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7B44BA7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6BE0145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00BB66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0D3A1CA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73C7F82">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0F8C160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E63F7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4756628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702" w:type="dxa"/>
            <w:tcBorders>
              <w:top w:val="nil"/>
              <w:left w:val="nil"/>
              <w:bottom w:val="single" w:color="auto" w:sz="4" w:space="0"/>
              <w:right w:val="single" w:color="auto" w:sz="4" w:space="0"/>
            </w:tcBorders>
            <w:noWrap w:val="0"/>
            <w:vAlign w:val="center"/>
          </w:tcPr>
          <w:p w14:paraId="5753549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29877A4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359B808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0F78A9">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noWrap w:val="0"/>
            <w:vAlign w:val="center"/>
          </w:tcPr>
          <w:p w14:paraId="49FC998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7C36EF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22E2032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1702" w:type="dxa"/>
            <w:tcBorders>
              <w:top w:val="nil"/>
              <w:left w:val="nil"/>
              <w:bottom w:val="single" w:color="auto" w:sz="4" w:space="0"/>
              <w:right w:val="single" w:color="auto" w:sz="4" w:space="0"/>
            </w:tcBorders>
            <w:noWrap w:val="0"/>
            <w:vAlign w:val="center"/>
          </w:tcPr>
          <w:p w14:paraId="0EE9B4F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35CEED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1227229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A2E8EF">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5DC000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98A7F2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68C1EB3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1702" w:type="dxa"/>
            <w:tcBorders>
              <w:top w:val="nil"/>
              <w:left w:val="nil"/>
              <w:bottom w:val="single" w:color="auto" w:sz="4" w:space="0"/>
              <w:right w:val="single" w:color="auto" w:sz="4" w:space="0"/>
            </w:tcBorders>
            <w:noWrap w:val="0"/>
            <w:vAlign w:val="center"/>
          </w:tcPr>
          <w:p w14:paraId="26AA2CC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29B68FA8">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486652A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376599">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noWrap w:val="0"/>
            <w:vAlign w:val="center"/>
          </w:tcPr>
          <w:p w14:paraId="17E7F1B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04D7E5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582C307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0A0320F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6A973F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7482F66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4C708C">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58342CE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9549019">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5DDF3FE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1702" w:type="dxa"/>
            <w:tcBorders>
              <w:top w:val="nil"/>
              <w:left w:val="nil"/>
              <w:bottom w:val="single" w:color="auto" w:sz="4" w:space="0"/>
              <w:right w:val="single" w:color="auto" w:sz="4" w:space="0"/>
            </w:tcBorders>
            <w:noWrap w:val="0"/>
            <w:vAlign w:val="center"/>
          </w:tcPr>
          <w:p w14:paraId="512ED7B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0D698D0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336C274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83C6461">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noWrap w:val="0"/>
            <w:vAlign w:val="center"/>
          </w:tcPr>
          <w:p w14:paraId="124CF9A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28A65F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76849DE7">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1702" w:type="dxa"/>
            <w:tcBorders>
              <w:top w:val="nil"/>
              <w:left w:val="nil"/>
              <w:bottom w:val="single" w:color="auto" w:sz="4" w:space="0"/>
              <w:right w:val="single" w:color="auto" w:sz="4" w:space="0"/>
            </w:tcBorders>
            <w:noWrap w:val="0"/>
            <w:vAlign w:val="center"/>
          </w:tcPr>
          <w:p w14:paraId="3CA773F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56748EF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6B725FF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9C386A9">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A178D4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44A57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528B5380">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1702" w:type="dxa"/>
            <w:tcBorders>
              <w:top w:val="nil"/>
              <w:left w:val="nil"/>
              <w:bottom w:val="single" w:color="auto" w:sz="4" w:space="0"/>
              <w:right w:val="single" w:color="auto" w:sz="4" w:space="0"/>
            </w:tcBorders>
            <w:noWrap w:val="0"/>
            <w:vAlign w:val="center"/>
          </w:tcPr>
          <w:p w14:paraId="3180CF1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604D279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5E3CA01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EFAE6BF">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noWrap w:val="0"/>
            <w:vAlign w:val="center"/>
          </w:tcPr>
          <w:p w14:paraId="459404A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8FADE5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04A3DA2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702" w:type="dxa"/>
            <w:tcBorders>
              <w:top w:val="nil"/>
              <w:left w:val="nil"/>
              <w:bottom w:val="single" w:color="auto" w:sz="4" w:space="0"/>
              <w:right w:val="single" w:color="auto" w:sz="4" w:space="0"/>
            </w:tcBorders>
            <w:noWrap w:val="0"/>
            <w:vAlign w:val="center"/>
          </w:tcPr>
          <w:p w14:paraId="5F355CF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6B6A0AA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21BB6B7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3604C8E">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5053CC9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D5EDAA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027228D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702" w:type="dxa"/>
            <w:tcBorders>
              <w:top w:val="nil"/>
              <w:left w:val="nil"/>
              <w:bottom w:val="single" w:color="auto" w:sz="4" w:space="0"/>
              <w:right w:val="single" w:color="auto" w:sz="4" w:space="0"/>
            </w:tcBorders>
            <w:noWrap w:val="0"/>
            <w:vAlign w:val="center"/>
          </w:tcPr>
          <w:p w14:paraId="6003A14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0C726E9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7A4B00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59AF78E">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noWrap w:val="0"/>
            <w:vAlign w:val="center"/>
          </w:tcPr>
          <w:p w14:paraId="5D7E787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FF1D5CE">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33FB9F2B">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05C05CD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37EBAB2">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58A71AB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83A0732">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D51A78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EDE3316">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3" w:type="dxa"/>
            <w:tcBorders>
              <w:top w:val="nil"/>
              <w:left w:val="nil"/>
              <w:bottom w:val="single" w:color="auto" w:sz="4" w:space="0"/>
              <w:right w:val="single" w:color="auto" w:sz="4" w:space="0"/>
            </w:tcBorders>
            <w:noWrap w:val="0"/>
            <w:vAlign w:val="center"/>
          </w:tcPr>
          <w:p w14:paraId="65AAEE55">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1702" w:type="dxa"/>
            <w:tcBorders>
              <w:top w:val="nil"/>
              <w:left w:val="nil"/>
              <w:bottom w:val="single" w:color="auto" w:sz="4" w:space="0"/>
              <w:right w:val="single" w:color="auto" w:sz="4" w:space="0"/>
            </w:tcBorders>
            <w:noWrap w:val="0"/>
            <w:vAlign w:val="center"/>
          </w:tcPr>
          <w:p w14:paraId="7A4BA41C">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25C411D1">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44FD380D">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2A81073A">
            <w:pPr>
              <w:widowControl/>
              <w:jc w:val="center"/>
              <w:rPr>
                <w:rFonts w:hint="eastAsia"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noWrap w:val="0"/>
            <w:vAlign w:val="center"/>
          </w:tcPr>
          <w:p w14:paraId="0F3CBBFD">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CE815BA">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43" w:type="dxa"/>
            <w:tcBorders>
              <w:top w:val="nil"/>
              <w:left w:val="nil"/>
              <w:bottom w:val="single" w:color="auto" w:sz="4" w:space="0"/>
              <w:right w:val="single" w:color="auto" w:sz="4" w:space="0"/>
            </w:tcBorders>
            <w:noWrap w:val="0"/>
            <w:vAlign w:val="center"/>
          </w:tcPr>
          <w:p w14:paraId="1CDD3193">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702" w:type="dxa"/>
            <w:tcBorders>
              <w:top w:val="nil"/>
              <w:left w:val="nil"/>
              <w:bottom w:val="single" w:color="auto" w:sz="4" w:space="0"/>
              <w:right w:val="single" w:color="auto" w:sz="4" w:space="0"/>
            </w:tcBorders>
            <w:noWrap w:val="0"/>
            <w:vAlign w:val="center"/>
          </w:tcPr>
          <w:p w14:paraId="09B17CE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74C1424">
            <w:pPr>
              <w:widowControl/>
              <w:jc w:val="left"/>
              <w:rPr>
                <w:rFonts w:hint="eastAsia"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7DEAF20A">
      <w:pPr>
        <w:spacing w:line="560" w:lineRule="exact"/>
        <w:ind w:firstLine="525" w:firstLineChars="250"/>
        <w:rPr>
          <w:rFonts w:hint="eastAsia"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CA1E91E">
      <w:pPr>
        <w:widowControl/>
        <w:jc w:val="left"/>
        <w:rPr>
          <w:rFonts w:ascii="宋体" w:hAnsi="宋体"/>
          <w:color w:val="auto"/>
          <w:kern w:val="0"/>
          <w:sz w:val="20"/>
          <w:szCs w:val="21"/>
          <w:highlight w:val="none"/>
        </w:rPr>
        <w:sectPr>
          <w:pgSz w:w="11905" w:h="16838"/>
          <w:pgMar w:top="958" w:right="1440" w:bottom="958" w:left="1587" w:header="850" w:footer="992" w:gutter="0"/>
          <w:pgNumType w:fmt="decimal"/>
          <w:cols w:space="720" w:num="1"/>
          <w:rtlGutter w:val="0"/>
          <w:docGrid w:type="lines" w:linePitch="317" w:charSpace="0"/>
        </w:sectPr>
      </w:pPr>
    </w:p>
    <w:p w14:paraId="20C02EE0">
      <w:pPr>
        <w:pStyle w:val="2"/>
        <w:jc w:val="center"/>
        <w:rPr>
          <w:rFonts w:hint="eastAsia"/>
          <w:color w:val="auto"/>
          <w:highlight w:val="none"/>
        </w:rPr>
      </w:pPr>
      <w:bookmarkStart w:id="7" w:name="_Toc17669"/>
      <w:r>
        <w:rPr>
          <w:rFonts w:hint="eastAsia" w:ascii="Cambria" w:hAnsi="Cambria"/>
          <w:bCs w:val="0"/>
          <w:color w:val="auto"/>
          <w:sz w:val="32"/>
          <w:szCs w:val="32"/>
          <w:highlight w:val="none"/>
        </w:rPr>
        <w:t>第三章</w:t>
      </w:r>
      <w:r>
        <w:rPr>
          <w:rFonts w:ascii="Cambria" w:hAnsi="Cambria"/>
          <w:bCs w:val="0"/>
          <w:color w:val="auto"/>
          <w:sz w:val="32"/>
          <w:szCs w:val="32"/>
          <w:highlight w:val="none"/>
        </w:rPr>
        <w:t xml:space="preserve"> </w:t>
      </w:r>
      <w:r>
        <w:rPr>
          <w:rFonts w:hint="eastAsia" w:ascii="Cambria" w:hAnsi="Cambria"/>
          <w:bCs w:val="0"/>
          <w:color w:val="auto"/>
          <w:sz w:val="32"/>
          <w:szCs w:val="32"/>
          <w:highlight w:val="none"/>
        </w:rPr>
        <w:t>供应商须知</w:t>
      </w:r>
      <w:bookmarkEnd w:id="7"/>
    </w:p>
    <w:p w14:paraId="0690815F">
      <w:pPr>
        <w:pStyle w:val="3"/>
        <w:jc w:val="center"/>
        <w:rPr>
          <w:rFonts w:ascii="宋体" w:hAnsi="宋体"/>
          <w:b w:val="0"/>
          <w:color w:val="auto"/>
          <w:highlight w:val="none"/>
        </w:rPr>
      </w:pPr>
      <w:bookmarkStart w:id="8" w:name="_Toc31322"/>
      <w:r>
        <w:rPr>
          <w:rFonts w:hint="eastAsia" w:ascii="宋体" w:hAnsi="宋体"/>
          <w:b w:val="0"/>
          <w:color w:val="auto"/>
          <w:highlight w:val="none"/>
        </w:rPr>
        <w:t>第一节 供应商须知前附表</w:t>
      </w:r>
      <w:bookmarkEnd w:id="8"/>
    </w:p>
    <w:p w14:paraId="3304A62B">
      <w:pPr>
        <w:spacing w:line="400" w:lineRule="exact"/>
        <w:jc w:val="center"/>
        <w:rPr>
          <w:rFonts w:hint="eastAsia" w:ascii="宋体" w:hAnsi="宋体"/>
          <w:b/>
          <w:color w:val="auto"/>
          <w:sz w:val="32"/>
          <w:szCs w:val="32"/>
          <w:highlight w:val="none"/>
        </w:rPr>
      </w:pPr>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785"/>
        <w:gridCol w:w="6850"/>
      </w:tblGrid>
      <w:tr w14:paraId="0C1C9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top"/>
          </w:tcPr>
          <w:p w14:paraId="0A3BDA75">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1D45BEB">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条款内容</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1ED40785">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具体要求</w:t>
            </w:r>
          </w:p>
        </w:tc>
      </w:tr>
      <w:tr w14:paraId="02015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1395EE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888C63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供应商资格条件</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0E1D94D9">
            <w:pPr>
              <w:spacing w:line="360" w:lineRule="auto"/>
              <w:rPr>
                <w:rFonts w:hint="eastAsia" w:ascii="宋体" w:hAnsi="宋体"/>
                <w:color w:val="auto"/>
                <w:szCs w:val="21"/>
                <w:highlight w:val="none"/>
              </w:rPr>
            </w:pPr>
            <w:r>
              <w:rPr>
                <w:rFonts w:hint="eastAsia" w:ascii="宋体" w:hAnsi="宋体" w:cs="宋体"/>
                <w:color w:val="auto"/>
                <w:kern w:val="0"/>
                <w:szCs w:val="21"/>
                <w:highlight w:val="none"/>
                <w:lang w:bidi="ar"/>
              </w:rPr>
              <w:t>供应商资格条件要求详见公告</w:t>
            </w:r>
            <w:r>
              <w:rPr>
                <w:rFonts w:hint="eastAsia" w:ascii="宋体" w:hAnsi="宋体"/>
                <w:color w:val="auto"/>
                <w:szCs w:val="21"/>
                <w:highlight w:val="none"/>
              </w:rPr>
              <w:t>。</w:t>
            </w:r>
          </w:p>
        </w:tc>
      </w:tr>
      <w:tr w14:paraId="0249B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F83B3D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8793F9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是否接受联合体竞标</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338D229">
            <w:pPr>
              <w:spacing w:line="360" w:lineRule="auto"/>
              <w:rPr>
                <w:rFonts w:hint="eastAsia" w:ascii="宋体" w:hAnsi="宋体" w:cs="宋体"/>
                <w:color w:val="auto"/>
                <w:szCs w:val="21"/>
                <w:highlight w:val="none"/>
              </w:rPr>
            </w:pPr>
            <w:bookmarkStart w:id="9" w:name="PO_3000001868_PM007"/>
            <w:r>
              <w:rPr>
                <w:rFonts w:hint="eastAsia" w:ascii="宋体" w:hAnsi="宋体"/>
                <w:color w:val="auto"/>
                <w:szCs w:val="21"/>
                <w:highlight w:val="none"/>
                <w:lang w:val="en-US" w:eastAsia="zh-CN"/>
              </w:rPr>
              <w:t>不</w:t>
            </w:r>
            <w:r>
              <w:rPr>
                <w:rFonts w:hint="eastAsia" w:ascii="宋体" w:hAnsi="宋体"/>
                <w:color w:val="auto"/>
                <w:szCs w:val="21"/>
                <w:highlight w:val="none"/>
              </w:rPr>
              <w:t>允许联合体投标</w:t>
            </w:r>
            <w:bookmarkEnd w:id="9"/>
          </w:p>
        </w:tc>
      </w:tr>
      <w:tr w14:paraId="08524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BC7F70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8CF1429">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联合体竞标要求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133F0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olor w:val="auto"/>
                <w:szCs w:val="21"/>
                <w:highlight w:val="none"/>
                <w:lang w:val="en-US" w:eastAsia="zh-CN"/>
              </w:rPr>
              <w:t>/</w:t>
            </w:r>
          </w:p>
        </w:tc>
      </w:tr>
      <w:tr w14:paraId="3FBFC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367FED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48FC1F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是否允许分包</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3416938">
            <w:pPr>
              <w:pStyle w:val="7"/>
              <w:spacing w:line="360" w:lineRule="auto"/>
              <w:rPr>
                <w:rFonts w:hint="eastAsia" w:ascii="宋体" w:hAnsi="宋体"/>
                <w:color w:val="auto"/>
                <w:szCs w:val="21"/>
                <w:highlight w:val="none"/>
              </w:rPr>
            </w:pPr>
            <w:bookmarkStart w:id="10" w:name="PO_3000001868_PM044"/>
            <w:r>
              <w:rPr>
                <w:rFonts w:hint="eastAsia" w:ascii="宋体" w:hAnsi="宋体"/>
                <w:color w:val="auto"/>
                <w:szCs w:val="21"/>
                <w:highlight w:val="none"/>
              </w:rPr>
              <w:t>不允许分包</w:t>
            </w:r>
            <w:bookmarkEnd w:id="10"/>
          </w:p>
          <w:p w14:paraId="154CD466">
            <w:pPr>
              <w:pStyle w:val="7"/>
              <w:spacing w:line="360" w:lineRule="auto"/>
              <w:rPr>
                <w:rFonts w:hint="eastAsia" w:ascii="宋体" w:hAnsi="宋体" w:cs="宋体"/>
                <w:color w:val="auto"/>
                <w:szCs w:val="21"/>
                <w:highlight w:val="none"/>
              </w:rPr>
            </w:pPr>
            <w:r>
              <w:rPr>
                <w:rFonts w:hint="eastAsia" w:ascii="宋体" w:hAnsi="宋体"/>
                <w:color w:val="auto"/>
                <w:szCs w:val="21"/>
                <w:highlight w:val="none"/>
              </w:rPr>
              <w:t>分包内容：</w:t>
            </w:r>
            <w:r>
              <w:rPr>
                <w:rFonts w:hint="eastAsia" w:ascii="宋体" w:hAnsi="宋体"/>
                <w:color w:val="auto"/>
                <w:szCs w:val="21"/>
                <w:highlight w:val="none"/>
                <w:u w:val="single"/>
              </w:rPr>
              <w:t xml:space="preserve">    /   。</w:t>
            </w:r>
          </w:p>
        </w:tc>
      </w:tr>
      <w:tr w14:paraId="5BB85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63A825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6F45C09">
            <w:pPr>
              <w:snapToGrid w:val="0"/>
              <w:spacing w:line="360" w:lineRule="auto"/>
              <w:jc w:val="both"/>
              <w:rPr>
                <w:rFonts w:hint="eastAsia" w:ascii="宋体" w:hAnsi="宋体" w:cs="宋体"/>
                <w:b/>
                <w:color w:val="auto"/>
                <w:szCs w:val="21"/>
                <w:highlight w:val="none"/>
              </w:rPr>
            </w:pPr>
          </w:p>
          <w:p w14:paraId="6AFE806D">
            <w:pPr>
              <w:snapToGrid w:val="0"/>
              <w:spacing w:line="360" w:lineRule="auto"/>
              <w:jc w:val="both"/>
              <w:rPr>
                <w:rFonts w:hint="eastAsia" w:ascii="宋体" w:hAnsi="宋体" w:cs="宋体"/>
                <w:b/>
                <w:color w:val="auto"/>
                <w:szCs w:val="21"/>
                <w:highlight w:val="none"/>
              </w:rPr>
            </w:pPr>
          </w:p>
          <w:p w14:paraId="403EFF9F">
            <w:pPr>
              <w:snapToGrid w:val="0"/>
              <w:spacing w:line="360" w:lineRule="auto"/>
              <w:jc w:val="both"/>
              <w:rPr>
                <w:rFonts w:hint="eastAsia" w:ascii="宋体" w:hAnsi="宋体" w:cs="宋体"/>
                <w:b/>
                <w:color w:val="auto"/>
                <w:szCs w:val="21"/>
                <w:highlight w:val="none"/>
              </w:rPr>
            </w:pPr>
          </w:p>
          <w:p w14:paraId="256210DC">
            <w:pPr>
              <w:snapToGrid w:val="0"/>
              <w:spacing w:line="360" w:lineRule="auto"/>
              <w:jc w:val="both"/>
              <w:rPr>
                <w:rFonts w:hint="eastAsia" w:ascii="宋体" w:hAnsi="宋体" w:cs="宋体"/>
                <w:b/>
                <w:color w:val="auto"/>
                <w:szCs w:val="21"/>
                <w:highlight w:val="none"/>
              </w:rPr>
            </w:pPr>
          </w:p>
          <w:p w14:paraId="6AB4CD8C">
            <w:pPr>
              <w:snapToGrid w:val="0"/>
              <w:spacing w:line="360" w:lineRule="auto"/>
              <w:jc w:val="both"/>
              <w:rPr>
                <w:rFonts w:hint="eastAsia" w:ascii="宋体" w:hAnsi="宋体" w:cs="宋体"/>
                <w:b/>
                <w:color w:val="auto"/>
                <w:szCs w:val="21"/>
                <w:highlight w:val="none"/>
              </w:rPr>
            </w:pPr>
          </w:p>
          <w:p w14:paraId="3754BC45">
            <w:pPr>
              <w:snapToGrid w:val="0"/>
              <w:spacing w:line="360" w:lineRule="auto"/>
              <w:jc w:val="both"/>
              <w:rPr>
                <w:rFonts w:hint="eastAsia" w:ascii="宋体" w:hAnsi="宋体" w:cs="宋体"/>
                <w:b/>
                <w:color w:val="auto"/>
                <w:szCs w:val="21"/>
                <w:highlight w:val="none"/>
              </w:rPr>
            </w:pPr>
          </w:p>
          <w:p w14:paraId="6C27AA39">
            <w:pPr>
              <w:snapToGrid w:val="0"/>
              <w:spacing w:line="360" w:lineRule="auto"/>
              <w:jc w:val="center"/>
              <w:rPr>
                <w:rFonts w:hint="eastAsia" w:ascii="宋体" w:hAnsi="宋体" w:cs="宋体"/>
                <w:b/>
                <w:color w:val="auto"/>
                <w:szCs w:val="21"/>
                <w:highlight w:val="none"/>
              </w:rPr>
            </w:pPr>
          </w:p>
          <w:p w14:paraId="41268866">
            <w:pPr>
              <w:snapToGrid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资格证明文件组成</w:t>
            </w:r>
          </w:p>
          <w:p w14:paraId="67CE551A">
            <w:pPr>
              <w:spacing w:line="360" w:lineRule="auto"/>
              <w:jc w:val="center"/>
              <w:rPr>
                <w:rFonts w:hint="eastAsia" w:ascii="宋体" w:hAnsi="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7D5CC83">
            <w:pPr>
              <w:pStyle w:val="7"/>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bCs/>
                <w:color w:val="auto"/>
                <w:kern w:val="0"/>
                <w:szCs w:val="21"/>
                <w:highlight w:val="none"/>
                <w:lang w:bidi="ar"/>
              </w:rPr>
              <w:t>（必须提供，否则响应文件按无效响应处理）</w:t>
            </w:r>
          </w:p>
          <w:p w14:paraId="3C39C55A">
            <w:pPr>
              <w:pStyle w:val="7"/>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2.供应商依法缴纳税收的相关材料：[</w:t>
            </w:r>
            <w:r>
              <w:rPr>
                <w:rFonts w:hint="eastAsia" w:ascii="宋体" w:hAnsi="宋体" w:cs="宋体"/>
                <w:color w:val="auto"/>
                <w:kern w:val="0"/>
                <w:szCs w:val="21"/>
                <w:highlight w:val="none"/>
                <w:lang w:val="en-US" w:eastAsia="zh-CN" w:bidi="ar"/>
              </w:rPr>
              <w:t>响应</w:t>
            </w:r>
            <w:r>
              <w:rPr>
                <w:rFonts w:hint="eastAsia" w:ascii="宋体" w:hAnsi="宋体" w:eastAsia="宋体" w:cs="宋体"/>
                <w:color w:val="auto"/>
                <w:kern w:val="0"/>
                <w:szCs w:val="21"/>
                <w:highlight w:val="none"/>
                <w:lang w:val="en-US" w:eastAsia="zh-CN" w:bidi="ar"/>
              </w:rPr>
              <w:t>截止时间前半年内</w:t>
            </w: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lang w:val="en-US" w:eastAsia="zh-CN" w:bidi="ar"/>
              </w:rPr>
              <w:t>任意1</w:t>
            </w:r>
            <w:r>
              <w:rPr>
                <w:rFonts w:hint="eastAsia" w:ascii="宋体" w:hAnsi="宋体" w:cs="宋体"/>
                <w:color w:val="auto"/>
                <w:kern w:val="0"/>
                <w:szCs w:val="21"/>
                <w:highlight w:val="none"/>
                <w:lang w:bidi="ar"/>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cs="宋体"/>
                <w:b/>
                <w:bCs/>
                <w:color w:val="auto"/>
                <w:kern w:val="0"/>
                <w:szCs w:val="21"/>
                <w:highlight w:val="none"/>
                <w:lang w:bidi="ar"/>
              </w:rPr>
              <w:t>（必须提供，否则响应文件按无效响应处理）</w:t>
            </w:r>
          </w:p>
          <w:p w14:paraId="2F79B8E9">
            <w:pPr>
              <w:pStyle w:val="7"/>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3.供应商依法缴纳社会保障资金的相关材料：[</w:t>
            </w:r>
            <w:r>
              <w:rPr>
                <w:rFonts w:hint="eastAsia" w:ascii="宋体" w:hAnsi="宋体" w:cs="宋体"/>
                <w:color w:val="auto"/>
                <w:kern w:val="0"/>
                <w:szCs w:val="21"/>
                <w:highlight w:val="none"/>
                <w:lang w:val="en-US" w:eastAsia="zh-CN" w:bidi="ar"/>
              </w:rPr>
              <w:t>响应</w:t>
            </w:r>
            <w:r>
              <w:rPr>
                <w:rFonts w:hint="eastAsia" w:ascii="宋体" w:hAnsi="宋体" w:eastAsia="宋体" w:cs="宋体"/>
                <w:color w:val="auto"/>
                <w:kern w:val="0"/>
                <w:szCs w:val="21"/>
                <w:highlight w:val="none"/>
                <w:lang w:val="en-US" w:eastAsia="zh-CN" w:bidi="ar"/>
              </w:rPr>
              <w:t>截止时间前半年内</w:t>
            </w: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lang w:val="en-US" w:eastAsia="zh-CN" w:bidi="ar"/>
              </w:rPr>
              <w:t>任意1</w:t>
            </w:r>
            <w:r>
              <w:rPr>
                <w:rFonts w:hint="eastAsia" w:ascii="宋体" w:hAnsi="宋体" w:cs="宋体"/>
                <w:color w:val="auto"/>
                <w:kern w:val="0"/>
                <w:szCs w:val="21"/>
                <w:highlight w:val="none"/>
                <w:lang w:bidi="ar"/>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cs="宋体"/>
                <w:b/>
                <w:bCs/>
                <w:color w:val="auto"/>
                <w:kern w:val="0"/>
                <w:szCs w:val="21"/>
                <w:highlight w:val="none"/>
                <w:lang w:bidi="ar"/>
              </w:rPr>
              <w:t>（必须提供，否则响应文件按无效响应处理）</w:t>
            </w:r>
          </w:p>
          <w:p w14:paraId="3C49AB41">
            <w:pPr>
              <w:pStyle w:val="7"/>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4.供应商财务状况报告：[</w:t>
            </w:r>
            <w:r>
              <w:rPr>
                <w:rFonts w:hint="eastAsia" w:ascii="宋体" w:hAnsi="宋体" w:cs="宋体"/>
                <w:color w:val="auto"/>
                <w:kern w:val="0"/>
                <w:szCs w:val="21"/>
                <w:highlight w:val="none"/>
                <w:lang w:val="en-US" w:eastAsia="zh-CN" w:bidi="ar"/>
              </w:rPr>
              <w:t>2025年</w:t>
            </w:r>
            <w:r>
              <w:rPr>
                <w:rFonts w:hint="eastAsia" w:ascii="宋体" w:hAnsi="宋体" w:cs="宋体"/>
                <w:color w:val="auto"/>
                <w:kern w:val="0"/>
                <w:szCs w:val="21"/>
                <w:highlight w:val="none"/>
                <w:lang w:bidi="ar"/>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bCs/>
                <w:color w:val="auto"/>
                <w:kern w:val="0"/>
                <w:szCs w:val="21"/>
                <w:highlight w:val="none"/>
                <w:lang w:bidi="ar"/>
              </w:rPr>
              <w:t>（必须提供，否则响应文件按无效响应处理）</w:t>
            </w:r>
          </w:p>
          <w:p w14:paraId="5A0794C2">
            <w:pPr>
              <w:pStyle w:val="7"/>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5.供应商直接控股、管理关系信息表；</w:t>
            </w:r>
            <w:r>
              <w:rPr>
                <w:rFonts w:hint="eastAsia" w:ascii="宋体" w:hAnsi="宋体" w:cs="宋体"/>
                <w:b/>
                <w:bCs/>
                <w:color w:val="auto"/>
                <w:kern w:val="0"/>
                <w:szCs w:val="21"/>
                <w:highlight w:val="none"/>
                <w:lang w:bidi="ar"/>
              </w:rPr>
              <w:t>（必须提供，否则响应文件按无效响应处理）</w:t>
            </w:r>
          </w:p>
          <w:p w14:paraId="7CED9BE6">
            <w:pPr>
              <w:pStyle w:val="7"/>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6.资格声明</w:t>
            </w:r>
            <w:r>
              <w:rPr>
                <w:rFonts w:hint="eastAsia" w:ascii="宋体" w:hAnsi="宋体" w:cs="宋体"/>
                <w:color w:val="auto"/>
                <w:kern w:val="0"/>
                <w:szCs w:val="21"/>
                <w:highlight w:val="none"/>
                <w:lang w:val="en-US" w:eastAsia="zh-CN" w:bidi="ar"/>
              </w:rPr>
              <w:t>函</w:t>
            </w:r>
            <w:r>
              <w:rPr>
                <w:rFonts w:hint="eastAsia" w:ascii="宋体" w:hAnsi="宋体" w:cs="宋体"/>
                <w:color w:val="auto"/>
                <w:kern w:val="0"/>
                <w:szCs w:val="21"/>
                <w:highlight w:val="none"/>
                <w:lang w:bidi="ar"/>
              </w:rPr>
              <w:t>；</w:t>
            </w:r>
            <w:r>
              <w:rPr>
                <w:rFonts w:hint="eastAsia" w:ascii="宋体" w:hAnsi="宋体" w:cs="宋体"/>
                <w:b/>
                <w:bCs/>
                <w:color w:val="auto"/>
                <w:kern w:val="0"/>
                <w:szCs w:val="21"/>
                <w:highlight w:val="none"/>
                <w:lang w:bidi="ar"/>
              </w:rPr>
              <w:t>（必须提供，否则响应文件按无效响应处理）</w:t>
            </w:r>
          </w:p>
          <w:p w14:paraId="5B4B94DA">
            <w:pPr>
              <w:pStyle w:val="7"/>
              <w:spacing w:line="360" w:lineRule="auto"/>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val="en-US" w:eastAsia="zh-CN" w:bidi="ar"/>
              </w:rPr>
              <w:t>7</w:t>
            </w:r>
            <w:r>
              <w:rPr>
                <w:rFonts w:hint="eastAsia" w:ascii="宋体" w:hAnsi="宋体" w:cs="宋体"/>
                <w:color w:val="auto"/>
                <w:kern w:val="0"/>
                <w:szCs w:val="21"/>
                <w:highlight w:val="none"/>
                <w:lang w:bidi="ar"/>
              </w:rPr>
              <w:t>.本项目的特定资格要求：</w:t>
            </w:r>
            <w:r>
              <w:rPr>
                <w:rFonts w:hint="eastAsia" w:ascii="宋体" w:hAnsi="宋体"/>
                <w:color w:val="auto"/>
                <w:szCs w:val="21"/>
                <w:highlight w:val="none"/>
              </w:rPr>
              <w:t>具备水利水电工程施工总承包叁级（含叁级）及以上资质，具有省级（含省级）及以上建设行政主管部门颁发的安全生产许可证，并在人员、设备、资金等方面具备相应的施工能力。</w:t>
            </w:r>
            <w:r>
              <w:rPr>
                <w:rFonts w:hint="eastAsia" w:ascii="宋体" w:hAnsi="宋体" w:cs="宋体"/>
                <w:b/>
                <w:bCs/>
                <w:color w:val="auto"/>
                <w:kern w:val="0"/>
                <w:szCs w:val="21"/>
                <w:highlight w:val="none"/>
                <w:lang w:bidi="ar"/>
              </w:rPr>
              <w:t>（必须提供，否则响应文件按无效响应处理）</w:t>
            </w:r>
          </w:p>
          <w:p w14:paraId="4462EC78">
            <w:pPr>
              <w:pStyle w:val="7"/>
              <w:spacing w:line="360" w:lineRule="auto"/>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val="en-US" w:eastAsia="zh-CN" w:bidi="ar"/>
              </w:rPr>
              <w:t>8</w:t>
            </w:r>
            <w:r>
              <w:rPr>
                <w:rFonts w:hint="eastAsia" w:ascii="宋体" w:hAnsi="宋体" w:cs="宋体"/>
                <w:color w:val="auto"/>
                <w:kern w:val="0"/>
                <w:szCs w:val="21"/>
                <w:highlight w:val="none"/>
                <w:lang w:bidi="ar"/>
              </w:rPr>
              <w:t>.供应商为中小微企业或监狱企业或残疾人福利性单位的证明材料；</w:t>
            </w:r>
            <w:r>
              <w:rPr>
                <w:rFonts w:hint="eastAsia" w:ascii="宋体" w:hAnsi="宋体" w:cs="宋体"/>
                <w:b/>
                <w:bCs/>
                <w:color w:val="auto"/>
                <w:kern w:val="0"/>
                <w:szCs w:val="21"/>
                <w:highlight w:val="none"/>
                <w:lang w:bidi="ar"/>
              </w:rPr>
              <w:t>（必须提供，否则响应文件按无效响应处理）</w:t>
            </w:r>
          </w:p>
          <w:p w14:paraId="425AFA92">
            <w:pPr>
              <w:pStyle w:val="7"/>
              <w:spacing w:line="360" w:lineRule="auto"/>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9</w:t>
            </w:r>
            <w:r>
              <w:rPr>
                <w:rFonts w:hint="eastAsia" w:ascii="宋体" w:hAnsi="宋体" w:cs="宋体"/>
                <w:color w:val="auto"/>
                <w:kern w:val="0"/>
                <w:szCs w:val="21"/>
                <w:highlight w:val="none"/>
                <w:lang w:bidi="ar"/>
              </w:rPr>
              <w:t>.除磋商文件规定必须提供以外，供应商认为需要提供的其他证明材料</w:t>
            </w:r>
            <w:r>
              <w:rPr>
                <w:rFonts w:hint="eastAsia" w:ascii="宋体" w:hAnsi="宋体" w:cs="宋体"/>
                <w:color w:val="auto"/>
                <w:kern w:val="0"/>
                <w:szCs w:val="21"/>
                <w:highlight w:val="none"/>
                <w:lang w:val="en-US" w:eastAsia="zh-CN" w:bidi="ar"/>
              </w:rPr>
              <w:t>。(如有，请提供）</w:t>
            </w:r>
          </w:p>
          <w:p w14:paraId="339726DF">
            <w:pPr>
              <w:pStyle w:val="7"/>
              <w:spacing w:line="360" w:lineRule="auto"/>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注：</w:t>
            </w:r>
          </w:p>
          <w:p w14:paraId="248DF567">
            <w:pPr>
              <w:pStyle w:val="7"/>
              <w:spacing w:line="360" w:lineRule="auto"/>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1.以上标明“必须提供”的材料属于复印件的扫描件的，必须加盖供应商电子公章，否则响应文件按无效响应处理。</w:t>
            </w:r>
          </w:p>
          <w:p w14:paraId="58FEEBE7">
            <w:pPr>
              <w:pStyle w:val="7"/>
              <w:spacing w:line="360" w:lineRule="auto"/>
              <w:rPr>
                <w:rFonts w:hint="eastAsia" w:ascii="宋体" w:hAnsi="宋体" w:cs="宋体"/>
                <w:color w:val="auto"/>
                <w:kern w:val="0"/>
                <w:szCs w:val="21"/>
                <w:highlight w:val="none"/>
                <w:lang w:bidi="ar"/>
              </w:rPr>
            </w:pPr>
            <w:r>
              <w:rPr>
                <w:rFonts w:hint="eastAsia" w:ascii="宋体" w:hAnsi="宋体" w:cs="宋体"/>
                <w:b/>
                <w:bCs/>
                <w:color w:val="auto"/>
                <w:kern w:val="0"/>
                <w:szCs w:val="21"/>
                <w:highlight w:val="none"/>
                <w:lang w:bidi="ar"/>
              </w:rPr>
              <w:t>2.联合体竞标时，第1-5项资格证明文件联合体各方均必须分别提供，联合体各方分别盖章和签字，否则响应文件按无效响应处理。</w:t>
            </w:r>
          </w:p>
        </w:tc>
      </w:tr>
      <w:tr w14:paraId="16111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A3CD99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A894667">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1667BE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C42C5E3">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E4EE11D">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5C96C2E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266022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5.竞标人情况介绍；（</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6CD72E7">
            <w:pPr>
              <w:spacing w:line="360" w:lineRule="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供应商类似业绩的证明文件（</w:t>
            </w:r>
            <w:r>
              <w:rPr>
                <w:rFonts w:hint="eastAsia" w:ascii="宋体" w:hAnsi="宋体" w:cs="宋体"/>
                <w:color w:val="auto"/>
                <w:szCs w:val="21"/>
                <w:highlight w:val="none"/>
                <w:lang w:val="en-US" w:eastAsia="zh-CN"/>
              </w:rPr>
              <w:t>如有，请提供</w:t>
            </w:r>
            <w:r>
              <w:rPr>
                <w:rFonts w:hint="eastAsia" w:ascii="宋体" w:hAnsi="宋体" w:eastAsia="宋体" w:cs="宋体"/>
                <w:color w:val="auto"/>
                <w:szCs w:val="21"/>
                <w:highlight w:val="none"/>
              </w:rPr>
              <w:t>）</w:t>
            </w:r>
          </w:p>
          <w:p w14:paraId="26DC617F">
            <w:pPr>
              <w:spacing w:line="360" w:lineRule="auto"/>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7</w:t>
            </w:r>
            <w:r>
              <w:rPr>
                <w:rFonts w:hint="eastAsia" w:ascii="宋体" w:hAnsi="宋体" w:cs="宋体"/>
                <w:color w:val="auto"/>
                <w:kern w:val="0"/>
                <w:szCs w:val="21"/>
                <w:highlight w:val="none"/>
                <w:lang w:bidi="ar"/>
              </w:rPr>
              <w:t>.供应商认为需要提供的其他有关资料。</w:t>
            </w:r>
            <w:r>
              <w:rPr>
                <w:rFonts w:hint="eastAsia" w:ascii="宋体" w:hAnsi="宋体" w:cs="宋体"/>
                <w:color w:val="auto"/>
                <w:szCs w:val="21"/>
                <w:highlight w:val="none"/>
                <w:lang w:val="en-US" w:eastAsia="zh-CN"/>
              </w:rPr>
              <w:t>(如有，请提供）</w:t>
            </w:r>
          </w:p>
          <w:p w14:paraId="65ECB2BB">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3CA62031">
            <w:pPr>
              <w:snapToGrid w:val="0"/>
              <w:spacing w:line="360" w:lineRule="auto"/>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1941B7EE">
            <w:pPr>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2.以上标明“必须提供”的材料属于复印件的扫描件的，必须加盖供应商电子公章，否则响应文件按无效响应处理。</w:t>
            </w:r>
          </w:p>
        </w:tc>
      </w:tr>
      <w:tr w14:paraId="45015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FD195">
            <w:pPr>
              <w:widowControl/>
              <w:jc w:val="left"/>
              <w:rPr>
                <w:rFonts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CFC320B">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E384EE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1.技术需求偏离表；</w:t>
            </w:r>
            <w:r>
              <w:rPr>
                <w:rFonts w:hint="eastAsia" w:ascii="宋体" w:hAnsi="宋体" w:cs="宋体"/>
                <w:b/>
                <w:bCs/>
                <w:color w:val="auto"/>
                <w:szCs w:val="21"/>
                <w:highlight w:val="none"/>
              </w:rPr>
              <w:t>（必须提供，否则响应文件按无效响应处理）</w:t>
            </w:r>
          </w:p>
          <w:p w14:paraId="1BE8C00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2.施工组织设计；</w:t>
            </w:r>
            <w:r>
              <w:rPr>
                <w:rFonts w:hint="eastAsia" w:ascii="宋体" w:hAnsi="宋体" w:cs="宋体"/>
                <w:b/>
                <w:bCs/>
                <w:color w:val="auto"/>
                <w:szCs w:val="21"/>
                <w:highlight w:val="none"/>
              </w:rPr>
              <w:t>（必须提供，否则响应文件按无效响应处理）</w:t>
            </w:r>
          </w:p>
          <w:p w14:paraId="38D3D12D">
            <w:pPr>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3.项目管理机构；</w:t>
            </w:r>
            <w:r>
              <w:rPr>
                <w:rFonts w:hint="eastAsia" w:ascii="宋体" w:hAnsi="宋体" w:cs="宋体"/>
                <w:b/>
                <w:bCs/>
                <w:color w:val="auto"/>
                <w:szCs w:val="21"/>
                <w:highlight w:val="none"/>
              </w:rPr>
              <w:t>（必须提供，否则响应文件按无效响应处理）</w:t>
            </w:r>
          </w:p>
          <w:p w14:paraId="254E27D9">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.供应商认为需要提供的其他有关资料。</w:t>
            </w:r>
            <w:r>
              <w:rPr>
                <w:rFonts w:hint="eastAsia" w:ascii="宋体" w:hAnsi="宋体" w:cs="宋体"/>
                <w:color w:val="auto"/>
                <w:szCs w:val="21"/>
                <w:highlight w:val="none"/>
                <w:lang w:val="en-US" w:eastAsia="zh-CN"/>
              </w:rPr>
              <w:t>(如有，请提供）</w:t>
            </w:r>
          </w:p>
          <w:p w14:paraId="3E07D33F">
            <w:pPr>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注：以上标明“必须提供”的材料属于复印件的扫描件的，必须加盖供应商电子公章，否则响应文件按无效响应处理。</w:t>
            </w:r>
          </w:p>
        </w:tc>
      </w:tr>
      <w:tr w14:paraId="74922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BEE9FB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1BE9526">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报价文件组成</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728EFA7">
            <w:pPr>
              <w:tabs>
                <w:tab w:val="left" w:pos="459"/>
              </w:tabs>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1.响应函；</w:t>
            </w:r>
            <w:r>
              <w:rPr>
                <w:rFonts w:hint="eastAsia" w:ascii="宋体" w:hAnsi="宋体"/>
                <w:b/>
                <w:color w:val="auto"/>
                <w:szCs w:val="21"/>
                <w:highlight w:val="none"/>
              </w:rPr>
              <w:t>（必须提供，否则作无效响应处理）</w:t>
            </w:r>
          </w:p>
          <w:p w14:paraId="77B4B40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2.响应报价表；（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415B955">
            <w:pPr>
              <w:spacing w:line="360" w:lineRule="auto"/>
              <w:rPr>
                <w:rFonts w:hint="eastAsia"/>
                <w:b/>
                <w:bCs/>
                <w:color w:val="auto"/>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.已标</w:t>
            </w:r>
            <w:r>
              <w:rPr>
                <w:rFonts w:hint="eastAsia"/>
                <w:color w:val="auto"/>
                <w:highlight w:val="none"/>
              </w:rPr>
              <w:t>价工程量清单；</w:t>
            </w:r>
            <w:r>
              <w:rPr>
                <w:rFonts w:hint="eastAsia"/>
                <w:b/>
                <w:bCs/>
                <w:color w:val="auto"/>
                <w:highlight w:val="none"/>
              </w:rPr>
              <w:t>（必须提供，否则响应文件按无效响应处理）</w:t>
            </w:r>
          </w:p>
          <w:p w14:paraId="4C50B86A">
            <w:pPr>
              <w:spacing w:line="360" w:lineRule="auto"/>
              <w:rPr>
                <w:rFonts w:hint="default" w:ascii="Times New Roman" w:hAnsi="Times New Roman" w:cs="Times New Roman"/>
                <w:color w:val="auto"/>
                <w:highlight w:val="none"/>
                <w:lang w:val="en-US" w:eastAsia="zh-CN"/>
              </w:rPr>
            </w:pPr>
            <w:r>
              <w:rPr>
                <w:rFonts w:hint="eastAsia" w:ascii="宋体" w:hAnsi="宋体" w:cs="宋体"/>
                <w:b w:val="0"/>
                <w:bCs w:val="0"/>
                <w:color w:val="auto"/>
                <w:szCs w:val="21"/>
                <w:highlight w:val="none"/>
                <w:lang w:val="en-US" w:eastAsia="zh-CN"/>
              </w:rPr>
              <w:t>4.</w:t>
            </w:r>
            <w:r>
              <w:rPr>
                <w:rFonts w:hint="eastAsia" w:ascii="宋体" w:hAnsi="宋体" w:cs="宋体"/>
                <w:color w:val="auto"/>
                <w:szCs w:val="21"/>
                <w:highlight w:val="none"/>
                <w:lang w:val="en-US" w:eastAsia="zh-CN"/>
              </w:rPr>
              <w:t>承</w:t>
            </w:r>
            <w:r>
              <w:rPr>
                <w:rFonts w:hint="eastAsia" w:ascii="Times New Roman" w:hAnsi="Times New Roman" w:cs="Times New Roman"/>
                <w:color w:val="auto"/>
                <w:highlight w:val="none"/>
                <w:lang w:val="en-US" w:eastAsia="zh-CN"/>
              </w:rPr>
              <w:t>诺书；</w:t>
            </w:r>
            <w:r>
              <w:rPr>
                <w:rFonts w:hint="eastAsia"/>
                <w:b/>
                <w:bCs/>
                <w:color w:val="auto"/>
                <w:highlight w:val="none"/>
              </w:rPr>
              <w:t>（必须提供，否则响应文件按无效响应处理）</w:t>
            </w:r>
          </w:p>
          <w:p w14:paraId="21CD2A6D">
            <w:pPr>
              <w:spacing w:line="360" w:lineRule="auto"/>
              <w:rPr>
                <w:rFonts w:hint="eastAsia"/>
                <w:color w:val="auto"/>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.中小企业声明函；（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tc>
      </w:tr>
      <w:tr w14:paraId="7BE78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958748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6C96DF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响应文件电子版要求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87CC734">
            <w:pPr>
              <w:snapToGrid w:val="0"/>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1.响应文件电子版要求：按照本采购文件“第五章 响应文件格式”编写（第五章未附格式的，由供应商自行拟定），不可涂改并在规定加盖公章处加盖电子公章，</w:t>
            </w:r>
            <w:r>
              <w:rPr>
                <w:rFonts w:hint="eastAsia" w:ascii="宋体" w:hAnsi="宋体" w:cs="宋体"/>
                <w:b/>
                <w:bCs/>
                <w:color w:val="auto"/>
                <w:kern w:val="0"/>
                <w:szCs w:val="21"/>
                <w:highlight w:val="none"/>
                <w:lang w:bidi="ar"/>
              </w:rPr>
              <w:t>否则响应文件按无效响应处理。</w:t>
            </w:r>
          </w:p>
          <w:p w14:paraId="5C1E1F8F">
            <w:pPr>
              <w:snapToGrid w:val="0"/>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2.响应文件电子版密封方式：电子响应文件通过平台有效CA加密后在“广西政府采购云平台”投送。（操作方式见公告附件“电子响应文件制作与投送教程”）</w:t>
            </w:r>
          </w:p>
        </w:tc>
      </w:tr>
      <w:tr w14:paraId="419CB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CB6C57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4255D9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响应报价要求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B667DD2">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b/>
                <w:color w:val="auto"/>
                <w:szCs w:val="21"/>
                <w:highlight w:val="none"/>
              </w:rPr>
              <w:t>（采购需求另有约定的，从其约定。）</w:t>
            </w:r>
          </w:p>
        </w:tc>
      </w:tr>
      <w:tr w14:paraId="4C1E7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261EF2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7CF3B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竞标有效期</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FCDB9B4">
            <w:pPr>
              <w:pStyle w:val="5"/>
              <w:widowControl w:val="0"/>
              <w:tabs>
                <w:tab w:val="left" w:pos="720"/>
                <w:tab w:val="left" w:pos="840"/>
              </w:tabs>
              <w:snapToGrid w:val="0"/>
              <w:spacing w:after="120" w:afterLines="0" w:line="360" w:lineRule="auto"/>
              <w:ind w:left="283"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自首次响应文件提交截止之日起</w:t>
            </w:r>
            <w:bookmarkStart w:id="11" w:name="PO_3000001868_PM046"/>
            <w:r>
              <w:rPr>
                <w:rFonts w:hint="eastAsia" w:ascii="宋体" w:hAnsi="宋体" w:cs="宋体"/>
                <w:color w:val="auto"/>
                <w:kern w:val="2"/>
                <w:sz w:val="21"/>
                <w:szCs w:val="21"/>
                <w:highlight w:val="none"/>
                <w:u w:val="single"/>
              </w:rPr>
              <w:t>90日历天</w:t>
            </w:r>
            <w:bookmarkEnd w:id="11"/>
            <w:r>
              <w:rPr>
                <w:rFonts w:hint="eastAsia" w:ascii="宋体" w:hAnsi="宋体" w:cs="宋体"/>
                <w:color w:val="auto"/>
                <w:kern w:val="2"/>
                <w:sz w:val="21"/>
                <w:szCs w:val="21"/>
                <w:highlight w:val="none"/>
              </w:rPr>
              <w:t>日。</w:t>
            </w:r>
          </w:p>
        </w:tc>
      </w:tr>
      <w:tr w14:paraId="6D9AB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6BA8F0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0C59D9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38E01B7">
            <w:pPr>
              <w:autoSpaceDE w:val="0"/>
              <w:autoSpaceDN w:val="0"/>
              <w:snapToGrid w:val="0"/>
              <w:spacing w:line="360" w:lineRule="auto"/>
              <w:jc w:val="left"/>
              <w:textAlignment w:val="bottom"/>
              <w:rPr>
                <w:rFonts w:hint="eastAsia" w:ascii="宋体" w:hAnsi="宋体"/>
                <w:color w:val="auto"/>
                <w:szCs w:val="21"/>
                <w:highlight w:val="none"/>
              </w:rPr>
            </w:pPr>
            <w:r>
              <w:rPr>
                <w:rFonts w:hint="eastAsia" w:ascii="宋体" w:hAnsi="宋体"/>
                <w:color w:val="auto"/>
                <w:szCs w:val="21"/>
                <w:highlight w:val="none"/>
              </w:rPr>
              <w:t>本项目不收取磋商保证金。</w:t>
            </w:r>
          </w:p>
        </w:tc>
      </w:tr>
      <w:tr w14:paraId="162B3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AC0B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2DB166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F9B1904">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477DA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4702B">
            <w:pPr>
              <w:widowControl/>
              <w:jc w:val="left"/>
              <w:rPr>
                <w:rFonts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2877EE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首次响应文件提交地点</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52C068D">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0574A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FFEDBA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20.6</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B2D591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备份响应文件</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F5B6B01">
            <w:pPr>
              <w:snapToGrid w:val="0"/>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本项目不接受备份响应文件。</w:t>
            </w:r>
          </w:p>
        </w:tc>
      </w:tr>
      <w:tr w14:paraId="6F958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FA996D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05471A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首次响应文件的退回</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3CDDE60D">
            <w:pPr>
              <w:snapToGrid w:val="0"/>
              <w:spacing w:line="360" w:lineRule="auto"/>
              <w:jc w:val="left"/>
              <w:rPr>
                <w:rFonts w:hint="eastAsia" w:ascii="宋体" w:hAnsi="宋体"/>
                <w:color w:val="auto"/>
                <w:szCs w:val="21"/>
                <w:highlight w:val="none"/>
              </w:rPr>
            </w:pPr>
            <w:r>
              <w:rPr>
                <w:rFonts w:hint="eastAsia" w:ascii="宋体" w:hAnsi="宋体" w:cs="宋体"/>
                <w:color w:val="auto"/>
                <w:szCs w:val="21"/>
                <w:highlight w:val="none"/>
              </w:rPr>
              <w:t>详见竞争性磋商公告。</w:t>
            </w:r>
          </w:p>
        </w:tc>
      </w:tr>
      <w:tr w14:paraId="01EFF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934C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26.2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F53AA3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负偏离要求</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CC02B42">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70CFBD03">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服务需求评审中允许负偏离的条款数为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tc>
      </w:tr>
      <w:tr w14:paraId="7F369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4D4EF">
            <w:pPr>
              <w:widowControl/>
              <w:jc w:val="left"/>
              <w:rPr>
                <w:rFonts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DA65853">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磋商的顺序</w:t>
            </w:r>
          </w:p>
          <w:p w14:paraId="69E8A3AB">
            <w:pPr>
              <w:spacing w:line="360" w:lineRule="auto"/>
              <w:jc w:val="center"/>
              <w:rPr>
                <w:rFonts w:hint="eastAsia" w:ascii="宋体" w:hAnsi="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3085CBE">
            <w:pPr>
              <w:pStyle w:val="7"/>
              <w:spacing w:line="360" w:lineRule="auto"/>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olor w:val="auto"/>
                <w:szCs w:val="21"/>
                <w:highlight w:val="none"/>
              </w:rPr>
              <w:t>按照</w:t>
            </w:r>
            <w:r>
              <w:rPr>
                <w:rFonts w:hint="eastAsia" w:ascii="宋体" w:hAnsi="宋体" w:cs="宋体"/>
                <w:color w:val="auto"/>
                <w:szCs w:val="21"/>
                <w:highlight w:val="none"/>
              </w:rPr>
              <w:t>提交首次响应文件的顺序，通知磋商时，若某供应商不在通知现场时，该供应商排序到最后磋商，按照签到的顺序由其下一位供应商先参与磋商。</w:t>
            </w:r>
          </w:p>
          <w:p w14:paraId="0FB7EA6D">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☑随机排序。</w:t>
            </w:r>
          </w:p>
          <w:p w14:paraId="30A34CEA">
            <w:pPr>
              <w:pStyle w:val="7"/>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1ADC2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1AD97A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412820A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86BBEF6">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本项目不收取履约保证金</w:t>
            </w:r>
          </w:p>
        </w:tc>
      </w:tr>
      <w:tr w14:paraId="60BBA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2F72B3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29.5</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7A3A193D">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签订合同携带的材料</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9568071">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使用的有效CA证书加盖单位电子公章</w:t>
            </w:r>
          </w:p>
        </w:tc>
      </w:tr>
      <w:tr w14:paraId="3A2E3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4A4505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DBDD52A">
            <w:pPr>
              <w:spacing w:line="380" w:lineRule="exact"/>
              <w:jc w:val="center"/>
              <w:rPr>
                <w:rFonts w:hint="eastAsia" w:ascii="宋体" w:hAnsi="宋体"/>
                <w:color w:val="auto"/>
                <w:szCs w:val="21"/>
                <w:highlight w:val="none"/>
              </w:rPr>
            </w:pPr>
            <w:r>
              <w:rPr>
                <w:rFonts w:hint="eastAsia" w:ascii="宋体" w:hAnsi="宋体"/>
                <w:color w:val="auto"/>
                <w:szCs w:val="21"/>
                <w:highlight w:val="none"/>
              </w:rPr>
              <w:t>接收质疑函方式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7C7A243">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以书面形式</w:t>
            </w:r>
          </w:p>
        </w:tc>
      </w:tr>
      <w:tr w14:paraId="0F9D2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C9D25">
            <w:pPr>
              <w:widowControl/>
              <w:jc w:val="left"/>
              <w:rPr>
                <w:rFonts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0344193C">
            <w:pPr>
              <w:spacing w:line="380" w:lineRule="exact"/>
              <w:jc w:val="center"/>
              <w:rPr>
                <w:rFonts w:hint="eastAsia" w:ascii="宋体" w:hAnsi="宋体"/>
                <w:color w:val="auto"/>
                <w:szCs w:val="21"/>
                <w:highlight w:val="none"/>
              </w:rPr>
            </w:pPr>
            <w:r>
              <w:rPr>
                <w:rFonts w:hint="eastAsia" w:ascii="宋体" w:hAnsi="宋体"/>
                <w:color w:val="auto"/>
                <w:szCs w:val="21"/>
                <w:highlight w:val="none"/>
              </w:rPr>
              <w:t>质疑联系部门及联系方式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F7D6BBA">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u w:val="single"/>
              </w:rPr>
              <w:t>（1）广西兴邦工程管理服务有限公司；</w:t>
            </w:r>
          </w:p>
          <w:p w14:paraId="3F04BE6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olor w:val="auto"/>
                <w:szCs w:val="21"/>
                <w:highlight w:val="none"/>
              </w:rPr>
              <w:t>0771-3389592</w:t>
            </w:r>
            <w:r>
              <w:rPr>
                <w:rFonts w:hint="eastAsia" w:ascii="宋体" w:hAnsi="宋体" w:cs="宋体"/>
                <w:color w:val="auto"/>
                <w:szCs w:val="21"/>
                <w:highlight w:val="none"/>
              </w:rPr>
              <w:t>，</w:t>
            </w:r>
          </w:p>
          <w:p w14:paraId="76910C01">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通讯地址：南宁市西乡塘区北湖南路43号优活时代1号楼8层</w:t>
            </w:r>
          </w:p>
          <w:p w14:paraId="4856E898">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w:t>
            </w:r>
            <w:r>
              <w:rPr>
                <w:rFonts w:hint="eastAsia" w:ascii="宋体" w:hAnsi="宋体" w:cs="宋体"/>
                <w:color w:val="auto"/>
                <w:szCs w:val="21"/>
                <w:highlight w:val="none"/>
                <w:u w:val="single"/>
                <w:lang w:val="en-US" w:eastAsia="zh-CN"/>
              </w:rPr>
              <w:t>南宁市灌区管理中心</w:t>
            </w:r>
            <w:r>
              <w:rPr>
                <w:rFonts w:hint="eastAsia" w:ascii="宋体" w:hAnsi="宋体" w:cs="宋体"/>
                <w:color w:val="auto"/>
                <w:szCs w:val="21"/>
                <w:highlight w:val="none"/>
                <w:u w:val="single"/>
              </w:rPr>
              <w:t>；</w:t>
            </w:r>
          </w:p>
          <w:p w14:paraId="4AAF12FE">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联系电话：0771-3132629</w:t>
            </w:r>
          </w:p>
          <w:p w14:paraId="61C54382">
            <w:pPr>
              <w:spacing w:line="360" w:lineRule="auto"/>
              <w:jc w:val="left"/>
              <w:rPr>
                <w:rFonts w:hint="eastAsia" w:ascii="宋体" w:hAnsi="宋体"/>
                <w:color w:val="auto"/>
                <w:szCs w:val="21"/>
                <w:highlight w:val="none"/>
              </w:rPr>
            </w:pPr>
            <w:r>
              <w:rPr>
                <w:rFonts w:hint="eastAsia" w:ascii="宋体" w:hAnsi="宋体" w:cs="宋体"/>
                <w:color w:val="auto"/>
                <w:szCs w:val="21"/>
                <w:highlight w:val="none"/>
              </w:rPr>
              <w:t>通讯地址：</w:t>
            </w:r>
            <w:r>
              <w:rPr>
                <w:rFonts w:hint="eastAsia" w:ascii="宋体" w:hAnsi="宋体" w:cs="宋体"/>
                <w:color w:val="auto"/>
                <w:szCs w:val="21"/>
                <w:highlight w:val="none"/>
                <w:lang w:val="en-US" w:eastAsia="zh-CN"/>
              </w:rPr>
              <w:t>南宁市青秀区东葛路20号</w:t>
            </w:r>
          </w:p>
        </w:tc>
      </w:tr>
      <w:tr w14:paraId="1F826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A9F53">
            <w:pPr>
              <w:widowControl/>
              <w:jc w:val="left"/>
              <w:rPr>
                <w:rFonts w:ascii="宋体" w:hAnsi="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A568AEC">
            <w:pPr>
              <w:spacing w:line="380" w:lineRule="exact"/>
              <w:jc w:val="center"/>
              <w:rPr>
                <w:rFonts w:hint="eastAsia" w:ascii="宋体" w:hAnsi="宋体"/>
                <w:color w:val="auto"/>
                <w:szCs w:val="21"/>
                <w:highlight w:val="none"/>
              </w:rPr>
            </w:pPr>
            <w:r>
              <w:rPr>
                <w:rFonts w:hint="eastAsia" w:hAnsi="宋体"/>
                <w:color w:val="auto"/>
                <w:highlight w:val="none"/>
              </w:rPr>
              <w:t>现场提交质疑办理业务时间</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74FB22B7">
            <w:pPr>
              <w:snapToGrid w:val="0"/>
              <w:spacing w:line="360" w:lineRule="auto"/>
              <w:rPr>
                <w:rFonts w:hint="eastAsia" w:ascii="宋体" w:hAnsi="宋体"/>
                <w:color w:val="auto"/>
                <w:szCs w:val="21"/>
                <w:highlight w:val="none"/>
              </w:rPr>
            </w:pPr>
            <w:r>
              <w:rPr>
                <w:rFonts w:hint="eastAsia" w:hAnsi="宋体"/>
                <w:color w:val="auto"/>
                <w:highlight w:val="none"/>
              </w:rPr>
              <w:t>质疑期内每个工作日</w:t>
            </w:r>
            <w:r>
              <w:rPr>
                <w:rFonts w:hAnsi="宋体"/>
                <w:color w:val="auto"/>
                <w:highlight w:val="none"/>
                <w:u w:val="single"/>
              </w:rPr>
              <w:t xml:space="preserve"> </w:t>
            </w:r>
            <w:r>
              <w:rPr>
                <w:rFonts w:hint="eastAsia" w:hAnsi="宋体"/>
                <w:color w:val="auto"/>
                <w:highlight w:val="none"/>
                <w:u w:val="single"/>
              </w:rPr>
              <w:t>09</w:t>
            </w:r>
            <w:r>
              <w:rPr>
                <w:rFonts w:hAnsi="宋体"/>
                <w:color w:val="auto"/>
                <w:highlight w:val="none"/>
                <w:u w:val="single"/>
              </w:rPr>
              <w:t xml:space="preserve"> </w:t>
            </w:r>
            <w:r>
              <w:rPr>
                <w:rFonts w:hint="eastAsia" w:hAnsi="宋体"/>
                <w:color w:val="auto"/>
                <w:highlight w:val="none"/>
              </w:rPr>
              <w:t>时</w:t>
            </w:r>
            <w:r>
              <w:rPr>
                <w:rFonts w:hAnsi="宋体"/>
                <w:color w:val="auto"/>
                <w:highlight w:val="none"/>
                <w:u w:val="single"/>
              </w:rPr>
              <w:t xml:space="preserve"> </w:t>
            </w:r>
            <w:r>
              <w:rPr>
                <w:rFonts w:hint="eastAsia" w:hAnsi="宋体"/>
                <w:color w:val="auto"/>
                <w:highlight w:val="none"/>
                <w:u w:val="single"/>
              </w:rPr>
              <w:t>00</w:t>
            </w:r>
            <w:r>
              <w:rPr>
                <w:rFonts w:hAnsi="宋体"/>
                <w:color w:val="auto"/>
                <w:highlight w:val="none"/>
                <w:u w:val="single"/>
              </w:rPr>
              <w:t xml:space="preserve"> </w:t>
            </w:r>
            <w:r>
              <w:rPr>
                <w:rFonts w:hint="eastAsia" w:hAnsi="宋体"/>
                <w:color w:val="auto"/>
                <w:highlight w:val="none"/>
              </w:rPr>
              <w:t>分到</w:t>
            </w:r>
            <w:r>
              <w:rPr>
                <w:rFonts w:hAnsi="宋体"/>
                <w:color w:val="auto"/>
                <w:highlight w:val="none"/>
                <w:u w:val="single"/>
              </w:rPr>
              <w:t xml:space="preserve"> </w:t>
            </w:r>
            <w:r>
              <w:rPr>
                <w:rFonts w:hint="eastAsia" w:hAnsi="宋体"/>
                <w:color w:val="auto"/>
                <w:highlight w:val="none"/>
                <w:u w:val="single"/>
              </w:rPr>
              <w:t>12</w:t>
            </w:r>
            <w:r>
              <w:rPr>
                <w:rFonts w:hAnsi="宋体"/>
                <w:color w:val="auto"/>
                <w:highlight w:val="none"/>
                <w:u w:val="single"/>
              </w:rPr>
              <w:t xml:space="preserve"> </w:t>
            </w:r>
            <w:r>
              <w:rPr>
                <w:rFonts w:hint="eastAsia" w:hAnsi="宋体"/>
                <w:color w:val="auto"/>
                <w:highlight w:val="none"/>
              </w:rPr>
              <w:t>时</w:t>
            </w:r>
            <w:r>
              <w:rPr>
                <w:rFonts w:hint="eastAsia" w:hAnsi="宋体"/>
                <w:color w:val="auto"/>
                <w:highlight w:val="none"/>
                <w:u w:val="single"/>
              </w:rPr>
              <w:t>00</w:t>
            </w:r>
            <w:r>
              <w:rPr>
                <w:rFonts w:hAnsi="宋体"/>
                <w:color w:val="auto"/>
                <w:highlight w:val="none"/>
                <w:u w:val="single"/>
              </w:rPr>
              <w:t xml:space="preserve"> </w:t>
            </w:r>
            <w:r>
              <w:rPr>
                <w:rFonts w:hint="eastAsia" w:hAnsi="宋体"/>
                <w:color w:val="auto"/>
                <w:highlight w:val="none"/>
              </w:rPr>
              <w:t>分，</w:t>
            </w:r>
            <w:r>
              <w:rPr>
                <w:rFonts w:hAnsi="宋体"/>
                <w:color w:val="auto"/>
                <w:highlight w:val="none"/>
                <w:u w:val="single"/>
              </w:rPr>
              <w:t xml:space="preserve"> </w:t>
            </w:r>
            <w:r>
              <w:rPr>
                <w:rFonts w:hint="eastAsia" w:hAnsi="宋体"/>
                <w:color w:val="auto"/>
                <w:highlight w:val="none"/>
                <w:u w:val="single"/>
              </w:rPr>
              <w:t>15</w:t>
            </w:r>
            <w:r>
              <w:rPr>
                <w:rFonts w:hAnsi="宋体"/>
                <w:color w:val="auto"/>
                <w:highlight w:val="none"/>
                <w:u w:val="single"/>
              </w:rPr>
              <w:t xml:space="preserve"> </w:t>
            </w:r>
            <w:r>
              <w:rPr>
                <w:rFonts w:hint="eastAsia" w:hAnsi="宋体"/>
                <w:color w:val="auto"/>
                <w:highlight w:val="none"/>
              </w:rPr>
              <w:t>时</w:t>
            </w:r>
            <w:r>
              <w:rPr>
                <w:rFonts w:hAnsi="宋体"/>
                <w:color w:val="auto"/>
                <w:highlight w:val="none"/>
                <w:u w:val="single"/>
              </w:rPr>
              <w:t xml:space="preserve"> </w:t>
            </w:r>
            <w:r>
              <w:rPr>
                <w:rFonts w:hint="eastAsia" w:hAnsi="宋体"/>
                <w:color w:val="auto"/>
                <w:highlight w:val="none"/>
                <w:u w:val="single"/>
              </w:rPr>
              <w:t>00</w:t>
            </w:r>
            <w:r>
              <w:rPr>
                <w:rFonts w:hAnsi="宋体"/>
                <w:color w:val="auto"/>
                <w:highlight w:val="none"/>
                <w:u w:val="single"/>
              </w:rPr>
              <w:t xml:space="preserve"> </w:t>
            </w:r>
            <w:r>
              <w:rPr>
                <w:rFonts w:hint="eastAsia" w:hAnsi="宋体"/>
                <w:color w:val="auto"/>
                <w:highlight w:val="none"/>
              </w:rPr>
              <w:t>分到</w:t>
            </w:r>
            <w:r>
              <w:rPr>
                <w:rFonts w:hint="eastAsia" w:hAnsi="宋体"/>
                <w:color w:val="auto"/>
                <w:highlight w:val="none"/>
                <w:u w:val="single"/>
              </w:rPr>
              <w:t>18</w:t>
            </w:r>
            <w:r>
              <w:rPr>
                <w:rFonts w:hAnsi="宋体"/>
                <w:color w:val="auto"/>
                <w:highlight w:val="none"/>
                <w:u w:val="single"/>
              </w:rPr>
              <w:t xml:space="preserve">   </w:t>
            </w:r>
            <w:r>
              <w:rPr>
                <w:rFonts w:hint="eastAsia" w:hAnsi="宋体"/>
                <w:color w:val="auto"/>
                <w:highlight w:val="none"/>
              </w:rPr>
              <w:t>时</w:t>
            </w:r>
            <w:r>
              <w:rPr>
                <w:rFonts w:hAnsi="宋体"/>
                <w:color w:val="auto"/>
                <w:highlight w:val="none"/>
                <w:u w:val="single"/>
              </w:rPr>
              <w:t xml:space="preserve"> </w:t>
            </w:r>
            <w:r>
              <w:rPr>
                <w:rFonts w:hint="eastAsia" w:hAnsi="宋体"/>
                <w:color w:val="auto"/>
                <w:highlight w:val="none"/>
                <w:u w:val="single"/>
              </w:rPr>
              <w:t>00</w:t>
            </w:r>
            <w:r>
              <w:rPr>
                <w:rFonts w:hAnsi="宋体"/>
                <w:color w:val="auto"/>
                <w:highlight w:val="none"/>
                <w:u w:val="single"/>
              </w:rPr>
              <w:t xml:space="preserve"> </w:t>
            </w:r>
            <w:r>
              <w:rPr>
                <w:rFonts w:hint="eastAsia" w:hAnsi="宋体"/>
                <w:color w:val="auto"/>
                <w:highlight w:val="none"/>
              </w:rPr>
              <w:t>分</w:t>
            </w:r>
          </w:p>
        </w:tc>
      </w:tr>
      <w:tr w14:paraId="72F4E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AAA6B1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31.6</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18C0A32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受理投诉方式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4B66573B">
            <w:pPr>
              <w:snapToGrid w:val="0"/>
              <w:spacing w:line="360" w:lineRule="auto"/>
              <w:rPr>
                <w:rFonts w:hint="eastAsia" w:hAnsi="宋体"/>
                <w:color w:val="auto"/>
                <w:highlight w:val="none"/>
              </w:rPr>
            </w:pPr>
            <w:r>
              <w:rPr>
                <w:rFonts w:hAnsi="宋体"/>
                <w:color w:val="auto"/>
                <w:highlight w:val="none"/>
              </w:rPr>
              <w:t>1</w:t>
            </w:r>
            <w:r>
              <w:rPr>
                <w:rFonts w:hint="eastAsia" w:hAnsi="宋体"/>
                <w:color w:val="auto"/>
                <w:highlight w:val="none"/>
              </w:rPr>
              <w:t>、受理方式：纸质方式受理，投诉书正、副本（经过质疑的事项才可投诉）。</w:t>
            </w:r>
          </w:p>
          <w:p w14:paraId="338F57A7">
            <w:pPr>
              <w:snapToGrid w:val="0"/>
              <w:spacing w:line="360" w:lineRule="auto"/>
              <w:rPr>
                <w:rFonts w:hAnsi="宋体"/>
                <w:color w:val="auto"/>
                <w:highlight w:val="none"/>
              </w:rPr>
            </w:pPr>
            <w:r>
              <w:rPr>
                <w:rFonts w:hAnsi="宋体"/>
                <w:color w:val="auto"/>
                <w:highlight w:val="none"/>
              </w:rPr>
              <w:t>2</w:t>
            </w:r>
            <w:r>
              <w:rPr>
                <w:rFonts w:hint="eastAsia" w:hAnsi="宋体"/>
                <w:color w:val="auto"/>
                <w:highlight w:val="none"/>
              </w:rPr>
              <w:t>、邮寄地址：</w:t>
            </w:r>
          </w:p>
          <w:p w14:paraId="567200C8">
            <w:pPr>
              <w:snapToGrid w:val="0"/>
              <w:spacing w:line="360" w:lineRule="auto"/>
              <w:rPr>
                <w:rFonts w:hint="eastAsia" w:ascii="宋体" w:hAnsi="宋体" w:cs="宋体"/>
                <w:color w:val="auto"/>
                <w:highlight w:val="none"/>
              </w:rPr>
            </w:pPr>
            <w:r>
              <w:rPr>
                <w:rFonts w:hint="eastAsia" w:ascii="宋体" w:hAnsi="宋体" w:cs="宋体"/>
                <w:color w:val="auto"/>
                <w:highlight w:val="none"/>
              </w:rPr>
              <w:t>名称：</w:t>
            </w:r>
            <w:bookmarkStart w:id="12" w:name="PO_3000001870_PM036"/>
            <w:r>
              <w:rPr>
                <w:rFonts w:hint="eastAsia" w:ascii="宋体" w:hAnsi="宋体" w:cs="宋体"/>
                <w:color w:val="auto"/>
                <w:highlight w:val="none"/>
              </w:rPr>
              <w:t>南宁市财政局政府采购监督管理科</w:t>
            </w:r>
            <w:bookmarkEnd w:id="12"/>
          </w:p>
          <w:p w14:paraId="504293DB">
            <w:pPr>
              <w:snapToGrid w:val="0"/>
              <w:spacing w:line="360" w:lineRule="auto"/>
              <w:rPr>
                <w:rFonts w:hint="eastAsia" w:ascii="宋体" w:hAnsi="宋体" w:cs="宋体"/>
                <w:color w:val="auto"/>
                <w:highlight w:val="none"/>
              </w:rPr>
            </w:pPr>
            <w:r>
              <w:rPr>
                <w:rFonts w:hint="eastAsia" w:ascii="宋体" w:hAnsi="宋体" w:cs="宋体"/>
                <w:color w:val="auto"/>
                <w:highlight w:val="none"/>
              </w:rPr>
              <w:t>地址：南宁市青秀区东葛路129号</w:t>
            </w:r>
          </w:p>
          <w:p w14:paraId="34951F98">
            <w:pPr>
              <w:snapToGrid w:val="0"/>
              <w:spacing w:line="360" w:lineRule="auto"/>
              <w:rPr>
                <w:rFonts w:hint="eastAsia" w:hAnsi="宋体" w:cs="宋体"/>
                <w:color w:val="auto"/>
                <w:highlight w:val="none"/>
              </w:rPr>
            </w:pPr>
            <w:r>
              <w:rPr>
                <w:rFonts w:hint="eastAsia" w:ascii="宋体" w:hAnsi="宋体" w:cs="宋体"/>
                <w:color w:val="auto"/>
                <w:highlight w:val="none"/>
              </w:rPr>
              <w:t>联系电话：</w:t>
            </w:r>
            <w:bookmarkStart w:id="13" w:name="PO_3000001870_PM038"/>
            <w:r>
              <w:rPr>
                <w:rFonts w:hint="eastAsia" w:ascii="宋体" w:hAnsi="宋体" w:cs="宋体"/>
                <w:color w:val="auto"/>
                <w:highlight w:val="none"/>
              </w:rPr>
              <w:t>0771-2189091</w:t>
            </w:r>
            <w:bookmarkEnd w:id="13"/>
          </w:p>
        </w:tc>
      </w:tr>
      <w:tr w14:paraId="2FDFA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5744EF5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3868BAA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采购代理费</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E3A2B07">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1. 是否收取采购代理费：</w:t>
            </w:r>
          </w:p>
          <w:p w14:paraId="52C987D4">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☑是    □ 否</w:t>
            </w:r>
          </w:p>
          <w:p w14:paraId="7C6FFAFF">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2.采购代理费支付方式：</w:t>
            </w:r>
          </w:p>
          <w:p w14:paraId="7FB9703B">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领取成交通知书前，一次性向采购代理机构支付。</w:t>
            </w:r>
          </w:p>
          <w:p w14:paraId="786A511F">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□采购人支付。</w:t>
            </w:r>
          </w:p>
          <w:p w14:paraId="12A205A6">
            <w:pPr>
              <w:spacing w:line="360" w:lineRule="auto"/>
              <w:rPr>
                <w:rFonts w:hint="eastAsia" w:ascii="宋体" w:hAnsi="宋体" w:cs="宋体"/>
                <w:color w:val="auto"/>
                <w:highlight w:val="none"/>
              </w:rPr>
            </w:pPr>
            <w:r>
              <w:rPr>
                <w:rFonts w:hint="eastAsia" w:ascii="宋体" w:hAnsi="宋体" w:cs="宋体"/>
                <w:color w:val="auto"/>
                <w:highlight w:val="none"/>
              </w:rPr>
              <w:t>3.采购代理费收取标准：</w:t>
            </w:r>
          </w:p>
          <w:p w14:paraId="74C81D64">
            <w:pPr>
              <w:spacing w:line="360" w:lineRule="auto"/>
              <w:rPr>
                <w:rFonts w:hint="eastAsia" w:ascii="宋体" w:hAnsi="宋体" w:cs="宋体"/>
                <w:color w:val="auto"/>
                <w:highlight w:val="none"/>
              </w:rPr>
            </w:pPr>
            <w:r>
              <w:rPr>
                <w:rFonts w:hint="eastAsia" w:ascii="宋体" w:hAnsi="宋体" w:cs="宋体"/>
                <w:color w:val="auto"/>
                <w:highlight w:val="none"/>
              </w:rPr>
              <w:t>☑以分标（</w:t>
            </w:r>
            <w:r>
              <w:rPr>
                <w:rFonts w:hint="eastAsia" w:ascii="宋体" w:hAnsi="宋体" w:cs="宋体"/>
                <w:color w:val="auto"/>
                <w:highlight w:val="none"/>
                <w:lang w:eastAsia="zh-CN"/>
              </w:rPr>
              <w:t>☑</w:t>
            </w:r>
            <w:r>
              <w:rPr>
                <w:rFonts w:hint="eastAsia" w:ascii="宋体" w:hAnsi="宋体" w:cs="宋体"/>
                <w:color w:val="auto"/>
                <w:highlight w:val="none"/>
              </w:rPr>
              <w:t>成交金额/□采购预算/□暂定成交金额/□其他）为计费额，按</w:t>
            </w:r>
            <w:r>
              <w:rPr>
                <w:rFonts w:hint="eastAsia" w:ascii="宋体" w:hAnsi="宋体" w:cs="宋体"/>
                <w:color w:val="auto"/>
                <w:highlight w:val="none"/>
                <w:lang w:val="en-US" w:eastAsia="zh-CN"/>
              </w:rPr>
              <w:t>工程</w:t>
            </w:r>
            <w:r>
              <w:rPr>
                <w:rFonts w:hint="eastAsia" w:ascii="宋体" w:hAnsi="宋体" w:cs="宋体"/>
                <w:color w:val="auto"/>
                <w:highlight w:val="none"/>
              </w:rPr>
              <w:t>类采用</w:t>
            </w:r>
            <w:r>
              <w:rPr>
                <w:rFonts w:hint="eastAsia" w:ascii="宋体" w:hAnsi="宋体" w:cs="宋体"/>
                <w:color w:val="auto"/>
                <w:kern w:val="0"/>
                <w:szCs w:val="21"/>
                <w:highlight w:val="none"/>
              </w:rPr>
              <w:t>差额定率累进</w:t>
            </w:r>
            <w:r>
              <w:rPr>
                <w:rFonts w:hint="eastAsia" w:ascii="宋体" w:hAnsi="宋体" w:cs="宋体"/>
                <w:color w:val="auto"/>
                <w:highlight w:val="none"/>
              </w:rPr>
              <w:t>法计算出收费基准价格，采购代理收费以（</w:t>
            </w:r>
            <w:r>
              <w:rPr>
                <w:rFonts w:hint="eastAsia" w:ascii="宋体" w:hAnsi="宋体" w:cs="宋体"/>
                <w:color w:val="auto"/>
                <w:highlight w:val="none"/>
                <w:lang w:eastAsia="zh-CN"/>
              </w:rPr>
              <w:t>□</w:t>
            </w:r>
            <w:r>
              <w:rPr>
                <w:rFonts w:hint="eastAsia" w:ascii="宋体" w:hAnsi="宋体" w:cs="宋体"/>
                <w:color w:val="auto"/>
                <w:highlight w:val="none"/>
              </w:rPr>
              <w:t>收费基准价格/</w:t>
            </w:r>
            <w:r>
              <w:rPr>
                <w:rFonts w:hint="eastAsia" w:ascii="宋体" w:hAnsi="宋体" w:cs="宋体"/>
                <w:color w:val="auto"/>
                <w:highlight w:val="none"/>
                <w:lang w:eastAsia="zh-CN"/>
              </w:rPr>
              <w:t>☑</w:t>
            </w:r>
            <w:r>
              <w:rPr>
                <w:rFonts w:hint="eastAsia" w:ascii="宋体" w:hAnsi="宋体" w:eastAsia="宋体" w:cs="宋体"/>
                <w:color w:val="auto"/>
                <w:highlight w:val="none"/>
              </w:rPr>
              <w:t>收费基准价格下浮</w:t>
            </w:r>
            <w:r>
              <w:rPr>
                <w:rFonts w:hint="eastAsia" w:ascii="宋体" w:hAnsi="宋体" w:cs="宋体"/>
                <w:color w:val="auto"/>
                <w:highlight w:val="none"/>
                <w:lang w:val="en-US" w:eastAsia="zh-CN"/>
              </w:rPr>
              <w:t>4</w:t>
            </w:r>
            <w:r>
              <w:rPr>
                <w:rFonts w:hint="eastAsia" w:ascii="宋体" w:hAnsi="宋体" w:eastAsia="宋体" w:cs="宋体"/>
                <w:color w:val="auto"/>
                <w:highlight w:val="none"/>
              </w:rPr>
              <w:t>%/</w:t>
            </w:r>
            <w:r>
              <w:rPr>
                <w:rFonts w:hint="eastAsia" w:ascii="宋体" w:hAnsi="宋体" w:cs="宋体"/>
                <w:color w:val="auto"/>
                <w:highlight w:val="none"/>
              </w:rPr>
              <w:t>□收费基准价格上浮   %）收取。</w:t>
            </w:r>
          </w:p>
          <w:p w14:paraId="3D45E723">
            <w:pPr>
              <w:spacing w:line="360" w:lineRule="auto"/>
              <w:rPr>
                <w:rFonts w:hint="eastAsia" w:ascii="宋体" w:hAnsi="宋体" w:cs="宋体"/>
                <w:color w:val="auto"/>
                <w:highlight w:val="none"/>
              </w:rPr>
            </w:pPr>
            <w:r>
              <w:rPr>
                <w:rFonts w:hint="eastAsia" w:ascii="宋体" w:hAnsi="宋体" w:cs="宋体"/>
                <w:color w:val="auto"/>
                <w:highlight w:val="none"/>
              </w:rPr>
              <w:t>□固定采购代理收费。</w:t>
            </w:r>
          </w:p>
          <w:p w14:paraId="33AEB21D">
            <w:pPr>
              <w:spacing w:line="360" w:lineRule="auto"/>
              <w:rPr>
                <w:rFonts w:hint="eastAsia" w:ascii="宋体" w:hAnsi="宋体" w:cs="宋体"/>
                <w:color w:val="auto"/>
                <w:highlight w:val="none"/>
              </w:rPr>
            </w:pPr>
            <w:r>
              <w:rPr>
                <w:rFonts w:hint="eastAsia" w:ascii="宋体" w:hAnsi="宋体" w:cs="宋体"/>
                <w:color w:val="auto"/>
                <w:highlight w:val="none"/>
              </w:rPr>
              <w:t>4.采购代理费收取银行账户</w:t>
            </w:r>
          </w:p>
          <w:p w14:paraId="43F2A980">
            <w:pPr>
              <w:spacing w:line="360" w:lineRule="auto"/>
              <w:rPr>
                <w:rFonts w:hint="eastAsia" w:ascii="宋体" w:hAnsi="宋体" w:cs="宋体"/>
                <w:color w:val="auto"/>
                <w:highlight w:val="none"/>
              </w:rPr>
            </w:pPr>
            <w:r>
              <w:rPr>
                <w:rFonts w:hint="eastAsia" w:ascii="宋体" w:hAnsi="宋体" w:cs="宋体"/>
                <w:color w:val="auto"/>
                <w:highlight w:val="none"/>
              </w:rPr>
              <w:t>开户名称：广西兴邦工程管理服务有限公司</w:t>
            </w:r>
          </w:p>
          <w:p w14:paraId="7E653DA9">
            <w:pPr>
              <w:spacing w:line="360" w:lineRule="auto"/>
              <w:rPr>
                <w:rFonts w:hint="eastAsia" w:ascii="宋体" w:hAnsi="宋体" w:cs="宋体"/>
                <w:color w:val="auto"/>
                <w:highlight w:val="none"/>
              </w:rPr>
            </w:pPr>
            <w:r>
              <w:rPr>
                <w:rFonts w:hint="eastAsia" w:ascii="宋体" w:hAnsi="宋体" w:cs="宋体"/>
                <w:color w:val="auto"/>
                <w:highlight w:val="none"/>
              </w:rPr>
              <w:t>开户银行：中国工商银行南宁市民族支行营业室</w:t>
            </w:r>
          </w:p>
          <w:p w14:paraId="2EB38079">
            <w:pPr>
              <w:spacing w:line="360" w:lineRule="auto"/>
              <w:rPr>
                <w:rFonts w:hint="eastAsia" w:hAnsi="宋体" w:cs="宋体"/>
                <w:color w:val="auto"/>
                <w:highlight w:val="none"/>
              </w:rPr>
            </w:pPr>
            <w:r>
              <w:rPr>
                <w:rFonts w:hint="eastAsia" w:ascii="宋体" w:hAnsi="宋体" w:cs="宋体"/>
                <w:color w:val="auto"/>
                <w:highlight w:val="none"/>
              </w:rPr>
              <w:t>银行账号：2102 1090 0930 0477 943</w:t>
            </w:r>
          </w:p>
        </w:tc>
      </w:tr>
      <w:tr w14:paraId="1F7D8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083DE2A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34.1</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6F8D2C3E">
            <w:pPr>
              <w:spacing w:line="360" w:lineRule="auto"/>
              <w:jc w:val="center"/>
              <w:rPr>
                <w:rFonts w:hint="eastAsia" w:ascii="宋体" w:hAnsi="宋体" w:cs="宋体"/>
                <w:color w:val="auto"/>
                <w:szCs w:val="21"/>
                <w:highlight w:val="none"/>
              </w:rPr>
            </w:pPr>
            <w:r>
              <w:rPr>
                <w:rFonts w:hint="eastAsia" w:hAnsi="宋体"/>
                <w:color w:val="auto"/>
                <w:highlight w:val="none"/>
              </w:rPr>
              <w:t>解释</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30E3511">
            <w:pPr>
              <w:pStyle w:val="14"/>
              <w:snapToGrid w:val="0"/>
              <w:spacing w:line="360" w:lineRule="auto"/>
              <w:rPr>
                <w:rFonts w:hint="eastAsia" w:hAnsi="宋体" w:cs="宋体"/>
                <w:b/>
                <w:color w:val="auto"/>
                <w:sz w:val="21"/>
                <w:highlight w:val="none"/>
              </w:rPr>
            </w:pPr>
            <w:r>
              <w:rPr>
                <w:rFonts w:hint="eastAsia" w:hAnsi="宋体" w:cs="宋体"/>
                <w:b/>
                <w:color w:val="auto"/>
                <w:sz w:val="21"/>
                <w:highlight w:val="none"/>
              </w:rPr>
              <w:t>解释权：</w:t>
            </w:r>
            <w:r>
              <w:rPr>
                <w:rFonts w:hint="eastAsia" w:hAnsi="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7F08A1E9">
            <w:pPr>
              <w:pStyle w:val="14"/>
              <w:snapToGrid w:val="0"/>
              <w:spacing w:line="360" w:lineRule="auto"/>
              <w:rPr>
                <w:rFonts w:hint="eastAsia" w:hAnsi="宋体" w:cs="宋体"/>
                <w:b/>
                <w:color w:val="auto"/>
                <w:sz w:val="21"/>
                <w:highlight w:val="none"/>
              </w:rPr>
            </w:pPr>
            <w:r>
              <w:rPr>
                <w:rFonts w:hint="eastAsia" w:hAnsi="宋体" w:cs="宋体"/>
                <w:b/>
                <w:color w:val="auto"/>
                <w:sz w:val="21"/>
                <w:highlight w:val="none"/>
              </w:rPr>
              <w:t>法律责任：</w:t>
            </w:r>
          </w:p>
          <w:p w14:paraId="79C56242">
            <w:pPr>
              <w:pStyle w:val="14"/>
              <w:snapToGrid w:val="0"/>
              <w:spacing w:line="360" w:lineRule="auto"/>
              <w:rPr>
                <w:rFonts w:hint="eastAsia" w:hAnsi="宋体" w:cs="宋体"/>
                <w:color w:val="auto"/>
                <w:sz w:val="21"/>
                <w:highlight w:val="none"/>
              </w:rPr>
            </w:pPr>
            <w:r>
              <w:rPr>
                <w:rFonts w:hint="eastAsia" w:hAnsi="宋体" w:cs="宋体"/>
                <w:b/>
                <w:color w:val="auto"/>
                <w:sz w:val="21"/>
                <w:highlight w:val="none"/>
              </w:rPr>
              <w:t>1.</w:t>
            </w:r>
            <w:r>
              <w:rPr>
                <w:rFonts w:hint="eastAsia" w:hAnsi="宋体" w:cs="宋体"/>
                <w:color w:val="auto"/>
                <w:sz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5CDD5571">
            <w:pPr>
              <w:spacing w:line="360" w:lineRule="auto"/>
              <w:rPr>
                <w:rFonts w:hint="eastAsia" w:hAnsi="宋体" w:cs="宋体"/>
                <w:color w:val="auto"/>
                <w:highlight w:val="none"/>
              </w:rPr>
            </w:pPr>
            <w:r>
              <w:rPr>
                <w:rFonts w:hint="eastAsia" w:ascii="宋体" w:hAnsi="宋体" w:cs="宋体"/>
                <w:color w:val="auto"/>
                <w:kern w:val="0"/>
                <w:szCs w:val="21"/>
                <w:highlight w:val="none"/>
              </w:rPr>
              <w:t>2. 本项目采购代理机构应严格按照“</w:t>
            </w:r>
            <w:r>
              <w:rPr>
                <w:rFonts w:hint="eastAsia" w:ascii="宋体" w:hAnsi="宋体" w:cs="宋体"/>
                <w:color w:val="auto"/>
                <w:kern w:val="0"/>
                <w:szCs w:val="21"/>
                <w:highlight w:val="none"/>
                <w:lang w:bidi="ar"/>
              </w:rPr>
              <w:t>广西政府采购云平台</w:t>
            </w:r>
            <w:r>
              <w:rPr>
                <w:rFonts w:hint="eastAsia" w:ascii="宋体" w:hAnsi="宋体" w:cs="宋体"/>
                <w:color w:val="auto"/>
                <w:kern w:val="0"/>
                <w:szCs w:val="21"/>
                <w:highlight w:val="none"/>
              </w:rPr>
              <w:t>”项目采购全流程电子化电子开评标规程执行项目采购活动，代理机构在“</w:t>
            </w:r>
            <w:r>
              <w:rPr>
                <w:rFonts w:hint="eastAsia" w:ascii="宋体" w:hAnsi="宋体" w:cs="宋体"/>
                <w:color w:val="auto"/>
                <w:kern w:val="0"/>
                <w:szCs w:val="21"/>
                <w:highlight w:val="none"/>
                <w:lang w:bidi="ar"/>
              </w:rPr>
              <w:t>广西政府采购云平台</w:t>
            </w:r>
            <w:r>
              <w:rPr>
                <w:rFonts w:hint="eastAsia" w:ascii="宋体" w:hAnsi="宋体" w:cs="宋体"/>
                <w:color w:val="auto"/>
                <w:kern w:val="0"/>
                <w:szCs w:val="21"/>
                <w:highlight w:val="none"/>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457D7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9F66E8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2785" w:type="dxa"/>
            <w:tcBorders>
              <w:top w:val="single" w:color="000000" w:sz="4" w:space="0"/>
              <w:left w:val="single" w:color="000000" w:sz="4" w:space="0"/>
              <w:bottom w:val="single" w:color="000000" w:sz="4" w:space="0"/>
              <w:right w:val="single" w:color="000000" w:sz="4" w:space="0"/>
            </w:tcBorders>
            <w:noWrap w:val="0"/>
            <w:vAlign w:val="center"/>
          </w:tcPr>
          <w:p w14:paraId="58CF42A2">
            <w:pPr>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其他</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6D8881C">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4E4E72F">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8219D2">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磋商文件须由供应商在规定位置 CA 签章、签署，否则其响应文件作无效处理。采购文件要求法定代表人（负责人）或委托代理人签字的部分应使用 CA 签章；如法定代表人（负责人）或委托代理人未办理 CA 锁的，可以打印</w:t>
            </w:r>
            <w:r>
              <w:rPr>
                <w:rFonts w:hint="eastAsia" w:hAnsi="宋体" w:cs="宋体"/>
                <w:color w:val="auto"/>
                <w:sz w:val="21"/>
                <w:highlight w:val="none"/>
                <w:lang w:eastAsia="zh-CN"/>
              </w:rPr>
              <w:t>后亲笔</w:t>
            </w:r>
            <w:r>
              <w:rPr>
                <w:rFonts w:hint="eastAsia" w:hAnsi="宋体" w:cs="宋体"/>
                <w:color w:val="auto"/>
                <w:sz w:val="21"/>
                <w:highlight w:val="none"/>
              </w:rPr>
              <w:t>签字</w:t>
            </w:r>
            <w:r>
              <w:rPr>
                <w:rFonts w:hint="eastAsia" w:hAnsi="宋体" w:cs="宋体"/>
                <w:color w:val="auto"/>
                <w:sz w:val="21"/>
                <w:highlight w:val="none"/>
                <w:lang w:eastAsia="zh-CN"/>
              </w:rPr>
              <w:t>再</w:t>
            </w:r>
            <w:r>
              <w:rPr>
                <w:rFonts w:hint="eastAsia" w:hAnsi="宋体" w:cs="宋体"/>
                <w:color w:val="auto"/>
                <w:sz w:val="21"/>
                <w:highlight w:val="none"/>
              </w:rPr>
              <w:t>扫描或者拍照做成 PDF 格式上传，无签字的视为无效。骑缝盖公章不视为在规定位置盖章。</w:t>
            </w:r>
          </w:p>
          <w:p w14:paraId="392FDDF2">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4.自然人竞标的，磋商文件规定盖公章处由自然人摁手指指印。</w:t>
            </w:r>
          </w:p>
          <w:p w14:paraId="0C2380B6">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5.本磋商文件所称的“以上”“以下”“以内”“届满”，包括本数；所称的“不满”“超过”“以外”，不包括本数。</w:t>
            </w:r>
          </w:p>
          <w:p w14:paraId="393E0D2C">
            <w:pPr>
              <w:pStyle w:val="14"/>
              <w:snapToGrid w:val="0"/>
              <w:spacing w:line="360" w:lineRule="auto"/>
              <w:rPr>
                <w:rFonts w:hint="default" w:eastAsia="宋体"/>
                <w:color w:val="auto"/>
                <w:highlight w:val="none"/>
                <w:lang w:val="en-US" w:eastAsia="zh-CN"/>
              </w:rPr>
            </w:pPr>
            <w:r>
              <w:rPr>
                <w:rFonts w:hint="eastAsia" w:hAnsi="宋体" w:cs="宋体"/>
                <w:b/>
                <w:bCs/>
                <w:color w:val="auto"/>
                <w:sz w:val="22"/>
                <w:szCs w:val="22"/>
                <w:highlight w:val="none"/>
                <w:lang w:val="en-US" w:eastAsia="zh-CN"/>
              </w:rPr>
              <w:t>6.本项目招标控制价中已包含安全文明施工措施费。根据《南宁市水利局关于印发南宁市水利工程安全文明施工措施费使用管理办法的通知（南水规〔2024〕1号），安全文明施工措施费作为不可竞争费，已按要求列明安全文明施工措施费项目清单及费用数额（工程量清单中的施工安全生产费70900.00元），供应商报价时不可更改此费用，并在响应时对此项费用数额作出响应承诺（承诺书格式详见响应文件格式）；项目实施过程中所发生的此项费用以合同约定和实际为准。</w:t>
            </w:r>
          </w:p>
        </w:tc>
      </w:tr>
    </w:tbl>
    <w:p w14:paraId="63AAE490">
      <w:pPr>
        <w:pStyle w:val="3"/>
        <w:spacing w:line="420" w:lineRule="exact"/>
        <w:jc w:val="center"/>
        <w:rPr>
          <w:rFonts w:hint="eastAsia" w:ascii="宋体" w:hAnsi="宋体" w:cs="宋体"/>
          <w:b w:val="0"/>
          <w:color w:val="auto"/>
          <w:highlight w:val="none"/>
        </w:rPr>
      </w:pPr>
      <w:r>
        <w:rPr>
          <w:rFonts w:hint="eastAsia" w:ascii="宋体" w:hAnsi="宋体"/>
          <w:bCs w:val="0"/>
          <w:color w:val="auto"/>
          <w:highlight w:val="none"/>
        </w:rPr>
        <w:br w:type="page"/>
      </w:r>
      <w:bookmarkStart w:id="14" w:name="_Toc4827"/>
      <w:r>
        <w:rPr>
          <w:rFonts w:hint="eastAsia" w:ascii="宋体" w:hAnsi="宋体"/>
          <w:b w:val="0"/>
          <w:color w:val="auto"/>
          <w:highlight w:val="none"/>
        </w:rPr>
        <w:t>第二节 供应商须知正文</w:t>
      </w:r>
      <w:bookmarkEnd w:id="14"/>
    </w:p>
    <w:p w14:paraId="7D3D26B1">
      <w:pPr>
        <w:pStyle w:val="4"/>
        <w:spacing w:before="0" w:after="0" w:line="360" w:lineRule="auto"/>
        <w:ind w:firstLine="640" w:firstLineChars="200"/>
        <w:rPr>
          <w:rFonts w:hint="eastAsia" w:ascii="宋体" w:hAnsi="宋体"/>
          <w:b w:val="0"/>
          <w:color w:val="auto"/>
          <w:highlight w:val="none"/>
        </w:rPr>
      </w:pPr>
      <w:bookmarkStart w:id="15" w:name="_Toc3465"/>
      <w:r>
        <w:rPr>
          <w:rFonts w:hint="eastAsia" w:ascii="宋体" w:hAnsi="宋体"/>
          <w:b w:val="0"/>
          <w:color w:val="auto"/>
          <w:highlight w:val="none"/>
        </w:rPr>
        <w:t>一、总则</w:t>
      </w:r>
      <w:bookmarkEnd w:id="15"/>
    </w:p>
    <w:p w14:paraId="358906C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3388830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74B1B20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537C317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378D4E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4F0438F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485844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45AA71E5">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2.4“服务”是指除货物和工程以外的其他政府采购对象。</w:t>
      </w:r>
    </w:p>
    <w:p w14:paraId="04ECA2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2.5“竞标”是指供应商按照本项目竞争性磋商公告或者邀请函规定的方式获取磋商文件、提交响应文件并希望获得标的的行为。</w:t>
      </w:r>
    </w:p>
    <w:p w14:paraId="22DCA7D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是指：供应商根据本磋商文件要求，编制包含资格证明、报价商务技术等所有内容的文件。</w:t>
      </w:r>
    </w:p>
    <w:p w14:paraId="36D2EF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66EF22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2A062C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0E310C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58EAE4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280332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5B4387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2.13“评审报价”是指供应商提交的最后报价并经修正（如有）和政策功能价格扣除（如有）后的价格。</w:t>
      </w:r>
    </w:p>
    <w:p w14:paraId="0F281F9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71FC3A0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778FBD4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4.磋商费用</w:t>
      </w:r>
    </w:p>
    <w:p w14:paraId="185CC09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5258CA8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4C8BD4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3BCB2B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3318F9A9">
      <w:pPr>
        <w:spacing w:line="360" w:lineRule="auto"/>
        <w:ind w:firstLine="420" w:firstLineChars="200"/>
        <w:rPr>
          <w:rFonts w:hint="eastAsia" w:ascii="宋体" w:hAnsi="宋体"/>
          <w:bCs/>
          <w:color w:val="auto"/>
          <w:szCs w:val="21"/>
          <w:highlight w:val="none"/>
        </w:rPr>
      </w:pPr>
      <w:r>
        <w:rPr>
          <w:rFonts w:hint="eastAsia" w:ascii="宋体" w:hAnsi="宋体" w:cs="宋体"/>
          <w:color w:val="auto"/>
          <w:szCs w:val="21"/>
          <w:highlight w:val="none"/>
        </w:rPr>
        <w:t>5.3根据《政府采购促进中小企业发展管理办法》（财库[2020]46号）第九条及《广西壮族自治区财政厅关于进一步发挥政府采购政策功能促进企业发展的通知》（桂财采〔2022〕30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193AA1E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22A5AB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59FCAB9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根据《政府采购促进中小企业发展管理办法》（财库[2020]46号）第九条及《广西壮族自治区财政厅关于进一步发挥政府采购政策功能促进企业发展的通知》（桂财采〔2022〕30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6CDFAB2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p>
    <w:p w14:paraId="610BE7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w:t>
      </w:r>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p w14:paraId="707847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7.2供应商应仔细阅读磋商文件的所有内容，按照磋商文件的要求提交响应文件，并对所提供的全部资料的真实性承担法律责任。</w:t>
      </w:r>
    </w:p>
    <w:p w14:paraId="7B1376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547455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56745A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6A341B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20CA41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0AB4B6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0CD778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236E2F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A803DB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28BEBE6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0A684CE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727797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23EB06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0C1FF4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65FD231C">
      <w:pPr>
        <w:tabs>
          <w:tab w:val="left" w:pos="6931"/>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hint="eastAsia" w:ascii="宋体" w:hAnsi="宋体" w:cs="宋体"/>
          <w:color w:val="auto"/>
          <w:szCs w:val="21"/>
          <w:highlight w:val="none"/>
        </w:rPr>
        <w:tab/>
      </w:r>
    </w:p>
    <w:p w14:paraId="023CB4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7.6供应商有下列情形之一的，属于恶意串通行为，将报同级监督管理部门：</w:t>
      </w:r>
    </w:p>
    <w:p w14:paraId="59B230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70CB4AB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366CAC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12C8C0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A63156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6D0BD1B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3A00025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26DAA42E">
      <w:pPr>
        <w:pStyle w:val="4"/>
        <w:spacing w:before="0" w:after="0" w:line="360" w:lineRule="auto"/>
        <w:ind w:firstLine="640" w:firstLineChars="200"/>
        <w:rPr>
          <w:rFonts w:hint="eastAsia" w:ascii="宋体" w:hAnsi="宋体"/>
          <w:b w:val="0"/>
          <w:bCs w:val="0"/>
          <w:color w:val="auto"/>
          <w:highlight w:val="none"/>
        </w:rPr>
      </w:pPr>
      <w:bookmarkStart w:id="16" w:name="_Toc18396"/>
      <w:r>
        <w:rPr>
          <w:rFonts w:hint="eastAsia" w:ascii="宋体" w:hAnsi="宋体"/>
          <w:b w:val="0"/>
          <w:bCs w:val="0"/>
          <w:color w:val="auto"/>
          <w:highlight w:val="none"/>
        </w:rPr>
        <w:t>二、磋商文件</w:t>
      </w:r>
      <w:bookmarkEnd w:id="16"/>
    </w:p>
    <w:p w14:paraId="6B5FC79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58D5E597">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第一章 竞争性磋商公告；</w:t>
      </w:r>
    </w:p>
    <w:p w14:paraId="444D848D">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第二章 采购需求；</w:t>
      </w:r>
    </w:p>
    <w:p w14:paraId="07146F2C">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第三章 供应商须知； </w:t>
      </w:r>
    </w:p>
    <w:p w14:paraId="222FC6B8">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第四章 评审程序、评审方法和评审标准；</w:t>
      </w:r>
    </w:p>
    <w:p w14:paraId="74AF6E8A">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第五章 响应文件格式；</w:t>
      </w:r>
    </w:p>
    <w:p w14:paraId="0F2D36E2">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第六章 合同文本；</w:t>
      </w:r>
    </w:p>
    <w:p w14:paraId="023B182B">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第七章 质疑、投诉材料格式。</w:t>
      </w:r>
    </w:p>
    <w:p w14:paraId="62AB33C5">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515E60C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076CC8F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6F330A8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33C0D6B7">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3C365BC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36F9C8B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10.4</w:t>
      </w:r>
      <w:r>
        <w:rPr>
          <w:rFonts w:hint="eastAsia" w:ascii="Arial" w:hAnsi="Arial" w:cs="Arial"/>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65B2F188">
      <w:pPr>
        <w:spacing w:line="360" w:lineRule="auto"/>
        <w:ind w:firstLine="420" w:firstLineChars="200"/>
        <w:rPr>
          <w:rFonts w:hint="eastAsia"/>
          <w:color w:val="auto"/>
          <w:highlight w:val="none"/>
        </w:rPr>
      </w:pPr>
      <w:r>
        <w:rPr>
          <w:rFonts w:hAnsi="宋体"/>
          <w:color w:val="auto"/>
          <w:highlight w:val="none"/>
        </w:rPr>
        <w:t xml:space="preserve">10.5  </w:t>
      </w:r>
      <w:r>
        <w:rPr>
          <w:rFonts w:hint="eastAsia"/>
          <w:color w:val="auto"/>
          <w:highlight w:val="none"/>
        </w:rPr>
        <w:t>采购人和采购代理机构可以视采购具体情况，变更</w:t>
      </w:r>
      <w:r>
        <w:rPr>
          <w:rFonts w:hint="eastAsia" w:hAnsi="宋体"/>
          <w:color w:val="auto"/>
          <w:highlight w:val="none"/>
        </w:rPr>
        <w:t>提交首次响应文件</w:t>
      </w:r>
      <w:r>
        <w:rPr>
          <w:rFonts w:hint="eastAsia"/>
          <w:color w:val="auto"/>
          <w:highlight w:val="none"/>
        </w:rPr>
        <w:t>截止时间和竞谈时间，将变更时间将在</w:t>
      </w:r>
      <w:r>
        <w:rPr>
          <w:rFonts w:hint="eastAsia" w:hAnsi="宋体"/>
          <w:color w:val="auto"/>
          <w:highlight w:val="none"/>
        </w:rPr>
        <w:t>“采购文件公告”中“七、其他补充事宜</w:t>
      </w:r>
      <w:r>
        <w:rPr>
          <w:rFonts w:hAnsi="宋体"/>
          <w:color w:val="auto"/>
          <w:highlight w:val="none"/>
        </w:rPr>
        <w:t>3.</w:t>
      </w:r>
      <w:r>
        <w:rPr>
          <w:rFonts w:hint="eastAsia" w:hAnsi="宋体"/>
          <w:color w:val="auto"/>
          <w:highlight w:val="none"/>
        </w:rPr>
        <w:t>网上查询地址”</w:t>
      </w:r>
      <w:r>
        <w:rPr>
          <w:rFonts w:hint="eastAsia" w:cs="宋体"/>
          <w:color w:val="auto"/>
          <w:highlight w:val="none"/>
        </w:rPr>
        <w:t>规定的政府采购信息发布媒体上</w:t>
      </w:r>
      <w:r>
        <w:rPr>
          <w:rFonts w:hint="eastAsia"/>
          <w:color w:val="auto"/>
          <w:highlight w:val="none"/>
        </w:rPr>
        <w:t>发布更正公告。</w:t>
      </w:r>
    </w:p>
    <w:p w14:paraId="77265C9A">
      <w:pPr>
        <w:spacing w:line="360" w:lineRule="auto"/>
        <w:ind w:firstLine="400" w:firstLineChars="200"/>
        <w:rPr>
          <w:rFonts w:ascii="宋体" w:hAnsi="Courier New"/>
          <w:color w:val="auto"/>
          <w:kern w:val="0"/>
          <w:sz w:val="20"/>
          <w:szCs w:val="21"/>
          <w:highlight w:val="none"/>
        </w:rPr>
      </w:pPr>
      <w:r>
        <w:rPr>
          <w:rFonts w:hint="eastAsia" w:ascii="宋体" w:hAnsi="Courier New"/>
          <w:color w:val="auto"/>
          <w:kern w:val="0"/>
          <w:sz w:val="20"/>
          <w:szCs w:val="21"/>
          <w:highlight w:val="none"/>
        </w:rPr>
        <w:t>▲</w:t>
      </w:r>
      <w:r>
        <w:rPr>
          <w:rFonts w:hint="eastAsia" w:ascii="宋体" w:hAnsi="Courier New"/>
          <w:b/>
          <w:color w:val="auto"/>
          <w:kern w:val="0"/>
          <w:sz w:val="20"/>
          <w:szCs w:val="21"/>
          <w:highlight w:val="none"/>
        </w:rPr>
        <w:t>响应文件未按磋商文件的澄清、修改的内容编制，又不符合实质性要求的，其响应文件作无效处理。</w:t>
      </w:r>
    </w:p>
    <w:p w14:paraId="7C137767">
      <w:pPr>
        <w:pStyle w:val="4"/>
        <w:spacing w:before="0" w:after="0" w:line="360" w:lineRule="auto"/>
        <w:ind w:firstLine="640" w:firstLineChars="200"/>
        <w:rPr>
          <w:rFonts w:hint="eastAsia" w:ascii="宋体" w:hAnsi="宋体"/>
          <w:b w:val="0"/>
          <w:bCs w:val="0"/>
          <w:color w:val="auto"/>
          <w:highlight w:val="none"/>
        </w:rPr>
      </w:pPr>
      <w:bookmarkStart w:id="17" w:name="_Toc29948"/>
      <w:r>
        <w:rPr>
          <w:rFonts w:hint="eastAsia" w:ascii="宋体" w:hAnsi="宋体"/>
          <w:b w:val="0"/>
          <w:bCs w:val="0"/>
          <w:color w:val="auto"/>
          <w:highlight w:val="none"/>
        </w:rPr>
        <w:t>三、响应文件的编制</w:t>
      </w:r>
      <w:bookmarkEnd w:id="17"/>
    </w:p>
    <w:p w14:paraId="0DA34A9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2A4344B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7CC5A9F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71FF0F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28E2DB42">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3195CF80">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1C8B635B">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12.1.3报价文件：详见须知前附表</w:t>
      </w:r>
    </w:p>
    <w:p w14:paraId="405592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5A40CD6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1A73D8B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1E56F4F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58BA0A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C0171B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3C6CF30D">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29C2D453">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27D219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15.3响应报价要求</w:t>
      </w:r>
    </w:p>
    <w:p w14:paraId="3C0642A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20BF55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1AEBB8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39B6FA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369949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15.3.3响应报价（包含首次报价、最后报价）超过分项采购预算金额或者最高限价的，其响应文件将作无效处理。</w:t>
      </w:r>
    </w:p>
    <w:p w14:paraId="51B09AB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108D4F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70540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1F0B4F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3FDC0BD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05CE7B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507DEA9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646B7A2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117222A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18.2响应文件应按资格证明、报价分别编制，商务技术文件合并编制，本磋商只接受电子版响应文件，要求见本章“12.2响应文件电子版要求”。</w:t>
      </w:r>
    </w:p>
    <w:p w14:paraId="43020B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w:t>
      </w:r>
      <w:r>
        <w:rPr>
          <w:rFonts w:hint="eastAsia" w:ascii="宋体" w:hAnsi="宋体"/>
          <w:color w:val="auto"/>
          <w:szCs w:val="21"/>
          <w:highlight w:val="none"/>
        </w:rPr>
        <w:t>响应文件须由供应商在</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第五章 响应文件格式</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r>
        <w:rPr>
          <w:rFonts w:hint="eastAsia" w:ascii="宋体" w:hAnsi="宋体" w:cs="宋体"/>
          <w:color w:val="auto"/>
          <w:szCs w:val="21"/>
          <w:highlight w:val="none"/>
        </w:rPr>
        <w:t>，否则其响应文件按无效响应处理。骑缝盖公章不视为在规定位置盖章。</w:t>
      </w:r>
    </w:p>
    <w:p w14:paraId="2ECD02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719F1F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1BBAC91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6E705E9C">
      <w:pPr>
        <w:spacing w:line="360" w:lineRule="auto"/>
        <w:ind w:firstLine="420" w:firstLineChars="200"/>
        <w:rPr>
          <w:rFonts w:hint="eastAsia"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191ACFF6">
      <w:pPr>
        <w:spacing w:line="360" w:lineRule="auto"/>
        <w:ind w:firstLine="420" w:firstLineChars="200"/>
        <w:rPr>
          <w:rFonts w:hint="eastAsia"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19.2使用“广西政府采购云平台电子交易客户端”需要提前申领CA数字证书，申领流程见该项目采购公告附件。</w:t>
      </w:r>
    </w:p>
    <w:p w14:paraId="0200FE6C">
      <w:pPr>
        <w:pStyle w:val="14"/>
        <w:spacing w:line="360" w:lineRule="auto"/>
        <w:ind w:firstLine="420" w:firstLineChars="200"/>
        <w:rPr>
          <w:rFonts w:hint="eastAsia" w:hAnsi="宋体" w:cs="仿宋_GB2312"/>
          <w:color w:val="auto"/>
          <w:sz w:val="21"/>
          <w:highlight w:val="none"/>
        </w:rPr>
      </w:pPr>
      <w:r>
        <w:rPr>
          <w:rFonts w:hint="eastAsia" w:hAnsi="宋体" w:cs="仿宋_GB2312"/>
          <w:color w:val="auto"/>
          <w:sz w:val="21"/>
          <w:highlight w:val="none"/>
        </w:rPr>
        <w:t>19.3为确保网上操作合法、有效和安全，供应商应当在响应文件提交截止时间前完成在“广西政府采购云平台”的身份认证，确保在电子交易过程中能够对相关数据电文进行加密和使用电子签名。</w:t>
      </w:r>
    </w:p>
    <w:p w14:paraId="3D55E09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77BB199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60EE6159">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20</w:t>
      </w:r>
      <w:r>
        <w:rPr>
          <w:rFonts w:hint="eastAsia" w:ascii="宋体" w:hAnsi="宋体"/>
          <w:color w:val="auto"/>
          <w:szCs w:val="21"/>
          <w:highlight w:val="none"/>
        </w:rPr>
        <w:t>.2 在响应文件提交截止时间以后，不能补充、修改响应文件。</w:t>
      </w:r>
    </w:p>
    <w:p w14:paraId="672370B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20.3 在提交“最后报价”后，供应商不能退出谈判。</w:t>
      </w:r>
    </w:p>
    <w:p w14:paraId="03FFF5D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4C1744E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20.5 采购机构不可视情况延长提交响应文件的截止时间。</w:t>
      </w:r>
    </w:p>
    <w:p w14:paraId="690C38ED">
      <w:pPr>
        <w:spacing w:line="360" w:lineRule="auto"/>
        <w:ind w:firstLine="420" w:firstLineChars="200"/>
        <w:rPr>
          <w:rFonts w:hint="eastAsia" w:ascii="黑体" w:hAnsi="黑体" w:eastAsia="黑体"/>
          <w:color w:val="auto"/>
          <w:sz w:val="24"/>
          <w:highlight w:val="none"/>
        </w:rPr>
      </w:pPr>
      <w:r>
        <w:rPr>
          <w:rFonts w:hint="eastAsia" w:ascii="宋体" w:hAnsi="宋体"/>
          <w:color w:val="auto"/>
          <w:szCs w:val="21"/>
          <w:highlight w:val="none"/>
        </w:rPr>
        <w:t>20.6备份响应文件。</w:t>
      </w:r>
      <w:r>
        <w:rPr>
          <w:rFonts w:hint="eastAsia" w:hAnsi="宋体"/>
          <w:bCs/>
          <w:color w:val="auto"/>
          <w:szCs w:val="21"/>
          <w:highlight w:val="none"/>
        </w:rPr>
        <w:t>详见在“供应商须知前附表”。</w:t>
      </w:r>
    </w:p>
    <w:p w14:paraId="2C1156B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3815B73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4663CC3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22. 首次响应文件的退回</w:t>
      </w:r>
    </w:p>
    <w:p w14:paraId="742EE2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6361546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 截止时间后的撤回</w:t>
      </w:r>
    </w:p>
    <w:p w14:paraId="7CFC7AF9">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p>
    <w:p w14:paraId="7B532541">
      <w:pPr>
        <w:pStyle w:val="4"/>
        <w:spacing w:before="0" w:after="0" w:line="360" w:lineRule="auto"/>
        <w:ind w:firstLine="640" w:firstLineChars="200"/>
        <w:rPr>
          <w:rFonts w:hint="eastAsia" w:ascii="宋体" w:hAnsi="宋体"/>
          <w:b w:val="0"/>
          <w:bCs w:val="0"/>
          <w:color w:val="auto"/>
          <w:highlight w:val="none"/>
        </w:rPr>
      </w:pPr>
      <w:bookmarkStart w:id="18" w:name="_Toc1987"/>
      <w:r>
        <w:rPr>
          <w:rFonts w:hint="eastAsia" w:ascii="宋体" w:hAnsi="宋体"/>
          <w:b w:val="0"/>
          <w:bCs w:val="0"/>
          <w:color w:val="auto"/>
          <w:highlight w:val="none"/>
        </w:rPr>
        <w:t>四、评审及磋商</w:t>
      </w:r>
      <w:bookmarkEnd w:id="18"/>
    </w:p>
    <w:p w14:paraId="234777F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3BB08F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CA7084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BC5DC3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25.首次响应文件的开启</w:t>
      </w:r>
    </w:p>
    <w:p w14:paraId="0FDDD8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54ADEC34">
      <w:pPr>
        <w:pStyle w:val="14"/>
        <w:spacing w:line="360" w:lineRule="auto"/>
        <w:ind w:firstLine="420" w:firstLineChars="200"/>
        <w:rPr>
          <w:rFonts w:hint="eastAsia" w:hAnsi="宋体"/>
          <w:bCs/>
          <w:color w:val="auto"/>
          <w:sz w:val="21"/>
          <w:highlight w:val="none"/>
        </w:rPr>
      </w:pPr>
      <w:r>
        <w:rPr>
          <w:rFonts w:hint="eastAsia" w:hAnsi="宋体" w:cs="宋体"/>
          <w:color w:val="auto"/>
          <w:sz w:val="21"/>
          <w:highlight w:val="none"/>
        </w:rPr>
        <w:t xml:space="preserve">25.2 </w:t>
      </w:r>
      <w:r>
        <w:rPr>
          <w:rFonts w:hint="eastAsia" w:hAnsi="宋体"/>
          <w:bCs/>
          <w:color w:val="auto"/>
          <w:sz w:val="21"/>
          <w:highlight w:val="none"/>
        </w:rPr>
        <w:t>响应文件解密</w:t>
      </w:r>
    </w:p>
    <w:p w14:paraId="51A65C82">
      <w:pPr>
        <w:pStyle w:val="14"/>
        <w:snapToGrid w:val="0"/>
        <w:spacing w:line="360" w:lineRule="auto"/>
        <w:ind w:firstLine="420" w:firstLineChars="200"/>
        <w:rPr>
          <w:rFonts w:hint="eastAsia" w:hAnsi="宋体"/>
          <w:color w:val="auto"/>
          <w:sz w:val="21"/>
          <w:highlight w:val="none"/>
        </w:rPr>
      </w:pPr>
      <w:r>
        <w:rPr>
          <w:rFonts w:hint="eastAsia" w:hAnsi="宋体"/>
          <w:bCs/>
          <w:color w:val="auto"/>
          <w:sz w:val="21"/>
          <w:highlight w:val="none"/>
        </w:rPr>
        <w:t>采购代理机构将在“供应商须知前附表”规定的时</w:t>
      </w:r>
      <w:r>
        <w:rPr>
          <w:rFonts w:hint="eastAsia" w:hAnsi="宋体"/>
          <w:color w:val="auto"/>
          <w:sz w:val="21"/>
          <w:highlight w:val="none"/>
        </w:rPr>
        <w:t>间通过电子交易平台组织响应文件开启，采购机构依托电子交易平台发起开始解密指令，供应商的法定代表人或其委托代理人</w:t>
      </w:r>
      <w:r>
        <w:rPr>
          <w:rFonts w:hint="eastAsia" w:hAnsi="宋体"/>
          <w:b/>
          <w:color w:val="auto"/>
          <w:sz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hAnsi="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auto"/>
          <w:sz w:val="21"/>
          <w:highlight w:val="none"/>
        </w:rPr>
        <w:t>视为响应文件无效。</w:t>
      </w:r>
      <w:r>
        <w:rPr>
          <w:rFonts w:hint="eastAsia" w:hAnsi="宋体"/>
          <w:color w:val="auto"/>
          <w:sz w:val="21"/>
          <w:highlight w:val="none"/>
        </w:rPr>
        <w:t>（解密</w:t>
      </w:r>
      <w:r>
        <w:rPr>
          <w:rFonts w:hint="eastAsia" w:hAnsi="宋体"/>
          <w:bCs/>
          <w:color w:val="auto"/>
          <w:sz w:val="21"/>
          <w:highlight w:val="none"/>
        </w:rPr>
        <w:t>异常情况处理：详见本章</w:t>
      </w:r>
      <w:r>
        <w:rPr>
          <w:rFonts w:hint="eastAsia" w:hAnsi="宋体"/>
          <w:color w:val="auto"/>
          <w:sz w:val="21"/>
          <w:highlight w:val="none"/>
        </w:rPr>
        <w:t>26.3 电子交易活动的中止。）</w:t>
      </w:r>
    </w:p>
    <w:p w14:paraId="70E3BE08">
      <w:pPr>
        <w:pStyle w:val="14"/>
        <w:spacing w:line="360" w:lineRule="auto"/>
        <w:ind w:firstLine="420" w:firstLineChars="200"/>
        <w:rPr>
          <w:rFonts w:hint="eastAsia"/>
          <w:color w:val="auto"/>
          <w:sz w:val="21"/>
          <w:highlight w:val="none"/>
        </w:rPr>
      </w:pPr>
      <w:r>
        <w:rPr>
          <w:rFonts w:hint="eastAsia" w:hAnsi="宋体"/>
          <w:color w:val="auto"/>
          <w:sz w:val="21"/>
          <w:highlight w:val="none"/>
        </w:rPr>
        <w:t>如</w:t>
      </w:r>
      <w:r>
        <w:rPr>
          <w:rFonts w:hint="eastAsia" w:hAnsi="宋体"/>
          <w:bCs/>
          <w:color w:val="auto"/>
          <w:sz w:val="21"/>
          <w:highlight w:val="none"/>
        </w:rPr>
        <w:t>供应商成功解密响应文件，但未在“广西政府采购云平台”电子开标大厅参加谈判的，视同认可谈判过程和结果，</w:t>
      </w:r>
      <w:r>
        <w:rPr>
          <w:rFonts w:hint="eastAsia" w:hAnsi="宋体"/>
          <w:color w:val="auto"/>
          <w:sz w:val="21"/>
          <w:highlight w:val="none"/>
        </w:rPr>
        <w:t>由此产生的后果由供应商自行负责。 参与谈判的供应商</w:t>
      </w:r>
      <w:r>
        <w:rPr>
          <w:rFonts w:hint="eastAsia"/>
          <w:color w:val="auto"/>
          <w:sz w:val="21"/>
          <w:highlight w:val="none"/>
        </w:rPr>
        <w:t>不足3家的，不得谈判。</w:t>
      </w:r>
    </w:p>
    <w:p w14:paraId="02B3843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26.评审程序、评审方法和评审标准</w:t>
      </w:r>
    </w:p>
    <w:p w14:paraId="214478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375DD824">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 xml:space="preserve">26.2 </w:t>
      </w:r>
      <w:r>
        <w:rPr>
          <w:rFonts w:hint="eastAsia" w:ascii="宋体" w:hAnsi="宋体" w:cs="宋体"/>
          <w:color w:val="auto"/>
          <w:szCs w:val="21"/>
          <w:highlight w:val="none"/>
        </w:rPr>
        <w:t>磋商文件内容违反国家有关强制性规定的，磋商小组应当停止评审并向采购人或者采购代理机构说明情况，并在评审报告中书面体现。</w:t>
      </w:r>
    </w:p>
    <w:p w14:paraId="670B895A">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 xml:space="preserve">26.3 </w:t>
      </w:r>
      <w:r>
        <w:rPr>
          <w:rFonts w:hint="eastAsia" w:ascii="宋体" w:hAnsi="宋体"/>
          <w:color w:val="auto"/>
          <w:szCs w:val="21"/>
          <w:highlight w:val="none"/>
        </w:rPr>
        <w:t>采购需求负偏离要求及磋商顺序详见 “ 供应商须知前附表”。</w:t>
      </w:r>
    </w:p>
    <w:p w14:paraId="7452C158">
      <w:pPr>
        <w:spacing w:line="360" w:lineRule="auto"/>
        <w:ind w:firstLine="420" w:firstLineChars="200"/>
        <w:rPr>
          <w:rFonts w:hint="eastAsia" w:ascii="宋体" w:hAnsi="宋体"/>
          <w:color w:val="auto"/>
          <w:highlight w:val="none"/>
        </w:rPr>
      </w:pPr>
      <w:r>
        <w:rPr>
          <w:rFonts w:hint="eastAsia" w:ascii="宋体" w:hAnsi="宋体"/>
          <w:color w:val="auto"/>
          <w:highlight w:val="none"/>
        </w:rPr>
        <w:t>26.4电子交易活动的中止。采购过程中出现以下情形，导致电子交易平台无法正常运行，或者无法保证电子交易的公平、公正和安全时，采购机构可中止电子交易活动：</w:t>
      </w:r>
    </w:p>
    <w:p w14:paraId="5F129659">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（1）电子交易平台发生故障而无法登录访问的； </w:t>
      </w:r>
    </w:p>
    <w:p w14:paraId="7290B303">
      <w:pPr>
        <w:spacing w:line="360" w:lineRule="auto"/>
        <w:ind w:firstLine="420" w:firstLineChars="200"/>
        <w:rPr>
          <w:rFonts w:hint="eastAsia" w:ascii="宋体" w:hAnsi="宋体"/>
          <w:color w:val="auto"/>
          <w:highlight w:val="none"/>
        </w:rPr>
      </w:pPr>
      <w:r>
        <w:rPr>
          <w:rFonts w:hint="eastAsia" w:ascii="宋体" w:hAnsi="宋体"/>
          <w:color w:val="auto"/>
          <w:highlight w:val="none"/>
        </w:rPr>
        <w:t>（2）电子交易平台应用或数据库出现错误，不能进行正常操作的；</w:t>
      </w:r>
    </w:p>
    <w:p w14:paraId="6AB0510C">
      <w:pPr>
        <w:spacing w:line="360" w:lineRule="auto"/>
        <w:ind w:firstLine="420" w:firstLineChars="200"/>
        <w:rPr>
          <w:rFonts w:hint="eastAsia" w:ascii="宋体" w:hAnsi="宋体"/>
          <w:color w:val="auto"/>
          <w:highlight w:val="none"/>
        </w:rPr>
      </w:pPr>
      <w:r>
        <w:rPr>
          <w:rFonts w:hint="eastAsia" w:ascii="宋体" w:hAnsi="宋体"/>
          <w:color w:val="auto"/>
          <w:highlight w:val="none"/>
        </w:rPr>
        <w:t>（3）电子交易平台发现严重安全漏洞，有潜在泄密危险的；</w:t>
      </w:r>
    </w:p>
    <w:p w14:paraId="659F0C9C">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（4）病毒发作导致不能进行正常操作的； </w:t>
      </w:r>
    </w:p>
    <w:p w14:paraId="6C741749">
      <w:pPr>
        <w:spacing w:line="360" w:lineRule="auto"/>
        <w:ind w:firstLine="420" w:firstLineChars="200"/>
        <w:rPr>
          <w:rFonts w:hint="eastAsia" w:ascii="宋体" w:hAnsi="宋体"/>
          <w:color w:val="auto"/>
          <w:highlight w:val="none"/>
        </w:rPr>
      </w:pPr>
      <w:r>
        <w:rPr>
          <w:rFonts w:hint="eastAsia" w:ascii="宋体" w:hAnsi="宋体"/>
          <w:color w:val="auto"/>
          <w:highlight w:val="none"/>
        </w:rPr>
        <w:t>（5）其他无法保证电子交易的公平、公正和安全的情况。</w:t>
      </w:r>
    </w:p>
    <w:p w14:paraId="02D015B6">
      <w:pPr>
        <w:spacing w:line="360" w:lineRule="auto"/>
        <w:ind w:firstLine="420" w:firstLineChars="200"/>
        <w:rPr>
          <w:rFonts w:hint="eastAsia" w:ascii="宋体" w:hAnsi="宋体"/>
          <w:color w:val="auto"/>
          <w:highlight w:val="none"/>
        </w:rPr>
      </w:pPr>
      <w:r>
        <w:rPr>
          <w:rFonts w:hint="eastAsia" w:ascii="宋体" w:hAnsi="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4E0C7B7">
      <w:pPr>
        <w:pStyle w:val="4"/>
        <w:spacing w:before="0" w:after="0" w:line="360" w:lineRule="auto"/>
        <w:ind w:firstLine="480" w:firstLineChars="150"/>
        <w:rPr>
          <w:rFonts w:hint="eastAsia" w:ascii="宋体" w:hAnsi="宋体"/>
          <w:b w:val="0"/>
          <w:bCs w:val="0"/>
          <w:color w:val="auto"/>
          <w:highlight w:val="none"/>
        </w:rPr>
      </w:pPr>
      <w:bookmarkStart w:id="19" w:name="_Toc13742"/>
      <w:r>
        <w:rPr>
          <w:rFonts w:hint="eastAsia" w:ascii="宋体" w:hAnsi="宋体"/>
          <w:b w:val="0"/>
          <w:bCs w:val="0"/>
          <w:color w:val="auto"/>
          <w:highlight w:val="none"/>
        </w:rPr>
        <w:t>五、成交及合同</w:t>
      </w:r>
      <w:bookmarkEnd w:id="19"/>
    </w:p>
    <w:p w14:paraId="6BBB443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27.确定成交供应商及结果公告</w:t>
      </w:r>
    </w:p>
    <w:p w14:paraId="206361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color w:val="auto"/>
          <w:kern w:val="0"/>
          <w:szCs w:val="21"/>
          <w:highlight w:val="none"/>
          <w:u w:val="single"/>
        </w:rPr>
        <w:t xml:space="preserve"> 由采购人直接委托评审专家确定</w:t>
      </w:r>
      <w:r>
        <w:rPr>
          <w:rFonts w:hint="eastAsia" w:ascii="宋体" w:hAnsi="宋体" w:cs="宋体"/>
          <w:color w:val="auto"/>
          <w:szCs w:val="21"/>
          <w:highlight w:val="none"/>
          <w:u w:val="single"/>
        </w:rPr>
        <w:t>，评审报告提出的排序第一的供应商为成交供应商。</w:t>
      </w:r>
    </w:p>
    <w:p w14:paraId="64B4B1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同时向成交供应商发出成交通知书，成交通知书规定签订合同的时间不得超过25日。</w:t>
      </w:r>
    </w:p>
    <w:p w14:paraId="0FC05C9C">
      <w:pPr>
        <w:spacing w:line="360" w:lineRule="auto"/>
        <w:ind w:firstLine="420" w:firstLineChars="200"/>
        <w:rPr>
          <w:rFonts w:hint="eastAsia" w:ascii="宋体" w:hAnsi="宋体" w:cs="Courier New"/>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w:t>
      </w:r>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p>
    <w:p w14:paraId="35A58F4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4191E49">
      <w:pPr>
        <w:spacing w:line="360" w:lineRule="auto"/>
        <w:ind w:firstLine="420" w:firstLineChars="200"/>
        <w:rPr>
          <w:rFonts w:hint="eastAsia" w:ascii="宋体" w:hAnsi="宋体" w:cs="宋体"/>
          <w:color w:val="auto"/>
          <w:szCs w:val="21"/>
          <w:highlight w:val="none"/>
        </w:rPr>
      </w:pPr>
      <w:r>
        <w:rPr>
          <w:rFonts w:hint="eastAsia" w:ascii="宋体" w:hAnsi="宋体"/>
          <w:bCs/>
          <w:color w:val="auto"/>
          <w:szCs w:val="21"/>
          <w:highlight w:val="none"/>
        </w:rPr>
        <w:t>27.5</w:t>
      </w:r>
      <w:r>
        <w:rPr>
          <w:rFonts w:hint="eastAsia" w:ascii="宋体" w:hAnsi="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7F7A8632">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28.履约保证金</w:t>
      </w:r>
    </w:p>
    <w:p w14:paraId="40D499BE">
      <w:pPr>
        <w:spacing w:line="360" w:lineRule="auto"/>
        <w:ind w:firstLine="420" w:firstLineChars="200"/>
        <w:rPr>
          <w:rFonts w:hint="eastAsia" w:ascii="黑体" w:hAnsi="黑体" w:eastAsia="黑体" w:cs="宋体"/>
          <w:b/>
          <w:bCs/>
          <w:color w:val="auto"/>
          <w:sz w:val="24"/>
          <w:highlight w:val="none"/>
        </w:rPr>
      </w:pPr>
      <w:r>
        <w:rPr>
          <w:rFonts w:hint="eastAsia" w:ascii="宋体" w:hAnsi="宋体" w:cs="宋体"/>
          <w:color w:val="auto"/>
          <w:szCs w:val="21"/>
          <w:highlight w:val="none"/>
        </w:rPr>
        <w:t>详见 “供应商须知前附表”</w:t>
      </w:r>
    </w:p>
    <w:p w14:paraId="0ED8959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29.签订合同</w:t>
      </w:r>
    </w:p>
    <w:p w14:paraId="0AC0596A">
      <w:pPr>
        <w:pStyle w:val="24"/>
        <w:snapToGrid w:val="0"/>
        <w:spacing w:before="0"/>
        <w:ind w:firstLine="420"/>
        <w:rPr>
          <w:rFonts w:hint="eastAsia" w:ascii="宋体" w:hAnsi="宋体"/>
          <w:color w:val="auto"/>
          <w:sz w:val="21"/>
          <w:szCs w:val="21"/>
          <w:highlight w:val="none"/>
          <w:lang w:val="zh-CN"/>
        </w:rPr>
      </w:pPr>
      <w:r>
        <w:rPr>
          <w:rFonts w:hint="eastAsia" w:ascii="宋体" w:hAnsi="宋体" w:cs="宋体"/>
          <w:color w:val="auto"/>
          <w:sz w:val="21"/>
          <w:szCs w:val="21"/>
          <w:highlight w:val="none"/>
        </w:rPr>
        <w:t>29.1</w:t>
      </w:r>
      <w:r>
        <w:rPr>
          <w:rFonts w:hint="eastAsia" w:ascii="宋体" w:hAnsi="宋体"/>
          <w:color w:val="auto"/>
          <w:sz w:val="21"/>
          <w:szCs w:val="21"/>
          <w:highlight w:val="none"/>
        </w:rPr>
        <w:t>采购人与成交供应商应当在</w:t>
      </w:r>
      <w:r>
        <w:rPr>
          <w:rFonts w:hint="eastAsia" w:ascii="宋体" w:hAnsi="宋体" w:cs="宋体"/>
          <w:color w:val="auto"/>
          <w:sz w:val="21"/>
          <w:szCs w:val="21"/>
          <w:highlight w:val="none"/>
        </w:rPr>
        <w:t>成交通知书规定的时间内</w:t>
      </w:r>
      <w:r>
        <w:rPr>
          <w:rFonts w:hint="eastAsia" w:ascii="宋体" w:hAnsi="宋体"/>
          <w:color w:val="auto"/>
          <w:sz w:val="21"/>
          <w:szCs w:val="21"/>
          <w:highlight w:val="none"/>
        </w:rPr>
        <w:t>，按照磋商文件确定的合同文本以及采购标的、服务技术、采购金额、采购数量、技术和服务要求等事项签订政府采购合同。</w:t>
      </w:r>
      <w:r>
        <w:rPr>
          <w:rFonts w:hint="eastAsia" w:ascii="宋体" w:hAnsi="宋体"/>
          <w:color w:val="auto"/>
          <w:sz w:val="21"/>
          <w:szCs w:val="21"/>
          <w:highlight w:val="none"/>
          <w:lang w:val="zh-CN"/>
        </w:rPr>
        <w:t>如成交供应商为联合体的，由联合体成员各方法定代表人或其授权代表与采购人代表签订合同。</w:t>
      </w:r>
    </w:p>
    <w:p w14:paraId="691BC7C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21CD5DC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4FCBAF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29.4如签订合同并生效后，供应商无故拒绝或延期，除按照合同条款处理外，列入不良行为记录，并给予通报。</w:t>
      </w:r>
    </w:p>
    <w:p w14:paraId="603D6DD7">
      <w:pPr>
        <w:pStyle w:val="24"/>
        <w:spacing w:before="0"/>
        <w:ind w:firstLine="420"/>
        <w:rPr>
          <w:rFonts w:hint="eastAsia" w:ascii="宋体" w:hAnsi="宋体" w:cs="宋体"/>
          <w:color w:val="auto"/>
          <w:szCs w:val="21"/>
          <w:highlight w:val="none"/>
        </w:rPr>
      </w:pPr>
      <w:r>
        <w:rPr>
          <w:rFonts w:hint="eastAsia" w:ascii="宋体" w:hAnsi="宋体" w:cs="仿宋_GB2312"/>
          <w:color w:val="auto"/>
          <w:sz w:val="21"/>
          <w:szCs w:val="21"/>
          <w:highlight w:val="none"/>
        </w:rPr>
        <w:t>29.5采购合同由采购人与成交供应商根据</w:t>
      </w:r>
      <w:r>
        <w:rPr>
          <w:rFonts w:hint="eastAsia" w:ascii="宋体" w:hAnsi="宋体"/>
          <w:color w:val="auto"/>
          <w:sz w:val="21"/>
          <w:szCs w:val="21"/>
          <w:highlight w:val="none"/>
        </w:rPr>
        <w:t>磋商文件</w:t>
      </w:r>
      <w:r>
        <w:rPr>
          <w:rFonts w:hint="eastAsia" w:ascii="宋体" w:hAnsi="宋体" w:cs="仿宋_GB2312"/>
          <w:color w:val="auto"/>
          <w:sz w:val="21"/>
          <w:szCs w:val="21"/>
          <w:highlight w:val="none"/>
        </w:rPr>
        <w:t>、响应文件等内容通过政府采购电子交易平台在线签订，自动备案，在线签订须携带的材料见“</w:t>
      </w:r>
      <w:r>
        <w:rPr>
          <w:color w:val="auto"/>
          <w:highlight w:val="none"/>
        </w:rPr>
        <w:t xml:space="preserve"> </w:t>
      </w:r>
      <w:r>
        <w:rPr>
          <w:rFonts w:hint="eastAsia" w:ascii="宋体" w:hAnsi="宋体" w:cs="仿宋_GB2312"/>
          <w:color w:val="auto"/>
          <w:sz w:val="21"/>
          <w:szCs w:val="21"/>
          <w:highlight w:val="none"/>
        </w:rPr>
        <w:t>供应商须</w:t>
      </w:r>
      <w:r>
        <w:rPr>
          <w:rFonts w:hint="eastAsia" w:ascii="宋体" w:hAnsi="宋体"/>
          <w:color w:val="auto"/>
          <w:sz w:val="21"/>
          <w:szCs w:val="21"/>
          <w:highlight w:val="none"/>
        </w:rPr>
        <w:t>知前附表</w:t>
      </w:r>
      <w:r>
        <w:rPr>
          <w:rFonts w:hint="eastAsia" w:ascii="宋体" w:hAnsi="宋体" w:cs="仿宋_GB2312"/>
          <w:color w:val="auto"/>
          <w:sz w:val="21"/>
          <w:szCs w:val="21"/>
          <w:highlight w:val="none"/>
        </w:rPr>
        <w:t>”。</w:t>
      </w:r>
    </w:p>
    <w:p w14:paraId="0DDEAA9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30.政府采购合同公告</w:t>
      </w:r>
    </w:p>
    <w:p w14:paraId="77F675C1">
      <w:pPr>
        <w:spacing w:line="360" w:lineRule="auto"/>
        <w:ind w:firstLine="420" w:firstLineChars="200"/>
        <w:rPr>
          <w:rFonts w:hint="eastAsia" w:hAnsi="宋体"/>
          <w:color w:val="auto"/>
          <w:highlight w:val="none"/>
        </w:rPr>
      </w:pPr>
      <w:r>
        <w:rPr>
          <w:rFonts w:hint="eastAsia" w:hAnsi="宋体"/>
          <w:color w:val="auto"/>
          <w:highlight w:val="none"/>
        </w:rPr>
        <w:t>采购人或者受托采购代理机构应当自政府采购合同签订之日起</w:t>
      </w:r>
      <w:r>
        <w:rPr>
          <w:rFonts w:hAnsi="宋体"/>
          <w:color w:val="auto"/>
          <w:highlight w:val="none"/>
        </w:rPr>
        <w:t>2</w:t>
      </w:r>
      <w:r>
        <w:rPr>
          <w:rFonts w:hint="eastAsia" w:hAnsi="宋体"/>
          <w:color w:val="auto"/>
          <w:highlight w:val="none"/>
        </w:rPr>
        <w:t>个工作日内，将政府采购合同</w:t>
      </w:r>
      <w:r>
        <w:rPr>
          <w:rFonts w:hint="eastAsia" w:ascii="宋体" w:hAnsi="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hAnsi="宋体"/>
          <w:color w:val="auto"/>
          <w:highlight w:val="none"/>
        </w:rPr>
        <w:t>上公告，但政府采购合同中涉及国家秘密、商业秘密的内容除外。</w:t>
      </w:r>
    </w:p>
    <w:p w14:paraId="37E8339F">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31. 询问、质疑和投诉</w:t>
      </w:r>
    </w:p>
    <w:p w14:paraId="161B34C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20BBFFF7">
      <w:pPr>
        <w:spacing w:line="360" w:lineRule="auto"/>
        <w:ind w:firstLine="420" w:firstLineChars="200"/>
        <w:rPr>
          <w:rFonts w:hint="eastAsia" w:ascii="宋体" w:hAnsi="宋体"/>
          <w:b/>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Arial"/>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b/>
          <w:color w:val="auto"/>
          <w:szCs w:val="21"/>
          <w:highlight w:val="none"/>
        </w:rPr>
        <w:t xml:space="preserve">具体质疑起算时间及处理方式如下： </w:t>
      </w:r>
    </w:p>
    <w:p w14:paraId="074A0FB6">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）潜在供应商依法获取采购文件后，认为采购文件使自己的权益受到损害的，应当在竞争性磋商采购文件公告期限届满之日起</w:t>
      </w:r>
      <w:r>
        <w:rPr>
          <w:rFonts w:hAnsi="宋体"/>
          <w:bCs/>
          <w:color w:val="auto"/>
          <w:highlight w:val="none"/>
        </w:rPr>
        <w:t>7</w:t>
      </w:r>
      <w:r>
        <w:rPr>
          <w:rFonts w:hint="eastAsia" w:hAnsi="宋体"/>
          <w:bCs/>
          <w:color w:val="auto"/>
          <w:highlight w:val="none"/>
        </w:rPr>
        <w:t>个工作日内提出质疑。</w:t>
      </w:r>
      <w:r>
        <w:rPr>
          <w:rFonts w:hint="eastAsia"/>
          <w:color w:val="auto"/>
          <w:highlight w:val="none"/>
        </w:rPr>
        <w:t>委托代理协议无特殊约定的，</w:t>
      </w:r>
      <w:r>
        <w:rPr>
          <w:rFonts w:hint="eastAsia" w:hAnsi="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73F62E92">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）供应商认为采购过程使自己的权益受到损害的，应当在各采购程序环节结束之日起</w:t>
      </w:r>
      <w:r>
        <w:rPr>
          <w:rFonts w:hAnsi="宋体"/>
          <w:bCs/>
          <w:color w:val="auto"/>
          <w:highlight w:val="none"/>
        </w:rPr>
        <w:t>7</w:t>
      </w:r>
      <w:r>
        <w:rPr>
          <w:rFonts w:hint="eastAsia" w:hAnsi="宋体"/>
          <w:bCs/>
          <w:color w:val="auto"/>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74E087BB">
      <w:pPr>
        <w:spacing w:line="360" w:lineRule="auto"/>
        <w:ind w:firstLine="420" w:firstLineChars="200"/>
        <w:rPr>
          <w:rFonts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）供应商认为成交结果使自己的权益受到损害的，应当在成交结果公告期限届满之日起</w:t>
      </w:r>
      <w:r>
        <w:rPr>
          <w:rFonts w:hAnsi="宋体"/>
          <w:bCs/>
          <w:color w:val="auto"/>
          <w:highlight w:val="none"/>
        </w:rPr>
        <w:t>7</w:t>
      </w:r>
      <w:r>
        <w:rPr>
          <w:rFonts w:hint="eastAsia" w:hAnsi="宋体"/>
          <w:bCs/>
          <w:color w:val="auto"/>
          <w:highlight w:val="none"/>
        </w:rPr>
        <w:t>个工作日内提出质疑，由采购人受理并负责答复。</w:t>
      </w:r>
    </w:p>
    <w:p w14:paraId="4C5057E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1C3CE49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3E61C7C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2693AAC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1636872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0D7554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143EDD3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06C896E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277F5D1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4F21BA8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E2A0F4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324F285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3A0D96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1B3F8F8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591DF5C6">
      <w:pPr>
        <w:pStyle w:val="4"/>
        <w:spacing w:before="0" w:after="0" w:line="360" w:lineRule="auto"/>
        <w:ind w:firstLine="315" w:firstLineChars="98"/>
        <w:rPr>
          <w:rFonts w:hint="eastAsia" w:ascii="宋体" w:hAnsi="宋体"/>
          <w:b w:val="0"/>
          <w:color w:val="auto"/>
          <w:highlight w:val="none"/>
        </w:rPr>
      </w:pPr>
      <w:bookmarkStart w:id="20" w:name="_Toc6940"/>
      <w:r>
        <w:rPr>
          <w:rFonts w:hint="eastAsia" w:ascii="宋体" w:hAnsi="宋体"/>
          <w:color w:val="auto"/>
          <w:highlight w:val="none"/>
        </w:rPr>
        <w:t>六</w:t>
      </w:r>
      <w:r>
        <w:rPr>
          <w:rFonts w:hint="eastAsia" w:ascii="宋体" w:hAnsi="宋体"/>
          <w:b w:val="0"/>
          <w:color w:val="auto"/>
          <w:highlight w:val="none"/>
        </w:rPr>
        <w:t>、验收</w:t>
      </w:r>
      <w:bookmarkEnd w:id="20"/>
    </w:p>
    <w:p w14:paraId="3FBA1A05">
      <w:pPr>
        <w:tabs>
          <w:tab w:val="left" w:pos="0"/>
        </w:tabs>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3F88F1F2">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B8A92C9">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rPr>
        <w:t>32.2采购人可以邀请参加本项目的其他供应商或者第三方机构参与验收。参与验收的供应商或者第三方机构的意见作为验收书的参考资料一并存档。</w:t>
      </w:r>
    </w:p>
    <w:p w14:paraId="28675B8E">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866C249">
      <w:p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Helvetica"/>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826C23C">
      <w:pPr>
        <w:pStyle w:val="4"/>
        <w:spacing w:before="0" w:after="0" w:line="360" w:lineRule="auto"/>
        <w:ind w:firstLine="320" w:firstLineChars="100"/>
        <w:rPr>
          <w:rFonts w:hint="eastAsia" w:ascii="宋体" w:hAnsi="宋体"/>
          <w:b w:val="0"/>
          <w:bCs w:val="0"/>
          <w:color w:val="auto"/>
          <w:highlight w:val="none"/>
        </w:rPr>
      </w:pPr>
      <w:bookmarkStart w:id="21" w:name="_Toc30576"/>
      <w:r>
        <w:rPr>
          <w:rFonts w:hint="eastAsia" w:ascii="宋体" w:hAnsi="宋体"/>
          <w:b w:val="0"/>
          <w:bCs w:val="0"/>
          <w:color w:val="auto"/>
          <w:highlight w:val="none"/>
        </w:rPr>
        <w:t>七、其他事项</w:t>
      </w:r>
      <w:bookmarkEnd w:id="21"/>
    </w:p>
    <w:p w14:paraId="63B5CF9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33.代理服务费</w:t>
      </w:r>
    </w:p>
    <w:p w14:paraId="2354CD7A">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代理服务收费标准及缴费账户详见“供应商须知前附表”，供应商为联合体的，可以由联合体中的一方或者多方共同交纳代理服务费。</w:t>
      </w:r>
    </w:p>
    <w:p w14:paraId="228E1A5F">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34.需要补充的其他内容</w:t>
      </w:r>
    </w:p>
    <w:p w14:paraId="41EE7CC3">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34.1本磋商文件解释规则详见“供应商须知前附表”。</w:t>
      </w:r>
    </w:p>
    <w:p w14:paraId="58460ED6">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34.2 其他事项详见“供应商须知前附表”。</w:t>
      </w:r>
    </w:p>
    <w:p w14:paraId="38711755">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59BAB83B">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1EC8B7A3">
      <w:pPr>
        <w:pStyle w:val="14"/>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22A43F1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35. 政采贷相关说明</w:t>
      </w:r>
    </w:p>
    <w:p w14:paraId="10DEC821">
      <w:pPr>
        <w:pStyle w:val="14"/>
        <w:spacing w:line="360" w:lineRule="auto"/>
        <w:ind w:firstLine="420" w:firstLineChars="200"/>
        <w:textAlignment w:val="center"/>
        <w:rPr>
          <w:rFonts w:hint="eastAsia" w:hAnsi="宋体"/>
          <w:color w:val="auto"/>
          <w:sz w:val="21"/>
          <w:highlight w:val="none"/>
        </w:rPr>
      </w:pPr>
      <w:r>
        <w:rPr>
          <w:rFonts w:hint="eastAsia" w:hAnsi="宋体"/>
          <w:color w:val="auto"/>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688DC9D1">
      <w:pPr>
        <w:pStyle w:val="14"/>
        <w:numPr>
          <w:ilvl w:val="0"/>
          <w:numId w:val="2"/>
        </w:numPr>
        <w:spacing w:line="360" w:lineRule="auto"/>
        <w:ind w:firstLine="420" w:firstLineChars="200"/>
        <w:textAlignment w:val="center"/>
        <w:rPr>
          <w:rFonts w:hint="eastAsia" w:hAnsi="宋体"/>
          <w:color w:val="auto"/>
          <w:sz w:val="21"/>
          <w:highlight w:val="none"/>
        </w:rPr>
      </w:pPr>
      <w:r>
        <w:rPr>
          <w:rFonts w:hint="eastAsia" w:hAnsi="宋体"/>
          <w:color w:val="auto"/>
          <w:sz w:val="21"/>
          <w:highlight w:val="none"/>
        </w:rPr>
        <w:t>线下渠道：在“南宁市公共资源交易中心”官网（网址：</w:t>
      </w:r>
      <w:r>
        <w:rPr>
          <w:rFonts w:hint="eastAsia" w:hAnsi="宋体"/>
          <w:color w:val="auto"/>
          <w:sz w:val="21"/>
          <w:highlight w:val="none"/>
        </w:rPr>
        <w:fldChar w:fldCharType="begin"/>
      </w:r>
      <w:r>
        <w:rPr>
          <w:rFonts w:hint="eastAsia" w:hAnsi="宋体"/>
          <w:color w:val="auto"/>
          <w:sz w:val="21"/>
          <w:highlight w:val="none"/>
        </w:rPr>
        <w:instrText xml:space="preserve"> HYPERLINK "http://www.nnggzy.org.cn）\“交易信息-政府采购-政府采购信用融资\”中融资银行和南宁市企业融资服务中心专栏信息申请政府采购信用融资。" </w:instrText>
      </w:r>
      <w:r>
        <w:rPr>
          <w:rFonts w:hint="eastAsia" w:hAnsi="宋体"/>
          <w:color w:val="auto"/>
          <w:sz w:val="21"/>
          <w:highlight w:val="none"/>
        </w:rPr>
        <w:fldChar w:fldCharType="separate"/>
      </w:r>
      <w:r>
        <w:rPr>
          <w:rStyle w:val="23"/>
          <w:rFonts w:hint="eastAsia" w:hAnsi="宋体"/>
          <w:color w:val="auto"/>
          <w:sz w:val="21"/>
          <w:highlight w:val="none"/>
        </w:rPr>
        <w:t>http://www.nnggzy.org.cn）“交易信息-政府采购-政府采购信用融资”中融资银行和南宁市企业融资服务中心专栏信息申请政府采购信用融资。</w:t>
      </w:r>
      <w:r>
        <w:rPr>
          <w:rFonts w:hint="eastAsia" w:hAnsi="宋体"/>
          <w:color w:val="auto"/>
          <w:sz w:val="21"/>
          <w:highlight w:val="none"/>
        </w:rPr>
        <w:fldChar w:fldCharType="end"/>
      </w:r>
    </w:p>
    <w:p w14:paraId="73723342">
      <w:pPr>
        <w:pStyle w:val="14"/>
        <w:numPr>
          <w:ilvl w:val="0"/>
          <w:numId w:val="2"/>
        </w:numPr>
        <w:spacing w:line="360" w:lineRule="auto"/>
        <w:ind w:firstLine="402" w:firstLineChars="200"/>
        <w:textAlignment w:val="center"/>
        <w:rPr>
          <w:rFonts w:hint="eastAsia"/>
          <w:color w:val="auto"/>
          <w:highlight w:val="none"/>
        </w:rPr>
      </w:pPr>
      <w:r>
        <w:rPr>
          <w:rFonts w:hint="eastAsia" w:hAnsi="宋体"/>
          <w:b/>
          <w:color w:val="auto"/>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b/>
          <w:color w:val="auto"/>
          <w:highlight w:val="none"/>
        </w:rPr>
        <w:br w:type="page"/>
      </w:r>
    </w:p>
    <w:p w14:paraId="7547C740">
      <w:pPr>
        <w:pStyle w:val="2"/>
        <w:jc w:val="center"/>
        <w:rPr>
          <w:rFonts w:hint="eastAsia"/>
          <w:color w:val="auto"/>
          <w:highlight w:val="none"/>
        </w:rPr>
      </w:pPr>
      <w:bookmarkStart w:id="22" w:name="_Toc28172"/>
      <w:r>
        <w:rPr>
          <w:rFonts w:hint="eastAsia"/>
          <w:color w:val="auto"/>
          <w:highlight w:val="none"/>
        </w:rPr>
        <w:t>第四章</w:t>
      </w:r>
      <w:r>
        <w:rPr>
          <w:color w:val="auto"/>
          <w:highlight w:val="none"/>
        </w:rPr>
        <w:t xml:space="preserve">  </w:t>
      </w:r>
      <w:r>
        <w:rPr>
          <w:rFonts w:hint="eastAsia"/>
          <w:color w:val="auto"/>
          <w:highlight w:val="none"/>
        </w:rPr>
        <w:t>评审程序、评审方法和评审标准</w:t>
      </w:r>
      <w:bookmarkEnd w:id="22"/>
    </w:p>
    <w:p w14:paraId="4679B114">
      <w:pPr>
        <w:pStyle w:val="3"/>
        <w:jc w:val="center"/>
        <w:rPr>
          <w:rFonts w:ascii="宋体" w:hAnsi="宋体"/>
          <w:b w:val="0"/>
          <w:color w:val="auto"/>
          <w:highlight w:val="none"/>
        </w:rPr>
      </w:pPr>
      <w:bookmarkStart w:id="23" w:name="_Toc4899"/>
      <w:r>
        <w:rPr>
          <w:rFonts w:hint="eastAsia" w:ascii="宋体" w:hAnsi="宋体"/>
          <w:b w:val="0"/>
          <w:color w:val="auto"/>
          <w:highlight w:val="none"/>
        </w:rPr>
        <w:t>第一节 评审程序和评审方法</w:t>
      </w:r>
      <w:bookmarkEnd w:id="23"/>
    </w:p>
    <w:p w14:paraId="68DC80D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1.确认磋商文件</w:t>
      </w:r>
    </w:p>
    <w:p w14:paraId="4F0452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由磋商小组确认磋商文件。</w:t>
      </w:r>
    </w:p>
    <w:p w14:paraId="5DF8690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01525413">
      <w:pPr>
        <w:snapToGrid w:val="0"/>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2.1</w:t>
      </w:r>
      <w:r>
        <w:rPr>
          <w:rFonts w:hint="eastAsia" w:ascii="宋体" w:hAnsi="宋体"/>
          <w:color w:val="auto"/>
          <w:szCs w:val="21"/>
          <w:highlight w:val="none"/>
        </w:rPr>
        <w:t>响应文件开启后，磋商小组依法对供应商的资格证明文件进行审查。</w:t>
      </w:r>
    </w:p>
    <w:p w14:paraId="6743E8D1">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5A29D1D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（1）查询渠道：“广西政府采购云平台”平台“信用中国”网站(</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"http://www.creditchina.gov.cn" </w:instrText>
      </w:r>
      <w:r>
        <w:rPr>
          <w:rFonts w:ascii="宋体" w:hAnsi="宋体" w:cs="宋体"/>
          <w:color w:val="auto"/>
          <w:szCs w:val="21"/>
          <w:highlight w:val="none"/>
        </w:rPr>
        <w:fldChar w:fldCharType="separate"/>
      </w:r>
      <w:r>
        <w:rPr>
          <w:rStyle w:val="23"/>
          <w:rFonts w:hAnsi="宋体" w:cs="宋体"/>
          <w:color w:val="auto"/>
          <w:highlight w:val="none"/>
        </w:rPr>
        <w:t>www.creditchina.gov.cn</w:t>
      </w:r>
      <w:r>
        <w:rPr>
          <w:rFonts w:ascii="宋体" w:hAnsi="宋体" w:cs="宋体"/>
          <w:color w:val="auto"/>
          <w:szCs w:val="21"/>
          <w:highlight w:val="none"/>
        </w:rPr>
        <w:fldChar w:fldCharType="end"/>
      </w:r>
      <w:r>
        <w:rPr>
          <w:rFonts w:hint="eastAsia" w:ascii="宋体" w:hAnsi="宋体" w:cs="宋体"/>
          <w:color w:val="auto"/>
          <w:szCs w:val="21"/>
          <w:highlight w:val="none"/>
        </w:rPr>
        <w:t>)、中国政府采购网(</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"http://www.ccgp.gov.cn" </w:instrText>
      </w:r>
      <w:r>
        <w:rPr>
          <w:rFonts w:ascii="宋体" w:hAnsi="宋体" w:cs="宋体"/>
          <w:color w:val="auto"/>
          <w:szCs w:val="21"/>
          <w:highlight w:val="none"/>
        </w:rPr>
        <w:fldChar w:fldCharType="separate"/>
      </w:r>
      <w:r>
        <w:rPr>
          <w:rStyle w:val="23"/>
          <w:rFonts w:hAnsi="宋体" w:cs="宋体"/>
          <w:color w:val="auto"/>
          <w:highlight w:val="none"/>
        </w:rPr>
        <w:t>www.ccgp.gov.cn</w:t>
      </w:r>
      <w:r>
        <w:rPr>
          <w:rFonts w:ascii="宋体" w:hAnsi="宋体" w:cs="宋体"/>
          <w:color w:val="auto"/>
          <w:szCs w:val="21"/>
          <w:highlight w:val="none"/>
        </w:rPr>
        <w:fldChar w:fldCharType="end"/>
      </w:r>
      <w:r>
        <w:rPr>
          <w:rFonts w:hint="eastAsia" w:ascii="宋体" w:hAnsi="宋体" w:cs="宋体"/>
          <w:color w:val="auto"/>
          <w:szCs w:val="21"/>
          <w:highlight w:val="none"/>
        </w:rPr>
        <w:t>)链接入口。</w:t>
      </w:r>
    </w:p>
    <w:p w14:paraId="608646C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3E9866F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3A5301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w:t>
      </w:r>
      <w:r>
        <w:rPr>
          <w:rFonts w:hint="eastAsia" w:ascii="宋体" w:hAnsi="宋体" w:cs="宋体"/>
          <w:b w:val="0"/>
          <w:bCs w:val="0"/>
          <w:color w:val="auto"/>
          <w:szCs w:val="21"/>
          <w:highlight w:val="none"/>
        </w:rPr>
        <w:t>执行人、</w:t>
      </w:r>
      <w:r>
        <w:rPr>
          <w:b w:val="0"/>
          <w:bCs w:val="0"/>
          <w:color w:val="auto"/>
          <w:highlight w:val="none"/>
        </w:rPr>
        <w:t>重大税收违法失信主体</w:t>
      </w:r>
      <w:r>
        <w:rPr>
          <w:rFonts w:hint="eastAsia" w:ascii="宋体" w:hAnsi="宋体" w:cs="宋体"/>
          <w:b w:val="0"/>
          <w:bCs w:val="0"/>
          <w:color w:val="auto"/>
          <w:szCs w:val="21"/>
          <w:highlight w:val="none"/>
        </w:rPr>
        <w:t>、政府</w:t>
      </w:r>
      <w:r>
        <w:rPr>
          <w:rFonts w:hint="eastAsia" w:ascii="宋体" w:hAnsi="宋体" w:cs="宋体"/>
          <w:color w:val="auto"/>
          <w:szCs w:val="21"/>
          <w:highlight w:val="none"/>
        </w:rPr>
        <w:t>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8112A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665740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3871918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28AAF7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058785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3AA9CB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p>
    <w:p w14:paraId="1DB934E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5D52D128">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62A2A0B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的响应文件的响应报价、商务、技术等实质性要求进行符合性审查，以确定其是否满足磋商文件的实质性要求。</w:t>
      </w:r>
    </w:p>
    <w:p w14:paraId="070A51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7D183C">
      <w:pPr>
        <w:spacing w:line="360" w:lineRule="auto"/>
        <w:ind w:firstLine="420" w:firstLineChars="200"/>
        <w:rPr>
          <w:rFonts w:hint="eastAsia"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721BCA64">
      <w:pPr>
        <w:spacing w:line="360" w:lineRule="auto"/>
        <w:ind w:firstLine="396" w:firstLineChars="200"/>
        <w:rPr>
          <w:rFonts w:hint="eastAsia"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08C0689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4A3C04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2EFC97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77A021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4082FB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2172E88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3.5商务技术、报价评审</w:t>
      </w:r>
    </w:p>
    <w:p w14:paraId="620AE6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3552F4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（1）商务技术评审</w:t>
      </w:r>
    </w:p>
    <w:p w14:paraId="55BFDC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45B5A7C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2AB1B5F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C9264B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4）商务条款中标“▲”的条款发生负偏离的或者允许负偏离的条款数超过“供应商须知前附表”规定项数的或者标明实质性的要求发生负偏离；</w:t>
      </w:r>
    </w:p>
    <w:p w14:paraId="655EE2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2FFEDF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7D7FEF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285A26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0D1507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449EF5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47DBF3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1E578C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12）竞标技术方案不明确，磋商文件未允许</w:t>
      </w:r>
      <w:r>
        <w:rPr>
          <w:rFonts w:hint="eastAsia" w:ascii="宋体" w:hAnsi="宋体"/>
          <w:color w:val="auto"/>
          <w:szCs w:val="21"/>
          <w:highlight w:val="none"/>
        </w:rPr>
        <w:t>但响应文件中</w:t>
      </w:r>
      <w:r>
        <w:rPr>
          <w:rFonts w:hint="eastAsia" w:ascii="宋体" w:hAnsi="宋体" w:cs="宋体"/>
          <w:color w:val="auto"/>
          <w:szCs w:val="21"/>
          <w:highlight w:val="none"/>
        </w:rPr>
        <w:t>存在一个或者一个以上备选（替代）竞标方案；</w:t>
      </w:r>
    </w:p>
    <w:p w14:paraId="7333FC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1C9578D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14）未响应磋商文件实质性要求；</w:t>
      </w:r>
    </w:p>
    <w:p w14:paraId="48F553A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15）法律、法规和磋商文件规定的其他无效情形。</w:t>
      </w:r>
    </w:p>
    <w:p w14:paraId="3A406D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（2）报价评审</w:t>
      </w:r>
    </w:p>
    <w:p w14:paraId="65469D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2BF54F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54FEF2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8D3C3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4A4B65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3D20E72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76F812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F3E36C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3.7非</w:t>
      </w:r>
      <w:r>
        <w:rPr>
          <w:rFonts w:hint="eastAsia" w:ascii="宋体" w:hAnsi="宋体"/>
          <w:color w:val="auto"/>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5AE1855">
      <w:pPr>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4.磋商程序</w:t>
      </w:r>
    </w:p>
    <w:p w14:paraId="580A313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0278514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06D31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7CAAE8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605844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4.5磋商中，</w:t>
      </w:r>
      <w:r>
        <w:rPr>
          <w:rFonts w:hint="eastAsia" w:ascii="宋体" w:hAnsi="宋体" w:cs="宋体"/>
          <w:color w:val="auto"/>
          <w:spacing w:val="-6"/>
          <w:szCs w:val="21"/>
          <w:highlight w:val="none"/>
        </w:rPr>
        <w:t>磋商的任何一方不得透露与磋商有关的其他供应商的技术资料、价格和其他信息。</w:t>
      </w:r>
    </w:p>
    <w:p w14:paraId="4751A79D">
      <w:pPr>
        <w:widowControl/>
        <w:tabs>
          <w:tab w:val="left" w:pos="540"/>
        </w:tabs>
        <w:spacing w:line="360" w:lineRule="auto"/>
        <w:ind w:firstLine="420" w:firstLineChars="200"/>
        <w:jc w:val="left"/>
        <w:rPr>
          <w:rFonts w:hint="eastAsia" w:ascii="仿宋" w:hAnsi="仿宋" w:eastAsia="仿宋" w:cs="仿宋_GB2312"/>
          <w:b/>
          <w:color w:val="auto"/>
          <w:highlight w:val="none"/>
        </w:rPr>
      </w:pPr>
      <w:r>
        <w:rPr>
          <w:rFonts w:hint="eastAsia" w:ascii="宋体" w:hAnsi="宋体" w:cs="宋体"/>
          <w:color w:val="auto"/>
          <w:szCs w:val="21"/>
          <w:highlight w:val="none"/>
        </w:rPr>
        <w:t>4.6磋商小组应对磋商过程和重要磋商内容进行记录，作为评标报告一部分，磋商小组在记录上签字确认。</w:t>
      </w:r>
      <w:r>
        <w:rPr>
          <w:rFonts w:hint="eastAsia" w:ascii="仿宋" w:hAnsi="仿宋" w:eastAsia="仿宋" w:cs="仿宋_GB2312"/>
          <w:b/>
          <w:color w:val="auto"/>
          <w:highlight w:val="none"/>
        </w:rPr>
        <w:t>主要内容包括：</w:t>
      </w:r>
    </w:p>
    <w:p w14:paraId="018DD450">
      <w:pPr>
        <w:pStyle w:val="24"/>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3D5D7B26">
      <w:pPr>
        <w:pStyle w:val="24"/>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2C6393C8">
      <w:pPr>
        <w:pStyle w:val="24"/>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137B768A">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123750F9">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4.8</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14CDA08E">
      <w:pPr>
        <w:ind w:firstLine="200"/>
        <w:rPr>
          <w:rFonts w:hint="eastAsia" w:ascii="宋体" w:hAnsi="宋体" w:cs="宋体"/>
          <w:color w:val="auto"/>
          <w:szCs w:val="21"/>
          <w:highlight w:val="none"/>
        </w:rPr>
      </w:pPr>
      <w:r>
        <w:rPr>
          <w:rFonts w:hint="eastAsia" w:ascii="黑体" w:hAnsi="黑体" w:eastAsia="黑体" w:cs="宋体"/>
          <w:b/>
          <w:bCs/>
          <w:color w:val="auto"/>
          <w:sz w:val="24"/>
          <w:highlight w:val="none"/>
        </w:rPr>
        <w:t>5. 最后报价</w:t>
      </w:r>
    </w:p>
    <w:p w14:paraId="3A60B5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4007374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6CE858A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17B9269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48233C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w:t>
      </w:r>
    </w:p>
    <w:p w14:paraId="0660CF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5.6磋商小组收齐某一分标最后报价后统一开启，磋商小组对最后报价进行有效性、完整性和响应程度的审查。</w:t>
      </w:r>
    </w:p>
    <w:p w14:paraId="3D48823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732DAF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5.8修正后的最终报价出现下列情形的，按无效响应处理：</w:t>
      </w:r>
    </w:p>
    <w:p w14:paraId="62D229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7852B0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631579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5D274B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2C85C8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762F28D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726253E4">
      <w:pPr>
        <w:ind w:firstLine="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6.比较与评价</w:t>
      </w:r>
    </w:p>
    <w:p w14:paraId="4E4617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6.1评审方法：综合评分法。</w:t>
      </w:r>
    </w:p>
    <w:p w14:paraId="3B19AB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7F0DD9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2E334D1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1A90664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（2）磋商小组按照磋商文件中规定的评审标准计算各供应商的报价得分。项目评审过程中，不得去掉最后报价中的最高报价和最低报价。</w:t>
      </w:r>
    </w:p>
    <w:p w14:paraId="49947A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（3）各供应商的得分为磋商小组所有成员的有效评分的算术平均数。</w:t>
      </w:r>
    </w:p>
    <w:p w14:paraId="103936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2D297052">
      <w:pPr>
        <w:spacing w:line="360" w:lineRule="auto"/>
        <w:ind w:firstLine="420" w:firstLineChars="200"/>
        <w:rPr>
          <w:rFonts w:hint="eastAsia" w:ascii="宋体" w:hAnsi="宋体"/>
          <w:color w:val="auto"/>
          <w:kern w:val="0"/>
          <w:szCs w:val="21"/>
          <w:highlight w:val="none"/>
        </w:rPr>
      </w:pPr>
      <w:r>
        <w:rPr>
          <w:rFonts w:hint="eastAsia" w:ascii="宋体" w:hAnsi="宋体" w:cs="宋体"/>
          <w:color w:val="auto"/>
          <w:szCs w:val="21"/>
          <w:highlight w:val="none"/>
        </w:rPr>
        <w:t>6.5由磋商小组根据综合评分情况，按照评审得分由高到低顺序推荐3名以上成交候选供应商，并编写评</w:t>
      </w:r>
      <w:r>
        <w:rPr>
          <w:rFonts w:hint="eastAsia" w:ascii="宋体" w:hAnsi="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CFDF0ED">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819F5D1">
      <w:pPr>
        <w:spacing w:line="360" w:lineRule="auto"/>
        <w:ind w:firstLine="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7.评审复核</w:t>
      </w:r>
    </w:p>
    <w:p w14:paraId="1D5F622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7.1评审报告签署前，评审委员会要对评审结果进行复核，复核意见要体现在评审报告中。</w:t>
      </w:r>
    </w:p>
    <w:p w14:paraId="748C3083">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716814DB">
      <w:pPr>
        <w:ind w:firstLine="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8.评审标准</w:t>
      </w:r>
    </w:p>
    <w:p w14:paraId="45B52C13">
      <w:pPr>
        <w:spacing w:line="360" w:lineRule="auto"/>
        <w:ind w:firstLine="422" w:firstLineChars="200"/>
        <w:rPr>
          <w:rFonts w:hint="eastAsia" w:ascii="宋体" w:hAnsi="宋体"/>
          <w:bCs/>
          <w:color w:val="auto"/>
          <w:szCs w:val="21"/>
          <w:highlight w:val="none"/>
        </w:rPr>
      </w:pPr>
      <w:r>
        <w:rPr>
          <w:rFonts w:hint="eastAsia" w:ascii="宋体" w:hAnsi="宋体"/>
          <w:b/>
          <w:color w:val="auto"/>
          <w:highlight w:val="none"/>
        </w:rPr>
        <w:t>8.</w:t>
      </w:r>
      <w:r>
        <w:rPr>
          <w:rFonts w:hint="eastAsia" w:ascii="宋体" w:hAnsi="宋体"/>
          <w:bCs/>
          <w:color w:val="auto"/>
          <w:szCs w:val="21"/>
          <w:highlight w:val="none"/>
        </w:rPr>
        <w:t>1评审依据：磋商小组将以磋商响应文件为评审依据，对供应商的报价、技术、商务等方面内容按百分制打分。（计分方法按四舍五入取至百分位）</w:t>
      </w:r>
    </w:p>
    <w:p w14:paraId="0FA737E8">
      <w:pPr>
        <w:spacing w:line="360" w:lineRule="auto"/>
        <w:ind w:firstLine="420" w:firstLineChars="200"/>
        <w:rPr>
          <w:rFonts w:hint="eastAsia" w:ascii="宋体" w:hAnsi="宋体"/>
          <w:bCs/>
          <w:color w:val="auto"/>
          <w:szCs w:val="21"/>
          <w:highlight w:val="none"/>
        </w:rPr>
        <w:sectPr>
          <w:pgSz w:w="11905" w:h="16838"/>
          <w:pgMar w:top="958" w:right="1440" w:bottom="958" w:left="1587" w:header="850" w:footer="992" w:gutter="0"/>
          <w:pgNumType w:fmt="decimal"/>
          <w:cols w:space="720" w:num="1"/>
          <w:rtlGutter w:val="0"/>
          <w:docGrid w:type="lines" w:linePitch="317" w:charSpace="0"/>
        </w:sectPr>
      </w:pPr>
      <w:bookmarkStart w:id="24" w:name="PO_TDCUS_ITEM_SM_TABLE_1_0"/>
      <w:r>
        <w:rPr>
          <w:rFonts w:hint="eastAsia" w:ascii="宋体" w:hAnsi="宋体"/>
          <w:bCs/>
          <w:color w:val="auto"/>
          <w:szCs w:val="21"/>
          <w:highlight w:val="non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151"/>
        <w:gridCol w:w="6151"/>
        <w:gridCol w:w="957"/>
      </w:tblGrid>
      <w:tr w14:paraId="06DA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7" w:type="dxa"/>
            <w:noWrap w:val="0"/>
            <w:vAlign w:val="center"/>
          </w:tcPr>
          <w:p w14:paraId="63975B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color w:val="auto"/>
                <w:szCs w:val="21"/>
                <w:highlight w:val="none"/>
              </w:rPr>
            </w:pPr>
            <w:r>
              <w:rPr>
                <w:rFonts w:hint="eastAsia" w:ascii="宋体" w:hAnsi="宋体"/>
                <w:b/>
                <w:color w:val="auto"/>
                <w:szCs w:val="21"/>
                <w:highlight w:val="none"/>
              </w:rPr>
              <w:t>序号</w:t>
            </w:r>
          </w:p>
        </w:tc>
        <w:tc>
          <w:tcPr>
            <w:tcW w:w="1151" w:type="dxa"/>
            <w:noWrap w:val="0"/>
            <w:vAlign w:val="center"/>
          </w:tcPr>
          <w:p w14:paraId="736620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color w:val="auto"/>
                <w:szCs w:val="21"/>
                <w:highlight w:val="none"/>
              </w:rPr>
            </w:pPr>
            <w:r>
              <w:rPr>
                <w:rFonts w:hint="eastAsia" w:ascii="宋体" w:hAnsi="宋体"/>
                <w:b/>
                <w:color w:val="auto"/>
                <w:szCs w:val="21"/>
                <w:highlight w:val="none"/>
              </w:rPr>
              <w:t>评分类型</w:t>
            </w:r>
          </w:p>
        </w:tc>
        <w:tc>
          <w:tcPr>
            <w:tcW w:w="6151" w:type="dxa"/>
            <w:noWrap w:val="0"/>
            <w:vAlign w:val="center"/>
          </w:tcPr>
          <w:p w14:paraId="396397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color w:val="auto"/>
                <w:szCs w:val="21"/>
                <w:highlight w:val="none"/>
              </w:rPr>
            </w:pPr>
            <w:r>
              <w:rPr>
                <w:rFonts w:hint="eastAsia" w:ascii="宋体" w:hAnsi="宋体"/>
                <w:b/>
                <w:color w:val="auto"/>
                <w:szCs w:val="21"/>
                <w:highlight w:val="none"/>
              </w:rPr>
              <w:t>评分标准</w:t>
            </w:r>
          </w:p>
        </w:tc>
        <w:tc>
          <w:tcPr>
            <w:tcW w:w="957" w:type="dxa"/>
            <w:noWrap w:val="0"/>
            <w:vAlign w:val="center"/>
          </w:tcPr>
          <w:p w14:paraId="694B7E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color w:val="auto"/>
                <w:szCs w:val="21"/>
                <w:highlight w:val="none"/>
              </w:rPr>
            </w:pPr>
            <w:r>
              <w:rPr>
                <w:rFonts w:hint="eastAsia" w:ascii="宋体" w:hAnsi="宋体"/>
                <w:b/>
                <w:color w:val="auto"/>
                <w:szCs w:val="21"/>
                <w:highlight w:val="none"/>
              </w:rPr>
              <w:t>满分值</w:t>
            </w:r>
          </w:p>
        </w:tc>
      </w:tr>
      <w:tr w14:paraId="53E0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687" w:type="dxa"/>
            <w:noWrap w:val="0"/>
            <w:vAlign w:val="center"/>
          </w:tcPr>
          <w:p w14:paraId="78473F77">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1</w:t>
            </w:r>
          </w:p>
        </w:tc>
        <w:tc>
          <w:tcPr>
            <w:tcW w:w="1151" w:type="dxa"/>
            <w:noWrap w:val="0"/>
            <w:vAlign w:val="center"/>
          </w:tcPr>
          <w:p w14:paraId="297A9AEF">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报价分</w:t>
            </w:r>
          </w:p>
        </w:tc>
        <w:tc>
          <w:tcPr>
            <w:tcW w:w="6151" w:type="dxa"/>
            <w:noWrap w:val="0"/>
            <w:vAlign w:val="top"/>
          </w:tcPr>
          <w:p w14:paraId="45AE4E6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1.评审报价为供应商的最后报价进行政策性扣除后的价格，评审报价只是作为评审时使用。最终成交供应商的成交金额等于最后报价（如有修正，以确认修正后的最后报价为准）。</w:t>
            </w:r>
          </w:p>
          <w:p w14:paraId="03FF4762">
            <w:pPr>
              <w:pStyle w:val="14"/>
              <w:spacing w:line="440" w:lineRule="exact"/>
              <w:rPr>
                <w:rFonts w:hint="eastAsia" w:hAnsi="宋体" w:cs="宋体"/>
                <w:color w:val="auto"/>
                <w:sz w:val="21"/>
                <w:highlight w:val="none"/>
              </w:rPr>
            </w:pPr>
            <w:r>
              <w:rPr>
                <w:rFonts w:hint="eastAsia" w:hAnsi="宋体" w:cs="宋体"/>
                <w:color w:val="auto"/>
                <w:sz w:val="21"/>
                <w:highlight w:val="none"/>
              </w:rPr>
              <w:t>2.政府采购政策性扣除计算方法</w:t>
            </w:r>
          </w:p>
          <w:p w14:paraId="0501A056">
            <w:pPr>
              <w:spacing w:line="44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1）按照《政府采购促进中小企业发展管理办法》（财库〔2020〕46号）的规定，供应商在其响应文件中提供《中小企业声明函》，且其服务为小型和微型企业承接的，对其最后报价给予5%的扣除。对经主管预算单位统筹后未预留份额专门面向中小企业采购的采购项目，以及预留份额项目中的非预留部分采购包，货物服务采购项目的采购人、采购代理机构应当给予小微企业的价格扣除优惠，用扣除后的价格参加评审。</w:t>
            </w:r>
          </w:p>
          <w:p w14:paraId="42D576F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3E28E2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A22FC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（4）政策性扣除计算方法。</w:t>
            </w:r>
          </w:p>
          <w:p w14:paraId="0045139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服务采购项目中，服务由小微企业承接；对符合上述要求的供应商的竞标报价给予5%的扣除，扣除后的价格为评审报价，即评审报价=竞标报价×（1-5%）。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2%的扣除，用扣除后的价格参加评审，扣除后的价格为评审报价，即评审报价=竞标报价×（1-2%）。除上述情况外，评审报价=竞标报价。</w:t>
            </w:r>
          </w:p>
          <w:p w14:paraId="34917A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以进入比较与评价环节的最低的评审报价为基准价，基准价得分为满分。</w:t>
            </w:r>
          </w:p>
          <w:p w14:paraId="2FA3F843">
            <w:pPr>
              <w:numPr>
                <w:ilvl w:val="0"/>
                <w:numId w:val="0"/>
              </w:numPr>
              <w:spacing w:line="440" w:lineRule="exact"/>
              <w:ind w:firstLine="422" w:firstLineChars="200"/>
              <w:rPr>
                <w:rFonts w:hint="eastAsia" w:ascii="宋体" w:hAnsi="宋体" w:cs="宋体"/>
                <w:b/>
                <w:bCs/>
                <w:color w:val="auto"/>
                <w:szCs w:val="21"/>
                <w:highlight w:val="none"/>
              </w:rPr>
            </w:pPr>
            <w:r>
              <w:rPr>
                <w:rFonts w:hint="eastAsia" w:ascii="宋体" w:hAnsi="宋体" w:eastAsia="宋体" w:cs="宋体"/>
                <w:b/>
                <w:bCs/>
                <w:color w:val="auto"/>
                <w:kern w:val="2"/>
                <w:sz w:val="21"/>
                <w:szCs w:val="21"/>
                <w:highlight w:val="none"/>
                <w:lang w:val="en-US" w:eastAsia="zh-CN" w:bidi="ar-SA"/>
              </w:rPr>
              <w:t>（6）</w:t>
            </w:r>
            <w:r>
              <w:rPr>
                <w:rFonts w:hint="eastAsia" w:ascii="宋体" w:hAnsi="宋体" w:cs="宋体"/>
                <w:b/>
                <w:bCs/>
                <w:color w:val="auto"/>
                <w:szCs w:val="21"/>
                <w:highlight w:val="none"/>
              </w:rPr>
              <w:t>本项目为专门面向中小企业采购的项目，不再执行价格扣除优惠政策</w:t>
            </w:r>
            <w:r>
              <w:rPr>
                <w:rFonts w:hint="eastAsia" w:ascii="宋体" w:hAnsi="宋体" w:cs="宋体"/>
                <w:b/>
                <w:bCs/>
                <w:color w:val="auto"/>
                <w:szCs w:val="21"/>
                <w:highlight w:val="none"/>
                <w:lang w:eastAsia="zh-CN"/>
              </w:rPr>
              <w:t>。</w:t>
            </w:r>
          </w:p>
          <w:p w14:paraId="24E9C7A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（7）价格分计算公式：</w:t>
            </w:r>
          </w:p>
          <w:p w14:paraId="1552FDC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报价得分=（基准价/最后报价）×30分</w:t>
            </w:r>
          </w:p>
          <w:p w14:paraId="3A092BC8">
            <w:pPr>
              <w:spacing w:line="440" w:lineRule="exact"/>
              <w:rPr>
                <w:rFonts w:hint="eastAsia" w:ascii="宋体" w:hAnsi="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根据《关于推动解决政府采购异常低价问题的通知》(财库〔</w:t>
            </w:r>
            <w:r>
              <w:rPr>
                <w:rFonts w:hint="eastAsia" w:ascii="宋体" w:hAnsi="宋体" w:cs="宋体"/>
                <w:color w:val="auto"/>
                <w:szCs w:val="21"/>
                <w:highlight w:val="none"/>
                <w:lang w:val="en-US" w:eastAsia="zh-CN"/>
              </w:rPr>
              <w:t>2026〕2号)规定，政府采购评审中出现异常低价下列情形之一的，评审委员会应当启动异常低价投标审查程序：</w:t>
            </w:r>
          </w:p>
          <w:p w14:paraId="7F9BA410">
            <w:pPr>
              <w:spacing w:line="44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（1）响应报价低于全部通过符合性审查供应商响应报价平均值50%的，即响应报价&lt;全部通过符合性审查供应商响应报价平均值×50%；</w:t>
            </w:r>
          </w:p>
          <w:p w14:paraId="796027B8">
            <w:pPr>
              <w:spacing w:line="44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（2）响应报价低于通过符合性审查的次低报价供应商响应报价50%的，即响应报价&lt;通过符合性审查的次低报价供应商响应报价×50%；</w:t>
            </w:r>
          </w:p>
          <w:p w14:paraId="0CB99661">
            <w:pPr>
              <w:spacing w:line="44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（3）响应报价低于采购项目最高限价45%的，即响应报价&lt;采购项目最高限价×45%；</w:t>
            </w:r>
          </w:p>
          <w:p w14:paraId="3EEFD36F">
            <w:pPr>
              <w:spacing w:line="44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（4）评审委员会基于专业判断，认为供应商报价过低，有可能影响产品质量或者不能诚信履约的其他情形。</w:t>
            </w:r>
          </w:p>
          <w:p w14:paraId="40E9D6D1">
            <w:pPr>
              <w:spacing w:line="44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（5）相关法律法规对供应商报价有规定的，从其规定。</w:t>
            </w:r>
          </w:p>
          <w:p w14:paraId="0C918DEF">
            <w:pPr>
              <w:spacing w:line="44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资料要求：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7B92ECFE">
            <w:pPr>
              <w:spacing w:line="44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审查要求：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31E16AA2">
            <w:pPr>
              <w:spacing w:line="44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评审组织：采购人、采购代理机构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0F98E49">
            <w:pPr>
              <w:spacing w:line="440" w:lineRule="exact"/>
              <w:rPr>
                <w:rFonts w:hint="eastAsia"/>
                <w:color w:val="auto"/>
                <w:highlight w:val="none"/>
              </w:rPr>
            </w:pPr>
            <w:r>
              <w:rPr>
                <w:rFonts w:hint="eastAsia" w:ascii="宋体" w:hAnsi="宋体" w:cs="宋体"/>
                <w:color w:val="auto"/>
                <w:szCs w:val="21"/>
                <w:highlight w:val="none"/>
                <w:lang w:val="en-US" w:eastAsia="zh-CN"/>
              </w:rPr>
              <w:t>7.记录及归档：异常低价响应审查的启动原因、审查意见和审查结果应当在评审报告中记录，并随供应商提供的相关书面说明及证明材料，以及评审委员会有关互联网浏览、查询历史一并归档。</w:t>
            </w:r>
          </w:p>
        </w:tc>
        <w:tc>
          <w:tcPr>
            <w:tcW w:w="957" w:type="dxa"/>
            <w:noWrap w:val="0"/>
            <w:vAlign w:val="center"/>
          </w:tcPr>
          <w:p w14:paraId="39561505">
            <w:pPr>
              <w:spacing w:line="360" w:lineRule="auto"/>
              <w:jc w:val="center"/>
              <w:rPr>
                <w:rFonts w:ascii="宋体" w:hAnsi="宋体"/>
                <w:bCs/>
                <w:color w:val="auto"/>
                <w:szCs w:val="21"/>
                <w:highlight w:val="none"/>
              </w:rPr>
            </w:pPr>
            <w:r>
              <w:rPr>
                <w:rFonts w:hint="eastAsia" w:ascii="宋体" w:hAnsi="宋体"/>
                <w:bCs/>
                <w:color w:val="auto"/>
                <w:szCs w:val="21"/>
                <w:highlight w:val="none"/>
              </w:rPr>
              <w:t>30</w:t>
            </w:r>
          </w:p>
        </w:tc>
      </w:tr>
      <w:tr w14:paraId="38E8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87" w:type="dxa"/>
            <w:noWrap w:val="0"/>
            <w:vAlign w:val="center"/>
          </w:tcPr>
          <w:p w14:paraId="66E39A45">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2</w:t>
            </w:r>
          </w:p>
        </w:tc>
        <w:tc>
          <w:tcPr>
            <w:tcW w:w="8259" w:type="dxa"/>
            <w:gridSpan w:val="3"/>
            <w:noWrap w:val="0"/>
            <w:vAlign w:val="center"/>
          </w:tcPr>
          <w:p w14:paraId="2A30BBCE">
            <w:pPr>
              <w:spacing w:line="360" w:lineRule="auto"/>
              <w:jc w:val="center"/>
              <w:rPr>
                <w:rFonts w:ascii="宋体" w:hAnsi="宋体"/>
                <w:bCs/>
                <w:color w:val="auto"/>
                <w:szCs w:val="21"/>
                <w:highlight w:val="none"/>
              </w:rPr>
            </w:pPr>
            <w:r>
              <w:rPr>
                <w:rFonts w:hint="eastAsia" w:ascii="宋体" w:hAnsi="宋体"/>
                <w:b/>
                <w:color w:val="auto"/>
                <w:szCs w:val="21"/>
                <w:highlight w:val="none"/>
              </w:rPr>
              <w:t>技术分（</w:t>
            </w:r>
            <w:r>
              <w:rPr>
                <w:rFonts w:hint="eastAsia" w:ascii="宋体" w:hAnsi="宋体"/>
                <w:b/>
                <w:color w:val="auto"/>
                <w:szCs w:val="21"/>
                <w:highlight w:val="none"/>
                <w:lang w:val="en-US" w:eastAsia="zh-CN"/>
              </w:rPr>
              <w:t>60</w:t>
            </w:r>
            <w:r>
              <w:rPr>
                <w:rFonts w:hint="eastAsia" w:ascii="宋体" w:hAnsi="宋体"/>
                <w:b/>
                <w:color w:val="auto"/>
                <w:szCs w:val="21"/>
                <w:highlight w:val="none"/>
              </w:rPr>
              <w:t>分）</w:t>
            </w:r>
          </w:p>
        </w:tc>
      </w:tr>
      <w:tr w14:paraId="23ED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jc w:val="center"/>
        </w:trPr>
        <w:tc>
          <w:tcPr>
            <w:tcW w:w="687" w:type="dxa"/>
            <w:noWrap w:val="0"/>
            <w:vAlign w:val="center"/>
          </w:tcPr>
          <w:p w14:paraId="2DAD6A0B">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2.1</w:t>
            </w:r>
          </w:p>
        </w:tc>
        <w:tc>
          <w:tcPr>
            <w:tcW w:w="1151" w:type="dxa"/>
            <w:noWrap w:val="0"/>
            <w:vAlign w:val="center"/>
          </w:tcPr>
          <w:p w14:paraId="4BAF1AEA">
            <w:pPr>
              <w:spacing w:line="360" w:lineRule="auto"/>
              <w:jc w:val="center"/>
              <w:rPr>
                <w:rFonts w:hint="eastAsia" w:ascii="宋体" w:hAnsi="宋体"/>
                <w:bCs/>
                <w:color w:val="auto"/>
                <w:szCs w:val="21"/>
                <w:highlight w:val="none"/>
              </w:rPr>
            </w:pPr>
            <w:r>
              <w:rPr>
                <w:rFonts w:hint="eastAsia" w:ascii="宋体" w:hAnsi="宋体"/>
                <w:bCs/>
                <w:color w:val="auto"/>
                <w:szCs w:val="21"/>
                <w:highlight w:val="none"/>
              </w:rPr>
              <w:t>施工方案与技术措施</w:t>
            </w:r>
          </w:p>
          <w:p w14:paraId="77AF1572">
            <w:pPr>
              <w:spacing w:line="360" w:lineRule="auto"/>
              <w:jc w:val="center"/>
              <w:rPr>
                <w:rFonts w:hint="eastAsia" w:ascii="宋体" w:hAnsi="宋体"/>
                <w:bCs/>
                <w:color w:val="auto"/>
                <w:szCs w:val="21"/>
                <w:highlight w:val="none"/>
              </w:rPr>
            </w:pPr>
          </w:p>
        </w:tc>
        <w:tc>
          <w:tcPr>
            <w:tcW w:w="6151" w:type="dxa"/>
            <w:noWrap w:val="0"/>
            <w:vAlign w:val="top"/>
          </w:tcPr>
          <w:p w14:paraId="28C9387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一档（1分）：对项目的施工总体条件认识不足，施工段划分不合理，施工方法不完整，施工技术措施不具体。</w:t>
            </w:r>
          </w:p>
          <w:p w14:paraId="71012A9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二</w:t>
            </w:r>
            <w:r>
              <w:rPr>
                <w:rFonts w:hint="eastAsia" w:ascii="宋体" w:hAnsi="宋体" w:cs="宋体"/>
                <w:color w:val="auto"/>
                <w:szCs w:val="21"/>
                <w:highlight w:val="none"/>
              </w:rPr>
              <w:t>档（3分）：对项目的施工总体条件简单的认识，施工段划分一般、基本切合实际，施工方法一般，施工技术措施不够具体。</w:t>
            </w:r>
          </w:p>
          <w:p w14:paraId="16C534B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档（7分）：对项目的施工总体条件有认识，施工段划分可行、切合实际可行，施工方法简单合理，施工技术措施具体，但不详细、不清晰。</w:t>
            </w:r>
          </w:p>
          <w:p w14:paraId="7EBD319C">
            <w:pPr>
              <w:spacing w:line="440" w:lineRule="exact"/>
              <w:ind w:firstLine="420" w:firstLineChars="200"/>
              <w:rPr>
                <w:rFonts w:hint="eastAsia" w:ascii="宋体" w:hAnsi="宋体"/>
                <w:bCs/>
                <w:color w:val="auto"/>
                <w:szCs w:val="21"/>
                <w:highlight w:val="none"/>
              </w:rPr>
            </w:pP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档（</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分）：对项目的施工总体条件有全面认识，施工段划分呼应总体表述，划分清晰、合理、切合本工程实际，施工方法合理，技术措施具体、先进、有效。</w:t>
            </w:r>
          </w:p>
        </w:tc>
        <w:tc>
          <w:tcPr>
            <w:tcW w:w="957" w:type="dxa"/>
            <w:noWrap w:val="0"/>
            <w:vAlign w:val="center"/>
          </w:tcPr>
          <w:p w14:paraId="134FF2D0">
            <w:pPr>
              <w:spacing w:line="360" w:lineRule="auto"/>
              <w:jc w:val="center"/>
              <w:rPr>
                <w:rFonts w:hint="eastAsia" w:ascii="宋体" w:hAnsi="宋体" w:eastAsia="宋体"/>
                <w:bCs/>
                <w:color w:val="auto"/>
                <w:szCs w:val="21"/>
                <w:highlight w:val="none"/>
                <w:lang w:eastAsia="zh-CN"/>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0</w:t>
            </w:r>
          </w:p>
        </w:tc>
      </w:tr>
      <w:tr w14:paraId="5404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noWrap w:val="0"/>
            <w:vAlign w:val="center"/>
          </w:tcPr>
          <w:p w14:paraId="46B00BBA">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2.2</w:t>
            </w:r>
          </w:p>
        </w:tc>
        <w:tc>
          <w:tcPr>
            <w:tcW w:w="1151" w:type="dxa"/>
            <w:noWrap w:val="0"/>
            <w:vAlign w:val="center"/>
          </w:tcPr>
          <w:p w14:paraId="39C3C90F">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质量管理体系与措施</w:t>
            </w:r>
          </w:p>
          <w:p w14:paraId="1E2F2260">
            <w:pPr>
              <w:spacing w:line="440" w:lineRule="exact"/>
              <w:jc w:val="center"/>
              <w:rPr>
                <w:rFonts w:hint="eastAsia" w:ascii="宋体" w:hAnsi="宋体"/>
                <w:bCs/>
                <w:color w:val="auto"/>
                <w:szCs w:val="21"/>
                <w:highlight w:val="none"/>
              </w:rPr>
            </w:pPr>
          </w:p>
        </w:tc>
        <w:tc>
          <w:tcPr>
            <w:tcW w:w="6151" w:type="dxa"/>
            <w:noWrap w:val="0"/>
            <w:vAlign w:val="top"/>
          </w:tcPr>
          <w:p w14:paraId="6B97840C">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一档（1分）：质量技术管理班子人员配备不合理，制度不健全。质量技术保证措施和手段不可行，没有质量违约责任承诺。</w:t>
            </w:r>
          </w:p>
          <w:p w14:paraId="5F6E141F">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二</w:t>
            </w:r>
            <w:r>
              <w:rPr>
                <w:rFonts w:hint="eastAsia" w:ascii="宋体" w:hAnsi="宋体"/>
                <w:bCs/>
                <w:color w:val="auto"/>
                <w:szCs w:val="21"/>
                <w:highlight w:val="none"/>
              </w:rPr>
              <w:t>档（2分）：</w:t>
            </w:r>
            <w:r>
              <w:rPr>
                <w:rFonts w:hint="eastAsia" w:ascii="宋体" w:hAnsi="宋体"/>
                <w:bCs/>
                <w:color w:val="auto"/>
                <w:szCs w:val="21"/>
                <w:highlight w:val="none"/>
                <w:lang w:val="en-US" w:eastAsia="zh-CN"/>
              </w:rPr>
              <w:t>质量技术管理班子人员配备基本合理，制度基本健全。主要工序有质量技术保证措施和手段，能有效保证技术质量，满足采购文件的质量要求。</w:t>
            </w:r>
          </w:p>
          <w:p w14:paraId="3FF86D03">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三</w:t>
            </w:r>
            <w:r>
              <w:rPr>
                <w:rFonts w:hint="eastAsia" w:ascii="宋体" w:hAnsi="宋体"/>
                <w:bCs/>
                <w:color w:val="auto"/>
                <w:szCs w:val="21"/>
                <w:highlight w:val="none"/>
              </w:rPr>
              <w:t>档（5分）：</w:t>
            </w:r>
            <w:r>
              <w:rPr>
                <w:rFonts w:hint="eastAsia" w:ascii="宋体" w:hAnsi="宋体"/>
                <w:bCs/>
                <w:color w:val="auto"/>
                <w:szCs w:val="21"/>
                <w:highlight w:val="none"/>
                <w:lang w:val="en-US" w:eastAsia="zh-CN"/>
              </w:rPr>
              <w:t>有专门的质量技术管理班子和制度，且人员配备合理，制度健全。主要工序有质量技术保证措施和手段，自控体系完整，能有效保证技术质量，达到 承诺的质量标准。</w:t>
            </w:r>
          </w:p>
          <w:p w14:paraId="15142F72">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四</w:t>
            </w:r>
            <w:r>
              <w:rPr>
                <w:rFonts w:hint="eastAsia" w:ascii="宋体" w:hAnsi="宋体"/>
                <w:bCs/>
                <w:color w:val="auto"/>
                <w:szCs w:val="21"/>
                <w:highlight w:val="none"/>
              </w:rPr>
              <w:t>档（8分）：</w:t>
            </w:r>
            <w:r>
              <w:rPr>
                <w:rFonts w:hint="eastAsia" w:ascii="宋体" w:hAnsi="宋体"/>
                <w:bCs/>
                <w:color w:val="auto"/>
                <w:szCs w:val="21"/>
                <w:highlight w:val="none"/>
                <w:lang w:val="en-US" w:eastAsia="zh-CN"/>
              </w:rPr>
              <w:t>有专门的质量技术管理班子和制度，且人员配备合理，制度健全。主要工序有质量技术保证措施和手段，且先进、可行、具体，高于招标文件的质量要求及施工验收规范要求，达到承诺的质量标准。</w:t>
            </w:r>
          </w:p>
        </w:tc>
        <w:tc>
          <w:tcPr>
            <w:tcW w:w="957" w:type="dxa"/>
            <w:noWrap w:val="0"/>
            <w:vAlign w:val="center"/>
          </w:tcPr>
          <w:p w14:paraId="04432868">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8</w:t>
            </w:r>
          </w:p>
        </w:tc>
      </w:tr>
      <w:tr w14:paraId="3C61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jc w:val="center"/>
        </w:trPr>
        <w:tc>
          <w:tcPr>
            <w:tcW w:w="687" w:type="dxa"/>
            <w:noWrap w:val="0"/>
            <w:vAlign w:val="center"/>
          </w:tcPr>
          <w:p w14:paraId="7AE81AF8">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2.3</w:t>
            </w:r>
          </w:p>
        </w:tc>
        <w:tc>
          <w:tcPr>
            <w:tcW w:w="1151" w:type="dxa"/>
            <w:noWrap w:val="0"/>
            <w:vAlign w:val="center"/>
          </w:tcPr>
          <w:p w14:paraId="4C1B98C8">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安全管理体系与措施</w:t>
            </w:r>
          </w:p>
          <w:p w14:paraId="140876E4">
            <w:pPr>
              <w:spacing w:line="440" w:lineRule="exact"/>
              <w:rPr>
                <w:rFonts w:hint="eastAsia" w:ascii="宋体" w:hAnsi="宋体"/>
                <w:bCs/>
                <w:color w:val="auto"/>
                <w:szCs w:val="21"/>
                <w:highlight w:val="none"/>
              </w:rPr>
            </w:pPr>
          </w:p>
        </w:tc>
        <w:tc>
          <w:tcPr>
            <w:tcW w:w="6151" w:type="dxa"/>
            <w:noWrap w:val="0"/>
            <w:vAlign w:val="top"/>
          </w:tcPr>
          <w:p w14:paraId="4D77987F">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一档（1分）：编制的工程安全管理措施、现场安全措施、消防安全措施、安全生产措施保障制度较差，不能够完全满足要求。</w:t>
            </w:r>
          </w:p>
          <w:p w14:paraId="35730C5C">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二</w:t>
            </w:r>
            <w:r>
              <w:rPr>
                <w:rFonts w:hint="eastAsia" w:ascii="宋体" w:hAnsi="宋体"/>
                <w:bCs/>
                <w:color w:val="auto"/>
                <w:szCs w:val="21"/>
                <w:highlight w:val="none"/>
              </w:rPr>
              <w:t>档（2分）：</w:t>
            </w:r>
            <w:r>
              <w:rPr>
                <w:rFonts w:hint="eastAsia" w:ascii="宋体" w:hAnsi="宋体"/>
                <w:bCs/>
                <w:color w:val="auto"/>
                <w:szCs w:val="21"/>
                <w:highlight w:val="none"/>
                <w:lang w:val="en-US" w:eastAsia="zh-CN"/>
              </w:rPr>
              <w:t>编制的工程安全管理措施、现场安全措施、消防安全措施、安全生产措施保障制度合理，能满足基本的安全生产要求，但不够周密完善。</w:t>
            </w:r>
          </w:p>
          <w:p w14:paraId="62B3955D">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三</w:t>
            </w:r>
            <w:r>
              <w:rPr>
                <w:rFonts w:hint="eastAsia" w:ascii="宋体" w:hAnsi="宋体"/>
                <w:bCs/>
                <w:color w:val="auto"/>
                <w:szCs w:val="21"/>
                <w:highlight w:val="none"/>
              </w:rPr>
              <w:t>档（5分）：</w:t>
            </w:r>
            <w:r>
              <w:rPr>
                <w:rFonts w:hint="eastAsia" w:ascii="宋体" w:hAnsi="宋体"/>
                <w:bCs/>
                <w:color w:val="auto"/>
                <w:szCs w:val="21"/>
                <w:highlight w:val="none"/>
                <w:lang w:val="en-US" w:eastAsia="zh-CN"/>
              </w:rPr>
              <w:t>编制的工程安全管理措施比较周密，现场安全措施比较完善，消防安全措施比较完善，安全生产措施保障制度比较完善。</w:t>
            </w:r>
          </w:p>
          <w:p w14:paraId="3540E78E">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四</w:t>
            </w:r>
            <w:r>
              <w:rPr>
                <w:rFonts w:hint="eastAsia" w:ascii="宋体" w:hAnsi="宋体"/>
                <w:bCs/>
                <w:color w:val="auto"/>
                <w:szCs w:val="21"/>
                <w:highlight w:val="none"/>
              </w:rPr>
              <w:t>档（8分）</w:t>
            </w:r>
            <w:r>
              <w:rPr>
                <w:rFonts w:hint="eastAsia" w:ascii="宋体" w:hAnsi="宋体"/>
                <w:bCs/>
                <w:color w:val="auto"/>
                <w:szCs w:val="21"/>
                <w:highlight w:val="none"/>
                <w:lang w:val="en-US" w:eastAsia="zh-CN"/>
              </w:rPr>
              <w:t>编制的工程安全管理措施周密，现场安全措施完善，消防安全措施完善，安全生产措施保障制度完善。</w:t>
            </w:r>
          </w:p>
        </w:tc>
        <w:tc>
          <w:tcPr>
            <w:tcW w:w="957" w:type="dxa"/>
            <w:noWrap w:val="0"/>
            <w:vAlign w:val="center"/>
          </w:tcPr>
          <w:p w14:paraId="4985E76B">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8</w:t>
            </w:r>
          </w:p>
        </w:tc>
      </w:tr>
      <w:tr w14:paraId="40B6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noWrap w:val="0"/>
            <w:vAlign w:val="center"/>
          </w:tcPr>
          <w:p w14:paraId="6F099CFB">
            <w:pPr>
              <w:spacing w:line="440" w:lineRule="exact"/>
              <w:jc w:val="center"/>
              <w:rPr>
                <w:rFonts w:ascii="宋体" w:hAnsi="宋体"/>
                <w:bCs/>
                <w:color w:val="auto"/>
                <w:szCs w:val="21"/>
                <w:highlight w:val="none"/>
              </w:rPr>
            </w:pPr>
            <w:r>
              <w:rPr>
                <w:rFonts w:hint="eastAsia" w:ascii="宋体" w:hAnsi="宋体"/>
                <w:bCs/>
                <w:color w:val="auto"/>
                <w:szCs w:val="21"/>
                <w:highlight w:val="none"/>
              </w:rPr>
              <w:t>2.4</w:t>
            </w:r>
          </w:p>
        </w:tc>
        <w:tc>
          <w:tcPr>
            <w:tcW w:w="1151" w:type="dxa"/>
            <w:noWrap w:val="0"/>
            <w:vAlign w:val="center"/>
          </w:tcPr>
          <w:p w14:paraId="6FEB1BEB">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环境保护管理体系与措施</w:t>
            </w:r>
          </w:p>
          <w:p w14:paraId="1C74EE14">
            <w:pPr>
              <w:spacing w:line="440" w:lineRule="exact"/>
              <w:rPr>
                <w:rFonts w:hint="eastAsia" w:ascii="宋体" w:hAnsi="宋体"/>
                <w:bCs/>
                <w:color w:val="auto"/>
                <w:szCs w:val="21"/>
                <w:highlight w:val="none"/>
              </w:rPr>
            </w:pPr>
          </w:p>
        </w:tc>
        <w:tc>
          <w:tcPr>
            <w:tcW w:w="6151" w:type="dxa"/>
            <w:noWrap w:val="0"/>
            <w:vAlign w:val="top"/>
          </w:tcPr>
          <w:p w14:paraId="5FC9374F">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一档（1分）：</w:t>
            </w:r>
            <w:r>
              <w:rPr>
                <w:rFonts w:hint="eastAsia" w:ascii="宋体" w:hAnsi="宋体"/>
                <w:bCs/>
                <w:color w:val="auto"/>
                <w:szCs w:val="21"/>
                <w:highlight w:val="none"/>
              </w:rPr>
              <w:t>环境保护目标不明确，无环境保护管理体系，预防和控制 (包括大气、水、噪声、固 体废物、人群等环保工程) 没有针对性表述，内容不全面、不可行。</w:t>
            </w:r>
          </w:p>
          <w:p w14:paraId="1800FB8B">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二</w:t>
            </w:r>
            <w:r>
              <w:rPr>
                <w:rFonts w:hint="eastAsia" w:ascii="宋体" w:hAnsi="宋体"/>
                <w:bCs/>
                <w:color w:val="auto"/>
                <w:szCs w:val="21"/>
                <w:highlight w:val="none"/>
              </w:rPr>
              <w:t>档（2分）：环境保护目标基本或不明确，环境保护管理体系基本健全，预防和控制（包括大气、水、噪声、固体废物、人群等环保工程）针对性一般，内容一般。</w:t>
            </w:r>
          </w:p>
          <w:p w14:paraId="137D1975">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三</w:t>
            </w:r>
            <w:r>
              <w:rPr>
                <w:rFonts w:hint="eastAsia" w:ascii="宋体" w:hAnsi="宋体"/>
                <w:bCs/>
                <w:color w:val="auto"/>
                <w:szCs w:val="21"/>
                <w:highlight w:val="none"/>
              </w:rPr>
              <w:t>档（5分）：环境保护目标较明确，环境保护管理体系较健全，预防和控制（包括大气、水、噪声、固体废物、人群等环保工程）具较有针对性，内容较全面、可行。</w:t>
            </w:r>
          </w:p>
          <w:p w14:paraId="5D0E9060">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四</w:t>
            </w:r>
            <w:r>
              <w:rPr>
                <w:rFonts w:hint="eastAsia" w:ascii="宋体" w:hAnsi="宋体"/>
                <w:bCs/>
                <w:color w:val="auto"/>
                <w:szCs w:val="21"/>
                <w:highlight w:val="none"/>
              </w:rPr>
              <w:t>档（8分）：环境保护目标明确，环境保护管理体系健全，预防和控制（包括大气、水、噪声、固体废物、人群等环保工程）具有针对性、内容全面、可行。</w:t>
            </w:r>
          </w:p>
        </w:tc>
        <w:tc>
          <w:tcPr>
            <w:tcW w:w="957" w:type="dxa"/>
            <w:noWrap w:val="0"/>
            <w:vAlign w:val="center"/>
          </w:tcPr>
          <w:p w14:paraId="6D381C9C">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8</w:t>
            </w:r>
          </w:p>
        </w:tc>
      </w:tr>
      <w:tr w14:paraId="5F25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noWrap w:val="0"/>
            <w:vAlign w:val="center"/>
          </w:tcPr>
          <w:p w14:paraId="51D5D436">
            <w:pPr>
              <w:spacing w:line="440" w:lineRule="exact"/>
              <w:jc w:val="center"/>
              <w:rPr>
                <w:rFonts w:ascii="宋体" w:hAnsi="宋体"/>
                <w:bCs/>
                <w:color w:val="auto"/>
                <w:szCs w:val="21"/>
                <w:highlight w:val="none"/>
              </w:rPr>
            </w:pPr>
            <w:r>
              <w:rPr>
                <w:rFonts w:hint="eastAsia" w:ascii="宋体" w:hAnsi="宋体"/>
                <w:bCs/>
                <w:color w:val="auto"/>
                <w:szCs w:val="21"/>
                <w:highlight w:val="none"/>
              </w:rPr>
              <w:t>2.5</w:t>
            </w:r>
          </w:p>
        </w:tc>
        <w:tc>
          <w:tcPr>
            <w:tcW w:w="1151" w:type="dxa"/>
            <w:noWrap w:val="0"/>
            <w:vAlign w:val="center"/>
          </w:tcPr>
          <w:p w14:paraId="0438A3C3">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工程进度计划与措施</w:t>
            </w:r>
          </w:p>
          <w:p w14:paraId="3E74A820">
            <w:pPr>
              <w:spacing w:line="440" w:lineRule="exact"/>
              <w:rPr>
                <w:rFonts w:hint="eastAsia" w:ascii="宋体" w:hAnsi="宋体"/>
                <w:bCs/>
                <w:color w:val="auto"/>
                <w:szCs w:val="21"/>
                <w:highlight w:val="none"/>
              </w:rPr>
            </w:pPr>
          </w:p>
        </w:tc>
        <w:tc>
          <w:tcPr>
            <w:tcW w:w="6151" w:type="dxa"/>
            <w:noWrap w:val="0"/>
            <w:vAlign w:val="top"/>
          </w:tcPr>
          <w:p w14:paraId="14B2E75C">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一档（1分）：</w:t>
            </w:r>
            <w:r>
              <w:rPr>
                <w:rFonts w:hint="eastAsia" w:ascii="宋体" w:hAnsi="宋体"/>
                <w:bCs/>
                <w:color w:val="auto"/>
                <w:szCs w:val="21"/>
                <w:highlight w:val="none"/>
              </w:rPr>
              <w:t>施工总体进度计划不得当，进度计划网络图 (或横道图) 不清晰或不合理，不满足项目要求，施工强度分析有误，没有各关键节点的工期，控制性项目安排不当，保证工期的措施不明确，工程进度补救措施不可行，不能保证在项目要求的 总工期内完成。</w:t>
            </w:r>
          </w:p>
          <w:p w14:paraId="308F7D5B">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二</w:t>
            </w:r>
            <w:r>
              <w:rPr>
                <w:rFonts w:hint="eastAsia" w:ascii="宋体" w:hAnsi="宋体"/>
                <w:bCs/>
                <w:color w:val="auto"/>
                <w:szCs w:val="21"/>
                <w:highlight w:val="none"/>
              </w:rPr>
              <w:t>档（3分）：施工总体进度计划基本得当，进度计划网络图基本清晰合理，基本满足</w:t>
            </w:r>
            <w:r>
              <w:rPr>
                <w:rFonts w:hint="eastAsia" w:ascii="宋体" w:hAnsi="宋体"/>
                <w:bCs/>
                <w:color w:val="auto"/>
                <w:szCs w:val="21"/>
                <w:highlight w:val="none"/>
                <w:lang w:val="en-US" w:eastAsia="zh-CN"/>
              </w:rPr>
              <w:t>项目</w:t>
            </w:r>
            <w:r>
              <w:rPr>
                <w:rFonts w:hint="eastAsia" w:ascii="宋体" w:hAnsi="宋体"/>
                <w:bCs/>
                <w:color w:val="auto"/>
                <w:szCs w:val="21"/>
                <w:highlight w:val="none"/>
              </w:rPr>
              <w:t>要求，施工强度分析一般，各关键点的工期基本切实可行，控制性项目安排基本得当，保证工期的措施一般，工程进度补救措施一般，基本能保证在项目要求的总工期内完成。</w:t>
            </w:r>
          </w:p>
          <w:p w14:paraId="17AD4508">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三</w:t>
            </w:r>
            <w:r>
              <w:rPr>
                <w:rFonts w:hint="eastAsia" w:ascii="宋体" w:hAnsi="宋体"/>
                <w:bCs/>
                <w:color w:val="auto"/>
                <w:szCs w:val="21"/>
                <w:highlight w:val="none"/>
              </w:rPr>
              <w:t>档（7分）：施工总体进度计划较得当，进度计划网络图较清晰合理，较满足</w:t>
            </w:r>
            <w:r>
              <w:rPr>
                <w:rFonts w:hint="eastAsia" w:ascii="宋体" w:hAnsi="宋体"/>
                <w:bCs/>
                <w:color w:val="auto"/>
                <w:szCs w:val="21"/>
                <w:highlight w:val="none"/>
                <w:lang w:val="en-US" w:eastAsia="zh-CN"/>
              </w:rPr>
              <w:t>项目</w:t>
            </w:r>
            <w:r>
              <w:rPr>
                <w:rFonts w:hint="eastAsia" w:ascii="宋体" w:hAnsi="宋体"/>
                <w:bCs/>
                <w:color w:val="auto"/>
                <w:szCs w:val="21"/>
                <w:highlight w:val="none"/>
              </w:rPr>
              <w:t>要求，施工强度分析较可靠，各关键节点的工期较切实可行，控制性项目安排较得当，保证工期的措施较科学，工程进度补救措施基本可行，基本能保证在项目要求的总工期内完成。</w:t>
            </w:r>
          </w:p>
          <w:p w14:paraId="2F2979BC">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四</w:t>
            </w:r>
            <w:r>
              <w:rPr>
                <w:rFonts w:hint="eastAsia" w:ascii="宋体" w:hAnsi="宋体"/>
                <w:bCs/>
                <w:color w:val="auto"/>
                <w:szCs w:val="21"/>
                <w:highlight w:val="none"/>
              </w:rPr>
              <w:t>档（13分）：施工总体进度计划得当，进度计划网络图清晰合理，完全满足</w:t>
            </w:r>
            <w:r>
              <w:rPr>
                <w:rFonts w:hint="eastAsia" w:ascii="宋体" w:hAnsi="宋体"/>
                <w:bCs/>
                <w:color w:val="auto"/>
                <w:szCs w:val="21"/>
                <w:highlight w:val="none"/>
                <w:lang w:val="en-US" w:eastAsia="zh-CN"/>
              </w:rPr>
              <w:t>项目</w:t>
            </w:r>
            <w:r>
              <w:rPr>
                <w:rFonts w:hint="eastAsia" w:ascii="宋体" w:hAnsi="宋体"/>
                <w:bCs/>
                <w:color w:val="auto"/>
                <w:szCs w:val="21"/>
                <w:highlight w:val="none"/>
              </w:rPr>
              <w:t>要求，施工强度分析可靠，各关键节点的工期切实可行，控制性项目安排得当，保证工期的措施科学，工程进度补救措施可行，完全能保证在项目要求的总工期内完成。</w:t>
            </w:r>
          </w:p>
        </w:tc>
        <w:tc>
          <w:tcPr>
            <w:tcW w:w="957" w:type="dxa"/>
            <w:noWrap w:val="0"/>
            <w:vAlign w:val="center"/>
          </w:tcPr>
          <w:p w14:paraId="68B3A8C6">
            <w:pPr>
              <w:spacing w:line="440" w:lineRule="exact"/>
              <w:jc w:val="center"/>
              <w:rPr>
                <w:rFonts w:ascii="宋体" w:hAnsi="宋体"/>
                <w:bCs/>
                <w:color w:val="auto"/>
                <w:szCs w:val="21"/>
                <w:highlight w:val="none"/>
              </w:rPr>
            </w:pPr>
            <w:r>
              <w:rPr>
                <w:rFonts w:hint="eastAsia" w:ascii="宋体" w:hAnsi="宋体"/>
                <w:bCs/>
                <w:color w:val="auto"/>
                <w:szCs w:val="21"/>
                <w:highlight w:val="none"/>
              </w:rPr>
              <w:t>13</w:t>
            </w:r>
          </w:p>
        </w:tc>
      </w:tr>
      <w:tr w14:paraId="578D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noWrap w:val="0"/>
            <w:vAlign w:val="center"/>
          </w:tcPr>
          <w:p w14:paraId="2FBB5ED3">
            <w:pPr>
              <w:spacing w:line="440" w:lineRule="exact"/>
              <w:jc w:val="center"/>
              <w:rPr>
                <w:rFonts w:ascii="宋体" w:hAnsi="宋体"/>
                <w:bCs/>
                <w:color w:val="auto"/>
                <w:szCs w:val="21"/>
                <w:highlight w:val="none"/>
              </w:rPr>
            </w:pPr>
            <w:r>
              <w:rPr>
                <w:rFonts w:hint="eastAsia" w:ascii="宋体" w:hAnsi="宋体"/>
                <w:bCs/>
                <w:color w:val="auto"/>
                <w:szCs w:val="21"/>
                <w:highlight w:val="none"/>
              </w:rPr>
              <w:t>2.6</w:t>
            </w:r>
          </w:p>
        </w:tc>
        <w:tc>
          <w:tcPr>
            <w:tcW w:w="1151" w:type="dxa"/>
            <w:noWrap w:val="0"/>
            <w:vAlign w:val="center"/>
          </w:tcPr>
          <w:p w14:paraId="6125A9B6">
            <w:pPr>
              <w:spacing w:line="440" w:lineRule="exact"/>
              <w:rPr>
                <w:rFonts w:hint="eastAsia" w:ascii="宋体" w:hAnsi="宋体"/>
                <w:bCs/>
                <w:color w:val="auto"/>
                <w:szCs w:val="21"/>
                <w:highlight w:val="none"/>
              </w:rPr>
            </w:pPr>
            <w:r>
              <w:rPr>
                <w:rFonts w:hint="eastAsia" w:ascii="宋体" w:hAnsi="宋体"/>
                <w:bCs/>
                <w:color w:val="auto"/>
                <w:szCs w:val="21"/>
                <w:highlight w:val="none"/>
              </w:rPr>
              <w:t>资源配置计划</w:t>
            </w:r>
          </w:p>
        </w:tc>
        <w:tc>
          <w:tcPr>
            <w:tcW w:w="6151" w:type="dxa"/>
            <w:noWrap w:val="0"/>
            <w:vAlign w:val="top"/>
          </w:tcPr>
          <w:p w14:paraId="3E4ECEDC">
            <w:pPr>
              <w:spacing w:line="440" w:lineRule="exact"/>
              <w:ind w:firstLine="420" w:firstLineChars="200"/>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一档（1分）：各类施工及试验设备的配备类型、进场时间与施工组织设计不合理，设备数量不合理、类型不齐全，不满足施工需要。</w:t>
            </w:r>
          </w:p>
          <w:p w14:paraId="54DC0E9D">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二</w:t>
            </w:r>
            <w:r>
              <w:rPr>
                <w:rFonts w:hint="eastAsia" w:ascii="宋体" w:hAnsi="宋体"/>
                <w:bCs/>
                <w:color w:val="auto"/>
                <w:szCs w:val="21"/>
                <w:highlight w:val="none"/>
              </w:rPr>
              <w:t>档（3分）：各类施工及试验设备的配备类型、进场时间与施工组织设计基本相符，设备数量基本合理、但类型不齐全，基本满足施工需要。各类人员的配备基本专业、进场时间与施工组织设计基本相符，人员数量、专业技能基本满足施工要求；</w:t>
            </w:r>
          </w:p>
          <w:p w14:paraId="56CEA2BF">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三</w:t>
            </w:r>
            <w:r>
              <w:rPr>
                <w:rFonts w:hint="eastAsia" w:ascii="宋体" w:hAnsi="宋体"/>
                <w:bCs/>
                <w:color w:val="auto"/>
                <w:szCs w:val="21"/>
                <w:highlight w:val="none"/>
              </w:rPr>
              <w:t>档（7分）：各类施工及试验设备的配备类型、进场时间与施工组织设计相符，设备数量合理、类型齐全，满足施工需要。各类人员配备专业、进场时间与施工组织设计相符，人员数量、专业技能满足施工要求；</w:t>
            </w:r>
          </w:p>
          <w:p w14:paraId="734C77DC">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四</w:t>
            </w:r>
            <w:r>
              <w:rPr>
                <w:rFonts w:hint="eastAsia" w:ascii="宋体" w:hAnsi="宋体"/>
                <w:bCs/>
                <w:color w:val="auto"/>
                <w:szCs w:val="21"/>
                <w:highlight w:val="none"/>
              </w:rPr>
              <w:t>档（13分）：各类施工及试验设备的配备类型、进场时间与施工组织设计完美相符，设备数量有效合理、类型完整齐全，有保证设备良好运行工况的措施，合理的满足施工需要。各类人员配备专业、进场时间与施工组织设计完全相符，人员数量、专业技能满足施工要求，有保证施工人员相对稳定的措施；</w:t>
            </w:r>
          </w:p>
        </w:tc>
        <w:tc>
          <w:tcPr>
            <w:tcW w:w="957" w:type="dxa"/>
            <w:noWrap w:val="0"/>
            <w:vAlign w:val="center"/>
          </w:tcPr>
          <w:p w14:paraId="0DDFF1A0">
            <w:pPr>
              <w:spacing w:line="440" w:lineRule="exact"/>
              <w:jc w:val="center"/>
              <w:rPr>
                <w:rFonts w:ascii="宋体" w:hAnsi="宋体"/>
                <w:bCs/>
                <w:color w:val="auto"/>
                <w:szCs w:val="21"/>
                <w:highlight w:val="none"/>
              </w:rPr>
            </w:pPr>
            <w:r>
              <w:rPr>
                <w:rFonts w:hint="eastAsia" w:ascii="宋体" w:hAnsi="宋体"/>
                <w:bCs/>
                <w:color w:val="auto"/>
                <w:szCs w:val="21"/>
                <w:highlight w:val="none"/>
              </w:rPr>
              <w:t>13</w:t>
            </w:r>
          </w:p>
        </w:tc>
      </w:tr>
      <w:tr w14:paraId="6814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noWrap w:val="0"/>
            <w:vAlign w:val="center"/>
          </w:tcPr>
          <w:p w14:paraId="34B3F149">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3</w:t>
            </w:r>
          </w:p>
        </w:tc>
        <w:tc>
          <w:tcPr>
            <w:tcW w:w="8259" w:type="dxa"/>
            <w:gridSpan w:val="3"/>
            <w:noWrap w:val="0"/>
            <w:vAlign w:val="center"/>
          </w:tcPr>
          <w:p w14:paraId="4F8F7F11">
            <w:pPr>
              <w:spacing w:line="440" w:lineRule="exact"/>
              <w:jc w:val="center"/>
              <w:rPr>
                <w:rFonts w:ascii="宋体" w:hAnsi="宋体"/>
                <w:bCs/>
                <w:color w:val="auto"/>
                <w:szCs w:val="21"/>
                <w:highlight w:val="none"/>
              </w:rPr>
            </w:pPr>
            <w:r>
              <w:rPr>
                <w:rFonts w:hint="eastAsia" w:ascii="宋体" w:hAnsi="宋体"/>
                <w:b/>
                <w:color w:val="auto"/>
                <w:szCs w:val="21"/>
                <w:highlight w:val="none"/>
                <w:lang w:eastAsia="zh-CN"/>
              </w:rPr>
              <w:t>企业信誉</w:t>
            </w:r>
            <w:r>
              <w:rPr>
                <w:rFonts w:hint="eastAsia" w:ascii="宋体" w:hAnsi="宋体"/>
                <w:b/>
                <w:color w:val="auto"/>
                <w:szCs w:val="21"/>
                <w:highlight w:val="none"/>
              </w:rPr>
              <w:t>分（</w:t>
            </w:r>
            <w:r>
              <w:rPr>
                <w:rFonts w:hint="eastAsia" w:ascii="宋体" w:hAnsi="宋体"/>
                <w:b/>
                <w:color w:val="auto"/>
                <w:szCs w:val="21"/>
                <w:highlight w:val="none"/>
                <w:lang w:val="en-US" w:eastAsia="zh-CN"/>
              </w:rPr>
              <w:t>10</w:t>
            </w:r>
            <w:r>
              <w:rPr>
                <w:rFonts w:hint="eastAsia" w:ascii="宋体" w:hAnsi="宋体"/>
                <w:b/>
                <w:color w:val="auto"/>
                <w:szCs w:val="21"/>
                <w:highlight w:val="none"/>
              </w:rPr>
              <w:t>分）</w:t>
            </w:r>
          </w:p>
        </w:tc>
      </w:tr>
      <w:tr w14:paraId="1E8B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noWrap w:val="0"/>
            <w:vAlign w:val="center"/>
          </w:tcPr>
          <w:p w14:paraId="5A57AFAF">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3.1</w:t>
            </w:r>
          </w:p>
        </w:tc>
        <w:tc>
          <w:tcPr>
            <w:tcW w:w="1151" w:type="dxa"/>
            <w:noWrap w:val="0"/>
            <w:vAlign w:val="center"/>
          </w:tcPr>
          <w:p w14:paraId="080E3716">
            <w:pPr>
              <w:spacing w:line="440" w:lineRule="exact"/>
              <w:jc w:val="center"/>
              <w:rPr>
                <w:rFonts w:hint="eastAsia" w:ascii="宋体" w:hAnsi="宋体"/>
                <w:bCs/>
                <w:color w:val="auto"/>
                <w:szCs w:val="21"/>
                <w:highlight w:val="none"/>
              </w:rPr>
            </w:pPr>
            <w:r>
              <w:rPr>
                <w:rFonts w:hint="eastAsia" w:ascii="宋体" w:hAnsi="宋体"/>
                <w:bCs/>
                <w:color w:val="auto"/>
                <w:szCs w:val="21"/>
                <w:highlight w:val="none"/>
              </w:rPr>
              <w:t>信誉、业绩</w:t>
            </w:r>
          </w:p>
        </w:tc>
        <w:tc>
          <w:tcPr>
            <w:tcW w:w="6151" w:type="dxa"/>
            <w:noWrap w:val="0"/>
            <w:vAlign w:val="top"/>
          </w:tcPr>
          <w:p w14:paraId="5643F1B3">
            <w:pPr>
              <w:spacing w:line="440" w:lineRule="exact"/>
              <w:ind w:firstLine="420" w:firstLineChars="200"/>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1）投标人同时具备国家认证的质量体系认证、环境管理体系认证、职业健康安全管理体系认证、信息安全管理管理体系、企业诚信管理体系，（认证范围为水利水电工程施工，能在国家认证认可监督管理委员会网站</w:t>
            </w:r>
            <w:r>
              <w:rPr>
                <w:rFonts w:hint="default" w:ascii="宋体" w:hAnsi="宋体"/>
                <w:bCs/>
                <w:color w:val="auto"/>
                <w:szCs w:val="21"/>
                <w:highlight w:val="none"/>
                <w:lang w:val="en-US" w:eastAsia="zh-CN"/>
              </w:rPr>
              <w:fldChar w:fldCharType="begin"/>
            </w:r>
            <w:r>
              <w:rPr>
                <w:rFonts w:hint="default" w:ascii="宋体" w:hAnsi="宋体"/>
                <w:bCs/>
                <w:color w:val="auto"/>
                <w:szCs w:val="21"/>
                <w:highlight w:val="none"/>
                <w:lang w:val="en-US" w:eastAsia="zh-CN"/>
              </w:rPr>
              <w:instrText xml:space="preserve"> HYPERLINK "htttp://www.cnca.gov.cn/" </w:instrText>
            </w:r>
            <w:r>
              <w:rPr>
                <w:rFonts w:hint="default" w:ascii="宋体" w:hAnsi="宋体"/>
                <w:bCs/>
                <w:color w:val="auto"/>
                <w:szCs w:val="21"/>
                <w:highlight w:val="none"/>
                <w:lang w:val="en-US" w:eastAsia="zh-CN"/>
              </w:rPr>
              <w:fldChar w:fldCharType="separate"/>
            </w:r>
            <w:r>
              <w:rPr>
                <w:rFonts w:hint="default" w:ascii="宋体" w:hAnsi="宋体"/>
                <w:bCs/>
                <w:color w:val="auto"/>
                <w:szCs w:val="21"/>
                <w:highlight w:val="none"/>
                <w:lang w:val="en-US" w:eastAsia="zh-CN"/>
              </w:rPr>
              <w:t>http://www.cnca.gov.cn/</w:t>
            </w:r>
            <w:r>
              <w:rPr>
                <w:rFonts w:hint="default" w:ascii="宋体" w:hAnsi="宋体"/>
                <w:bCs/>
                <w:color w:val="auto"/>
                <w:szCs w:val="21"/>
                <w:highlight w:val="none"/>
                <w:lang w:val="en-US" w:eastAsia="zh-CN"/>
              </w:rPr>
              <w:fldChar w:fldCharType="end"/>
            </w:r>
            <w:r>
              <w:rPr>
                <w:rFonts w:hint="eastAsia" w:ascii="宋体" w:hAnsi="宋体"/>
                <w:bCs/>
                <w:color w:val="auto"/>
                <w:szCs w:val="21"/>
                <w:highlight w:val="none"/>
                <w:lang w:val="en-US" w:eastAsia="zh-CN"/>
              </w:rPr>
              <w:t>查询且在有效期内，提供相关证书扫描件）得1分，本项满分1分。</w:t>
            </w:r>
          </w:p>
          <w:p w14:paraId="7B8FF493">
            <w:pPr>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en-US"/>
              </w:rPr>
              <w:t>（2）</w:t>
            </w:r>
            <w:r>
              <w:rPr>
                <w:rFonts w:hint="eastAsia" w:ascii="宋体" w:hAnsi="宋体"/>
                <w:bCs/>
                <w:color w:val="auto"/>
                <w:szCs w:val="21"/>
                <w:highlight w:val="none"/>
              </w:rPr>
              <w:t>供应商自2021年</w:t>
            </w:r>
            <w:r>
              <w:rPr>
                <w:rFonts w:hint="eastAsia" w:ascii="宋体" w:hAnsi="宋体"/>
                <w:bCs/>
                <w:color w:val="auto"/>
                <w:szCs w:val="21"/>
                <w:highlight w:val="none"/>
                <w:lang w:val="en-US" w:eastAsia="zh-CN"/>
              </w:rPr>
              <w:t>1月1日</w:t>
            </w:r>
            <w:r>
              <w:rPr>
                <w:rFonts w:hint="eastAsia" w:ascii="宋体" w:hAnsi="宋体"/>
                <w:bCs/>
                <w:color w:val="auto"/>
                <w:szCs w:val="21"/>
                <w:highlight w:val="none"/>
              </w:rPr>
              <w:t>以来</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以</w:t>
            </w:r>
            <w:r>
              <w:rPr>
                <w:rFonts w:hint="eastAsia" w:ascii="宋体" w:hAnsi="宋体"/>
                <w:bCs/>
                <w:color w:val="auto"/>
                <w:szCs w:val="21"/>
                <w:highlight w:val="none"/>
                <w:lang w:eastAsia="zh-CN"/>
              </w:rPr>
              <w:t>完工或竣工验收鉴定书</w:t>
            </w:r>
            <w:r>
              <w:rPr>
                <w:rFonts w:hint="eastAsia" w:ascii="宋体" w:hAnsi="宋体"/>
                <w:bCs/>
                <w:color w:val="auto"/>
                <w:szCs w:val="21"/>
                <w:highlight w:val="none"/>
                <w:lang w:val="en-US" w:eastAsia="zh-CN"/>
              </w:rPr>
              <w:t>的时间为准</w:t>
            </w:r>
            <w:r>
              <w:rPr>
                <w:rFonts w:hint="eastAsia" w:ascii="宋体" w:hAnsi="宋体"/>
                <w:bCs/>
                <w:color w:val="auto"/>
                <w:szCs w:val="21"/>
                <w:highlight w:val="none"/>
                <w:lang w:eastAsia="zh-CN"/>
              </w:rPr>
              <w:t>）</w:t>
            </w:r>
            <w:r>
              <w:rPr>
                <w:rFonts w:hint="eastAsia" w:ascii="宋体" w:hAnsi="宋体"/>
                <w:bCs/>
                <w:color w:val="auto"/>
                <w:szCs w:val="21"/>
                <w:highlight w:val="none"/>
              </w:rPr>
              <w:t>承接过类似</w:t>
            </w:r>
            <w:r>
              <w:rPr>
                <w:rFonts w:hint="eastAsia" w:ascii="宋体" w:hAnsi="宋体"/>
                <w:bCs/>
                <w:color w:val="auto"/>
                <w:szCs w:val="21"/>
                <w:highlight w:val="none"/>
                <w:lang w:val="en-US" w:eastAsia="zh-CN"/>
              </w:rPr>
              <w:t>项目</w:t>
            </w:r>
            <w:r>
              <w:rPr>
                <w:rFonts w:hint="eastAsia" w:ascii="宋体" w:hAnsi="宋体"/>
                <w:bCs/>
                <w:color w:val="auto"/>
                <w:szCs w:val="21"/>
                <w:highlight w:val="none"/>
              </w:rPr>
              <w:t>的，每个业绩得</w:t>
            </w:r>
            <w:r>
              <w:rPr>
                <w:rFonts w:hint="eastAsia" w:ascii="宋体" w:hAnsi="宋体"/>
                <w:bCs/>
                <w:color w:val="auto"/>
                <w:szCs w:val="21"/>
                <w:highlight w:val="none"/>
                <w:lang w:val="en-US" w:eastAsia="zh-CN"/>
              </w:rPr>
              <w:t>1.5</w:t>
            </w:r>
            <w:r>
              <w:rPr>
                <w:rFonts w:hint="eastAsia" w:ascii="宋体" w:hAnsi="宋体"/>
                <w:bCs/>
                <w:color w:val="auto"/>
                <w:szCs w:val="21"/>
                <w:highlight w:val="none"/>
              </w:rPr>
              <w:t>分，此项满分</w:t>
            </w:r>
            <w:r>
              <w:rPr>
                <w:rFonts w:hint="eastAsia" w:ascii="宋体" w:hAnsi="宋体"/>
                <w:bCs/>
                <w:color w:val="auto"/>
                <w:szCs w:val="21"/>
                <w:highlight w:val="none"/>
                <w:lang w:val="en-US" w:eastAsia="zh-CN"/>
              </w:rPr>
              <w:t>3</w:t>
            </w:r>
            <w:r>
              <w:rPr>
                <w:rFonts w:hint="eastAsia" w:ascii="宋体" w:hAnsi="宋体"/>
                <w:bCs/>
                <w:color w:val="auto"/>
                <w:szCs w:val="21"/>
                <w:highlight w:val="none"/>
              </w:rPr>
              <w:t>分。（响应文件中须提供</w:t>
            </w:r>
            <w:r>
              <w:rPr>
                <w:rFonts w:hint="eastAsia" w:ascii="宋体" w:hAnsi="宋体"/>
                <w:bCs/>
                <w:color w:val="auto"/>
                <w:szCs w:val="21"/>
                <w:highlight w:val="none"/>
                <w:lang w:eastAsia="zh-CN"/>
              </w:rPr>
              <w:t>中标通知书或合同协</w:t>
            </w:r>
            <w:r>
              <w:rPr>
                <w:rFonts w:hint="eastAsia" w:ascii="宋体" w:hAnsi="宋体"/>
                <w:bCs/>
                <w:color w:val="auto"/>
                <w:szCs w:val="21"/>
                <w:highlight w:val="none"/>
                <w:lang w:val="en-US" w:eastAsia="zh-CN"/>
              </w:rPr>
              <w:t>议书，完工或竣工验收鉴定书，否则该项业绩不予计分）。（类似项目指：水利水电工程施工项目）</w:t>
            </w:r>
          </w:p>
          <w:p w14:paraId="56FFA538">
            <w:pPr>
              <w:spacing w:line="440" w:lineRule="exact"/>
              <w:ind w:firstLine="420" w:firstLineChars="200"/>
              <w:rPr>
                <w:color w:val="auto"/>
                <w:spacing w:val="-9"/>
                <w:sz w:val="21"/>
                <w:szCs w:val="21"/>
                <w:highlight w:val="none"/>
              </w:rPr>
            </w:pPr>
            <w:r>
              <w:rPr>
                <w:rFonts w:hint="default" w:ascii="宋体" w:hAnsi="宋体"/>
                <w:bCs/>
                <w:color w:val="auto"/>
                <w:szCs w:val="21"/>
                <w:highlight w:val="none"/>
                <w:lang w:val="en-US" w:eastAsia="zh-CN"/>
              </w:rPr>
              <w:t>（3）</w:t>
            </w:r>
            <w:r>
              <w:rPr>
                <w:rFonts w:hint="eastAsia" w:ascii="宋体" w:hAnsi="宋体"/>
                <w:bCs/>
                <w:color w:val="auto"/>
                <w:szCs w:val="21"/>
                <w:highlight w:val="none"/>
              </w:rPr>
              <w:t>供应商自2021年</w:t>
            </w:r>
            <w:r>
              <w:rPr>
                <w:rFonts w:hint="eastAsia" w:ascii="宋体" w:hAnsi="宋体"/>
                <w:bCs/>
                <w:color w:val="auto"/>
                <w:szCs w:val="21"/>
                <w:highlight w:val="none"/>
                <w:lang w:val="en-US" w:eastAsia="zh-CN"/>
              </w:rPr>
              <w:t>1月1日</w:t>
            </w:r>
            <w:r>
              <w:rPr>
                <w:rFonts w:hint="eastAsia" w:ascii="宋体" w:hAnsi="宋体"/>
                <w:bCs/>
                <w:color w:val="auto"/>
                <w:szCs w:val="21"/>
                <w:highlight w:val="none"/>
              </w:rPr>
              <w:t>以来</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以获奖证书签发的时间为准</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独立承担施工完成过的水利水电工程施工项目</w:t>
            </w:r>
            <w:r>
              <w:rPr>
                <w:rFonts w:hint="default" w:ascii="宋体" w:hAnsi="宋体"/>
                <w:bCs/>
                <w:color w:val="auto"/>
                <w:szCs w:val="21"/>
                <w:highlight w:val="none"/>
                <w:lang w:val="en-US" w:eastAsia="zh-CN"/>
              </w:rPr>
              <w:t>，获得各省、自治区、直辖市及以上</w:t>
            </w:r>
            <w:r>
              <w:rPr>
                <w:rFonts w:hint="eastAsia" w:ascii="宋体" w:hAnsi="宋体"/>
                <w:bCs/>
                <w:color w:val="auto"/>
                <w:szCs w:val="21"/>
                <w:highlight w:val="none"/>
                <w:lang w:val="en-US" w:eastAsia="zh-CN"/>
              </w:rPr>
              <w:t>（含）行政主管部门</w:t>
            </w:r>
            <w:r>
              <w:rPr>
                <w:rFonts w:hint="default" w:ascii="宋体" w:hAnsi="宋体"/>
                <w:bCs/>
                <w:color w:val="auto"/>
                <w:szCs w:val="21"/>
                <w:highlight w:val="none"/>
                <w:lang w:val="en-US" w:eastAsia="zh-CN"/>
              </w:rPr>
              <w:t>或</w:t>
            </w:r>
            <w:r>
              <w:rPr>
                <w:rFonts w:hint="eastAsia" w:ascii="宋体" w:hAnsi="宋体"/>
                <w:bCs/>
                <w:color w:val="auto"/>
                <w:szCs w:val="21"/>
                <w:highlight w:val="none"/>
                <w:lang w:val="en-US" w:eastAsia="zh-CN"/>
              </w:rPr>
              <w:t>其</w:t>
            </w:r>
            <w:r>
              <w:rPr>
                <w:rFonts w:hint="default" w:ascii="宋体" w:hAnsi="宋体"/>
                <w:bCs/>
                <w:color w:val="auto"/>
                <w:szCs w:val="21"/>
                <w:highlight w:val="none"/>
                <w:lang w:val="en-US" w:eastAsia="zh-CN"/>
              </w:rPr>
              <w:t>授权</w:t>
            </w:r>
            <w:r>
              <w:rPr>
                <w:rFonts w:hint="eastAsia" w:ascii="宋体" w:hAnsi="宋体"/>
                <w:bCs/>
                <w:color w:val="auto"/>
                <w:szCs w:val="21"/>
                <w:highlight w:val="none"/>
                <w:lang w:val="en-US" w:eastAsia="zh-CN"/>
              </w:rPr>
              <w:t>部门（</w:t>
            </w:r>
            <w:r>
              <w:rPr>
                <w:rFonts w:hint="default" w:ascii="宋体" w:hAnsi="宋体"/>
                <w:bCs/>
                <w:color w:val="auto"/>
                <w:szCs w:val="21"/>
                <w:highlight w:val="none"/>
                <w:lang w:val="en-US" w:eastAsia="zh-CN"/>
              </w:rPr>
              <w:t>机构</w:t>
            </w:r>
            <w:r>
              <w:rPr>
                <w:rFonts w:hint="eastAsia" w:ascii="宋体" w:hAnsi="宋体"/>
                <w:bCs/>
                <w:color w:val="auto"/>
                <w:szCs w:val="21"/>
                <w:highlight w:val="none"/>
                <w:lang w:val="en-US" w:eastAsia="zh-CN"/>
              </w:rPr>
              <w:t>）</w:t>
            </w:r>
            <w:r>
              <w:rPr>
                <w:rFonts w:hint="default" w:ascii="宋体" w:hAnsi="宋体"/>
                <w:bCs/>
                <w:color w:val="auto"/>
                <w:szCs w:val="21"/>
                <w:highlight w:val="none"/>
                <w:lang w:val="en-US" w:eastAsia="zh-CN"/>
              </w:rPr>
              <w:t>颁发的优质建设工程奖项的得</w:t>
            </w:r>
            <w:r>
              <w:rPr>
                <w:rFonts w:hint="eastAsia" w:ascii="宋体" w:hAnsi="宋体"/>
                <w:bCs/>
                <w:color w:val="auto"/>
                <w:szCs w:val="21"/>
                <w:highlight w:val="none"/>
                <w:lang w:val="en-US" w:eastAsia="zh-CN"/>
              </w:rPr>
              <w:t>3</w:t>
            </w:r>
            <w:r>
              <w:rPr>
                <w:rFonts w:hint="default" w:ascii="宋体" w:hAnsi="宋体"/>
                <w:bCs/>
                <w:color w:val="auto"/>
                <w:szCs w:val="21"/>
                <w:highlight w:val="none"/>
                <w:lang w:val="en-US" w:eastAsia="zh-CN"/>
              </w:rPr>
              <w:t>分，本项最高得</w:t>
            </w:r>
            <w:r>
              <w:rPr>
                <w:rFonts w:hint="eastAsia" w:ascii="宋体" w:hAnsi="宋体"/>
                <w:bCs/>
                <w:color w:val="auto"/>
                <w:szCs w:val="21"/>
                <w:highlight w:val="none"/>
                <w:lang w:val="en-US" w:eastAsia="zh-CN"/>
              </w:rPr>
              <w:t>6</w:t>
            </w:r>
            <w:r>
              <w:rPr>
                <w:rFonts w:hint="default" w:ascii="宋体" w:hAnsi="宋体"/>
                <w:bCs/>
                <w:color w:val="auto"/>
                <w:szCs w:val="21"/>
                <w:highlight w:val="none"/>
                <w:lang w:val="en-US" w:eastAsia="zh-CN"/>
              </w:rPr>
              <w:t>分（须提供获奖证书扫描件及工程完工验收鉴定书或工程竣工验收鉴定书作为证明材料）</w:t>
            </w:r>
          </w:p>
        </w:tc>
        <w:tc>
          <w:tcPr>
            <w:tcW w:w="957" w:type="dxa"/>
            <w:noWrap w:val="0"/>
            <w:vAlign w:val="center"/>
          </w:tcPr>
          <w:p w14:paraId="3BDAE38A">
            <w:pPr>
              <w:spacing w:line="440" w:lineRule="exact"/>
              <w:jc w:val="center"/>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10</w:t>
            </w:r>
          </w:p>
        </w:tc>
      </w:tr>
      <w:bookmarkEnd w:id="24"/>
    </w:tbl>
    <w:p w14:paraId="4ED49227">
      <w:pPr>
        <w:spacing w:line="360" w:lineRule="auto"/>
        <w:rPr>
          <w:rFonts w:hint="eastAsia" w:ascii="宋体" w:hAnsi="宋体"/>
          <w:bCs/>
          <w:color w:val="auto"/>
          <w:szCs w:val="21"/>
          <w:highlight w:val="none"/>
        </w:rPr>
      </w:pPr>
    </w:p>
    <w:p w14:paraId="6B8970BB">
      <w:pPr>
        <w:pStyle w:val="14"/>
        <w:spacing w:line="360" w:lineRule="auto"/>
        <w:ind w:firstLine="400" w:firstLineChars="200"/>
        <w:rPr>
          <w:rFonts w:hint="eastAsia" w:hAnsi="宋体"/>
          <w:bCs/>
          <w:color w:val="auto"/>
          <w:highlight w:val="none"/>
        </w:rPr>
      </w:pPr>
      <w:r>
        <w:rPr>
          <w:rFonts w:hint="eastAsia" w:hAnsi="宋体"/>
          <w:bCs/>
          <w:color w:val="auto"/>
          <w:highlight w:val="none"/>
        </w:rPr>
        <w:t>8.2商务技术评审因素为客观评分项的，应在评分项目或评分标准中予以标注为“客观分”。对供应商的客观评分项目，各评审专家评分应当一致。</w:t>
      </w:r>
    </w:p>
    <w:p w14:paraId="1778B65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8.3.终止竞争性磋商采购活动</w:t>
      </w:r>
    </w:p>
    <w:p w14:paraId="1D43982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2C5B008D">
      <w:pPr>
        <w:rPr>
          <w:rFonts w:hint="eastAsia"/>
          <w:color w:val="auto"/>
          <w:highlight w:val="none"/>
        </w:rPr>
      </w:pPr>
    </w:p>
    <w:p w14:paraId="6999D383">
      <w:pPr>
        <w:pStyle w:val="3"/>
        <w:spacing w:before="0" w:after="0" w:line="360" w:lineRule="auto"/>
        <w:ind w:firstLine="640" w:firstLineChars="200"/>
        <w:jc w:val="center"/>
        <w:rPr>
          <w:rFonts w:hint="eastAsia" w:ascii="宋体" w:hAnsi="宋体"/>
          <w:b w:val="0"/>
          <w:color w:val="auto"/>
          <w:highlight w:val="none"/>
        </w:rPr>
      </w:pPr>
      <w:bookmarkStart w:id="25" w:name="_Toc17935"/>
      <w:r>
        <w:rPr>
          <w:rFonts w:hint="eastAsia" w:ascii="宋体" w:hAnsi="宋体"/>
          <w:b w:val="0"/>
          <w:color w:val="auto"/>
          <w:highlight w:val="none"/>
        </w:rPr>
        <w:t>第二节 评标报告</w:t>
      </w:r>
      <w:bookmarkEnd w:id="25"/>
    </w:p>
    <w:p w14:paraId="5B8381A0">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3B21D4F9">
      <w:pPr>
        <w:spacing w:line="360" w:lineRule="auto"/>
        <w:ind w:firstLine="420" w:firstLineChars="200"/>
        <w:rPr>
          <w:rFonts w:hint="eastAsia" w:ascii="宋体" w:hAnsi="宋体" w:cs="宋体"/>
          <w:color w:val="auto"/>
          <w:sz w:val="24"/>
          <w:highlight w:val="none"/>
        </w:rPr>
      </w:pPr>
      <w:r>
        <w:rPr>
          <w:rFonts w:hint="eastAsia" w:ascii="宋体" w:hAnsi="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A2E9633">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2.评标争议事项处理</w:t>
      </w:r>
    </w:p>
    <w:p w14:paraId="273B4305">
      <w:pPr>
        <w:pStyle w:val="24"/>
        <w:spacing w:before="0"/>
        <w:ind w:firstLine="420"/>
        <w:rPr>
          <w:rFonts w:hint="eastAsia"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60CF59D0">
      <w:pPr>
        <w:pStyle w:val="3"/>
        <w:spacing w:before="0" w:after="0" w:line="360" w:lineRule="auto"/>
        <w:ind w:firstLine="640" w:firstLineChars="200"/>
        <w:jc w:val="center"/>
        <w:rPr>
          <w:rFonts w:hint="eastAsia" w:ascii="宋体" w:hAnsi="宋体" w:cs="宋体"/>
          <w:b w:val="0"/>
          <w:color w:val="auto"/>
          <w:highlight w:val="none"/>
        </w:rPr>
      </w:pPr>
      <w:bookmarkStart w:id="26" w:name="_Toc20457"/>
      <w:r>
        <w:rPr>
          <w:rFonts w:hint="eastAsia" w:ascii="宋体" w:hAnsi="宋体"/>
          <w:b w:val="0"/>
          <w:color w:val="auto"/>
          <w:highlight w:val="none"/>
        </w:rPr>
        <w:t>第三节 评审过程的保密与录像</w:t>
      </w:r>
      <w:bookmarkEnd w:id="26"/>
    </w:p>
    <w:p w14:paraId="7DF85CCD">
      <w:pPr>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332CFC14">
      <w:pPr>
        <w:widowControl/>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C72AA2B">
      <w:pPr>
        <w:widowControl/>
        <w:spacing w:line="360" w:lineRule="auto"/>
        <w:ind w:firstLine="480" w:firstLineChars="200"/>
        <w:rPr>
          <w:rFonts w:hint="eastAsia"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2E82D47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p>
    <w:p w14:paraId="0A35D709">
      <w:pPr>
        <w:spacing w:line="400" w:lineRule="exact"/>
        <w:ind w:firstLine="420" w:firstLineChars="200"/>
        <w:rPr>
          <w:rFonts w:hint="eastAsia" w:ascii="宋体" w:hAnsi="宋体" w:cs="宋体"/>
          <w:color w:val="auto"/>
          <w:highlight w:val="none"/>
        </w:rPr>
      </w:pPr>
    </w:p>
    <w:p w14:paraId="4BC13CEC">
      <w:pPr>
        <w:spacing w:line="400" w:lineRule="exact"/>
        <w:ind w:firstLine="420" w:firstLineChars="200"/>
        <w:rPr>
          <w:rFonts w:hint="eastAsia" w:ascii="宋体" w:hAnsi="宋体" w:cs="宋体"/>
          <w:color w:val="auto"/>
          <w:highlight w:val="none"/>
        </w:rPr>
      </w:pPr>
    </w:p>
    <w:p w14:paraId="762521BF">
      <w:pPr>
        <w:rPr>
          <w:rFonts w:hint="eastAsia"/>
          <w:color w:val="auto"/>
          <w:highlight w:val="none"/>
        </w:rPr>
      </w:pPr>
    </w:p>
    <w:p w14:paraId="5AE9C2F9">
      <w:pPr>
        <w:rPr>
          <w:color w:val="auto"/>
          <w:highlight w:val="none"/>
        </w:rPr>
      </w:pPr>
      <w:r>
        <w:rPr>
          <w:color w:val="auto"/>
          <w:highlight w:val="none"/>
        </w:rPr>
        <w:br w:type="page"/>
      </w:r>
    </w:p>
    <w:p w14:paraId="51C98385">
      <w:pPr>
        <w:rPr>
          <w:color w:val="auto"/>
          <w:highlight w:val="none"/>
        </w:rPr>
      </w:pPr>
    </w:p>
    <w:p w14:paraId="78B2CF13">
      <w:pPr>
        <w:rPr>
          <w:color w:val="auto"/>
          <w:highlight w:val="none"/>
        </w:rPr>
      </w:pPr>
    </w:p>
    <w:p w14:paraId="0416FBDC">
      <w:pPr>
        <w:rPr>
          <w:color w:val="auto"/>
          <w:highlight w:val="none"/>
        </w:rPr>
      </w:pPr>
    </w:p>
    <w:p w14:paraId="2BD44511">
      <w:pPr>
        <w:rPr>
          <w:color w:val="auto"/>
          <w:highlight w:val="none"/>
        </w:rPr>
      </w:pPr>
    </w:p>
    <w:p w14:paraId="65FEB5DA">
      <w:pPr>
        <w:rPr>
          <w:color w:val="auto"/>
          <w:highlight w:val="none"/>
        </w:rPr>
      </w:pPr>
    </w:p>
    <w:p w14:paraId="5F974585">
      <w:pPr>
        <w:rPr>
          <w:color w:val="auto"/>
          <w:highlight w:val="none"/>
        </w:rPr>
      </w:pPr>
    </w:p>
    <w:p w14:paraId="464BA699">
      <w:pPr>
        <w:rPr>
          <w:color w:val="auto"/>
          <w:highlight w:val="none"/>
        </w:rPr>
      </w:pPr>
    </w:p>
    <w:p w14:paraId="2414DE2E">
      <w:pPr>
        <w:rPr>
          <w:color w:val="auto"/>
          <w:highlight w:val="none"/>
        </w:rPr>
      </w:pPr>
    </w:p>
    <w:p w14:paraId="68BDC1BC">
      <w:pPr>
        <w:rPr>
          <w:color w:val="auto"/>
          <w:highlight w:val="none"/>
        </w:rPr>
      </w:pPr>
    </w:p>
    <w:p w14:paraId="46D9CB77">
      <w:pPr>
        <w:rPr>
          <w:color w:val="auto"/>
          <w:highlight w:val="none"/>
        </w:rPr>
      </w:pPr>
    </w:p>
    <w:p w14:paraId="5E0B001B">
      <w:pPr>
        <w:rPr>
          <w:color w:val="auto"/>
          <w:highlight w:val="none"/>
        </w:rPr>
      </w:pPr>
    </w:p>
    <w:p w14:paraId="347FFF25">
      <w:pPr>
        <w:rPr>
          <w:color w:val="auto"/>
          <w:highlight w:val="none"/>
        </w:rPr>
      </w:pPr>
    </w:p>
    <w:p w14:paraId="51D1285E">
      <w:pPr>
        <w:rPr>
          <w:color w:val="auto"/>
          <w:highlight w:val="none"/>
        </w:rPr>
      </w:pPr>
    </w:p>
    <w:p w14:paraId="247A9752">
      <w:pPr>
        <w:rPr>
          <w:color w:val="auto"/>
          <w:highlight w:val="none"/>
        </w:rPr>
      </w:pPr>
    </w:p>
    <w:p w14:paraId="633251EF">
      <w:pPr>
        <w:rPr>
          <w:color w:val="auto"/>
          <w:highlight w:val="none"/>
        </w:rPr>
      </w:pPr>
    </w:p>
    <w:p w14:paraId="161EF123">
      <w:pPr>
        <w:rPr>
          <w:color w:val="auto"/>
          <w:highlight w:val="none"/>
        </w:rPr>
      </w:pPr>
    </w:p>
    <w:p w14:paraId="3CCC1862">
      <w:pPr>
        <w:rPr>
          <w:color w:val="auto"/>
          <w:highlight w:val="none"/>
        </w:rPr>
      </w:pPr>
    </w:p>
    <w:p w14:paraId="0F4352AF">
      <w:pPr>
        <w:rPr>
          <w:color w:val="auto"/>
          <w:highlight w:val="none"/>
        </w:rPr>
      </w:pPr>
    </w:p>
    <w:p w14:paraId="58B0A9AA">
      <w:pPr>
        <w:rPr>
          <w:color w:val="auto"/>
          <w:highlight w:val="none"/>
        </w:rPr>
      </w:pPr>
    </w:p>
    <w:p w14:paraId="2B58095C">
      <w:pPr>
        <w:pStyle w:val="2"/>
        <w:jc w:val="center"/>
        <w:rPr>
          <w:color w:val="auto"/>
          <w:highlight w:val="none"/>
        </w:rPr>
      </w:pPr>
      <w:bookmarkStart w:id="27" w:name="_Toc28399"/>
      <w:r>
        <w:rPr>
          <w:rFonts w:hint="eastAsia"/>
          <w:color w:val="auto"/>
          <w:highlight w:val="none"/>
        </w:rPr>
        <w:t>第五章</w:t>
      </w:r>
      <w:r>
        <w:rPr>
          <w:color w:val="auto"/>
          <w:highlight w:val="none"/>
        </w:rPr>
        <w:t xml:space="preserve"> </w:t>
      </w:r>
      <w:r>
        <w:rPr>
          <w:rFonts w:hint="eastAsia"/>
          <w:color w:val="auto"/>
          <w:highlight w:val="none"/>
        </w:rPr>
        <w:t>响应文件格式</w:t>
      </w:r>
      <w:bookmarkEnd w:id="27"/>
    </w:p>
    <w:p w14:paraId="2E11FEE5">
      <w:pPr>
        <w:widowControl/>
        <w:spacing w:line="576" w:lineRule="auto"/>
        <w:jc w:val="left"/>
        <w:rPr>
          <w:b/>
          <w:bCs/>
          <w:color w:val="auto"/>
          <w:kern w:val="44"/>
          <w:sz w:val="44"/>
          <w:szCs w:val="44"/>
          <w:highlight w:val="none"/>
        </w:rPr>
        <w:sectPr>
          <w:pgSz w:w="11905" w:h="16838"/>
          <w:pgMar w:top="958" w:right="1440" w:bottom="958" w:left="1587" w:header="850" w:footer="992" w:gutter="0"/>
          <w:pgNumType w:fmt="decimal"/>
          <w:cols w:space="720" w:num="1"/>
          <w:rtlGutter w:val="0"/>
          <w:docGrid w:type="lines" w:linePitch="317" w:charSpace="0"/>
        </w:sectPr>
      </w:pPr>
    </w:p>
    <w:p w14:paraId="25236992">
      <w:pPr>
        <w:pStyle w:val="3"/>
        <w:jc w:val="center"/>
        <w:rPr>
          <w:rFonts w:ascii="宋体" w:hAnsi="宋体"/>
          <w:b w:val="0"/>
          <w:color w:val="auto"/>
          <w:highlight w:val="none"/>
        </w:rPr>
      </w:pPr>
      <w:bookmarkStart w:id="28" w:name="_Toc11983"/>
      <w:r>
        <w:rPr>
          <w:rFonts w:hint="eastAsia" w:ascii="宋体" w:hAnsi="宋体"/>
          <w:b w:val="0"/>
          <w:color w:val="auto"/>
          <w:highlight w:val="none"/>
        </w:rPr>
        <w:t>第一节 封面格式</w:t>
      </w:r>
      <w:bookmarkEnd w:id="28"/>
    </w:p>
    <w:p w14:paraId="1F7C919B">
      <w:pPr>
        <w:snapToGrid w:val="0"/>
        <w:spacing w:before="120" w:beforeLines="50" w:after="50"/>
        <w:rPr>
          <w:rFonts w:hint="eastAsia" w:ascii="宋体" w:hAnsi="宋体"/>
          <w:color w:val="auto"/>
          <w:sz w:val="24"/>
          <w:szCs w:val="20"/>
          <w:highlight w:val="none"/>
        </w:rPr>
      </w:pPr>
    </w:p>
    <w:p w14:paraId="6D37B710">
      <w:pPr>
        <w:snapToGrid w:val="0"/>
        <w:spacing w:before="120" w:beforeLines="50" w:after="50"/>
        <w:jc w:val="center"/>
        <w:rPr>
          <w:rFonts w:hint="eastAsia" w:ascii="宋体" w:hAnsi="宋体"/>
          <w:bCs/>
          <w:color w:val="auto"/>
          <w:sz w:val="24"/>
          <w:szCs w:val="20"/>
          <w:highlight w:val="none"/>
        </w:rPr>
      </w:pPr>
    </w:p>
    <w:p w14:paraId="2BF9A4A6">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51999D01">
      <w:pPr>
        <w:snapToGrid w:val="0"/>
        <w:spacing w:before="120" w:beforeLines="50" w:after="50"/>
        <w:rPr>
          <w:rFonts w:hint="eastAsia" w:ascii="宋体" w:hAnsi="宋体"/>
          <w:bCs/>
          <w:color w:val="auto"/>
          <w:sz w:val="24"/>
          <w:szCs w:val="20"/>
          <w:highlight w:val="none"/>
        </w:rPr>
      </w:pPr>
    </w:p>
    <w:p w14:paraId="61784845">
      <w:pPr>
        <w:snapToGrid w:val="0"/>
        <w:spacing w:before="120" w:beforeLines="50" w:after="50"/>
        <w:rPr>
          <w:rFonts w:hint="eastAsia" w:ascii="宋体" w:hAnsi="宋体"/>
          <w:bCs/>
          <w:color w:val="auto"/>
          <w:sz w:val="24"/>
          <w:szCs w:val="20"/>
          <w:highlight w:val="none"/>
        </w:rPr>
      </w:pPr>
    </w:p>
    <w:p w14:paraId="4AFBE7B4">
      <w:pPr>
        <w:snapToGrid w:val="0"/>
        <w:spacing w:before="120" w:beforeLines="50" w:after="50"/>
        <w:rPr>
          <w:rFonts w:hint="eastAsia" w:ascii="仿宋_GB2312" w:hAnsi="仿宋_GB2312" w:eastAsia="仿宋_GB2312" w:cs="仿宋_GB2312"/>
          <w:bCs/>
          <w:color w:val="auto"/>
          <w:sz w:val="32"/>
          <w:szCs w:val="32"/>
          <w:highlight w:val="none"/>
        </w:rPr>
      </w:pPr>
    </w:p>
    <w:p w14:paraId="54AD86A7">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南宁市五化灌区总干渠水毁应急抢险工程</w:t>
      </w:r>
    </w:p>
    <w:p w14:paraId="1B5AAFB5">
      <w:pPr>
        <w:snapToGrid w:val="0"/>
        <w:spacing w:before="120" w:beforeLines="50" w:after="50"/>
        <w:ind w:firstLine="480" w:firstLineChars="150"/>
        <w:rPr>
          <w:rFonts w:hint="eastAsia" w:ascii="宋体" w:hAnsi="宋体" w:cs="仿宋_GB2312"/>
          <w:bCs/>
          <w:color w:val="auto"/>
          <w:sz w:val="32"/>
          <w:szCs w:val="32"/>
          <w:highlight w:val="none"/>
        </w:rPr>
      </w:pPr>
    </w:p>
    <w:p w14:paraId="6F3802C2">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项目编号：</w:t>
      </w:r>
      <w:r>
        <w:rPr>
          <w:rFonts w:hint="eastAsia" w:ascii="宋体" w:hAnsi="宋体" w:cs="仿宋_GB2312"/>
          <w:bCs/>
          <w:color w:val="auto"/>
          <w:sz w:val="32"/>
          <w:szCs w:val="32"/>
          <w:highlight w:val="none"/>
          <w:lang w:val="en-US" w:eastAsia="zh-CN"/>
        </w:rPr>
        <w:t>NNZC2026-C2-990977-GXXB</w:t>
      </w:r>
    </w:p>
    <w:p w14:paraId="6D92893F">
      <w:pPr>
        <w:snapToGrid w:val="0"/>
        <w:spacing w:before="120" w:beforeLines="50" w:after="50"/>
        <w:ind w:firstLine="480" w:firstLineChars="150"/>
        <w:rPr>
          <w:rFonts w:hint="eastAsia" w:ascii="宋体" w:hAnsi="宋体" w:cs="仿宋_GB2312"/>
          <w:bCs/>
          <w:color w:val="auto"/>
          <w:sz w:val="32"/>
          <w:szCs w:val="32"/>
          <w:highlight w:val="none"/>
        </w:rPr>
      </w:pPr>
    </w:p>
    <w:p w14:paraId="125FECFD">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14DFC0EA">
      <w:pPr>
        <w:snapToGrid w:val="0"/>
        <w:spacing w:before="120" w:beforeLines="50" w:after="50"/>
        <w:rPr>
          <w:rFonts w:hint="eastAsia" w:ascii="宋体" w:hAnsi="宋体" w:cs="仿宋_GB2312"/>
          <w:bCs/>
          <w:color w:val="auto"/>
          <w:sz w:val="32"/>
          <w:szCs w:val="32"/>
          <w:highlight w:val="none"/>
        </w:rPr>
      </w:pPr>
    </w:p>
    <w:p w14:paraId="19BEB647">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F9D0476">
      <w:pPr>
        <w:snapToGrid w:val="0"/>
        <w:spacing w:before="120" w:beforeLines="50" w:after="50"/>
        <w:rPr>
          <w:rFonts w:hint="eastAsia" w:ascii="宋体" w:hAnsi="宋体" w:cs="仿宋_GB2312"/>
          <w:bCs/>
          <w:color w:val="auto"/>
          <w:sz w:val="32"/>
          <w:szCs w:val="32"/>
          <w:highlight w:val="none"/>
        </w:rPr>
      </w:pPr>
    </w:p>
    <w:p w14:paraId="1606FE7D">
      <w:pPr>
        <w:snapToGrid w:val="0"/>
        <w:spacing w:before="120" w:beforeLines="50" w:after="50"/>
        <w:ind w:firstLine="480" w:firstLineChars="150"/>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4A83170D">
      <w:pPr>
        <w:snapToGrid w:val="0"/>
        <w:spacing w:before="120" w:beforeLines="50" w:after="50"/>
        <w:ind w:firstLine="5440" w:firstLineChars="1700"/>
        <w:jc w:val="center"/>
        <w:rPr>
          <w:rFonts w:hint="eastAsia" w:ascii="宋体" w:hAnsi="宋体" w:cs="仿宋_GB2312"/>
          <w:bCs/>
          <w:color w:val="auto"/>
          <w:sz w:val="32"/>
          <w:szCs w:val="32"/>
          <w:highlight w:val="none"/>
        </w:rPr>
      </w:pPr>
    </w:p>
    <w:p w14:paraId="1BA956BC">
      <w:pPr>
        <w:snapToGrid w:val="0"/>
        <w:spacing w:before="120" w:beforeLines="50" w:after="50"/>
        <w:ind w:firstLine="645"/>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19C5070D">
      <w:pPr>
        <w:widowControl/>
        <w:jc w:val="left"/>
        <w:rPr>
          <w:color w:val="auto"/>
          <w:highlight w:val="none"/>
        </w:rPr>
        <w:sectPr>
          <w:pgSz w:w="11905" w:h="16838"/>
          <w:pgMar w:top="958" w:right="1440" w:bottom="958" w:left="1587" w:header="850" w:footer="992" w:gutter="0"/>
          <w:pgNumType w:fmt="decimal"/>
          <w:cols w:space="720" w:num="1"/>
          <w:rtlGutter w:val="0"/>
          <w:docGrid w:type="lines" w:linePitch="317" w:charSpace="0"/>
        </w:sectPr>
      </w:pPr>
    </w:p>
    <w:p w14:paraId="70A85F47">
      <w:pPr>
        <w:pStyle w:val="3"/>
        <w:jc w:val="center"/>
        <w:rPr>
          <w:rFonts w:hint="eastAsia" w:ascii="宋体" w:hAnsi="宋体" w:cs="宋体"/>
          <w:bCs w:val="0"/>
          <w:color w:val="auto"/>
          <w:highlight w:val="none"/>
        </w:rPr>
      </w:pPr>
      <w:bookmarkStart w:id="29" w:name="_Toc24651"/>
      <w:r>
        <w:rPr>
          <w:rFonts w:hint="eastAsia" w:ascii="宋体" w:hAnsi="宋体"/>
          <w:bCs w:val="0"/>
          <w:color w:val="auto"/>
          <w:highlight w:val="none"/>
        </w:rPr>
        <w:t>第二节 资格证明文件格式</w:t>
      </w:r>
      <w:bookmarkEnd w:id="29"/>
    </w:p>
    <w:p w14:paraId="74C56663">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03DF52D3">
      <w:pPr>
        <w:snapToGrid w:val="0"/>
        <w:spacing w:before="120" w:beforeLines="50" w:after="50"/>
        <w:rPr>
          <w:rFonts w:hint="eastAsia" w:ascii="宋体" w:hAnsi="宋体"/>
          <w:color w:val="auto"/>
          <w:sz w:val="24"/>
          <w:szCs w:val="20"/>
          <w:highlight w:val="none"/>
        </w:rPr>
      </w:pPr>
    </w:p>
    <w:p w14:paraId="4DF2AFF5">
      <w:pPr>
        <w:snapToGrid w:val="0"/>
        <w:spacing w:before="120" w:beforeLines="50" w:after="50"/>
        <w:rPr>
          <w:rFonts w:hint="eastAsia" w:ascii="宋体" w:hAnsi="宋体"/>
          <w:color w:val="auto"/>
          <w:sz w:val="24"/>
          <w:szCs w:val="20"/>
          <w:highlight w:val="none"/>
        </w:rPr>
      </w:pPr>
    </w:p>
    <w:p w14:paraId="7E3C19E4">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54BD763F">
      <w:pPr>
        <w:snapToGrid w:val="0"/>
        <w:spacing w:before="120" w:beforeLines="50" w:after="50"/>
        <w:rPr>
          <w:rFonts w:hint="eastAsia" w:ascii="宋体" w:hAnsi="宋体"/>
          <w:bCs/>
          <w:color w:val="auto"/>
          <w:sz w:val="24"/>
          <w:szCs w:val="20"/>
          <w:highlight w:val="none"/>
        </w:rPr>
      </w:pPr>
    </w:p>
    <w:p w14:paraId="09F465EC">
      <w:pPr>
        <w:snapToGrid w:val="0"/>
        <w:spacing w:before="120" w:beforeLines="50" w:after="50"/>
        <w:rPr>
          <w:rFonts w:hint="eastAsia" w:ascii="宋体" w:hAnsi="宋体"/>
          <w:bCs/>
          <w:color w:val="auto"/>
          <w:sz w:val="24"/>
          <w:szCs w:val="20"/>
          <w:highlight w:val="none"/>
        </w:rPr>
      </w:pPr>
    </w:p>
    <w:p w14:paraId="5CD54CF4">
      <w:pPr>
        <w:snapToGrid w:val="0"/>
        <w:spacing w:before="120" w:beforeLines="50" w:after="50"/>
        <w:rPr>
          <w:rFonts w:hint="eastAsia" w:ascii="宋体" w:hAnsi="宋体"/>
          <w:bCs/>
          <w:color w:val="auto"/>
          <w:sz w:val="24"/>
          <w:szCs w:val="20"/>
          <w:highlight w:val="none"/>
        </w:rPr>
      </w:pPr>
    </w:p>
    <w:p w14:paraId="660354C1">
      <w:pPr>
        <w:snapToGrid w:val="0"/>
        <w:spacing w:before="120" w:beforeLines="50" w:after="50"/>
        <w:rPr>
          <w:rFonts w:hint="eastAsia" w:ascii="宋体" w:hAnsi="宋体"/>
          <w:bCs/>
          <w:color w:val="auto"/>
          <w:sz w:val="24"/>
          <w:szCs w:val="20"/>
          <w:highlight w:val="none"/>
        </w:rPr>
      </w:pPr>
    </w:p>
    <w:p w14:paraId="33AE4106">
      <w:pPr>
        <w:snapToGrid w:val="0"/>
        <w:spacing w:before="120" w:beforeLines="50" w:after="50"/>
        <w:rPr>
          <w:rFonts w:hint="eastAsia" w:ascii="宋体" w:hAnsi="宋体"/>
          <w:bCs/>
          <w:color w:val="auto"/>
          <w:sz w:val="24"/>
          <w:szCs w:val="20"/>
          <w:highlight w:val="none"/>
        </w:rPr>
      </w:pPr>
    </w:p>
    <w:p w14:paraId="56CD99C7">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南宁市五化灌区总干渠水毁应急抢险工程</w:t>
      </w:r>
    </w:p>
    <w:p w14:paraId="261D7FD4">
      <w:pPr>
        <w:snapToGrid w:val="0"/>
        <w:spacing w:before="120" w:beforeLines="50" w:after="50"/>
        <w:ind w:firstLine="720" w:firstLineChars="225"/>
        <w:rPr>
          <w:rFonts w:hint="eastAsia" w:ascii="宋体" w:hAnsi="宋体" w:cs="仿宋_GB2312"/>
          <w:bCs/>
          <w:color w:val="auto"/>
          <w:sz w:val="32"/>
          <w:szCs w:val="32"/>
          <w:highlight w:val="none"/>
        </w:rPr>
      </w:pPr>
    </w:p>
    <w:p w14:paraId="609D0122">
      <w:pPr>
        <w:snapToGrid w:val="0"/>
        <w:spacing w:before="120" w:beforeLines="50" w:after="50"/>
        <w:ind w:firstLine="720" w:firstLineChars="225"/>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项目编号：</w:t>
      </w:r>
      <w:r>
        <w:rPr>
          <w:rFonts w:hint="eastAsia" w:ascii="宋体" w:hAnsi="宋体" w:cs="仿宋_GB2312"/>
          <w:bCs/>
          <w:color w:val="auto"/>
          <w:sz w:val="32"/>
          <w:szCs w:val="32"/>
          <w:highlight w:val="none"/>
          <w:lang w:val="en-US" w:eastAsia="zh-CN"/>
        </w:rPr>
        <w:t>NNZC2026-C2-990977-GXXB</w:t>
      </w:r>
    </w:p>
    <w:p w14:paraId="57513A97">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EA7CBC1">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5CCFCD7E">
      <w:pPr>
        <w:snapToGrid w:val="0"/>
        <w:spacing w:before="120" w:beforeLines="50" w:after="50"/>
        <w:ind w:firstLine="720" w:firstLineChars="225"/>
        <w:rPr>
          <w:rFonts w:hint="eastAsia" w:ascii="宋体" w:hAnsi="宋体" w:cs="仿宋_GB2312"/>
          <w:bCs/>
          <w:color w:val="auto"/>
          <w:sz w:val="32"/>
          <w:szCs w:val="32"/>
          <w:highlight w:val="none"/>
        </w:rPr>
      </w:pPr>
    </w:p>
    <w:p w14:paraId="7D084214">
      <w:pPr>
        <w:pStyle w:val="6"/>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AB02ACE">
      <w:pPr>
        <w:pStyle w:val="6"/>
        <w:snapToGrid w:val="0"/>
        <w:spacing w:before="50" w:after="50"/>
        <w:ind w:firstLine="720" w:firstLineChars="225"/>
        <w:rPr>
          <w:rFonts w:hint="eastAsia" w:ascii="宋体" w:hAnsi="宋体" w:cs="仿宋_GB2312"/>
          <w:bCs/>
          <w:color w:val="auto"/>
          <w:sz w:val="32"/>
          <w:szCs w:val="32"/>
          <w:highlight w:val="none"/>
        </w:rPr>
      </w:pPr>
    </w:p>
    <w:p w14:paraId="05C8600C">
      <w:pPr>
        <w:pStyle w:val="6"/>
        <w:snapToGrid w:val="0"/>
        <w:spacing w:before="50" w:after="50"/>
        <w:ind w:firstLine="720" w:firstLineChars="225"/>
        <w:rPr>
          <w:rFonts w:hint="eastAsia" w:ascii="宋体" w:hAnsi="宋体" w:cs="仿宋_GB2312"/>
          <w:bCs/>
          <w:color w:val="auto"/>
          <w:sz w:val="32"/>
          <w:szCs w:val="32"/>
          <w:highlight w:val="none"/>
        </w:rPr>
      </w:pPr>
    </w:p>
    <w:p w14:paraId="4236BCFB">
      <w:pPr>
        <w:pStyle w:val="6"/>
        <w:snapToGrid w:val="0"/>
        <w:spacing w:before="50" w:after="50"/>
        <w:ind w:firstLine="720" w:firstLineChars="225"/>
        <w:rPr>
          <w:rFonts w:hint="eastAsia" w:ascii="宋体" w:hAnsi="宋体" w:cs="仿宋_GB2312"/>
          <w:bCs/>
          <w:color w:val="auto"/>
          <w:sz w:val="32"/>
          <w:szCs w:val="32"/>
          <w:highlight w:val="none"/>
        </w:rPr>
      </w:pPr>
    </w:p>
    <w:p w14:paraId="455F944E">
      <w:pPr>
        <w:pStyle w:val="6"/>
        <w:snapToGrid w:val="0"/>
        <w:spacing w:before="50" w:after="50"/>
        <w:ind w:firstLine="1280" w:firstLineChars="400"/>
        <w:rPr>
          <w:rFonts w:hint="eastAsia" w:ascii="宋体" w:hAnsi="宋体" w:cs="仿宋_GB2312"/>
          <w:bCs/>
          <w:color w:val="auto"/>
          <w:sz w:val="32"/>
          <w:szCs w:val="32"/>
          <w:highlight w:val="none"/>
        </w:rPr>
      </w:pPr>
    </w:p>
    <w:p w14:paraId="760241FE">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6A59DA0">
      <w:pPr>
        <w:snapToGrid w:val="0"/>
        <w:spacing w:before="120" w:beforeLines="50" w:after="50" w:line="360" w:lineRule="auto"/>
        <w:jc w:val="left"/>
        <w:rPr>
          <w:rFonts w:hint="eastAsia" w:ascii="宋体" w:hAnsi="宋体"/>
          <w:b/>
          <w:bCs/>
          <w:color w:val="auto"/>
          <w:sz w:val="32"/>
          <w:szCs w:val="32"/>
          <w:highlight w:val="none"/>
        </w:rPr>
      </w:pPr>
      <w:r>
        <w:rPr>
          <w:rFonts w:hint="eastAsia" w:ascii="宋体" w:hAnsi="宋体"/>
          <w:color w:val="auto"/>
          <w:sz w:val="24"/>
          <w:highlight w:val="none"/>
        </w:rPr>
        <w:br w:type="page"/>
      </w:r>
      <w:r>
        <w:rPr>
          <w:rFonts w:hint="eastAsia" w:ascii="宋体" w:hAnsi="宋体"/>
          <w:b/>
          <w:bCs/>
          <w:color w:val="auto"/>
          <w:sz w:val="32"/>
          <w:szCs w:val="32"/>
          <w:highlight w:val="none"/>
        </w:rPr>
        <w:t xml:space="preserve"> </w:t>
      </w:r>
    </w:p>
    <w:p w14:paraId="33699A3E">
      <w:pPr>
        <w:jc w:val="center"/>
        <w:rPr>
          <w:rFonts w:hint="eastAsia"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资格证明文件目录</w:t>
      </w:r>
    </w:p>
    <w:p w14:paraId="2D63B26A">
      <w:pPr>
        <w:snapToGrid w:val="0"/>
        <w:spacing w:line="360" w:lineRule="auto"/>
        <w:rPr>
          <w:rFonts w:hint="eastAsia" w:ascii="仿宋_GB2312" w:hAnsi="仿宋" w:eastAsia="仿宋_GB2312" w:cs="仿宋_GB2312"/>
          <w:color w:val="auto"/>
          <w:kern w:val="0"/>
          <w:sz w:val="24"/>
          <w:highlight w:val="none"/>
        </w:rPr>
      </w:pPr>
    </w:p>
    <w:p w14:paraId="79DDB098">
      <w:pPr>
        <w:widowControl/>
        <w:spacing w:line="440" w:lineRule="exact"/>
        <w:jc w:val="left"/>
        <w:rPr>
          <w:color w:val="auto"/>
          <w:sz w:val="24"/>
          <w:highlight w:val="none"/>
        </w:rPr>
      </w:pPr>
      <w:r>
        <w:rPr>
          <w:rFonts w:hint="eastAsia" w:ascii="仿宋" w:hAnsi="仿宋" w:eastAsia="仿宋" w:cs="仿宋"/>
          <w:color w:val="auto"/>
          <w:kern w:val="0"/>
          <w:sz w:val="24"/>
          <w:highlight w:val="none"/>
          <w:lang w:bidi="ar"/>
        </w:rPr>
        <w:t>一、营业执照(或事业法人登记证或其他工商等登记证明材料)复印件（供应商为自然人的，须提供自然人的身份证明）…………………………………（页码）</w:t>
      </w:r>
    </w:p>
    <w:p w14:paraId="25ADE00B">
      <w:pPr>
        <w:widowControl/>
        <w:spacing w:line="440" w:lineRule="exact"/>
        <w:jc w:val="left"/>
        <w:rPr>
          <w:color w:val="auto"/>
          <w:sz w:val="24"/>
          <w:highlight w:val="none"/>
        </w:rPr>
      </w:pPr>
      <w:r>
        <w:rPr>
          <w:rFonts w:hint="eastAsia" w:ascii="仿宋" w:hAnsi="仿宋" w:eastAsia="仿宋" w:cs="仿宋"/>
          <w:color w:val="auto"/>
          <w:kern w:val="0"/>
          <w:sz w:val="24"/>
          <w:highlight w:val="none"/>
          <w:lang w:bidi="ar"/>
        </w:rPr>
        <w:t>二、符合参与政府采购活动的资格条件依法缴纳税收、社会保障资金等方面的材料………………………………………………………………………………（页码）</w:t>
      </w:r>
    </w:p>
    <w:p w14:paraId="67568BA6">
      <w:pPr>
        <w:widowControl/>
        <w:spacing w:line="440" w:lineRule="exact"/>
        <w:jc w:val="left"/>
        <w:rPr>
          <w:color w:val="auto"/>
          <w:sz w:val="24"/>
          <w:highlight w:val="none"/>
        </w:rPr>
      </w:pPr>
      <w:r>
        <w:rPr>
          <w:rFonts w:hint="eastAsia" w:ascii="仿宋" w:hAnsi="仿宋" w:eastAsia="仿宋" w:cs="仿宋"/>
          <w:color w:val="auto"/>
          <w:kern w:val="0"/>
          <w:sz w:val="24"/>
          <w:highlight w:val="none"/>
          <w:lang w:bidi="ar"/>
        </w:rPr>
        <w:t>三、财务状况报告方面的材料………………………………………………（页码）</w:t>
      </w:r>
    </w:p>
    <w:p w14:paraId="776E25DD">
      <w:pPr>
        <w:widowControl/>
        <w:spacing w:line="440" w:lineRule="exact"/>
        <w:jc w:val="left"/>
        <w:rPr>
          <w:color w:val="auto"/>
          <w:sz w:val="24"/>
          <w:highlight w:val="none"/>
        </w:rPr>
      </w:pPr>
      <w:r>
        <w:rPr>
          <w:rFonts w:hint="eastAsia" w:ascii="仿宋" w:hAnsi="仿宋" w:eastAsia="仿宋" w:cs="仿宋"/>
          <w:color w:val="auto"/>
          <w:kern w:val="0"/>
          <w:sz w:val="24"/>
          <w:highlight w:val="none"/>
          <w:lang w:bidi="ar"/>
        </w:rPr>
        <w:t>四、供应商直接控股股东信息………………………………………………（页码）</w:t>
      </w:r>
    </w:p>
    <w:p w14:paraId="23A7D7DD">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五、供应商直接管理关系信息表……………………………………………（页码）</w:t>
      </w:r>
    </w:p>
    <w:p w14:paraId="186EAF2A">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六、资格声明函………………………………………………………………（页码）</w:t>
      </w:r>
    </w:p>
    <w:p w14:paraId="6F5DAC8E">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七</w:t>
      </w:r>
      <w:r>
        <w:rPr>
          <w:rFonts w:hint="eastAsia" w:ascii="仿宋" w:hAnsi="仿宋" w:eastAsia="仿宋" w:cs="仿宋"/>
          <w:color w:val="auto"/>
          <w:kern w:val="0"/>
          <w:sz w:val="24"/>
          <w:highlight w:val="none"/>
          <w:lang w:bidi="ar"/>
        </w:rPr>
        <w:t>、本项目的特定资格要求…………………………………………………（页码）</w:t>
      </w:r>
    </w:p>
    <w:p w14:paraId="49DE3C16">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八</w:t>
      </w:r>
      <w:r>
        <w:rPr>
          <w:rFonts w:hint="eastAsia" w:ascii="仿宋" w:hAnsi="仿宋" w:eastAsia="仿宋" w:cs="仿宋"/>
          <w:color w:val="auto"/>
          <w:kern w:val="0"/>
          <w:sz w:val="24"/>
          <w:highlight w:val="none"/>
          <w:lang w:bidi="ar"/>
        </w:rPr>
        <w:t>、供应商为中小微企业或监狱企业或残疾人福利性单位的证明材料……（页码）</w:t>
      </w:r>
    </w:p>
    <w:p w14:paraId="08603F4D">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九</w:t>
      </w:r>
      <w:r>
        <w:rPr>
          <w:rFonts w:hint="eastAsia" w:ascii="仿宋" w:hAnsi="仿宋" w:eastAsia="仿宋" w:cs="仿宋"/>
          <w:color w:val="auto"/>
          <w:kern w:val="0"/>
          <w:sz w:val="24"/>
          <w:highlight w:val="none"/>
          <w:lang w:bidi="ar"/>
        </w:rPr>
        <w:t>、除磋商文件规定必须提供以外，供应商认为需要提供的其他证明材料……（页码）</w:t>
      </w:r>
    </w:p>
    <w:p w14:paraId="0DCB1349">
      <w:pPr>
        <w:spacing w:line="360" w:lineRule="auto"/>
        <w:rPr>
          <w:rFonts w:hint="eastAsia" w:ascii="仿宋_GB2312" w:hAnsi="仿宋_GB2312" w:eastAsia="仿宋_GB2312" w:cs="仿宋_GB2312"/>
          <w:b/>
          <w:bCs/>
          <w:color w:val="auto"/>
          <w:sz w:val="24"/>
          <w:highlight w:val="none"/>
        </w:rPr>
      </w:pPr>
    </w:p>
    <w:p w14:paraId="1B9CD373">
      <w:pPr>
        <w:spacing w:line="360" w:lineRule="auto"/>
        <w:rPr>
          <w:rFonts w:hint="eastAsia"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注：以上目录是编制供应商响应文件的基本格式要求，各供应商可根据自身情况进一步细化。</w:t>
      </w:r>
    </w:p>
    <w:p w14:paraId="1EE9B8B6">
      <w:pPr>
        <w:snapToGrid w:val="0"/>
        <w:spacing w:before="120" w:beforeLines="50" w:after="50" w:line="360" w:lineRule="auto"/>
        <w:ind w:left="142" w:firstLine="420" w:firstLineChars="200"/>
        <w:jc w:val="left"/>
        <w:rPr>
          <w:rFonts w:hint="eastAsia" w:ascii="宋体" w:hAnsi="宋体"/>
          <w:color w:val="auto"/>
          <w:szCs w:val="21"/>
          <w:highlight w:val="none"/>
        </w:rPr>
      </w:pPr>
    </w:p>
    <w:p w14:paraId="15367B70">
      <w:pPr>
        <w:spacing w:line="300" w:lineRule="auto"/>
        <w:rPr>
          <w:rFonts w:hint="eastAsia" w:ascii="宋体" w:hAnsi="宋体"/>
          <w:color w:val="auto"/>
          <w:szCs w:val="21"/>
          <w:highlight w:val="none"/>
        </w:rPr>
      </w:pPr>
    </w:p>
    <w:p w14:paraId="1B38FF9A">
      <w:pPr>
        <w:spacing w:line="300" w:lineRule="auto"/>
        <w:rPr>
          <w:rFonts w:hint="eastAsia" w:ascii="宋体" w:hAnsi="宋体"/>
          <w:color w:val="auto"/>
          <w:szCs w:val="21"/>
          <w:highlight w:val="none"/>
        </w:rPr>
      </w:pPr>
    </w:p>
    <w:p w14:paraId="597B8591">
      <w:pPr>
        <w:spacing w:line="300" w:lineRule="auto"/>
        <w:rPr>
          <w:rFonts w:hint="eastAsia" w:ascii="宋体" w:hAnsi="宋体"/>
          <w:color w:val="auto"/>
          <w:szCs w:val="21"/>
          <w:highlight w:val="none"/>
        </w:rPr>
      </w:pPr>
    </w:p>
    <w:p w14:paraId="0873AC24">
      <w:pPr>
        <w:spacing w:line="300" w:lineRule="auto"/>
        <w:rPr>
          <w:rFonts w:hint="eastAsia" w:ascii="宋体" w:hAnsi="宋体"/>
          <w:color w:val="auto"/>
          <w:szCs w:val="21"/>
          <w:highlight w:val="none"/>
        </w:rPr>
      </w:pPr>
    </w:p>
    <w:p w14:paraId="43D29B04">
      <w:pPr>
        <w:spacing w:line="300" w:lineRule="auto"/>
        <w:rPr>
          <w:rFonts w:hint="eastAsia" w:ascii="宋体" w:hAnsi="宋体"/>
          <w:color w:val="auto"/>
          <w:szCs w:val="21"/>
          <w:highlight w:val="none"/>
        </w:rPr>
      </w:pPr>
    </w:p>
    <w:p w14:paraId="53371611">
      <w:pPr>
        <w:spacing w:line="300" w:lineRule="auto"/>
        <w:rPr>
          <w:rFonts w:hint="eastAsia" w:ascii="宋体" w:hAnsi="宋体"/>
          <w:color w:val="auto"/>
          <w:szCs w:val="21"/>
          <w:highlight w:val="none"/>
        </w:rPr>
      </w:pPr>
    </w:p>
    <w:p w14:paraId="4A6FF8CE">
      <w:pPr>
        <w:spacing w:line="300" w:lineRule="auto"/>
        <w:rPr>
          <w:rFonts w:hint="eastAsia" w:ascii="宋体" w:hAnsi="宋体"/>
          <w:color w:val="auto"/>
          <w:szCs w:val="21"/>
          <w:highlight w:val="none"/>
        </w:rPr>
      </w:pPr>
    </w:p>
    <w:p w14:paraId="5444173B">
      <w:pPr>
        <w:spacing w:line="300" w:lineRule="auto"/>
        <w:rPr>
          <w:rFonts w:hint="eastAsia" w:ascii="宋体" w:hAnsi="宋体"/>
          <w:color w:val="auto"/>
          <w:szCs w:val="21"/>
          <w:highlight w:val="none"/>
        </w:rPr>
      </w:pPr>
    </w:p>
    <w:p w14:paraId="73DA3C53">
      <w:pPr>
        <w:spacing w:line="300" w:lineRule="auto"/>
        <w:rPr>
          <w:rFonts w:hint="eastAsia" w:ascii="宋体" w:hAnsi="宋体"/>
          <w:color w:val="auto"/>
          <w:szCs w:val="21"/>
          <w:highlight w:val="none"/>
        </w:rPr>
      </w:pPr>
    </w:p>
    <w:p w14:paraId="2B2BCEF4">
      <w:pPr>
        <w:pStyle w:val="14"/>
        <w:spacing w:line="360" w:lineRule="auto"/>
        <w:ind w:firstLine="400" w:firstLineChars="200"/>
        <w:rPr>
          <w:rFonts w:hint="eastAsia" w:ascii="仿宋" w:hAnsi="仿宋" w:eastAsia="仿宋" w:cs="仿宋_GB2312"/>
          <w:b/>
          <w:color w:val="auto"/>
          <w:sz w:val="30"/>
          <w:szCs w:val="30"/>
          <w:highlight w:val="none"/>
        </w:rPr>
      </w:pPr>
      <w:r>
        <w:rPr>
          <w:rFonts w:hint="eastAsia" w:hAnsi="宋体"/>
          <w:color w:val="auto"/>
          <w:highlight w:val="none"/>
        </w:rPr>
        <w:br w:type="page"/>
      </w:r>
      <w:r>
        <w:rPr>
          <w:rFonts w:hint="eastAsia" w:hAnsi="宋体"/>
          <w:color w:val="auto"/>
          <w:highlight w:val="none"/>
        </w:rPr>
        <w:t xml:space="preserve">   </w:t>
      </w:r>
      <w:r>
        <w:rPr>
          <w:rFonts w:hint="eastAsia" w:ascii="仿宋" w:hAnsi="仿宋" w:eastAsia="仿宋" w:cs="仿宋_GB2312"/>
          <w:b/>
          <w:color w:val="auto"/>
          <w:sz w:val="30"/>
          <w:szCs w:val="30"/>
          <w:highlight w:val="none"/>
        </w:rPr>
        <w:t>一、营业执照(或事业法人登记证或其他工商等登记证明材料)复印件（供应商为自然人的，提供自然人的身份证明）</w:t>
      </w:r>
    </w:p>
    <w:p w14:paraId="1EE1E3F8">
      <w:pPr>
        <w:pStyle w:val="14"/>
        <w:spacing w:line="360" w:lineRule="auto"/>
        <w:ind w:firstLine="602" w:firstLineChars="200"/>
        <w:rPr>
          <w:rFonts w:hint="eastAsia" w:ascii="仿宋" w:hAnsi="仿宋" w:eastAsia="仿宋" w:cs="仿宋_GB2312"/>
          <w:b/>
          <w:color w:val="auto"/>
          <w:sz w:val="30"/>
          <w:szCs w:val="30"/>
          <w:highlight w:val="none"/>
        </w:rPr>
      </w:pPr>
    </w:p>
    <w:p w14:paraId="4BC7EED4">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5E727AF">
      <w:pPr>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11C409C8">
      <w:pPr>
        <w:snapToGrid w:val="0"/>
        <w:spacing w:before="120" w:beforeLines="50" w:after="50"/>
        <w:rPr>
          <w:rFonts w:hint="eastAsia" w:ascii="宋体" w:hAnsi="宋体"/>
          <w:color w:val="auto"/>
          <w:sz w:val="24"/>
          <w:szCs w:val="20"/>
          <w:highlight w:val="none"/>
        </w:rPr>
      </w:pPr>
    </w:p>
    <w:p w14:paraId="503B4903">
      <w:pPr>
        <w:pStyle w:val="14"/>
        <w:spacing w:line="360" w:lineRule="auto"/>
        <w:ind w:firstLine="602" w:firstLineChars="200"/>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二、符合参与政府采购活动的资格条件依法缴纳税收、社会保障资金等方面的材料</w:t>
      </w:r>
    </w:p>
    <w:p w14:paraId="33E57FA6">
      <w:pPr>
        <w:spacing w:line="300" w:lineRule="auto"/>
        <w:rPr>
          <w:rFonts w:hint="eastAsia" w:ascii="宋体" w:hAnsi="宋体"/>
          <w:color w:val="auto"/>
          <w:szCs w:val="21"/>
          <w:highlight w:val="none"/>
        </w:rPr>
      </w:pPr>
    </w:p>
    <w:p w14:paraId="4636F819">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178C45F">
      <w:pPr>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7D7887ED">
      <w:pPr>
        <w:spacing w:line="300" w:lineRule="auto"/>
        <w:rPr>
          <w:rFonts w:hint="eastAsia" w:ascii="宋体" w:hAnsi="宋体"/>
          <w:color w:val="auto"/>
          <w:szCs w:val="21"/>
          <w:highlight w:val="none"/>
        </w:rPr>
      </w:pPr>
    </w:p>
    <w:p w14:paraId="1B746B41">
      <w:pPr>
        <w:spacing w:line="300" w:lineRule="auto"/>
        <w:ind w:firstLine="596" w:firstLineChars="198"/>
        <w:rPr>
          <w:rFonts w:hint="eastAsia"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三、财务状况报告方面的材料</w:t>
      </w:r>
    </w:p>
    <w:p w14:paraId="7D97824F">
      <w:pPr>
        <w:spacing w:line="300" w:lineRule="auto"/>
        <w:rPr>
          <w:rFonts w:hint="eastAsia" w:ascii="宋体" w:hAnsi="宋体"/>
          <w:color w:val="auto"/>
          <w:szCs w:val="21"/>
          <w:highlight w:val="none"/>
        </w:rPr>
      </w:pPr>
    </w:p>
    <w:p w14:paraId="47417B7E">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C2D7F32">
      <w:pPr>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496559B9">
      <w:pPr>
        <w:spacing w:line="320" w:lineRule="exact"/>
        <w:jc w:val="left"/>
        <w:rPr>
          <w:rFonts w:hint="eastAsia" w:ascii="宋体" w:hAnsi="宋体"/>
          <w:color w:val="auto"/>
          <w:szCs w:val="21"/>
          <w:highlight w:val="none"/>
        </w:rPr>
      </w:pPr>
      <w:r>
        <w:rPr>
          <w:rFonts w:hint="eastAsia" w:ascii="宋体" w:hAnsi="宋体"/>
          <w:color w:val="auto"/>
          <w:szCs w:val="21"/>
          <w:highlight w:val="none"/>
        </w:rPr>
        <w:t xml:space="preserve"> </w:t>
      </w:r>
    </w:p>
    <w:p w14:paraId="75E9F4FA">
      <w:pPr>
        <w:snapToGrid w:val="0"/>
        <w:spacing w:before="120" w:beforeLines="50" w:after="50" w:line="360" w:lineRule="auto"/>
        <w:jc w:val="center"/>
        <w:rPr>
          <w:rFonts w:hint="eastAsia" w:ascii="宋体" w:hAnsi="宋体"/>
          <w:b/>
          <w:color w:val="auto"/>
          <w:sz w:val="24"/>
          <w:highlight w:val="none"/>
        </w:rPr>
      </w:pPr>
    </w:p>
    <w:p w14:paraId="17D9E047">
      <w:pPr>
        <w:spacing w:line="360" w:lineRule="auto"/>
        <w:ind w:firstLine="596" w:firstLineChars="198"/>
        <w:rPr>
          <w:rFonts w:hint="eastAsia"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四、供应商直接控股股东信息</w:t>
      </w:r>
    </w:p>
    <w:p w14:paraId="229C74B7">
      <w:pPr>
        <w:spacing w:line="360" w:lineRule="auto"/>
        <w:jc w:val="center"/>
        <w:rPr>
          <w:rFonts w:hint="eastAsia" w:ascii="宋体" w:hAnsi="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7A0968E">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B3A8EA">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5633D1">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14E1FF">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C4F78F">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7F9A7C">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07A0058E">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7B2898">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23F0EC9">
            <w:pPr>
              <w:widowControl/>
              <w:spacing w:line="360" w:lineRule="auto"/>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F2C280">
            <w:pPr>
              <w:widowControl/>
              <w:spacing w:line="360" w:lineRule="auto"/>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E954EB">
            <w:pPr>
              <w:widowControl/>
              <w:spacing w:line="360" w:lineRule="auto"/>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AB21CA">
            <w:pPr>
              <w:widowControl/>
              <w:spacing w:line="360" w:lineRule="auto"/>
              <w:jc w:val="center"/>
              <w:rPr>
                <w:rFonts w:hint="eastAsia" w:ascii="宋体" w:hAnsi="宋体" w:cs="宋体"/>
                <w:color w:val="auto"/>
                <w:kern w:val="0"/>
                <w:sz w:val="24"/>
                <w:highlight w:val="none"/>
              </w:rPr>
            </w:pPr>
          </w:p>
        </w:tc>
      </w:tr>
      <w:tr w14:paraId="7459BD5F">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8DFA25">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6F3C40">
            <w:pPr>
              <w:widowControl/>
              <w:spacing w:line="360" w:lineRule="auto"/>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548A01">
            <w:pPr>
              <w:widowControl/>
              <w:spacing w:line="360" w:lineRule="auto"/>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C0298B0">
            <w:pPr>
              <w:widowControl/>
              <w:spacing w:line="360" w:lineRule="auto"/>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6C506B">
            <w:pPr>
              <w:widowControl/>
              <w:spacing w:line="360" w:lineRule="auto"/>
              <w:jc w:val="center"/>
              <w:rPr>
                <w:rFonts w:hint="eastAsia" w:ascii="宋体" w:hAnsi="宋体" w:cs="宋体"/>
                <w:color w:val="auto"/>
                <w:kern w:val="0"/>
                <w:sz w:val="24"/>
                <w:highlight w:val="none"/>
              </w:rPr>
            </w:pPr>
          </w:p>
        </w:tc>
      </w:tr>
      <w:tr w14:paraId="2C24BFC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08EE20">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312D46">
            <w:pPr>
              <w:widowControl/>
              <w:spacing w:line="360" w:lineRule="auto"/>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CDC920">
            <w:pPr>
              <w:widowControl/>
              <w:spacing w:line="360" w:lineRule="auto"/>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22632B">
            <w:pPr>
              <w:widowControl/>
              <w:spacing w:line="360" w:lineRule="auto"/>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915CEA">
            <w:pPr>
              <w:widowControl/>
              <w:spacing w:line="360" w:lineRule="auto"/>
              <w:jc w:val="center"/>
              <w:rPr>
                <w:rFonts w:hint="eastAsia" w:ascii="宋体" w:hAnsi="宋体" w:cs="宋体"/>
                <w:color w:val="auto"/>
                <w:kern w:val="0"/>
                <w:sz w:val="24"/>
                <w:highlight w:val="none"/>
              </w:rPr>
            </w:pPr>
          </w:p>
        </w:tc>
      </w:tr>
      <w:tr w14:paraId="33165CC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E42106">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18BC15">
            <w:pPr>
              <w:widowControl/>
              <w:spacing w:line="360" w:lineRule="auto"/>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6143609">
            <w:pPr>
              <w:widowControl/>
              <w:spacing w:line="360" w:lineRule="auto"/>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F08DE5">
            <w:pPr>
              <w:widowControl/>
              <w:spacing w:line="360" w:lineRule="auto"/>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DFCA04">
            <w:pPr>
              <w:widowControl/>
              <w:spacing w:line="360" w:lineRule="auto"/>
              <w:jc w:val="center"/>
              <w:rPr>
                <w:rFonts w:hint="eastAsia" w:ascii="宋体" w:hAnsi="宋体" w:cs="宋体"/>
                <w:color w:val="auto"/>
                <w:kern w:val="0"/>
                <w:sz w:val="24"/>
                <w:highlight w:val="none"/>
              </w:rPr>
            </w:pPr>
          </w:p>
        </w:tc>
      </w:tr>
    </w:tbl>
    <w:p w14:paraId="0B956567">
      <w:pPr>
        <w:spacing w:line="360" w:lineRule="auto"/>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40A30572">
      <w:pPr>
        <w:spacing w:line="360" w:lineRule="auto"/>
        <w:ind w:firstLine="480" w:firstLineChars="200"/>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7D9DBDC">
      <w:pPr>
        <w:spacing w:line="360" w:lineRule="auto"/>
        <w:ind w:firstLine="480" w:firstLineChars="200"/>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2.本表所指的控股关系仅限于直接控股关系，不包括间接的控股关系。公司实际控制人与公司之间的关系不属于本表所指的直接控股关系。</w:t>
      </w:r>
    </w:p>
    <w:p w14:paraId="0BFEB20D">
      <w:pPr>
        <w:spacing w:line="360" w:lineRule="auto"/>
        <w:ind w:firstLine="480" w:firstLineChars="200"/>
        <w:jc w:val="left"/>
        <w:rPr>
          <w:rFonts w:hint="eastAsia" w:ascii="宋体" w:hAnsi="宋体" w:cs="宋体"/>
          <w:color w:val="auto"/>
          <w:sz w:val="24"/>
          <w:highlight w:val="none"/>
        </w:rPr>
      </w:pPr>
      <w:r>
        <w:rPr>
          <w:rFonts w:hint="eastAsia" w:ascii="仿宋_GB2312" w:hAnsi="仿宋" w:eastAsia="仿宋_GB2312" w:cs="仿宋_GB2312"/>
          <w:color w:val="auto"/>
          <w:kern w:val="0"/>
          <w:sz w:val="24"/>
          <w:highlight w:val="none"/>
        </w:rPr>
        <w:t>3.供应商不存在直接控股股东的，则填“无”。</w:t>
      </w:r>
    </w:p>
    <w:p w14:paraId="6BA7DE66">
      <w:pPr>
        <w:snapToGrid w:val="0"/>
        <w:spacing w:line="360" w:lineRule="auto"/>
        <w:jc w:val="left"/>
        <w:rPr>
          <w:rFonts w:hint="eastAsia" w:ascii="宋体" w:hAnsi="宋体" w:cs="宋体"/>
          <w:color w:val="auto"/>
          <w:sz w:val="24"/>
          <w:highlight w:val="none"/>
        </w:rPr>
      </w:pPr>
    </w:p>
    <w:p w14:paraId="17237A54">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1C075B80">
      <w:pPr>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6535BE6">
      <w:pPr>
        <w:snapToGrid w:val="0"/>
        <w:rPr>
          <w:rFonts w:hint="eastAsia" w:ascii="仿宋" w:hAnsi="仿宋" w:eastAsia="仿宋" w:cs="仿宋_GB2312"/>
          <w:b/>
          <w:color w:val="auto"/>
          <w:kern w:val="0"/>
          <w:sz w:val="30"/>
          <w:szCs w:val="30"/>
          <w:highlight w:val="none"/>
        </w:rPr>
      </w:pPr>
    </w:p>
    <w:p w14:paraId="6F933EE7">
      <w:pPr>
        <w:snapToGrid w:val="0"/>
        <w:ind w:firstLine="596" w:firstLineChars="198"/>
        <w:rPr>
          <w:rFonts w:hint="eastAsia" w:ascii="仿宋" w:hAnsi="仿宋" w:eastAsia="仿宋" w:cs="仿宋_GB2312"/>
          <w:b/>
          <w:color w:val="auto"/>
          <w:kern w:val="0"/>
          <w:sz w:val="30"/>
          <w:szCs w:val="30"/>
          <w:highlight w:val="none"/>
        </w:rPr>
      </w:pPr>
      <w:r>
        <w:rPr>
          <w:rFonts w:hint="eastAsia" w:ascii="仿宋" w:hAnsi="仿宋" w:eastAsia="仿宋" w:cs="仿宋_GB2312"/>
          <w:b/>
          <w:color w:val="auto"/>
          <w:kern w:val="0"/>
          <w:sz w:val="30"/>
          <w:szCs w:val="30"/>
          <w:highlight w:val="none"/>
        </w:rPr>
        <w:t>五、供应商直接管理关系信息表</w:t>
      </w:r>
    </w:p>
    <w:p w14:paraId="06060727">
      <w:pPr>
        <w:snapToGrid w:val="0"/>
        <w:spacing w:line="360" w:lineRule="auto"/>
        <w:jc w:val="center"/>
        <w:rPr>
          <w:rFonts w:hint="eastAsia" w:ascii="宋体" w:hAnsi="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25FFE41">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6C2825">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C952D72">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D28515E">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ECCF96">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6310A98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134789">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D09792">
            <w:pPr>
              <w:widowControl/>
              <w:spacing w:line="360" w:lineRule="auto"/>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8FD4D0">
            <w:pPr>
              <w:widowControl/>
              <w:spacing w:line="360" w:lineRule="auto"/>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913D61">
            <w:pPr>
              <w:widowControl/>
              <w:spacing w:line="360" w:lineRule="auto"/>
              <w:jc w:val="center"/>
              <w:rPr>
                <w:rFonts w:hint="eastAsia" w:ascii="宋体" w:hAnsi="宋体" w:cs="宋体"/>
                <w:color w:val="auto"/>
                <w:kern w:val="0"/>
                <w:sz w:val="24"/>
                <w:highlight w:val="none"/>
              </w:rPr>
            </w:pPr>
          </w:p>
        </w:tc>
      </w:tr>
      <w:tr w14:paraId="7A7AD5A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E67D4E">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340918">
            <w:pPr>
              <w:widowControl/>
              <w:spacing w:line="360" w:lineRule="auto"/>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0612D5">
            <w:pPr>
              <w:widowControl/>
              <w:spacing w:line="360" w:lineRule="auto"/>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9A2B1C">
            <w:pPr>
              <w:widowControl/>
              <w:spacing w:line="360" w:lineRule="auto"/>
              <w:jc w:val="center"/>
              <w:rPr>
                <w:rFonts w:hint="eastAsia" w:ascii="宋体" w:hAnsi="宋体" w:cs="宋体"/>
                <w:color w:val="auto"/>
                <w:kern w:val="0"/>
                <w:sz w:val="24"/>
                <w:highlight w:val="none"/>
              </w:rPr>
            </w:pPr>
          </w:p>
        </w:tc>
      </w:tr>
      <w:tr w14:paraId="6394116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249A598">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386788">
            <w:pPr>
              <w:widowControl/>
              <w:spacing w:line="360" w:lineRule="auto"/>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B918">
            <w:pPr>
              <w:widowControl/>
              <w:spacing w:line="360" w:lineRule="auto"/>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F22D1F">
            <w:pPr>
              <w:widowControl/>
              <w:spacing w:line="360" w:lineRule="auto"/>
              <w:jc w:val="center"/>
              <w:rPr>
                <w:rFonts w:hint="eastAsia" w:ascii="宋体" w:hAnsi="宋体" w:cs="宋体"/>
                <w:color w:val="auto"/>
                <w:kern w:val="0"/>
                <w:sz w:val="24"/>
                <w:highlight w:val="none"/>
              </w:rPr>
            </w:pPr>
          </w:p>
        </w:tc>
      </w:tr>
      <w:tr w14:paraId="30ED8C3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13D3F6F">
            <w:pPr>
              <w:widowControl/>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0FE8E0">
            <w:pPr>
              <w:widowControl/>
              <w:spacing w:line="360" w:lineRule="auto"/>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8775C4">
            <w:pPr>
              <w:widowControl/>
              <w:spacing w:line="360" w:lineRule="auto"/>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EA4E78">
            <w:pPr>
              <w:widowControl/>
              <w:spacing w:line="360" w:lineRule="auto"/>
              <w:jc w:val="center"/>
              <w:rPr>
                <w:rFonts w:hint="eastAsia" w:ascii="宋体" w:hAnsi="宋体" w:cs="宋体"/>
                <w:color w:val="auto"/>
                <w:kern w:val="0"/>
                <w:sz w:val="24"/>
                <w:highlight w:val="none"/>
              </w:rPr>
            </w:pPr>
          </w:p>
        </w:tc>
      </w:tr>
    </w:tbl>
    <w:p w14:paraId="289D5871">
      <w:pPr>
        <w:spacing w:line="360" w:lineRule="auto"/>
        <w:ind w:firstLine="480" w:firstLineChars="200"/>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0628EA5A">
      <w:pPr>
        <w:spacing w:line="360" w:lineRule="auto"/>
        <w:ind w:firstLine="480" w:firstLineChars="200"/>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1.管理关系：是指不具有出资持股关系的其他单位之间存在的管理与被管理关系，如一些上下级关系的事业单位和团体组织。</w:t>
      </w:r>
    </w:p>
    <w:p w14:paraId="02298916">
      <w:pPr>
        <w:spacing w:line="360" w:lineRule="auto"/>
        <w:ind w:firstLine="480" w:firstLineChars="200"/>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2.本表所指的管理关系仅限于直接管理关系，不包括间接的管理关系。</w:t>
      </w:r>
    </w:p>
    <w:p w14:paraId="0B879877">
      <w:pPr>
        <w:spacing w:line="360" w:lineRule="auto"/>
        <w:ind w:firstLine="480" w:firstLineChars="200"/>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3.供应商不存在直接管理关系的，则填“无”。</w:t>
      </w:r>
    </w:p>
    <w:p w14:paraId="4278F96E">
      <w:pPr>
        <w:spacing w:line="360" w:lineRule="auto"/>
        <w:jc w:val="left"/>
        <w:rPr>
          <w:rFonts w:hint="eastAsia"/>
          <w:color w:val="auto"/>
          <w:sz w:val="24"/>
          <w:highlight w:val="none"/>
        </w:rPr>
      </w:pPr>
    </w:p>
    <w:p w14:paraId="2B707EE4">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EFFEA35">
      <w:pPr>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30397118">
      <w:pPr>
        <w:spacing w:line="360" w:lineRule="auto"/>
        <w:ind w:right="480" w:firstLine="280" w:firstLineChars="100"/>
        <w:contextualSpacing/>
        <w:jc w:val="center"/>
        <w:rPr>
          <w:rFonts w:hint="eastAsia" w:ascii="宋体" w:hAnsi="宋体"/>
          <w:color w:val="auto"/>
          <w:sz w:val="28"/>
          <w:szCs w:val="28"/>
          <w:highlight w:val="none"/>
        </w:rPr>
      </w:pPr>
      <w:r>
        <w:rPr>
          <w:rFonts w:hint="eastAsia" w:ascii="宋体" w:hAnsi="宋体"/>
          <w:color w:val="auto"/>
          <w:sz w:val="28"/>
          <w:szCs w:val="28"/>
          <w:highlight w:val="none"/>
        </w:rPr>
        <w:br w:type="page"/>
      </w:r>
      <w:r>
        <w:rPr>
          <w:rFonts w:hint="eastAsia" w:ascii="仿宋" w:hAnsi="仿宋" w:eastAsia="仿宋" w:cs="仿宋_GB2312"/>
          <w:b/>
          <w:color w:val="auto"/>
          <w:kern w:val="0"/>
          <w:sz w:val="30"/>
          <w:szCs w:val="30"/>
          <w:highlight w:val="none"/>
        </w:rPr>
        <w:t>六、资格声明函</w:t>
      </w:r>
    </w:p>
    <w:p w14:paraId="62D5ADDE">
      <w:pPr>
        <w:spacing w:line="320" w:lineRule="exact"/>
        <w:jc w:val="center"/>
        <w:rPr>
          <w:rFonts w:hint="eastAsia" w:ascii="宋体" w:hAnsi="宋体"/>
          <w:b/>
          <w:color w:val="auto"/>
          <w:sz w:val="32"/>
          <w:szCs w:val="32"/>
          <w:highlight w:val="none"/>
        </w:rPr>
      </w:pPr>
    </w:p>
    <w:p w14:paraId="53042A72">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资格声明函</w:t>
      </w:r>
    </w:p>
    <w:p w14:paraId="1E836F69">
      <w:pPr>
        <w:spacing w:line="320" w:lineRule="exact"/>
        <w:jc w:val="center"/>
        <w:rPr>
          <w:rFonts w:hint="eastAsia" w:ascii="宋体" w:hAnsi="宋体"/>
          <w:color w:val="auto"/>
          <w:sz w:val="24"/>
          <w:szCs w:val="20"/>
          <w:highlight w:val="none"/>
        </w:rPr>
      </w:pPr>
    </w:p>
    <w:p w14:paraId="35393D7E">
      <w:pPr>
        <w:spacing w:line="360" w:lineRule="auto"/>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致：</w:t>
      </w:r>
      <w:r>
        <w:rPr>
          <w:rFonts w:hint="eastAsia" w:ascii="仿宋_GB2312" w:hAnsi="宋体" w:eastAsia="仿宋_GB2312" w:cs="宋体"/>
          <w:color w:val="auto"/>
          <w:sz w:val="24"/>
          <w:highlight w:val="none"/>
          <w:u w:val="single"/>
          <w:lang w:val="en-US" w:eastAsia="zh-CN"/>
        </w:rPr>
        <w:t xml:space="preserve">                   </w:t>
      </w:r>
      <w:r>
        <w:rPr>
          <w:rFonts w:hint="eastAsia" w:ascii="仿宋_GB2312" w:hAnsi="宋体" w:eastAsia="仿宋_GB2312" w:cs="宋体"/>
          <w:color w:val="auto"/>
          <w:sz w:val="24"/>
          <w:highlight w:val="none"/>
        </w:rPr>
        <w:t>：</w:t>
      </w:r>
    </w:p>
    <w:p w14:paraId="3F597689">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u w:val="single"/>
        </w:rPr>
        <w:t>（供应商名称）</w:t>
      </w:r>
      <w:r>
        <w:rPr>
          <w:rFonts w:hint="eastAsia" w:ascii="仿宋_GB2312" w:hAnsi="宋体" w:eastAsia="仿宋_GB2312" w:cs="宋体"/>
          <w:color w:val="auto"/>
          <w:sz w:val="24"/>
          <w:highlight w:val="none"/>
        </w:rPr>
        <w:t>系中华人民共和国合法供应商，经营地址</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w:t>
      </w:r>
    </w:p>
    <w:p w14:paraId="68859A39">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我方愿意参加贵方组织的</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u w:val="single"/>
          <w:lang w:val="en-US" w:eastAsia="zh-CN"/>
        </w:rPr>
        <w:t xml:space="preserve">          </w:t>
      </w:r>
      <w:r>
        <w:rPr>
          <w:rFonts w:hint="eastAsia" w:ascii="仿宋_GB2312" w:hAnsi="宋体" w:eastAsia="仿宋_GB2312" w:cs="宋体"/>
          <w:color w:val="auto"/>
          <w:sz w:val="24"/>
          <w:highlight w:val="none"/>
          <w:u w:val="single"/>
        </w:rPr>
        <w:t>）</w:t>
      </w:r>
      <w:r>
        <w:rPr>
          <w:rFonts w:hint="eastAsia" w:ascii="仿宋_GB2312" w:hAnsi="宋体" w:eastAsia="仿宋_GB2312" w:cs="宋体"/>
          <w:color w:val="auto"/>
          <w:sz w:val="24"/>
          <w:highlight w:val="none"/>
        </w:rPr>
        <w:t>项目的竞标，为便于贵方公正、择优地确定成交供应商及其竞标产品和服务，我方就本次竞标有关事项郑重声明如下：</w:t>
      </w:r>
    </w:p>
    <w:p w14:paraId="38D1D5B2">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1.我方向贵方提交的所有响应文件、资料都是准确的和真实的。</w:t>
      </w:r>
    </w:p>
    <w:p w14:paraId="40798821">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97C8B2A">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3.在此，我方宣布同意如下：</w:t>
      </w:r>
    </w:p>
    <w:p w14:paraId="7B645C3C">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（1）将按磋商文件的约定履行合同责任和义务；</w:t>
      </w:r>
    </w:p>
    <w:p w14:paraId="29E70AE0">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（2）已详细审查全部磋商文件，包括澄清或者更正公告（如有）；</w:t>
      </w:r>
    </w:p>
    <w:p w14:paraId="79123BD1">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（3）同意提供按照贵方可能要求的与谈判有关的一切数据或者资料；</w:t>
      </w:r>
    </w:p>
    <w:p w14:paraId="26F92E49">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（4）响应磋商文件规定的竞标有效期。</w:t>
      </w:r>
    </w:p>
    <w:p w14:paraId="0684A13B">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4.我方承诺已经具备《中华人民共和国政府采购法》第二十二条中规定的参加政府采购活动的供应商应当具备的条件并按本项目响应文件“第三章”“第一节供应商须知前附表”中“资格证明文件组成”完整提供证明材料。</w:t>
      </w:r>
    </w:p>
    <w:p w14:paraId="7823196F">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仿宋_GB2312" w:hAnsi="宋体" w:eastAsia="仿宋_GB2312" w:cs="宋体"/>
          <w:color w:val="auto"/>
          <w:sz w:val="24"/>
          <w:highlight w:val="none"/>
          <w:lang w:eastAsia="zh-CN"/>
        </w:rPr>
        <w:t>重大税收违法失信主体</w:t>
      </w:r>
      <w:r>
        <w:rPr>
          <w:rFonts w:hint="eastAsia" w:ascii="仿宋_GB2312" w:hAnsi="宋体" w:eastAsia="仿宋_GB2312" w:cs="宋体"/>
          <w:color w:val="auto"/>
          <w:sz w:val="24"/>
          <w:highlight w:val="none"/>
        </w:rPr>
        <w:t>、政府采购严重违法失信行为记录名单，完全符合《中华人民共和国政府采购法》第二十二条规定的供应商资格条件，我方对此声明负全部法律责任。</w:t>
      </w:r>
    </w:p>
    <w:p w14:paraId="61E2B905">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A789F84">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内容中</w:t>
      </w:r>
      <w:r>
        <w:rPr>
          <w:rFonts w:hint="eastAsia" w:ascii="仿宋_GB2312" w:hAnsi="宋体" w:eastAsia="仿宋_GB2312" w:cs="宋体"/>
          <w:color w:val="auto"/>
          <w:sz w:val="24"/>
          <w:highlight w:val="none"/>
        </w:rPr>
        <w:t>未</w:t>
      </w:r>
      <w:r>
        <w:rPr>
          <w:rFonts w:hint="eastAsia" w:ascii="仿宋_GB2312" w:hAnsi="宋体" w:eastAsia="仿宋_GB2312" w:cs="宋体"/>
          <w:color w:val="auto"/>
          <w:kern w:val="0"/>
          <w:sz w:val="24"/>
          <w:highlight w:val="none"/>
        </w:rPr>
        <w:t>涉及商业秘密；</w:t>
      </w:r>
    </w:p>
    <w:p w14:paraId="02D0A0F7">
      <w:pPr>
        <w:spacing w:line="360" w:lineRule="auto"/>
        <w:ind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涉及商业秘密的内容有：</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w:t>
      </w:r>
    </w:p>
    <w:p w14:paraId="12E9E6EF">
      <w:pPr>
        <w:pStyle w:val="14"/>
        <w:spacing w:line="360" w:lineRule="auto"/>
        <w:ind w:firstLine="480" w:firstLineChars="200"/>
        <w:rPr>
          <w:rFonts w:hint="eastAsia" w:ascii="仿宋_GB2312" w:hAnsi="宋体" w:eastAsia="仿宋_GB2312" w:cs="宋体"/>
          <w:color w:val="auto"/>
          <w:sz w:val="24"/>
          <w:szCs w:val="24"/>
          <w:highlight w:val="none"/>
          <w:u w:val="single"/>
        </w:rPr>
      </w:pPr>
      <w:r>
        <w:rPr>
          <w:rFonts w:hint="eastAsia" w:ascii="仿宋_GB2312" w:hAnsi="宋体" w:eastAsia="仿宋_GB2312" w:cs="宋体"/>
          <w:color w:val="auto"/>
          <w:sz w:val="24"/>
          <w:szCs w:val="24"/>
          <w:highlight w:val="none"/>
        </w:rPr>
        <w:t>7.与本磋商有关的一切正式往来信函请寄：</w:t>
      </w:r>
      <w:r>
        <w:rPr>
          <w:rFonts w:hint="eastAsia" w:ascii="仿宋_GB2312" w:hAnsi="宋体" w:eastAsia="仿宋_GB2312" w:cs="宋体"/>
          <w:color w:val="auto"/>
          <w:sz w:val="24"/>
          <w:szCs w:val="24"/>
          <w:highlight w:val="none"/>
          <w:u w:val="single"/>
        </w:rPr>
        <w:t xml:space="preserve">                  </w:t>
      </w:r>
      <w:r>
        <w:rPr>
          <w:rFonts w:hint="eastAsia" w:ascii="仿宋_GB2312" w:hAnsi="宋体" w:eastAsia="仿宋_GB2312" w:cs="宋体"/>
          <w:color w:val="auto"/>
          <w:sz w:val="24"/>
          <w:szCs w:val="24"/>
          <w:highlight w:val="none"/>
        </w:rPr>
        <w:t>邮政编号：</w:t>
      </w:r>
      <w:r>
        <w:rPr>
          <w:rFonts w:hint="eastAsia" w:ascii="仿宋_GB2312" w:hAnsi="宋体" w:eastAsia="仿宋_GB2312" w:cs="宋体"/>
          <w:color w:val="auto"/>
          <w:sz w:val="24"/>
          <w:szCs w:val="24"/>
          <w:highlight w:val="none"/>
          <w:u w:val="single"/>
        </w:rPr>
        <w:t xml:space="preserve">        </w:t>
      </w:r>
    </w:p>
    <w:p w14:paraId="43737B41">
      <w:pPr>
        <w:pStyle w:val="14"/>
        <w:spacing w:line="360" w:lineRule="auto"/>
        <w:ind w:firstLine="480" w:firstLineChars="200"/>
        <w:rPr>
          <w:rFonts w:hint="eastAsia" w:ascii="仿宋_GB2312" w:hAnsi="宋体" w:eastAsia="仿宋_GB2312" w:cs="宋体"/>
          <w:color w:val="auto"/>
          <w:sz w:val="24"/>
          <w:szCs w:val="24"/>
          <w:highlight w:val="none"/>
        </w:rPr>
      </w:pPr>
      <w:r>
        <w:rPr>
          <w:rFonts w:hint="eastAsia" w:ascii="仿宋_GB2312" w:hAnsi="宋体" w:eastAsia="仿宋_GB2312" w:cs="宋体"/>
          <w:color w:val="auto"/>
          <w:sz w:val="24"/>
          <w:szCs w:val="24"/>
          <w:highlight w:val="none"/>
        </w:rPr>
        <w:t>电话/传真：</w:t>
      </w:r>
      <w:r>
        <w:rPr>
          <w:rFonts w:hint="eastAsia" w:ascii="仿宋_GB2312" w:hAnsi="宋体" w:eastAsia="仿宋_GB2312" w:cs="宋体"/>
          <w:color w:val="auto"/>
          <w:sz w:val="24"/>
          <w:szCs w:val="24"/>
          <w:highlight w:val="none"/>
          <w:u w:val="single"/>
        </w:rPr>
        <w:t xml:space="preserve">                        </w:t>
      </w:r>
      <w:r>
        <w:rPr>
          <w:rFonts w:hint="eastAsia" w:ascii="仿宋_GB2312" w:hAnsi="宋体" w:eastAsia="仿宋_GB2312" w:cs="宋体"/>
          <w:color w:val="auto"/>
          <w:sz w:val="24"/>
          <w:szCs w:val="24"/>
          <w:highlight w:val="none"/>
        </w:rPr>
        <w:t xml:space="preserve"> 电子函件：</w:t>
      </w:r>
      <w:r>
        <w:rPr>
          <w:rFonts w:hint="eastAsia" w:ascii="仿宋_GB2312" w:hAnsi="宋体" w:eastAsia="仿宋_GB2312" w:cs="宋体"/>
          <w:color w:val="auto"/>
          <w:sz w:val="24"/>
          <w:szCs w:val="24"/>
          <w:highlight w:val="none"/>
          <w:u w:val="single"/>
        </w:rPr>
        <w:t xml:space="preserve">                            </w:t>
      </w:r>
      <w:r>
        <w:rPr>
          <w:rFonts w:hint="eastAsia" w:ascii="仿宋_GB2312" w:hAnsi="宋体" w:eastAsia="仿宋_GB2312" w:cs="宋体"/>
          <w:color w:val="auto"/>
          <w:sz w:val="24"/>
          <w:szCs w:val="24"/>
          <w:highlight w:val="none"/>
        </w:rPr>
        <w:t xml:space="preserve">    </w:t>
      </w:r>
    </w:p>
    <w:p w14:paraId="56967894">
      <w:pPr>
        <w:pStyle w:val="12"/>
        <w:tabs>
          <w:tab w:val="left" w:pos="939"/>
        </w:tabs>
        <w:spacing w:line="360" w:lineRule="auto"/>
        <w:ind w:left="141" w:leftChars="67" w:firstLine="360" w:firstLineChars="15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开户银行：</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 xml:space="preserve">  帐号：</w:t>
      </w:r>
      <w:r>
        <w:rPr>
          <w:rFonts w:hint="eastAsia" w:ascii="仿宋_GB2312" w:hAnsi="宋体" w:eastAsia="仿宋_GB2312" w:cs="宋体"/>
          <w:color w:val="auto"/>
          <w:sz w:val="24"/>
          <w:highlight w:val="none"/>
          <w:u w:val="single"/>
        </w:rPr>
        <w:t xml:space="preserve">                               </w:t>
      </w:r>
    </w:p>
    <w:p w14:paraId="16B81055">
      <w:pPr>
        <w:pStyle w:val="12"/>
        <w:tabs>
          <w:tab w:val="left" w:pos="939"/>
        </w:tabs>
        <w:spacing w:line="360" w:lineRule="auto"/>
        <w:ind w:left="0" w:leftChars="0"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8.以上事项如有虚假或者隐瞒，我方愿意承担一切后果，并不再寻求任何旨在减轻或者免除法律责任的辩解。</w:t>
      </w:r>
    </w:p>
    <w:p w14:paraId="058A33E6">
      <w:pPr>
        <w:pStyle w:val="12"/>
        <w:tabs>
          <w:tab w:val="left" w:pos="939"/>
        </w:tabs>
        <w:spacing w:line="360" w:lineRule="auto"/>
        <w:ind w:left="141" w:leftChars="67" w:firstLine="360" w:firstLineChars="15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特此承诺。</w:t>
      </w:r>
    </w:p>
    <w:p w14:paraId="1196747A">
      <w:pPr>
        <w:pStyle w:val="12"/>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仿宋_GB2312" w:hAnsi="宋体" w:eastAsia="仿宋_GB2312" w:cs="宋体"/>
          <w:color w:val="auto"/>
          <w:sz w:val="24"/>
          <w:highlight w:val="none"/>
        </w:rPr>
        <w:t>注：如为联合体竞标，盖章处须加盖联合体各方公章并由联合体各方法定代表人签署，否则其响应文件按无效响应处理。</w:t>
      </w:r>
    </w:p>
    <w:p w14:paraId="568DF884">
      <w:pPr>
        <w:pStyle w:val="12"/>
        <w:tabs>
          <w:tab w:val="left" w:pos="939"/>
        </w:tabs>
        <w:spacing w:line="360" w:lineRule="auto"/>
        <w:ind w:left="0" w:leftChars="0" w:firstLine="480" w:firstLineChars="200"/>
        <w:rPr>
          <w:rFonts w:hint="eastAsia" w:ascii="宋体" w:hAnsi="宋体" w:cs="宋体"/>
          <w:color w:val="auto"/>
          <w:sz w:val="24"/>
          <w:highlight w:val="none"/>
        </w:rPr>
      </w:pPr>
    </w:p>
    <w:p w14:paraId="3FD64404">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0BE4C6E">
      <w:pPr>
        <w:autoSpaceDE w:val="0"/>
        <w:autoSpaceDN w:val="0"/>
        <w:spacing w:line="360" w:lineRule="auto"/>
        <w:ind w:firstLine="6120" w:firstLineChars="25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13642075">
      <w:pPr>
        <w:widowControl/>
        <w:spacing w:line="360" w:lineRule="auto"/>
        <w:jc w:val="left"/>
        <w:rPr>
          <w:rFonts w:ascii="仿宋_GB2312" w:hAnsi="仿宋" w:eastAsia="仿宋_GB2312" w:cs="仿宋_GB2312"/>
          <w:color w:val="auto"/>
          <w:kern w:val="0"/>
          <w:sz w:val="24"/>
          <w:highlight w:val="none"/>
          <w:lang w:val="zh-CN"/>
        </w:rPr>
        <w:sectPr>
          <w:pgSz w:w="11905" w:h="16838"/>
          <w:pgMar w:top="958" w:right="1440" w:bottom="958" w:left="1587" w:header="850" w:footer="992" w:gutter="0"/>
          <w:pgNumType w:fmt="decimal"/>
          <w:cols w:space="720" w:num="1"/>
          <w:rtlGutter w:val="0"/>
          <w:docGrid w:type="lines" w:linePitch="317" w:charSpace="0"/>
        </w:sectPr>
      </w:pPr>
    </w:p>
    <w:p w14:paraId="28A5DA9A">
      <w:pPr>
        <w:autoSpaceDE w:val="0"/>
        <w:autoSpaceDN w:val="0"/>
        <w:spacing w:line="360" w:lineRule="auto"/>
        <w:ind w:firstLine="6120" w:firstLineChars="2550"/>
        <w:rPr>
          <w:rFonts w:hint="eastAsia" w:ascii="仿宋_GB2312" w:hAnsi="仿宋" w:eastAsia="仿宋_GB2312" w:cs="仿宋_GB2312"/>
          <w:color w:val="auto"/>
          <w:kern w:val="0"/>
          <w:sz w:val="24"/>
          <w:highlight w:val="none"/>
          <w:lang w:val="zh-CN"/>
        </w:rPr>
      </w:pPr>
    </w:p>
    <w:p w14:paraId="30E6DF5F">
      <w:pPr>
        <w:snapToGrid w:val="0"/>
        <w:spacing w:line="360" w:lineRule="auto"/>
        <w:ind w:firstLine="602" w:firstLineChars="200"/>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lang w:val="en-US" w:eastAsia="zh-CN"/>
        </w:rPr>
        <w:t>七</w:t>
      </w:r>
      <w:r>
        <w:rPr>
          <w:rFonts w:hint="eastAsia" w:ascii="仿宋" w:hAnsi="仿宋" w:eastAsia="仿宋" w:cs="仿宋_GB2312"/>
          <w:b/>
          <w:color w:val="auto"/>
          <w:sz w:val="30"/>
          <w:szCs w:val="30"/>
          <w:highlight w:val="none"/>
        </w:rPr>
        <w:t>、符合特定资格条件（如果项目要求）的有关证明材料（复印件）</w:t>
      </w:r>
    </w:p>
    <w:p w14:paraId="5DBF874B">
      <w:pPr>
        <w:snapToGrid w:val="0"/>
        <w:spacing w:line="360" w:lineRule="auto"/>
        <w:ind w:firstLine="602" w:firstLineChars="200"/>
        <w:rPr>
          <w:rFonts w:hint="eastAsia" w:ascii="仿宋" w:hAnsi="仿宋" w:eastAsia="仿宋" w:cs="仿宋_GB2312"/>
          <w:b/>
          <w:color w:val="auto"/>
          <w:sz w:val="30"/>
          <w:szCs w:val="30"/>
          <w:highlight w:val="none"/>
        </w:rPr>
      </w:pPr>
    </w:p>
    <w:p w14:paraId="54DB628E">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D8F0266">
      <w:pPr>
        <w:autoSpaceDE w:val="0"/>
        <w:autoSpaceDN w:val="0"/>
        <w:spacing w:line="360" w:lineRule="auto"/>
        <w:ind w:left="4334" w:leftChars="2064" w:firstLine="1680" w:firstLineChars="70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73F20455">
      <w:pPr>
        <w:snapToGrid w:val="0"/>
        <w:spacing w:line="360" w:lineRule="auto"/>
        <w:ind w:firstLine="602" w:firstLineChars="200"/>
        <w:rPr>
          <w:rFonts w:hint="eastAsia" w:ascii="仿宋" w:hAnsi="仿宋" w:eastAsia="仿宋" w:cs="仿宋_GB2312"/>
          <w:b/>
          <w:color w:val="auto"/>
          <w:sz w:val="30"/>
          <w:szCs w:val="30"/>
          <w:highlight w:val="none"/>
          <w:lang w:val="en-US" w:eastAsia="zh-CN"/>
        </w:rPr>
      </w:pPr>
    </w:p>
    <w:p w14:paraId="6C806AEB">
      <w:pPr>
        <w:snapToGrid w:val="0"/>
        <w:spacing w:line="360" w:lineRule="auto"/>
        <w:ind w:firstLine="602" w:firstLineChars="200"/>
        <w:rPr>
          <w:rFonts w:hint="eastAsia" w:ascii="仿宋" w:hAnsi="仿宋" w:eastAsia="仿宋" w:cs="仿宋_GB2312"/>
          <w:b/>
          <w:color w:val="auto"/>
          <w:sz w:val="30"/>
          <w:szCs w:val="30"/>
          <w:highlight w:val="none"/>
          <w:lang w:val="zh-CN" w:eastAsia="zh-CN"/>
        </w:rPr>
      </w:pPr>
      <w:r>
        <w:rPr>
          <w:rFonts w:hint="eastAsia" w:ascii="仿宋" w:hAnsi="仿宋" w:eastAsia="仿宋" w:cs="仿宋_GB2312"/>
          <w:b/>
          <w:color w:val="auto"/>
          <w:sz w:val="30"/>
          <w:szCs w:val="30"/>
          <w:highlight w:val="none"/>
          <w:lang w:val="en-US" w:eastAsia="zh-CN"/>
        </w:rPr>
        <w:t>八</w:t>
      </w:r>
      <w:r>
        <w:rPr>
          <w:rFonts w:hint="eastAsia" w:ascii="仿宋" w:hAnsi="仿宋" w:eastAsia="仿宋" w:cs="仿宋_GB2312"/>
          <w:b/>
          <w:color w:val="auto"/>
          <w:sz w:val="30"/>
          <w:szCs w:val="30"/>
          <w:highlight w:val="none"/>
          <w:lang w:val="zh-CN" w:eastAsia="zh-CN"/>
        </w:rPr>
        <w:t>、供应商为中小微企业或监狱企业或残疾人福利性单位的证明材料（格式详见报价文件格式）</w:t>
      </w:r>
    </w:p>
    <w:p w14:paraId="07962B68">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p>
    <w:p w14:paraId="5B057785">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80DC71B">
      <w:pPr>
        <w:widowControl/>
        <w:jc w:val="righ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276BC9C7">
      <w:pPr>
        <w:widowControl/>
        <w:snapToGrid w:val="0"/>
        <w:spacing w:line="360" w:lineRule="auto"/>
        <w:ind w:firstLine="602" w:firstLineChars="200"/>
        <w:jc w:val="left"/>
        <w:rPr>
          <w:rFonts w:hint="eastAsia" w:ascii="仿宋" w:hAnsi="仿宋" w:eastAsia="仿宋" w:cs="仿宋_GB2312"/>
          <w:b/>
          <w:color w:val="auto"/>
          <w:sz w:val="30"/>
          <w:szCs w:val="30"/>
          <w:highlight w:val="none"/>
          <w:lang w:val="zh-CN" w:bidi="ar"/>
        </w:rPr>
      </w:pPr>
    </w:p>
    <w:p w14:paraId="0AC1DE7E">
      <w:pPr>
        <w:snapToGrid w:val="0"/>
        <w:spacing w:line="360" w:lineRule="auto"/>
        <w:ind w:firstLine="602" w:firstLineChars="200"/>
        <w:rPr>
          <w:rFonts w:hint="eastAsia" w:ascii="仿宋" w:hAnsi="仿宋" w:eastAsia="仿宋" w:cs="仿宋_GB2312"/>
          <w:b/>
          <w:color w:val="auto"/>
          <w:sz w:val="30"/>
          <w:szCs w:val="30"/>
          <w:highlight w:val="none"/>
          <w:lang w:val="zh-CN"/>
        </w:rPr>
      </w:pPr>
      <w:r>
        <w:rPr>
          <w:rFonts w:hint="eastAsia" w:ascii="仿宋" w:hAnsi="仿宋" w:eastAsia="仿宋" w:cs="仿宋_GB2312"/>
          <w:b/>
          <w:color w:val="auto"/>
          <w:sz w:val="30"/>
          <w:szCs w:val="30"/>
          <w:highlight w:val="none"/>
          <w:lang w:val="en-US" w:eastAsia="zh-CN"/>
        </w:rPr>
        <w:t>九</w:t>
      </w:r>
      <w:r>
        <w:rPr>
          <w:rFonts w:hint="eastAsia" w:ascii="仿宋" w:hAnsi="仿宋" w:eastAsia="仿宋" w:cs="仿宋_GB2312"/>
          <w:b/>
          <w:color w:val="auto"/>
          <w:sz w:val="30"/>
          <w:szCs w:val="30"/>
          <w:highlight w:val="none"/>
          <w:lang w:val="zh-CN"/>
        </w:rPr>
        <w:t>、除磋商文件规定必须提供以外，供应商认为需要提供的其他证明材料。</w:t>
      </w:r>
    </w:p>
    <w:p w14:paraId="0FF30993">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p>
    <w:p w14:paraId="1350F7A3">
      <w:pPr>
        <w:autoSpaceDE w:val="0"/>
        <w:autoSpaceDN w:val="0"/>
        <w:spacing w:line="360" w:lineRule="auto"/>
        <w:ind w:left="4365" w:leftChars="1850" w:hanging="480" w:hangingChars="2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BBA91E5">
      <w:pPr>
        <w:widowControl/>
        <w:spacing w:line="360" w:lineRule="auto"/>
        <w:jc w:val="center"/>
        <w:rPr>
          <w:rFonts w:ascii="仿宋_GB2312" w:hAnsi="仿宋" w:eastAsia="仿宋_GB2312" w:cs="仿宋_GB2312"/>
          <w:color w:val="auto"/>
          <w:kern w:val="0"/>
          <w:sz w:val="24"/>
          <w:highlight w:val="none"/>
          <w:lang w:val="zh-CN"/>
        </w:rPr>
        <w:sectPr>
          <w:pgSz w:w="11905" w:h="16838"/>
          <w:pgMar w:top="958" w:right="1440" w:bottom="958" w:left="1587" w:header="850" w:footer="992" w:gutter="0"/>
          <w:pgNumType w:fmt="decimal"/>
          <w:cols w:space="720" w:num="1"/>
          <w:rtlGutter w:val="0"/>
          <w:docGrid w:type="lines" w:linePitch="317" w:charSpace="0"/>
        </w:sectPr>
      </w:pPr>
      <w:r>
        <w:rPr>
          <w:rFonts w:hint="eastAsia" w:ascii="仿宋_GB2312" w:hAnsi="仿宋" w:eastAsia="仿宋_GB2312" w:cs="仿宋_GB2312"/>
          <w:color w:val="auto"/>
          <w:kern w:val="0"/>
          <w:sz w:val="24"/>
          <w:highlight w:val="none"/>
          <w:lang w:val="en-US" w:eastAsia="zh-CN"/>
        </w:rPr>
        <w:t xml:space="preserve">                                             </w:t>
      </w:r>
      <w:r>
        <w:rPr>
          <w:rFonts w:hint="eastAsia" w:ascii="仿宋_GB2312" w:hAnsi="仿宋" w:eastAsia="仿宋_GB2312" w:cs="仿宋_GB2312"/>
          <w:color w:val="auto"/>
          <w:kern w:val="0"/>
          <w:sz w:val="24"/>
          <w:highlight w:val="none"/>
          <w:lang w:val="zh-CN"/>
        </w:rPr>
        <w:t>日期：  年  月   日</w:t>
      </w:r>
    </w:p>
    <w:p w14:paraId="487A115F">
      <w:pPr>
        <w:pStyle w:val="3"/>
        <w:jc w:val="center"/>
        <w:rPr>
          <w:rFonts w:hint="eastAsia" w:ascii="宋体" w:hAnsi="宋体" w:cs="宋体"/>
          <w:b/>
          <w:bCs/>
          <w:color w:val="auto"/>
          <w:highlight w:val="none"/>
        </w:rPr>
      </w:pPr>
      <w:bookmarkStart w:id="30" w:name="_Toc24754"/>
      <w:r>
        <w:rPr>
          <w:rFonts w:hint="eastAsia" w:ascii="宋体" w:hAnsi="宋体"/>
          <w:b/>
          <w:bCs/>
          <w:color w:val="auto"/>
          <w:highlight w:val="none"/>
        </w:rPr>
        <w:t>第三节 商务技术文件格式</w:t>
      </w:r>
      <w:bookmarkEnd w:id="30"/>
    </w:p>
    <w:p w14:paraId="568FE2BE">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0EC92F27">
      <w:pPr>
        <w:snapToGrid w:val="0"/>
        <w:spacing w:before="120" w:beforeLines="50" w:after="50"/>
        <w:rPr>
          <w:rFonts w:hint="eastAsia" w:ascii="宋体" w:hAnsi="宋体"/>
          <w:color w:val="auto"/>
          <w:sz w:val="24"/>
          <w:szCs w:val="20"/>
          <w:highlight w:val="none"/>
        </w:rPr>
      </w:pPr>
    </w:p>
    <w:p w14:paraId="342768AA">
      <w:pPr>
        <w:snapToGrid w:val="0"/>
        <w:spacing w:before="120" w:beforeLines="50" w:after="50"/>
        <w:rPr>
          <w:rFonts w:hint="eastAsia" w:ascii="宋体" w:hAnsi="宋体"/>
          <w:color w:val="auto"/>
          <w:sz w:val="24"/>
          <w:szCs w:val="20"/>
          <w:highlight w:val="none"/>
        </w:rPr>
      </w:pPr>
    </w:p>
    <w:p w14:paraId="652A0BAA">
      <w:pPr>
        <w:snapToGrid w:val="0"/>
        <w:spacing w:before="120" w:beforeLines="50" w:after="50"/>
        <w:rPr>
          <w:rFonts w:hint="eastAsia" w:ascii="宋体" w:hAnsi="宋体"/>
          <w:color w:val="auto"/>
          <w:sz w:val="24"/>
          <w:szCs w:val="20"/>
          <w:highlight w:val="none"/>
        </w:rPr>
      </w:pPr>
    </w:p>
    <w:p w14:paraId="41D2348E">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1D16AC9E">
      <w:pPr>
        <w:snapToGrid w:val="0"/>
        <w:spacing w:before="120" w:beforeLines="50" w:after="50"/>
        <w:rPr>
          <w:rFonts w:hint="eastAsia" w:ascii="宋体" w:hAnsi="宋体"/>
          <w:bCs/>
          <w:color w:val="auto"/>
          <w:sz w:val="24"/>
          <w:szCs w:val="20"/>
          <w:highlight w:val="none"/>
        </w:rPr>
      </w:pPr>
    </w:p>
    <w:p w14:paraId="1DFDA7BB">
      <w:pPr>
        <w:snapToGrid w:val="0"/>
        <w:spacing w:before="120" w:beforeLines="50" w:after="50"/>
        <w:rPr>
          <w:rFonts w:hint="eastAsia" w:ascii="宋体" w:hAnsi="宋体"/>
          <w:bCs/>
          <w:color w:val="auto"/>
          <w:sz w:val="24"/>
          <w:szCs w:val="20"/>
          <w:highlight w:val="none"/>
        </w:rPr>
      </w:pPr>
    </w:p>
    <w:p w14:paraId="3F0A8D33">
      <w:pPr>
        <w:snapToGrid w:val="0"/>
        <w:spacing w:before="120" w:beforeLines="50" w:after="50"/>
        <w:rPr>
          <w:rFonts w:hint="eastAsia" w:ascii="宋体" w:hAnsi="宋体"/>
          <w:bCs/>
          <w:color w:val="auto"/>
          <w:sz w:val="24"/>
          <w:szCs w:val="20"/>
          <w:highlight w:val="none"/>
        </w:rPr>
      </w:pPr>
    </w:p>
    <w:p w14:paraId="4FFF126C">
      <w:pPr>
        <w:snapToGrid w:val="0"/>
        <w:spacing w:before="120" w:beforeLines="50" w:after="50"/>
        <w:rPr>
          <w:rFonts w:hint="eastAsia" w:ascii="宋体" w:hAnsi="宋体"/>
          <w:bCs/>
          <w:color w:val="auto"/>
          <w:sz w:val="24"/>
          <w:szCs w:val="20"/>
          <w:highlight w:val="none"/>
        </w:rPr>
      </w:pPr>
    </w:p>
    <w:p w14:paraId="26FC8708">
      <w:pPr>
        <w:snapToGrid w:val="0"/>
        <w:spacing w:before="120" w:beforeLines="50" w:after="50"/>
        <w:rPr>
          <w:rFonts w:hint="eastAsia" w:ascii="宋体" w:hAnsi="宋体"/>
          <w:bCs/>
          <w:color w:val="auto"/>
          <w:sz w:val="24"/>
          <w:szCs w:val="20"/>
          <w:highlight w:val="none"/>
        </w:rPr>
      </w:pPr>
    </w:p>
    <w:p w14:paraId="1E6F93E7">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南宁市五化灌区总干渠水毁应急抢险工程</w:t>
      </w:r>
    </w:p>
    <w:p w14:paraId="14DABDAD">
      <w:pPr>
        <w:snapToGrid w:val="0"/>
        <w:spacing w:before="120" w:beforeLines="50" w:after="50"/>
        <w:ind w:firstLine="720" w:firstLineChars="225"/>
        <w:rPr>
          <w:rFonts w:hint="eastAsia" w:ascii="宋体" w:hAnsi="宋体" w:cs="仿宋_GB2312"/>
          <w:bCs/>
          <w:color w:val="auto"/>
          <w:sz w:val="32"/>
          <w:szCs w:val="32"/>
          <w:highlight w:val="none"/>
        </w:rPr>
      </w:pPr>
    </w:p>
    <w:p w14:paraId="7407FE3F">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项目编号：</w:t>
      </w:r>
      <w:r>
        <w:rPr>
          <w:rFonts w:hint="eastAsia" w:ascii="宋体" w:hAnsi="宋体" w:cs="仿宋_GB2312"/>
          <w:bCs/>
          <w:color w:val="auto"/>
          <w:sz w:val="32"/>
          <w:szCs w:val="32"/>
          <w:highlight w:val="none"/>
          <w:lang w:val="en-US" w:eastAsia="zh-CN"/>
        </w:rPr>
        <w:t>NNZC2026-C2-990977-GXXB</w:t>
      </w:r>
    </w:p>
    <w:p w14:paraId="23A5922C">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17D62BF">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5D7D71D6">
      <w:pPr>
        <w:snapToGrid w:val="0"/>
        <w:spacing w:before="120" w:beforeLines="50" w:after="50"/>
        <w:ind w:firstLine="720" w:firstLineChars="225"/>
        <w:rPr>
          <w:rFonts w:hint="eastAsia" w:ascii="宋体" w:hAnsi="宋体" w:cs="仿宋_GB2312"/>
          <w:bCs/>
          <w:color w:val="auto"/>
          <w:sz w:val="32"/>
          <w:szCs w:val="32"/>
          <w:highlight w:val="none"/>
        </w:rPr>
      </w:pPr>
    </w:p>
    <w:p w14:paraId="38507704">
      <w:pPr>
        <w:pStyle w:val="6"/>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79C90FC7">
      <w:pPr>
        <w:pStyle w:val="6"/>
        <w:snapToGrid w:val="0"/>
        <w:spacing w:before="50" w:after="50"/>
        <w:ind w:firstLine="720" w:firstLineChars="225"/>
        <w:rPr>
          <w:rFonts w:hint="eastAsia" w:ascii="宋体" w:hAnsi="宋体" w:cs="仿宋_GB2312"/>
          <w:bCs/>
          <w:color w:val="auto"/>
          <w:sz w:val="32"/>
          <w:szCs w:val="32"/>
          <w:highlight w:val="none"/>
        </w:rPr>
      </w:pPr>
    </w:p>
    <w:p w14:paraId="2CD1EB57">
      <w:pPr>
        <w:pStyle w:val="6"/>
        <w:snapToGrid w:val="0"/>
        <w:spacing w:before="50" w:after="50"/>
        <w:ind w:firstLine="720" w:firstLineChars="225"/>
        <w:rPr>
          <w:rFonts w:hint="eastAsia" w:ascii="宋体" w:hAnsi="宋体" w:cs="仿宋_GB2312"/>
          <w:bCs/>
          <w:color w:val="auto"/>
          <w:sz w:val="32"/>
          <w:szCs w:val="32"/>
          <w:highlight w:val="none"/>
        </w:rPr>
      </w:pPr>
    </w:p>
    <w:p w14:paraId="6CAC659A">
      <w:pPr>
        <w:pStyle w:val="6"/>
        <w:snapToGrid w:val="0"/>
        <w:spacing w:before="50" w:after="50"/>
        <w:ind w:firstLine="1280" w:firstLineChars="400"/>
        <w:rPr>
          <w:rFonts w:hint="eastAsia" w:ascii="宋体" w:hAnsi="宋体" w:cs="仿宋_GB2312"/>
          <w:bCs/>
          <w:color w:val="auto"/>
          <w:sz w:val="32"/>
          <w:szCs w:val="32"/>
          <w:highlight w:val="none"/>
        </w:rPr>
      </w:pPr>
    </w:p>
    <w:p w14:paraId="7A5A5C24">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66CD22B">
      <w:pPr>
        <w:widowControl/>
        <w:spacing w:line="360" w:lineRule="auto"/>
        <w:jc w:val="left"/>
        <w:rPr>
          <w:rFonts w:ascii="宋体" w:hAnsi="宋体"/>
          <w:b/>
          <w:bCs/>
          <w:color w:val="auto"/>
          <w:sz w:val="32"/>
          <w:szCs w:val="32"/>
          <w:highlight w:val="none"/>
        </w:rPr>
        <w:sectPr>
          <w:pgSz w:w="11905" w:h="16838"/>
          <w:pgMar w:top="958" w:right="1440" w:bottom="958" w:left="1587" w:header="850" w:footer="992" w:gutter="0"/>
          <w:pgNumType w:fmt="decimal"/>
          <w:cols w:space="720" w:num="1"/>
          <w:rtlGutter w:val="0"/>
          <w:docGrid w:type="lines" w:linePitch="317" w:charSpace="0"/>
        </w:sectPr>
      </w:pPr>
    </w:p>
    <w:p w14:paraId="70A38417">
      <w:pPr>
        <w:jc w:val="center"/>
        <w:rPr>
          <w:rFonts w:hint="eastAsia" w:ascii="仿宋_GB2312" w:hAnsi="仿宋" w:eastAsia="仿宋_GB2312" w:cs="仿宋_GB2312"/>
          <w:b/>
          <w:color w:val="auto"/>
          <w:kern w:val="0"/>
          <w:sz w:val="28"/>
          <w:szCs w:val="28"/>
          <w:highlight w:val="none"/>
        </w:rPr>
      </w:pPr>
      <w:r>
        <w:rPr>
          <w:rFonts w:hint="eastAsia" w:ascii="仿宋_GB2312" w:hAnsi="仿宋" w:eastAsia="仿宋_GB2312" w:cs="仿宋_GB2312"/>
          <w:b/>
          <w:color w:val="auto"/>
          <w:kern w:val="0"/>
          <w:sz w:val="28"/>
          <w:szCs w:val="28"/>
          <w:highlight w:val="none"/>
        </w:rPr>
        <w:t>商务技术文件目录</w:t>
      </w:r>
    </w:p>
    <w:p w14:paraId="1CDD01C3">
      <w:pPr>
        <w:jc w:val="center"/>
        <w:rPr>
          <w:rFonts w:hint="eastAsia" w:ascii="仿宋_GB2312" w:hAnsi="仿宋" w:eastAsia="仿宋_GB2312" w:cs="仿宋_GB2312"/>
          <w:b/>
          <w:color w:val="auto"/>
          <w:kern w:val="0"/>
          <w:sz w:val="28"/>
          <w:szCs w:val="28"/>
          <w:highlight w:val="none"/>
        </w:rPr>
      </w:pPr>
    </w:p>
    <w:p w14:paraId="14F9AD19">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一、无串标行为承诺函………………………………………………………（页码）</w:t>
      </w:r>
    </w:p>
    <w:p w14:paraId="2361C6A7">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二、法定代表人身份证明及法定代表人有效身份证正反面复印件………（页码）</w:t>
      </w:r>
    </w:p>
    <w:p w14:paraId="2686B230">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三、法定代表人授权委托书（如有委托时）………………………………（页码）</w:t>
      </w:r>
    </w:p>
    <w:p w14:paraId="6F56313E">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四、商务条款偏离表…………………………………………………………（页码）</w:t>
      </w:r>
    </w:p>
    <w:p w14:paraId="56C220A6">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五、竞标人情况介绍…………………………………………………………（页码）</w:t>
      </w:r>
    </w:p>
    <w:p w14:paraId="013B03B3">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六、供应商类似业绩的证明文件（如有要求）……………………………（页码）</w:t>
      </w:r>
    </w:p>
    <w:p w14:paraId="599C7331">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七、技术需求偏离表…………………………………………………………（页码）</w:t>
      </w:r>
    </w:p>
    <w:p w14:paraId="0F2C764A">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八、施工组织设计……………………………………………………………（页码）</w:t>
      </w:r>
    </w:p>
    <w:p w14:paraId="5C0A6A1E">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九、项目管理机构……………………………………………………………（页码）</w:t>
      </w:r>
    </w:p>
    <w:p w14:paraId="1C42153C">
      <w:pPr>
        <w:widowControl/>
        <w:spacing w:line="440" w:lineRule="exact"/>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十、供应商认为需要提供的其他有关资料…………………………………（页码）</w:t>
      </w:r>
    </w:p>
    <w:p w14:paraId="380B5E7B">
      <w:pPr>
        <w:spacing w:line="360" w:lineRule="auto"/>
        <w:rPr>
          <w:rFonts w:hint="eastAsia"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注：以上目录是基本格式要求，各供应商可根据自身情况进一步向下增加内容或细化。</w:t>
      </w:r>
    </w:p>
    <w:p w14:paraId="4A1F89F2">
      <w:pPr>
        <w:spacing w:line="400" w:lineRule="exact"/>
        <w:rPr>
          <w:rFonts w:hint="eastAsia" w:ascii="仿宋_GB2312" w:hAnsi="仿宋_GB2312" w:eastAsia="仿宋_GB2312" w:cs="仿宋_GB2312"/>
          <w:color w:val="auto"/>
          <w:sz w:val="32"/>
          <w:szCs w:val="32"/>
          <w:highlight w:val="none"/>
        </w:rPr>
      </w:pPr>
    </w:p>
    <w:p w14:paraId="3B234969">
      <w:pPr>
        <w:spacing w:line="520" w:lineRule="exact"/>
        <w:ind w:firstLine="880" w:firstLineChars="20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仿宋" w:hAnsi="仿宋" w:eastAsia="仿宋" w:cs="仿宋_GB2312"/>
          <w:b/>
          <w:color w:val="auto"/>
          <w:sz w:val="30"/>
          <w:szCs w:val="30"/>
          <w:highlight w:val="none"/>
        </w:rPr>
        <w:t>一、无串标行为承诺函</w:t>
      </w:r>
    </w:p>
    <w:p w14:paraId="26879551">
      <w:pPr>
        <w:spacing w:line="520" w:lineRule="exact"/>
        <w:jc w:val="center"/>
        <w:rPr>
          <w:rFonts w:hint="eastAsia" w:ascii="方正小标宋简体" w:hAnsi="方正小标宋简体" w:eastAsia="方正小标宋简体" w:cs="方正小标宋简体"/>
          <w:color w:val="auto"/>
          <w:sz w:val="44"/>
          <w:szCs w:val="44"/>
          <w:highlight w:val="none"/>
        </w:rPr>
      </w:pPr>
    </w:p>
    <w:p w14:paraId="62CCB378">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无串通竞标行为的承诺函</w:t>
      </w:r>
    </w:p>
    <w:p w14:paraId="7D02A30A">
      <w:pPr>
        <w:spacing w:line="520" w:lineRule="exact"/>
        <w:ind w:firstLine="640" w:firstLineChars="200"/>
        <w:rPr>
          <w:rFonts w:hint="eastAsia" w:ascii="仿宋_GB2312" w:hAnsi="仿宋_GB2312" w:eastAsia="仿宋_GB2312" w:cs="仿宋_GB2312"/>
          <w:color w:val="auto"/>
          <w:sz w:val="32"/>
          <w:szCs w:val="32"/>
          <w:highlight w:val="none"/>
        </w:rPr>
      </w:pPr>
    </w:p>
    <w:p w14:paraId="2B858698">
      <w:pPr>
        <w:spacing w:line="360" w:lineRule="auto"/>
        <w:ind w:firstLine="482" w:firstLineChars="200"/>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3C78E993">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1.不同供应商的响应文件由同一单位或者个人编制；</w:t>
      </w:r>
      <w:r>
        <w:rPr>
          <w:rFonts w:hint="eastAsia" w:ascii="宋体" w:hAnsi="宋体"/>
          <w:color w:val="auto"/>
          <w:sz w:val="24"/>
          <w:highlight w:val="none"/>
        </w:rPr>
        <w:t>或者不同供应商报名的IP地址一致的；或者编制响应文件硬件设备CPU编号、硬盘编号、网卡地址一致的情况。</w:t>
      </w:r>
      <w:r>
        <w:rPr>
          <w:rFonts w:hint="eastAsia" w:ascii="宋体" w:hAnsi="宋体" w:cs="仿宋_GB2312"/>
          <w:color w:val="auto"/>
          <w:sz w:val="24"/>
          <w:highlight w:val="none"/>
        </w:rPr>
        <w:t xml:space="preserve">  </w:t>
      </w:r>
    </w:p>
    <w:p w14:paraId="47DD5436">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22F56E15">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65EB19CA">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同供应商的响应文件异常一致或者响应报价呈规律性差异；</w:t>
      </w:r>
    </w:p>
    <w:p w14:paraId="0BCD2713">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669D9832">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7A388E70">
      <w:pPr>
        <w:spacing w:line="360" w:lineRule="auto"/>
        <w:ind w:firstLine="482" w:firstLineChars="200"/>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4CF1661B">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46A51422">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4FDB7CAB">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00BEFEFD">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5DD1B983">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4F13A787">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3B2EFE58">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321006FC">
      <w:pPr>
        <w:spacing w:line="360" w:lineRule="auto"/>
        <w:ind w:firstLine="482" w:firstLineChars="200"/>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以上情形一经核查属实，接受政府采购监管部门对我方认定存在围标串标行为，我方愿意承担一切后果，并不再寻求任何旨在减轻或者免除法律责任的辩解。</w:t>
      </w:r>
    </w:p>
    <w:p w14:paraId="46D80232">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8010373">
      <w:pPr>
        <w:spacing w:line="520" w:lineRule="exact"/>
        <w:ind w:left="239" w:leftChars="114" w:firstLine="6120" w:firstLineChars="2550"/>
        <w:jc w:val="left"/>
        <w:rPr>
          <w:rFonts w:hint="eastAsia" w:ascii="方正小标宋简体" w:hAnsi="方正小标宋简体" w:eastAsia="方正小标宋简体" w:cs="方正小标宋简体"/>
          <w:bCs/>
          <w:color w:val="auto"/>
          <w:sz w:val="44"/>
          <w:szCs w:val="44"/>
          <w:highlight w:val="none"/>
        </w:rPr>
      </w:pPr>
      <w:r>
        <w:rPr>
          <w:rFonts w:hint="eastAsia" w:ascii="仿宋_GB2312" w:hAnsi="仿宋" w:eastAsia="仿宋_GB2312" w:cs="仿宋_GB2312"/>
          <w:color w:val="auto"/>
          <w:kern w:val="0"/>
          <w:sz w:val="24"/>
          <w:highlight w:val="none"/>
          <w:lang w:val="zh-CN"/>
        </w:rPr>
        <w:t xml:space="preserve">日期：  年  月   日   </w:t>
      </w:r>
      <w:r>
        <w:rPr>
          <w:rFonts w:hint="eastAsia" w:ascii="宋体" w:hAnsi="宋体"/>
          <w:b/>
          <w:bCs/>
          <w:color w:val="auto"/>
          <w:sz w:val="32"/>
          <w:szCs w:val="32"/>
          <w:highlight w:val="none"/>
        </w:rPr>
        <w:br w:type="page"/>
      </w:r>
      <w:r>
        <w:rPr>
          <w:rFonts w:hint="eastAsia" w:ascii="仿宋" w:hAnsi="仿宋" w:eastAsia="仿宋" w:cs="仿宋_GB2312"/>
          <w:b/>
          <w:color w:val="auto"/>
          <w:sz w:val="30"/>
          <w:szCs w:val="30"/>
          <w:highlight w:val="none"/>
        </w:rPr>
        <w:t>二、法定代表人身份证明及法定代表人有效身份证正反面复印件</w:t>
      </w:r>
    </w:p>
    <w:p w14:paraId="20BB4C40">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t>法定代表人证明书</w:t>
      </w:r>
    </w:p>
    <w:p w14:paraId="12680600">
      <w:pPr>
        <w:spacing w:line="360" w:lineRule="auto"/>
        <w:ind w:left="540"/>
        <w:contextualSpacing/>
        <w:rPr>
          <w:rFonts w:hint="eastAsia" w:ascii="仿宋_GB2312" w:hAnsi="仿宋_GB2312" w:eastAsia="仿宋_GB2312" w:cs="仿宋_GB2312"/>
          <w:color w:val="auto"/>
          <w:sz w:val="32"/>
          <w:szCs w:val="32"/>
          <w:highlight w:val="none"/>
        </w:rPr>
      </w:pPr>
    </w:p>
    <w:p w14:paraId="05F4E376">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56D2509B">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5B8AC5A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19642D5D">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70D2A13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47F133A8">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19146DC5">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06814B93">
      <w:pPr>
        <w:spacing w:line="360" w:lineRule="auto"/>
        <w:ind w:left="540"/>
        <w:contextualSpacing/>
        <w:rPr>
          <w:rFonts w:hint="eastAsia" w:ascii="宋体" w:hAnsi="宋体" w:cs="仿宋_GB2312"/>
          <w:color w:val="auto"/>
          <w:sz w:val="24"/>
          <w:highlight w:val="none"/>
        </w:rPr>
      </w:pPr>
    </w:p>
    <w:p w14:paraId="0438358D">
      <w:pPr>
        <w:spacing w:line="360" w:lineRule="auto"/>
        <w:ind w:left="540"/>
        <w:contextualSpacing/>
        <w:rPr>
          <w:rFonts w:hint="eastAsia" w:ascii="宋体" w:hAnsi="宋体" w:cs="仿宋_GB2312"/>
          <w:color w:val="auto"/>
          <w:sz w:val="24"/>
          <w:highlight w:val="none"/>
        </w:rPr>
      </w:pPr>
    </w:p>
    <w:p w14:paraId="06F686DE">
      <w:pPr>
        <w:spacing w:line="360" w:lineRule="auto"/>
        <w:ind w:left="540"/>
        <w:contextualSpacing/>
        <w:rPr>
          <w:rFonts w:hint="eastAsia" w:ascii="宋体" w:hAnsi="宋体" w:cs="仿宋_GB2312"/>
          <w:color w:val="auto"/>
          <w:sz w:val="24"/>
          <w:highlight w:val="none"/>
        </w:rPr>
      </w:pPr>
    </w:p>
    <w:p w14:paraId="7A29763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7770BE58">
      <w:pPr>
        <w:spacing w:line="360" w:lineRule="auto"/>
        <w:ind w:left="540"/>
        <w:contextualSpacing/>
        <w:rPr>
          <w:rFonts w:hint="eastAsia" w:ascii="宋体" w:hAnsi="宋体" w:cs="仿宋_GB2312"/>
          <w:color w:val="auto"/>
          <w:sz w:val="24"/>
          <w:highlight w:val="none"/>
        </w:rPr>
      </w:pPr>
    </w:p>
    <w:p w14:paraId="640A5AFE">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7FE6D2D">
      <w:pPr>
        <w:spacing w:line="360" w:lineRule="auto"/>
        <w:jc w:val="center"/>
        <w:rPr>
          <w:rFonts w:hint="eastAsia"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1F131971">
      <w:pPr>
        <w:spacing w:line="360" w:lineRule="auto"/>
        <w:jc w:val="left"/>
        <w:rPr>
          <w:rFonts w:hint="eastAsia" w:ascii="宋体" w:hAnsi="宋体" w:cs="仿宋_GB2312"/>
          <w:color w:val="auto"/>
          <w:sz w:val="24"/>
          <w:highlight w:val="none"/>
        </w:rPr>
      </w:pPr>
    </w:p>
    <w:p w14:paraId="4AAB86D5">
      <w:pPr>
        <w:spacing w:line="360" w:lineRule="auto"/>
        <w:jc w:val="left"/>
        <w:rPr>
          <w:rFonts w:hint="eastAsia" w:ascii="宋体" w:hAnsi="宋体" w:cs="仿宋_GB2312"/>
          <w:color w:val="auto"/>
          <w:sz w:val="24"/>
          <w:highlight w:val="none"/>
        </w:rPr>
      </w:pPr>
      <w:r>
        <w:rPr>
          <w:rFonts w:hint="eastAsia" w:ascii="宋体" w:hAnsi="宋体" w:cs="仿宋_GB2312"/>
          <w:color w:val="auto"/>
          <w:sz w:val="24"/>
          <w:highlight w:val="none"/>
        </w:rPr>
        <w:t>注：1.自然人竞标的无需提供，联合体竞标的只需牵头人出具。</w:t>
      </w:r>
    </w:p>
    <w:p w14:paraId="33F545B6">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FB1F085">
      <w:pPr>
        <w:widowControl/>
        <w:spacing w:line="360" w:lineRule="auto"/>
        <w:jc w:val="left"/>
        <w:rPr>
          <w:rFonts w:ascii="宋体" w:hAnsi="宋体" w:cs="仿宋_GB2312"/>
          <w:color w:val="auto"/>
          <w:sz w:val="24"/>
          <w:highlight w:val="none"/>
        </w:rPr>
        <w:sectPr>
          <w:pgSz w:w="11905" w:h="16838"/>
          <w:pgMar w:top="958" w:right="1440" w:bottom="958" w:left="1587" w:header="850" w:footer="992" w:gutter="0"/>
          <w:pgNumType w:fmt="decimal"/>
          <w:cols w:space="720" w:num="1"/>
          <w:rtlGutter w:val="0"/>
          <w:docGrid w:type="lines" w:linePitch="317" w:charSpace="0"/>
        </w:sectPr>
      </w:pPr>
    </w:p>
    <w:tbl>
      <w:tblPr>
        <w:tblStyle w:val="20"/>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2DD7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0" w:type="dxa"/>
            <w:tcBorders>
              <w:top w:val="single" w:color="auto" w:sz="4" w:space="0"/>
              <w:left w:val="single" w:color="auto" w:sz="4" w:space="0"/>
              <w:bottom w:val="single" w:color="auto" w:sz="4" w:space="0"/>
              <w:right w:val="single" w:color="auto" w:sz="4" w:space="0"/>
            </w:tcBorders>
            <w:noWrap w:val="0"/>
            <w:vAlign w:val="top"/>
          </w:tcPr>
          <w:p w14:paraId="1EB50909">
            <w:pPr>
              <w:spacing w:line="360" w:lineRule="auto"/>
              <w:rPr>
                <w:rFonts w:hint="eastAsia" w:ascii="宋体"/>
                <w:b/>
                <w:color w:val="auto"/>
                <w:sz w:val="24"/>
                <w:highlight w:val="none"/>
              </w:rPr>
            </w:pPr>
          </w:p>
          <w:p w14:paraId="351A562C">
            <w:pPr>
              <w:spacing w:line="360" w:lineRule="auto"/>
              <w:rPr>
                <w:rFonts w:hint="eastAsia" w:ascii="宋体"/>
                <w:b/>
                <w:color w:val="auto"/>
                <w:sz w:val="24"/>
                <w:highlight w:val="none"/>
              </w:rPr>
            </w:pPr>
            <w:r>
              <w:rPr>
                <w:rFonts w:hint="eastAsia" w:ascii="宋体"/>
                <w:b/>
                <w:color w:val="auto"/>
                <w:sz w:val="24"/>
                <w:highlight w:val="none"/>
              </w:rPr>
              <w:t>法定代表身份证复印件粘帖处（正、反面）</w:t>
            </w:r>
          </w:p>
        </w:tc>
      </w:tr>
    </w:tbl>
    <w:p w14:paraId="22FA770C">
      <w:pPr>
        <w:spacing w:line="360" w:lineRule="auto"/>
        <w:ind w:firstLine="482" w:firstLineChars="200"/>
        <w:jc w:val="left"/>
        <w:rPr>
          <w:rFonts w:hint="eastAsia" w:ascii="仿宋_GB2312" w:hAnsi="仿宋_GB2312" w:eastAsia="仿宋_GB2312" w:cs="仿宋_GB2312"/>
          <w:b/>
          <w:color w:val="auto"/>
          <w:sz w:val="32"/>
          <w:szCs w:val="32"/>
          <w:highlight w:val="none"/>
        </w:rPr>
      </w:pPr>
      <w:r>
        <w:rPr>
          <w:rFonts w:hint="eastAsia" w:hAnsi="宋体"/>
          <w:b/>
          <w:color w:val="auto"/>
          <w:sz w:val="24"/>
          <w:highlight w:val="none"/>
        </w:rPr>
        <w:t>附件：</w:t>
      </w:r>
    </w:p>
    <w:p w14:paraId="2EAD2389">
      <w:pPr>
        <w:adjustRightInd w:val="0"/>
        <w:snapToGrid w:val="0"/>
        <w:spacing w:line="300" w:lineRule="auto"/>
        <w:jc w:val="left"/>
        <w:rPr>
          <w:rFonts w:hint="eastAsia" w:ascii="宋体" w:hAnsi="宋体"/>
          <w:b/>
          <w:color w:val="auto"/>
          <w:szCs w:val="21"/>
          <w:highlight w:val="none"/>
        </w:rPr>
      </w:pPr>
    </w:p>
    <w:p w14:paraId="0D0804B9">
      <w:pPr>
        <w:spacing w:line="520" w:lineRule="exact"/>
        <w:ind w:firstLine="880"/>
        <w:jc w:val="left"/>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仿宋" w:hAnsi="仿宋" w:eastAsia="仿宋" w:cs="仿宋_GB2312"/>
          <w:b/>
          <w:color w:val="auto"/>
          <w:sz w:val="30"/>
          <w:szCs w:val="30"/>
          <w:highlight w:val="none"/>
        </w:rPr>
        <w:t>三、法定代表人授权委托书</w:t>
      </w:r>
    </w:p>
    <w:p w14:paraId="7239C864">
      <w:pPr>
        <w:spacing w:line="500" w:lineRule="exact"/>
        <w:jc w:val="center"/>
        <w:rPr>
          <w:rFonts w:hint="eastAsia" w:ascii="方正小标宋简体" w:hAnsi="方正小标宋简体" w:eastAsia="方正小标宋简体" w:cs="方正小标宋简体"/>
          <w:color w:val="auto"/>
          <w:sz w:val="44"/>
          <w:szCs w:val="44"/>
          <w:highlight w:val="none"/>
        </w:rPr>
      </w:pPr>
    </w:p>
    <w:p w14:paraId="4FDA88F6">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授权委托书（非联合体竞标格式）</w:t>
      </w:r>
    </w:p>
    <w:p w14:paraId="3253A1E8">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435AA485">
      <w:pPr>
        <w:spacing w:line="520" w:lineRule="exact"/>
        <w:rPr>
          <w:rFonts w:hint="eastAsia" w:ascii="仿宋_GB2312" w:hAnsi="仿宋_GB2312" w:eastAsia="仿宋_GB2312" w:cs="仿宋_GB2312"/>
          <w:color w:val="auto"/>
          <w:sz w:val="32"/>
          <w:szCs w:val="32"/>
          <w:highlight w:val="none"/>
        </w:rPr>
      </w:pPr>
    </w:p>
    <w:p w14:paraId="1107E10B">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lang w:val="en-US" w:eastAsia="zh-CN"/>
        </w:rPr>
        <w:t xml:space="preserve">                     </w:t>
      </w:r>
      <w:r>
        <w:rPr>
          <w:rFonts w:hint="eastAsia" w:ascii="宋体" w:hAnsi="宋体" w:cs="仿宋_GB2312"/>
          <w:color w:val="auto"/>
          <w:sz w:val="24"/>
          <w:highlight w:val="none"/>
        </w:rPr>
        <w:t>：</w:t>
      </w:r>
    </w:p>
    <w:p w14:paraId="7878383F">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lang w:val="en-US" w:eastAsia="zh-CN"/>
        </w:rPr>
        <w:t xml:space="preserve">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31D18D62">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我方对委托代理人的签字事项负全部责任。</w:t>
      </w:r>
    </w:p>
    <w:p w14:paraId="2296AD2E">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75716EFC">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1B7A16F1">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05D299DE">
      <w:pPr>
        <w:spacing w:line="360" w:lineRule="auto"/>
        <w:rPr>
          <w:rFonts w:hint="eastAsia" w:ascii="宋体" w:hAnsi="宋体" w:cs="仿宋_GB2312"/>
          <w:color w:val="auto"/>
          <w:sz w:val="24"/>
          <w:highlight w:val="none"/>
        </w:rPr>
      </w:pPr>
    </w:p>
    <w:p w14:paraId="4EB15EB8">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委托代理人（签字）：         法定代表人（签字或盖章）：                    </w:t>
      </w:r>
    </w:p>
    <w:p w14:paraId="161EC953">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5C8A473A">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1D56C602">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r>
        <w:rPr>
          <w:rFonts w:hint="eastAsia" w:ascii="仿宋_GB2312" w:hAnsi="仿宋" w:eastAsia="仿宋_GB2312" w:cs="仿宋_GB2312"/>
          <w:color w:val="auto"/>
          <w:kern w:val="0"/>
          <w:sz w:val="24"/>
          <w:highlight w:val="none"/>
        </w:rPr>
        <w:t>供应商名称（电子签章）：</w:t>
      </w:r>
    </w:p>
    <w:p w14:paraId="2B8D4475">
      <w:pPr>
        <w:spacing w:line="360" w:lineRule="auto"/>
        <w:jc w:val="center"/>
        <w:rPr>
          <w:rFonts w:hint="eastAsia"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0ABBF15C">
      <w:pPr>
        <w:spacing w:line="360" w:lineRule="auto"/>
        <w:rPr>
          <w:rFonts w:hint="eastAsia" w:ascii="宋体" w:hAnsi="宋体" w:cs="仿宋_GB2312"/>
          <w:color w:val="auto"/>
          <w:sz w:val="24"/>
          <w:highlight w:val="none"/>
        </w:rPr>
      </w:pPr>
    </w:p>
    <w:p w14:paraId="7EB7C3CD">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22302D3E">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65F453F">
      <w:pPr>
        <w:spacing w:line="360" w:lineRule="auto"/>
        <w:ind w:firstLine="480" w:firstLineChars="200"/>
        <w:jc w:val="left"/>
        <w:rPr>
          <w:rFonts w:hint="eastAsia" w:ascii="仿宋_GB2312" w:hAnsi="仿宋_GB2312" w:eastAsia="仿宋_GB2312" w:cs="仿宋_GB2312"/>
          <w:color w:val="auto"/>
          <w:szCs w:val="21"/>
          <w:highlight w:val="none"/>
        </w:rPr>
      </w:pPr>
      <w:r>
        <w:rPr>
          <w:rFonts w:hint="eastAsia" w:ascii="宋体" w:hAnsi="宋体" w:cs="仿宋_GB2312"/>
          <w:color w:val="auto"/>
          <w:sz w:val="24"/>
          <w:highlight w:val="none"/>
        </w:rPr>
        <w:t>3. 法人、其他组织竞标时“我方”是指“我单位”，自然人竞标时“我方”是指“本人”。</w:t>
      </w:r>
    </w:p>
    <w:p w14:paraId="7A17EC84">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仿宋_GB2312" w:hAnsi="仿宋_GB2312" w:eastAsia="仿宋_GB2312" w:cs="仿宋_GB2312"/>
          <w:color w:val="auto"/>
          <w:szCs w:val="21"/>
          <w:highlight w:val="none"/>
        </w:rPr>
        <w:br w:type="page"/>
      </w:r>
      <w:r>
        <w:rPr>
          <w:rFonts w:hint="eastAsia" w:ascii="方正小标宋简体" w:hAnsi="方正小标宋简体" w:eastAsia="方正小标宋简体" w:cs="方正小标宋简体"/>
          <w:color w:val="auto"/>
          <w:sz w:val="44"/>
          <w:szCs w:val="44"/>
          <w:highlight w:val="none"/>
        </w:rPr>
        <w:t>授权委托书（联合体竞标格式）</w:t>
      </w:r>
    </w:p>
    <w:p w14:paraId="7DC7CB6D">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6576CDED">
      <w:pPr>
        <w:spacing w:line="500" w:lineRule="exact"/>
        <w:jc w:val="center"/>
        <w:rPr>
          <w:rFonts w:hint="eastAsia" w:ascii="方正小标宋简体" w:hAnsi="方正小标宋简体" w:eastAsia="方正小标宋简体" w:cs="方正小标宋简体"/>
          <w:color w:val="auto"/>
          <w:sz w:val="44"/>
          <w:szCs w:val="44"/>
          <w:highlight w:val="none"/>
        </w:rPr>
      </w:pPr>
    </w:p>
    <w:p w14:paraId="4C541B72">
      <w:pPr>
        <w:spacing w:line="500" w:lineRule="exact"/>
        <w:jc w:val="center"/>
        <w:rPr>
          <w:rFonts w:hint="eastAsia" w:ascii="仿宋_GB2312" w:hAnsi="仿宋_GB2312" w:eastAsia="仿宋_GB2312" w:cs="仿宋_GB2312"/>
          <w:color w:val="auto"/>
          <w:sz w:val="32"/>
          <w:szCs w:val="32"/>
          <w:highlight w:val="none"/>
        </w:rPr>
      </w:pPr>
    </w:p>
    <w:p w14:paraId="053C01F1">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517745A7">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我方对委托代理人的签字事项负全部责任。</w:t>
      </w:r>
    </w:p>
    <w:p w14:paraId="1ADAEC9B">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16F4852E">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1D4E5482">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275D71C7">
      <w:pPr>
        <w:spacing w:line="360" w:lineRule="auto"/>
        <w:ind w:firstLine="1560" w:firstLineChars="650"/>
        <w:rPr>
          <w:rFonts w:hint="eastAsia" w:ascii="宋体" w:hAnsi="宋体" w:cs="仿宋_GB2312"/>
          <w:color w:val="auto"/>
          <w:sz w:val="24"/>
          <w:highlight w:val="none"/>
        </w:rPr>
      </w:pPr>
      <w:r>
        <w:rPr>
          <w:rFonts w:hint="eastAsia" w:ascii="宋体" w:hAnsi="宋体" w:cs="仿宋_GB2312"/>
          <w:color w:val="auto"/>
          <w:sz w:val="24"/>
          <w:highlight w:val="none"/>
        </w:rPr>
        <w:t>牵头人法定代表人（签字或盖章）：</w:t>
      </w:r>
    </w:p>
    <w:p w14:paraId="12362BC5">
      <w:pPr>
        <w:spacing w:line="360" w:lineRule="auto"/>
        <w:ind w:firstLine="3120" w:firstLineChars="1300"/>
        <w:rPr>
          <w:rFonts w:hint="eastAsia" w:ascii="宋体" w:hAnsi="宋体" w:cs="仿宋_GB2312"/>
          <w:color w:val="auto"/>
          <w:sz w:val="24"/>
          <w:highlight w:val="none"/>
        </w:rPr>
      </w:pPr>
      <w:r>
        <w:rPr>
          <w:rFonts w:hint="eastAsia" w:ascii="宋体" w:hAnsi="宋体" w:cs="仿宋_GB2312"/>
          <w:color w:val="auto"/>
          <w:sz w:val="24"/>
          <w:highlight w:val="none"/>
        </w:rPr>
        <w:t>牵头人（电子签章）：</w:t>
      </w:r>
    </w:p>
    <w:p w14:paraId="65CA30E9">
      <w:pPr>
        <w:spacing w:line="360" w:lineRule="auto"/>
        <w:ind w:firstLine="3840" w:firstLineChars="1600"/>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0D23123B">
      <w:pPr>
        <w:spacing w:line="360" w:lineRule="auto"/>
        <w:rPr>
          <w:rFonts w:hint="eastAsia" w:ascii="宋体" w:hAnsi="宋体" w:cs="仿宋_GB2312"/>
          <w:color w:val="auto"/>
          <w:sz w:val="24"/>
          <w:highlight w:val="none"/>
        </w:rPr>
      </w:pPr>
    </w:p>
    <w:p w14:paraId="3D1D289F">
      <w:pPr>
        <w:spacing w:line="360" w:lineRule="auto"/>
        <w:ind w:firstLine="3120" w:firstLineChars="1300"/>
        <w:rPr>
          <w:rFonts w:hint="eastAsia" w:ascii="宋体" w:hAnsi="宋体" w:cs="仿宋_GB2312"/>
          <w:color w:val="auto"/>
          <w:sz w:val="24"/>
          <w:highlight w:val="none"/>
        </w:rPr>
      </w:pPr>
      <w:r>
        <w:rPr>
          <w:rFonts w:hint="eastAsia" w:ascii="宋体" w:hAnsi="宋体" w:cs="仿宋_GB2312"/>
          <w:color w:val="auto"/>
          <w:sz w:val="24"/>
          <w:highlight w:val="none"/>
        </w:rPr>
        <w:t>被授权人（签字）：</w:t>
      </w:r>
    </w:p>
    <w:p w14:paraId="3E3017BF">
      <w:pPr>
        <w:spacing w:line="360" w:lineRule="auto"/>
        <w:ind w:firstLine="3840" w:firstLineChars="1600"/>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702A059E">
      <w:pPr>
        <w:spacing w:line="360" w:lineRule="auto"/>
        <w:rPr>
          <w:rFonts w:hint="eastAsia" w:ascii="宋体" w:hAnsi="宋体" w:cs="仿宋_GB2312"/>
          <w:color w:val="auto"/>
          <w:sz w:val="24"/>
          <w:highlight w:val="none"/>
        </w:rPr>
      </w:pPr>
    </w:p>
    <w:p w14:paraId="69D79756">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注：1. 法定代表人必须在授权委托书上亲笔签字或盖章，委托代理人必须在授权委托书上亲笔签字，</w:t>
      </w:r>
      <w:r>
        <w:rPr>
          <w:rFonts w:hint="eastAsia" w:ascii="宋体" w:hAnsi="宋体" w:cs="仿宋_GB2312"/>
          <w:b/>
          <w:color w:val="auto"/>
          <w:sz w:val="24"/>
          <w:highlight w:val="none"/>
        </w:rPr>
        <w:t>否则其响应文件按无效响应处理。</w:t>
      </w:r>
    </w:p>
    <w:p w14:paraId="4F155CD2">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2.本授权委托书应由联合体牵头人的法定代表人按上述规定签署。</w:t>
      </w:r>
    </w:p>
    <w:p w14:paraId="3124FFCF">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0A584F1">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4.法人、其他组织竞标时“我方”是指“我单位”，自然人竞标时“我方”是指“本人”。</w:t>
      </w:r>
    </w:p>
    <w:p w14:paraId="6BD0D602">
      <w:pPr>
        <w:spacing w:line="360" w:lineRule="auto"/>
        <w:ind w:firstLine="420" w:firstLineChars="200"/>
        <w:jc w:val="left"/>
        <w:rPr>
          <w:rFonts w:hint="eastAsia" w:ascii="仿宋_GB2312" w:hAnsi="仿宋_GB2312" w:eastAsia="仿宋_GB2312" w:cs="仿宋_GB2312"/>
          <w:color w:val="auto"/>
          <w:szCs w:val="21"/>
          <w:highlight w:val="none"/>
        </w:rPr>
      </w:pPr>
    </w:p>
    <w:p w14:paraId="41C27C5A">
      <w:pPr>
        <w:spacing w:line="520" w:lineRule="exact"/>
        <w:ind w:firstLine="640" w:firstLineChars="200"/>
        <w:jc w:val="left"/>
        <w:rPr>
          <w:rFonts w:hint="eastAsia" w:ascii="仿宋" w:hAnsi="仿宋" w:eastAsia="仿宋" w:cs="仿宋_GB2312"/>
          <w:b/>
          <w:color w:val="auto"/>
          <w:sz w:val="30"/>
          <w:szCs w:val="30"/>
          <w:highlight w:val="none"/>
        </w:rPr>
      </w:pPr>
      <w:r>
        <w:rPr>
          <w:rFonts w:hint="eastAsia" w:ascii="仿宋_GB2312" w:hAnsi="仿宋_GB2312" w:eastAsia="仿宋_GB2312" w:cs="仿宋_GB2312"/>
          <w:color w:val="auto"/>
          <w:sz w:val="32"/>
          <w:szCs w:val="32"/>
          <w:highlight w:val="none"/>
        </w:rPr>
        <w:br w:type="page"/>
      </w:r>
      <w:r>
        <w:rPr>
          <w:rFonts w:hint="eastAsia" w:ascii="仿宋" w:hAnsi="仿宋" w:eastAsia="仿宋" w:cs="仿宋_GB2312"/>
          <w:b/>
          <w:color w:val="auto"/>
          <w:sz w:val="30"/>
          <w:szCs w:val="30"/>
          <w:highlight w:val="none"/>
        </w:rPr>
        <w:t>四、商务条款偏离表</w:t>
      </w:r>
    </w:p>
    <w:p w14:paraId="169EE75A">
      <w:pPr>
        <w:spacing w:line="500" w:lineRule="exact"/>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商务条款偏离表</w:t>
      </w:r>
    </w:p>
    <w:p w14:paraId="4BEBB1FA">
      <w:pPr>
        <w:spacing w:line="520" w:lineRule="exact"/>
        <w:rPr>
          <w:rFonts w:hint="eastAsia" w:ascii="仿宋_GB2312" w:hAnsi="仿宋_GB2312" w:eastAsia="仿宋_GB2312" w:cs="仿宋_GB2312"/>
          <w:color w:val="auto"/>
          <w:sz w:val="32"/>
          <w:szCs w:val="32"/>
          <w:highlight w:val="none"/>
        </w:rPr>
      </w:pPr>
    </w:p>
    <w:p w14:paraId="316A87E6">
      <w:pPr>
        <w:spacing w:line="360" w:lineRule="auto"/>
        <w:rPr>
          <w:rFonts w:hint="eastAsia"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p>
    <w:p w14:paraId="70B7978B">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u w:val="single"/>
          <w:lang w:val="en-US" w:eastAsia="zh-CN"/>
        </w:rPr>
        <w:t xml:space="preserve">                    </w:t>
      </w:r>
      <w:r>
        <w:rPr>
          <w:rFonts w:hint="eastAsia" w:ascii="宋体" w:hAnsi="宋体" w:cs="仿宋_GB2312"/>
          <w:color w:val="auto"/>
          <w:sz w:val="24"/>
          <w:highlight w:val="none"/>
          <w:u w:val="single"/>
        </w:rPr>
        <w:t xml:space="preserve"> </w:t>
      </w:r>
    </w:p>
    <w:p w14:paraId="2B243EC4">
      <w:pPr>
        <w:spacing w:line="360" w:lineRule="auto"/>
        <w:rPr>
          <w:rFonts w:hint="eastAsia" w:ascii="宋体" w:hAnsi="宋体" w:cs="仿宋_GB2312"/>
          <w:color w:val="auto"/>
          <w:sz w:val="24"/>
          <w:highlight w:val="none"/>
          <w:u w:val="single"/>
        </w:rPr>
      </w:pPr>
      <w:r>
        <w:rPr>
          <w:rFonts w:hint="eastAsia" w:ascii="宋体" w:hAnsi="宋体" w:cs="仿宋_GB2312"/>
          <w:color w:val="auto"/>
          <w:sz w:val="24"/>
          <w:highlight w:val="none"/>
        </w:rPr>
        <w:t>分标号</w:t>
      </w:r>
      <w:r>
        <w:rPr>
          <w:rFonts w:hint="eastAsia" w:ascii="宋体" w:hAnsi="宋体"/>
          <w:color w:val="auto"/>
          <w:szCs w:val="21"/>
          <w:highlight w:val="none"/>
        </w:rPr>
        <w:t>（此处有分标时填写具体分标号，无分标时填写“无”）</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p>
    <w:tbl>
      <w:tblPr>
        <w:tblStyle w:val="20"/>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4D0C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772F558F">
            <w:pPr>
              <w:spacing w:line="340" w:lineRule="exact"/>
              <w:jc w:val="center"/>
              <w:rPr>
                <w:rFonts w:hint="eastAsia" w:ascii="宋体" w:hAnsi="宋体"/>
                <w:color w:val="auto"/>
                <w:szCs w:val="21"/>
                <w:highlight w:val="none"/>
              </w:rPr>
            </w:pPr>
            <w:r>
              <w:rPr>
                <w:rFonts w:hint="eastAsia" w:ascii="宋体" w:hAnsi="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12F58142">
            <w:pPr>
              <w:spacing w:line="340" w:lineRule="exact"/>
              <w:jc w:val="center"/>
              <w:rPr>
                <w:rFonts w:hint="eastAsia" w:ascii="宋体" w:hAnsi="宋体"/>
                <w:color w:val="auto"/>
                <w:szCs w:val="21"/>
                <w:highlight w:val="none"/>
              </w:rPr>
            </w:pPr>
            <w:r>
              <w:rPr>
                <w:rFonts w:hint="eastAsia" w:ascii="宋体" w:hAnsi="宋体"/>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009A5C92">
            <w:pPr>
              <w:spacing w:line="340" w:lineRule="exact"/>
              <w:jc w:val="center"/>
              <w:rPr>
                <w:rFonts w:hint="eastAsia" w:ascii="宋体" w:hAnsi="宋体"/>
                <w:color w:val="auto"/>
                <w:szCs w:val="21"/>
                <w:highlight w:val="none"/>
              </w:rPr>
            </w:pPr>
            <w:r>
              <w:rPr>
                <w:rFonts w:hint="eastAsia" w:ascii="宋体" w:hAnsi="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50A67F99">
            <w:pPr>
              <w:spacing w:line="340" w:lineRule="exact"/>
              <w:jc w:val="center"/>
              <w:rPr>
                <w:rFonts w:hint="eastAsia" w:ascii="宋体" w:hAnsi="宋体"/>
                <w:color w:val="auto"/>
                <w:szCs w:val="21"/>
                <w:highlight w:val="none"/>
              </w:rPr>
            </w:pPr>
            <w:r>
              <w:rPr>
                <w:rFonts w:hint="eastAsia" w:ascii="宋体" w:hAnsi="宋体"/>
                <w:color w:val="auto"/>
                <w:szCs w:val="21"/>
                <w:highlight w:val="none"/>
              </w:rPr>
              <w:t>偏离说明</w:t>
            </w:r>
          </w:p>
        </w:tc>
      </w:tr>
      <w:tr w14:paraId="25EF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166BCDA6">
            <w:pPr>
              <w:spacing w:line="340" w:lineRule="exact"/>
              <w:rPr>
                <w:rFonts w:hint="eastAsia" w:ascii="宋体" w:hAnsi="宋体"/>
                <w:color w:val="auto"/>
                <w:szCs w:val="21"/>
                <w:highlight w:val="none"/>
              </w:rPr>
            </w:pPr>
            <w:r>
              <w:rPr>
                <w:rFonts w:hint="eastAsia" w:ascii="宋体" w:hAnsi="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5903F45B">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0AEF9635">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1DC2F006">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2FEA92DD">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380632CA">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7751204D">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71AEE174">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0031699B">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39FB7BEF">
            <w:pPr>
              <w:spacing w:line="300" w:lineRule="exact"/>
              <w:rPr>
                <w:rFonts w:hint="eastAsia" w:ascii="宋体" w:hAnsi="宋体"/>
                <w:color w:val="auto"/>
                <w:szCs w:val="21"/>
                <w:highlight w:val="none"/>
              </w:rPr>
            </w:pPr>
          </w:p>
        </w:tc>
      </w:tr>
      <w:tr w14:paraId="349B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FEDD773">
            <w:pPr>
              <w:spacing w:line="340" w:lineRule="exact"/>
              <w:rPr>
                <w:rFonts w:hint="eastAsia" w:ascii="宋体" w:hAnsi="宋体"/>
                <w:color w:val="auto"/>
                <w:szCs w:val="21"/>
                <w:highlight w:val="none"/>
              </w:rPr>
            </w:pPr>
            <w:r>
              <w:rPr>
                <w:rFonts w:hint="eastAsia" w:ascii="宋体" w:hAnsi="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08DCAE16">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7C01459D">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634D00A0">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5411EFF9">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7D0D0755">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7776C058">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222B35C8">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71B42714">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444586DD">
            <w:pPr>
              <w:spacing w:line="300" w:lineRule="exact"/>
              <w:rPr>
                <w:rFonts w:hint="eastAsia" w:ascii="宋体" w:hAnsi="宋体"/>
                <w:color w:val="auto"/>
                <w:szCs w:val="21"/>
                <w:highlight w:val="none"/>
              </w:rPr>
            </w:pPr>
          </w:p>
        </w:tc>
      </w:tr>
      <w:tr w14:paraId="6F48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A0A44AC">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7C9C52EA">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4E22DE9E">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2BD15123">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44868916">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2CB5CD68">
            <w:pPr>
              <w:spacing w:line="340" w:lineRule="exact"/>
              <w:rPr>
                <w:rFonts w:hint="eastAsia" w:ascii="宋体" w:hAnsi="宋体"/>
                <w:color w:val="auto"/>
                <w:szCs w:val="21"/>
                <w:highlight w:val="none"/>
              </w:rPr>
            </w:pPr>
            <w:r>
              <w:rPr>
                <w:rFonts w:hint="eastAsia" w:ascii="宋体" w:hAnsi="宋体"/>
                <w:color w:val="auto"/>
                <w:szCs w:val="21"/>
                <w:highlight w:val="none"/>
              </w:rPr>
              <w:t>1  ……</w:t>
            </w:r>
          </w:p>
          <w:p w14:paraId="1B8C2D8E">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22BCC744">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3C7C60CA">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618CBE2B">
            <w:pPr>
              <w:spacing w:line="300" w:lineRule="exact"/>
              <w:rPr>
                <w:rFonts w:hint="eastAsia" w:ascii="宋体" w:hAnsi="宋体"/>
                <w:color w:val="auto"/>
                <w:szCs w:val="21"/>
                <w:highlight w:val="none"/>
              </w:rPr>
            </w:pPr>
          </w:p>
        </w:tc>
      </w:tr>
    </w:tbl>
    <w:p w14:paraId="7075A4DF">
      <w:pPr>
        <w:pStyle w:val="11"/>
        <w:spacing w:line="400" w:lineRule="exact"/>
        <w:ind w:firstLine="0" w:firstLineChars="0"/>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3B5E3310">
      <w:pPr>
        <w:pStyle w:val="11"/>
        <w:spacing w:line="400" w:lineRule="exact"/>
        <w:ind w:firstLine="0" w:firstLineChars="0"/>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1.说明：应对照磋商文件“第二章 采购需求”中的商务条款逐条作出明确响应，并作出偏离说明。</w:t>
      </w:r>
    </w:p>
    <w:p w14:paraId="4A5DD300">
      <w:pPr>
        <w:pStyle w:val="11"/>
        <w:spacing w:line="400" w:lineRule="exact"/>
        <w:ind w:firstLine="0" w:firstLineChars="0"/>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2.供应商应根据自身的承诺，对照磋商文件要求，在“偏离说明”中注明“正偏离”、“负偏离”或者“无偏离”。既不属于“正偏离”也不属于“负偏离”即为“无偏离”。</w:t>
      </w:r>
      <w:r>
        <w:rPr>
          <w:rFonts w:hint="eastAsia" w:ascii="宋体" w:hAnsi="宋体" w:cs="仿宋_GB2312"/>
          <w:color w:val="auto"/>
          <w:sz w:val="24"/>
          <w:szCs w:val="24"/>
          <w:highlight w:val="none"/>
        </w:rPr>
        <w:t xml:space="preserve"> 当响应文件的</w:t>
      </w:r>
      <w:r>
        <w:rPr>
          <w:rFonts w:hint="eastAsia" w:ascii="宋体" w:hAnsi="宋体" w:eastAsia="宋体" w:cs="仿宋_GB2312"/>
          <w:color w:val="auto"/>
          <w:sz w:val="24"/>
          <w:szCs w:val="24"/>
          <w:highlight w:val="none"/>
        </w:rPr>
        <w:t>商务内容低于竞争性磋商采购文件要求时，竞标人应当如实写明“负偏离”，否则视为虚假应标</w:t>
      </w:r>
    </w:p>
    <w:p w14:paraId="55967F1D">
      <w:pPr>
        <w:spacing w:line="400" w:lineRule="exact"/>
        <w:rPr>
          <w:rFonts w:hint="eastAsia" w:ascii="宋体" w:hAnsi="宋体" w:cs="仿宋_GB2312"/>
          <w:color w:val="auto"/>
          <w:kern w:val="0"/>
          <w:sz w:val="24"/>
          <w:highlight w:val="none"/>
        </w:rPr>
      </w:pPr>
      <w:r>
        <w:rPr>
          <w:rFonts w:hint="eastAsia" w:ascii="宋体" w:hAnsi="宋体" w:cs="仿宋_GB2312"/>
          <w:color w:val="auto"/>
          <w:kern w:val="0"/>
          <w:sz w:val="24"/>
          <w:highlight w:val="none"/>
        </w:rPr>
        <w:t>3.表格内容均需按要求填写，不得留空，否则按竞标无效处理。</w:t>
      </w:r>
    </w:p>
    <w:p w14:paraId="5773693F">
      <w:pPr>
        <w:pStyle w:val="14"/>
        <w:spacing w:line="400" w:lineRule="exact"/>
        <w:rPr>
          <w:rFonts w:hint="eastAsia" w:hAnsi="宋体" w:cs="仿宋_GB2312"/>
          <w:color w:val="auto"/>
          <w:sz w:val="24"/>
          <w:highlight w:val="none"/>
        </w:rPr>
      </w:pPr>
      <w:r>
        <w:rPr>
          <w:rFonts w:hint="eastAsia" w:hAnsi="宋体" w:cs="仿宋_GB2312"/>
          <w:color w:val="auto"/>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6592EE2F">
      <w:pPr>
        <w:spacing w:line="360" w:lineRule="auto"/>
        <w:ind w:firstLine="3840" w:firstLineChars="1600"/>
        <w:rPr>
          <w:rFonts w:hint="eastAsia" w:ascii="宋体" w:hAnsi="宋体" w:cs="仿宋_GB2312"/>
          <w:color w:val="auto"/>
          <w:sz w:val="24"/>
          <w:highlight w:val="none"/>
        </w:rPr>
      </w:pPr>
      <w:r>
        <w:rPr>
          <w:rFonts w:hint="eastAsia" w:ascii="仿宋_GB2312" w:hAnsi="仿宋" w:eastAsia="仿宋_GB2312" w:cs="仿宋_GB2312"/>
          <w:color w:val="auto"/>
          <w:kern w:val="0"/>
          <w:sz w:val="24"/>
          <w:highlight w:val="none"/>
        </w:rPr>
        <w:t>供应商名称（电子签章）：</w:t>
      </w:r>
    </w:p>
    <w:p w14:paraId="26C20DFE">
      <w:pPr>
        <w:spacing w:line="360" w:lineRule="auto"/>
        <w:jc w:val="center"/>
        <w:rPr>
          <w:rFonts w:hint="eastAsia" w:ascii="宋体" w:hAnsi="宋体" w:cs="仿宋_GB2312"/>
          <w:b/>
          <w:color w:val="auto"/>
          <w:sz w:val="24"/>
          <w:highlight w:val="none"/>
        </w:rPr>
      </w:pPr>
      <w:r>
        <w:rPr>
          <w:rFonts w:hint="eastAsia" w:ascii="仿宋_GB2312" w:hAnsi="仿宋" w:eastAsia="仿宋_GB2312" w:cs="仿宋_GB2312"/>
          <w:color w:val="auto"/>
          <w:kern w:val="0"/>
          <w:sz w:val="24"/>
          <w:highlight w:val="none"/>
          <w:lang w:val="zh-CN"/>
        </w:rPr>
        <w:t xml:space="preserve">                                                   日期：  年  月   日</w:t>
      </w:r>
    </w:p>
    <w:p w14:paraId="0B2E1C91">
      <w:pPr>
        <w:snapToGrid w:val="0"/>
        <w:spacing w:line="360" w:lineRule="auto"/>
        <w:ind w:firstLine="602" w:firstLineChars="200"/>
        <w:rPr>
          <w:rFonts w:hint="eastAsia" w:ascii="仿宋" w:hAnsi="仿宋" w:eastAsia="仿宋" w:cs="仿宋_GB2312"/>
          <w:b/>
          <w:color w:val="auto"/>
          <w:sz w:val="30"/>
          <w:szCs w:val="30"/>
          <w:highlight w:val="none"/>
        </w:rPr>
      </w:pPr>
    </w:p>
    <w:p w14:paraId="42161A8F">
      <w:pPr>
        <w:snapToGrid w:val="0"/>
        <w:spacing w:line="360" w:lineRule="auto"/>
        <w:ind w:firstLine="602" w:firstLineChars="200"/>
        <w:rPr>
          <w:rFonts w:hint="eastAsia" w:ascii="仿宋" w:hAnsi="仿宋" w:eastAsia="仿宋" w:cs="仿宋_GB2312"/>
          <w:b/>
          <w:color w:val="auto"/>
          <w:sz w:val="30"/>
          <w:szCs w:val="30"/>
          <w:highlight w:val="none"/>
          <w:lang w:eastAsia="zh-CN"/>
        </w:rPr>
      </w:pPr>
      <w:r>
        <w:rPr>
          <w:rFonts w:hint="eastAsia" w:ascii="仿宋" w:hAnsi="仿宋" w:eastAsia="仿宋" w:cs="仿宋_GB2312"/>
          <w:b/>
          <w:color w:val="auto"/>
          <w:sz w:val="30"/>
          <w:szCs w:val="30"/>
          <w:highlight w:val="none"/>
        </w:rPr>
        <w:t>五、竞标人情况介绍</w:t>
      </w:r>
      <w:r>
        <w:rPr>
          <w:rFonts w:hint="eastAsia" w:ascii="仿宋" w:hAnsi="仿宋" w:eastAsia="仿宋" w:cs="仿宋_GB2312"/>
          <w:b/>
          <w:color w:val="auto"/>
          <w:sz w:val="30"/>
          <w:szCs w:val="30"/>
          <w:highlight w:val="none"/>
          <w:lang w:eastAsia="zh-CN"/>
        </w:rPr>
        <w:t>（</w:t>
      </w:r>
      <w:r>
        <w:rPr>
          <w:rFonts w:hint="eastAsia" w:ascii="仿宋" w:hAnsi="仿宋" w:eastAsia="仿宋" w:cs="仿宋_GB2312"/>
          <w:b/>
          <w:color w:val="auto"/>
          <w:sz w:val="30"/>
          <w:szCs w:val="30"/>
          <w:highlight w:val="none"/>
          <w:lang w:val="en-US" w:eastAsia="zh-CN"/>
        </w:rPr>
        <w:t>格式自拟</w:t>
      </w:r>
      <w:r>
        <w:rPr>
          <w:rFonts w:hint="eastAsia" w:ascii="仿宋" w:hAnsi="仿宋" w:eastAsia="仿宋" w:cs="仿宋_GB2312"/>
          <w:b/>
          <w:color w:val="auto"/>
          <w:sz w:val="30"/>
          <w:szCs w:val="30"/>
          <w:highlight w:val="none"/>
          <w:lang w:eastAsia="zh-CN"/>
        </w:rPr>
        <w:t>）</w:t>
      </w:r>
    </w:p>
    <w:p w14:paraId="78887FD1">
      <w:pPr>
        <w:snapToGrid w:val="0"/>
        <w:spacing w:line="360" w:lineRule="auto"/>
        <w:ind w:firstLine="602" w:firstLineChars="200"/>
        <w:rPr>
          <w:rFonts w:hint="eastAsia" w:ascii="仿宋" w:hAnsi="仿宋" w:eastAsia="仿宋" w:cs="仿宋_GB2312"/>
          <w:b/>
          <w:color w:val="auto"/>
          <w:sz w:val="30"/>
          <w:szCs w:val="30"/>
          <w:highlight w:val="none"/>
        </w:rPr>
      </w:pPr>
    </w:p>
    <w:p w14:paraId="28979C66">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958B57A">
      <w:pPr>
        <w:autoSpaceDE w:val="0"/>
        <w:autoSpaceDN w:val="0"/>
        <w:spacing w:line="360" w:lineRule="auto"/>
        <w:ind w:firstLine="6480" w:firstLineChars="270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4607A6D3">
      <w:pPr>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br w:type="page"/>
      </w:r>
    </w:p>
    <w:p w14:paraId="11F84567">
      <w:pPr>
        <w:snapToGrid w:val="0"/>
        <w:spacing w:before="120" w:beforeLines="50" w:after="50"/>
        <w:ind w:firstLine="602" w:firstLineChars="200"/>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六、供应商类似的业绩证明文件</w:t>
      </w:r>
    </w:p>
    <w:p w14:paraId="0C3DC3ED">
      <w:pPr>
        <w:pStyle w:val="18"/>
        <w:snapToGrid w:val="0"/>
        <w:ind w:left="480" w:hanging="480"/>
        <w:rPr>
          <w:rFonts w:hint="eastAsia" w:ascii="宋体" w:hAnsi="宋体"/>
          <w:color w:val="auto"/>
          <w:sz w:val="24"/>
          <w:highlight w:val="none"/>
        </w:rPr>
      </w:pPr>
    </w:p>
    <w:tbl>
      <w:tblPr>
        <w:tblStyle w:val="20"/>
        <w:tblpPr w:leftFromText="180" w:rightFromText="180" w:vertAnchor="page" w:horzAnchor="page" w:tblpXSpec="center" w:tblpY="460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0"/>
        <w:gridCol w:w="1656"/>
        <w:gridCol w:w="2422"/>
        <w:gridCol w:w="1434"/>
        <w:gridCol w:w="2031"/>
      </w:tblGrid>
      <w:tr w14:paraId="3D25E4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5" w:hRule="atLeast"/>
          <w:jc w:val="center"/>
        </w:trPr>
        <w:tc>
          <w:tcPr>
            <w:tcW w:w="1110" w:type="dxa"/>
            <w:tcBorders>
              <w:top w:val="single" w:color="auto" w:sz="4" w:space="0"/>
              <w:left w:val="single" w:color="auto" w:sz="4" w:space="0"/>
              <w:bottom w:val="single" w:color="auto" w:sz="4" w:space="0"/>
              <w:right w:val="single" w:color="auto" w:sz="4" w:space="0"/>
            </w:tcBorders>
            <w:noWrap w:val="0"/>
            <w:vAlign w:val="center"/>
          </w:tcPr>
          <w:p w14:paraId="75ED26BC">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序号</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254357EA">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1E2C31EC">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项目名称</w:t>
            </w:r>
          </w:p>
        </w:tc>
        <w:tc>
          <w:tcPr>
            <w:tcW w:w="1434" w:type="dxa"/>
            <w:tcBorders>
              <w:top w:val="single" w:color="auto" w:sz="4" w:space="0"/>
              <w:left w:val="single" w:color="auto" w:sz="4" w:space="0"/>
              <w:bottom w:val="single" w:color="auto" w:sz="4" w:space="0"/>
              <w:right w:val="single" w:color="auto" w:sz="4" w:space="0"/>
            </w:tcBorders>
            <w:noWrap w:val="0"/>
            <w:vAlign w:val="center"/>
          </w:tcPr>
          <w:p w14:paraId="49143158">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合同</w:t>
            </w:r>
          </w:p>
          <w:p w14:paraId="025A7409">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金额</w:t>
            </w:r>
          </w:p>
          <w:p w14:paraId="09DC0598">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（万元）</w:t>
            </w:r>
          </w:p>
        </w:tc>
        <w:tc>
          <w:tcPr>
            <w:tcW w:w="2031" w:type="dxa"/>
            <w:tcBorders>
              <w:top w:val="single" w:color="auto" w:sz="4" w:space="0"/>
              <w:left w:val="single" w:color="auto" w:sz="4" w:space="0"/>
              <w:bottom w:val="single" w:color="auto" w:sz="4" w:space="0"/>
              <w:right w:val="single" w:color="auto" w:sz="4" w:space="0"/>
            </w:tcBorders>
            <w:noWrap w:val="0"/>
            <w:vAlign w:val="center"/>
          </w:tcPr>
          <w:p w14:paraId="74B20484">
            <w:pPr>
              <w:snapToGrid w:val="0"/>
              <w:spacing w:line="240" w:lineRule="exact"/>
              <w:jc w:val="center"/>
              <w:rPr>
                <w:rFonts w:hint="eastAsia" w:ascii="宋体" w:hAnsi="宋体"/>
                <w:color w:val="auto"/>
                <w:sz w:val="24"/>
                <w:highlight w:val="none"/>
              </w:rPr>
            </w:pPr>
            <w:r>
              <w:rPr>
                <w:rFonts w:hint="eastAsia" w:ascii="宋体" w:hAnsi="宋体"/>
                <w:color w:val="auto"/>
                <w:sz w:val="24"/>
                <w:highlight w:val="none"/>
              </w:rPr>
              <w:t>采购人联系人及联系电话</w:t>
            </w:r>
          </w:p>
        </w:tc>
      </w:tr>
      <w:tr w14:paraId="2D264B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110" w:type="dxa"/>
            <w:tcBorders>
              <w:top w:val="single" w:color="auto" w:sz="4" w:space="0"/>
              <w:left w:val="single" w:color="auto" w:sz="4" w:space="0"/>
              <w:bottom w:val="single" w:color="auto" w:sz="4" w:space="0"/>
              <w:right w:val="single" w:color="auto" w:sz="4" w:space="0"/>
            </w:tcBorders>
            <w:noWrap w:val="0"/>
            <w:vAlign w:val="top"/>
          </w:tcPr>
          <w:p w14:paraId="54A27471">
            <w:pPr>
              <w:snapToGrid w:val="0"/>
              <w:spacing w:line="240" w:lineRule="exact"/>
              <w:jc w:val="left"/>
              <w:rPr>
                <w:rFonts w:hint="eastAsia" w:ascii="宋体" w:hAnsi="宋体"/>
                <w:color w:val="auto"/>
                <w:sz w:val="24"/>
                <w:highlight w:val="none"/>
              </w:rPr>
            </w:pPr>
          </w:p>
        </w:tc>
        <w:tc>
          <w:tcPr>
            <w:tcW w:w="1656" w:type="dxa"/>
            <w:tcBorders>
              <w:top w:val="single" w:color="auto" w:sz="4" w:space="0"/>
              <w:left w:val="single" w:color="auto" w:sz="4" w:space="0"/>
              <w:bottom w:val="single" w:color="auto" w:sz="4" w:space="0"/>
              <w:right w:val="single" w:color="auto" w:sz="4" w:space="0"/>
            </w:tcBorders>
            <w:noWrap w:val="0"/>
            <w:vAlign w:val="top"/>
          </w:tcPr>
          <w:p w14:paraId="3AEB47E9">
            <w:pPr>
              <w:snapToGrid w:val="0"/>
              <w:spacing w:line="240" w:lineRule="exact"/>
              <w:jc w:val="left"/>
              <w:rPr>
                <w:rFonts w:hint="eastAsia" w:ascii="宋体" w:hAnsi="宋体"/>
                <w:color w:val="auto"/>
                <w:sz w:val="24"/>
                <w:highlight w:val="none"/>
              </w:rPr>
            </w:pPr>
          </w:p>
        </w:tc>
        <w:tc>
          <w:tcPr>
            <w:tcW w:w="2422" w:type="dxa"/>
            <w:tcBorders>
              <w:top w:val="single" w:color="auto" w:sz="4" w:space="0"/>
              <w:left w:val="single" w:color="auto" w:sz="4" w:space="0"/>
              <w:bottom w:val="single" w:color="auto" w:sz="4" w:space="0"/>
              <w:right w:val="single" w:color="auto" w:sz="4" w:space="0"/>
            </w:tcBorders>
            <w:noWrap w:val="0"/>
            <w:vAlign w:val="top"/>
          </w:tcPr>
          <w:p w14:paraId="382AF0A7">
            <w:pPr>
              <w:snapToGrid w:val="0"/>
              <w:spacing w:line="240" w:lineRule="exact"/>
              <w:jc w:val="left"/>
              <w:rPr>
                <w:rFonts w:hint="eastAsia" w:ascii="宋体" w:hAnsi="宋体"/>
                <w:color w:val="auto"/>
                <w:sz w:val="24"/>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top"/>
          </w:tcPr>
          <w:p w14:paraId="0A1C2A62">
            <w:pPr>
              <w:snapToGrid w:val="0"/>
              <w:spacing w:line="240" w:lineRule="exact"/>
              <w:jc w:val="left"/>
              <w:rPr>
                <w:rFonts w:hint="eastAsia" w:ascii="宋体" w:hAnsi="宋体"/>
                <w:color w:val="auto"/>
                <w:sz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386AA1BA">
            <w:pPr>
              <w:snapToGrid w:val="0"/>
              <w:spacing w:line="240" w:lineRule="exact"/>
              <w:jc w:val="left"/>
              <w:rPr>
                <w:rFonts w:hint="eastAsia" w:ascii="宋体" w:hAnsi="宋体"/>
                <w:color w:val="auto"/>
                <w:sz w:val="24"/>
                <w:highlight w:val="none"/>
              </w:rPr>
            </w:pPr>
          </w:p>
        </w:tc>
      </w:tr>
      <w:tr w14:paraId="0C5664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10" w:type="dxa"/>
            <w:tcBorders>
              <w:top w:val="single" w:color="auto" w:sz="4" w:space="0"/>
              <w:left w:val="single" w:color="auto" w:sz="4" w:space="0"/>
              <w:bottom w:val="single" w:color="auto" w:sz="4" w:space="0"/>
              <w:right w:val="single" w:color="auto" w:sz="4" w:space="0"/>
            </w:tcBorders>
            <w:noWrap w:val="0"/>
            <w:vAlign w:val="top"/>
          </w:tcPr>
          <w:p w14:paraId="1D9CE396">
            <w:pPr>
              <w:snapToGrid w:val="0"/>
              <w:spacing w:before="50" w:after="120" w:afterLines="50" w:line="400" w:lineRule="exact"/>
              <w:jc w:val="left"/>
              <w:rPr>
                <w:rFonts w:hint="eastAsia" w:ascii="宋体" w:hAnsi="宋体"/>
                <w:color w:val="auto"/>
                <w:sz w:val="24"/>
                <w:highlight w:val="none"/>
              </w:rPr>
            </w:pPr>
          </w:p>
        </w:tc>
        <w:tc>
          <w:tcPr>
            <w:tcW w:w="1656" w:type="dxa"/>
            <w:tcBorders>
              <w:top w:val="single" w:color="auto" w:sz="4" w:space="0"/>
              <w:left w:val="single" w:color="auto" w:sz="4" w:space="0"/>
              <w:bottom w:val="single" w:color="auto" w:sz="4" w:space="0"/>
              <w:right w:val="single" w:color="auto" w:sz="4" w:space="0"/>
            </w:tcBorders>
            <w:noWrap w:val="0"/>
            <w:vAlign w:val="top"/>
          </w:tcPr>
          <w:p w14:paraId="083F37E4">
            <w:pPr>
              <w:snapToGrid w:val="0"/>
              <w:spacing w:before="50" w:after="120" w:afterLines="50" w:line="400" w:lineRule="exact"/>
              <w:jc w:val="left"/>
              <w:rPr>
                <w:rFonts w:hint="eastAsia" w:ascii="宋体" w:hAnsi="宋体"/>
                <w:color w:val="auto"/>
                <w:sz w:val="24"/>
                <w:highlight w:val="none"/>
              </w:rPr>
            </w:pPr>
          </w:p>
        </w:tc>
        <w:tc>
          <w:tcPr>
            <w:tcW w:w="2422" w:type="dxa"/>
            <w:tcBorders>
              <w:top w:val="single" w:color="auto" w:sz="4" w:space="0"/>
              <w:left w:val="single" w:color="auto" w:sz="4" w:space="0"/>
              <w:bottom w:val="single" w:color="auto" w:sz="4" w:space="0"/>
              <w:right w:val="single" w:color="auto" w:sz="4" w:space="0"/>
            </w:tcBorders>
            <w:noWrap w:val="0"/>
            <w:vAlign w:val="top"/>
          </w:tcPr>
          <w:p w14:paraId="18B2158C">
            <w:pPr>
              <w:snapToGrid w:val="0"/>
              <w:spacing w:before="50" w:after="120" w:afterLines="50" w:line="400" w:lineRule="exact"/>
              <w:jc w:val="left"/>
              <w:rPr>
                <w:rFonts w:hint="eastAsia" w:ascii="宋体" w:hAnsi="宋体"/>
                <w:color w:val="auto"/>
                <w:sz w:val="24"/>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top"/>
          </w:tcPr>
          <w:p w14:paraId="28D2F916">
            <w:pPr>
              <w:snapToGrid w:val="0"/>
              <w:spacing w:before="50" w:after="120" w:afterLines="50" w:line="400" w:lineRule="exact"/>
              <w:jc w:val="left"/>
              <w:rPr>
                <w:rFonts w:hint="eastAsia" w:ascii="宋体" w:hAnsi="宋体"/>
                <w:color w:val="auto"/>
                <w:sz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0CDCCB90">
            <w:pPr>
              <w:snapToGrid w:val="0"/>
              <w:spacing w:before="50" w:after="120" w:afterLines="50" w:line="400" w:lineRule="exact"/>
              <w:jc w:val="left"/>
              <w:rPr>
                <w:rFonts w:hint="eastAsia" w:ascii="宋体" w:hAnsi="宋体"/>
                <w:color w:val="auto"/>
                <w:sz w:val="24"/>
                <w:highlight w:val="none"/>
              </w:rPr>
            </w:pPr>
          </w:p>
        </w:tc>
      </w:tr>
      <w:tr w14:paraId="11C706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110" w:type="dxa"/>
            <w:tcBorders>
              <w:top w:val="single" w:color="auto" w:sz="4" w:space="0"/>
              <w:left w:val="single" w:color="auto" w:sz="4" w:space="0"/>
              <w:bottom w:val="single" w:color="auto" w:sz="4" w:space="0"/>
              <w:right w:val="single" w:color="auto" w:sz="4" w:space="0"/>
            </w:tcBorders>
            <w:noWrap w:val="0"/>
            <w:vAlign w:val="top"/>
          </w:tcPr>
          <w:p w14:paraId="0A4454A3">
            <w:pPr>
              <w:snapToGrid w:val="0"/>
              <w:spacing w:before="50" w:after="120" w:afterLines="50" w:line="400" w:lineRule="exact"/>
              <w:jc w:val="left"/>
              <w:rPr>
                <w:rFonts w:hint="eastAsia" w:ascii="宋体" w:hAnsi="宋体"/>
                <w:color w:val="auto"/>
                <w:sz w:val="24"/>
                <w:highlight w:val="none"/>
              </w:rPr>
            </w:pPr>
          </w:p>
        </w:tc>
        <w:tc>
          <w:tcPr>
            <w:tcW w:w="1656" w:type="dxa"/>
            <w:tcBorders>
              <w:top w:val="single" w:color="auto" w:sz="4" w:space="0"/>
              <w:left w:val="single" w:color="auto" w:sz="4" w:space="0"/>
              <w:bottom w:val="single" w:color="auto" w:sz="4" w:space="0"/>
              <w:right w:val="single" w:color="auto" w:sz="4" w:space="0"/>
            </w:tcBorders>
            <w:noWrap w:val="0"/>
            <w:vAlign w:val="top"/>
          </w:tcPr>
          <w:p w14:paraId="3FC942AD">
            <w:pPr>
              <w:snapToGrid w:val="0"/>
              <w:spacing w:before="50" w:after="120" w:afterLines="50" w:line="400" w:lineRule="exact"/>
              <w:jc w:val="left"/>
              <w:rPr>
                <w:rFonts w:hint="eastAsia" w:ascii="宋体" w:hAnsi="宋体"/>
                <w:color w:val="auto"/>
                <w:sz w:val="24"/>
                <w:highlight w:val="none"/>
              </w:rPr>
            </w:pPr>
          </w:p>
        </w:tc>
        <w:tc>
          <w:tcPr>
            <w:tcW w:w="2422" w:type="dxa"/>
            <w:tcBorders>
              <w:top w:val="single" w:color="auto" w:sz="4" w:space="0"/>
              <w:left w:val="single" w:color="auto" w:sz="4" w:space="0"/>
              <w:bottom w:val="single" w:color="auto" w:sz="4" w:space="0"/>
              <w:right w:val="single" w:color="auto" w:sz="4" w:space="0"/>
            </w:tcBorders>
            <w:noWrap w:val="0"/>
            <w:vAlign w:val="top"/>
          </w:tcPr>
          <w:p w14:paraId="03BA8CE6">
            <w:pPr>
              <w:snapToGrid w:val="0"/>
              <w:spacing w:before="50" w:after="120" w:afterLines="50" w:line="400" w:lineRule="exact"/>
              <w:jc w:val="left"/>
              <w:rPr>
                <w:rFonts w:hint="eastAsia" w:ascii="宋体" w:hAnsi="宋体"/>
                <w:color w:val="auto"/>
                <w:sz w:val="24"/>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top"/>
          </w:tcPr>
          <w:p w14:paraId="429EE222">
            <w:pPr>
              <w:snapToGrid w:val="0"/>
              <w:spacing w:before="50" w:after="120" w:afterLines="50" w:line="400" w:lineRule="exact"/>
              <w:jc w:val="left"/>
              <w:rPr>
                <w:rFonts w:hint="eastAsia" w:ascii="宋体" w:hAnsi="宋体"/>
                <w:color w:val="auto"/>
                <w:sz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4C21CF23">
            <w:pPr>
              <w:snapToGrid w:val="0"/>
              <w:spacing w:before="50" w:after="120" w:afterLines="50" w:line="400" w:lineRule="exact"/>
              <w:jc w:val="left"/>
              <w:rPr>
                <w:rFonts w:hint="eastAsia" w:ascii="宋体" w:hAnsi="宋体"/>
                <w:color w:val="auto"/>
                <w:sz w:val="24"/>
                <w:highlight w:val="none"/>
              </w:rPr>
            </w:pPr>
          </w:p>
        </w:tc>
      </w:tr>
    </w:tbl>
    <w:p w14:paraId="15E25C83">
      <w:pPr>
        <w:widowControl/>
        <w:jc w:val="left"/>
        <w:rPr>
          <w:color w:val="auto"/>
          <w:highlight w:val="none"/>
        </w:rPr>
      </w:pPr>
      <w:r>
        <w:rPr>
          <w:rFonts w:hAnsi="宋体"/>
          <w:color w:val="auto"/>
          <w:szCs w:val="21"/>
          <w:highlight w:val="none"/>
        </w:rPr>
        <w:t xml:space="preserve"> </w:t>
      </w:r>
    </w:p>
    <w:p w14:paraId="4875C2F8">
      <w:pPr>
        <w:snapToGrid w:val="0"/>
        <w:spacing w:line="360" w:lineRule="auto"/>
        <w:rPr>
          <w:rFonts w:hAnsi="宋体"/>
          <w:color w:val="auto"/>
          <w:szCs w:val="21"/>
          <w:highlight w:val="none"/>
        </w:rPr>
      </w:pPr>
    </w:p>
    <w:p w14:paraId="116DA747">
      <w:pPr>
        <w:widowControl/>
        <w:jc w:val="left"/>
        <w:rPr>
          <w:color w:val="auto"/>
          <w:highlight w:val="none"/>
        </w:rPr>
      </w:pPr>
      <w:r>
        <w:rPr>
          <w:rFonts w:hint="eastAsia" w:ascii="宋体" w:hAnsi="宋体" w:cs="宋体"/>
          <w:color w:val="auto"/>
          <w:kern w:val="0"/>
          <w:sz w:val="24"/>
          <w:highlight w:val="none"/>
          <w:lang w:bidi="ar"/>
        </w:rPr>
        <w:t>附：业绩证明材料</w:t>
      </w:r>
    </w:p>
    <w:p w14:paraId="3AB87E35">
      <w:pPr>
        <w:snapToGrid w:val="0"/>
        <w:spacing w:line="360" w:lineRule="auto"/>
        <w:ind w:firstLine="4935" w:firstLineChars="2350"/>
        <w:rPr>
          <w:rFonts w:hAnsi="宋体"/>
          <w:color w:val="auto"/>
          <w:szCs w:val="21"/>
          <w:highlight w:val="none"/>
        </w:rPr>
      </w:pPr>
    </w:p>
    <w:p w14:paraId="5731F172">
      <w:pPr>
        <w:snapToGrid w:val="0"/>
        <w:spacing w:line="360" w:lineRule="auto"/>
        <w:ind w:left="4410" w:leftChars="2100" w:firstLine="5670" w:firstLineChars="2700"/>
        <w:rPr>
          <w:rFonts w:ascii="仿宋_GB2312" w:hAnsi="仿宋" w:eastAsia="仿宋_GB2312" w:cs="仿宋_GB2312"/>
          <w:color w:val="auto"/>
          <w:kern w:val="0"/>
          <w:sz w:val="24"/>
          <w:highlight w:val="none"/>
        </w:rPr>
      </w:pPr>
      <w:r>
        <w:rPr>
          <w:rFonts w:hAnsi="宋体"/>
          <w:color w:val="auto"/>
          <w:szCs w:val="21"/>
          <w:highlight w:val="none"/>
        </w:rPr>
        <w:t xml:space="preserve"> </w:t>
      </w:r>
      <w:r>
        <w:rPr>
          <w:rFonts w:hint="eastAsia" w:ascii="仿宋_GB2312" w:hAnsi="仿宋" w:eastAsia="仿宋_GB2312" w:cs="仿宋_GB2312"/>
          <w:color w:val="auto"/>
          <w:kern w:val="0"/>
          <w:sz w:val="24"/>
          <w:highlight w:val="none"/>
          <w:lang w:val="zh-CN"/>
        </w:rPr>
        <w:t>供应商名称(电子签章)：</w:t>
      </w:r>
    </w:p>
    <w:p w14:paraId="67B64CF4">
      <w:pPr>
        <w:spacing w:line="500" w:lineRule="exact"/>
        <w:jc w:val="center"/>
        <w:rPr>
          <w:rFonts w:hint="eastAsia" w:ascii="仿宋_GB2312" w:hAnsi="仿宋_GB2312" w:eastAsia="仿宋_GB2312" w:cs="仿宋_GB2312"/>
          <w:color w:val="auto"/>
          <w:sz w:val="32"/>
          <w:szCs w:val="32"/>
          <w:highlight w:val="none"/>
        </w:rPr>
      </w:pPr>
      <w:r>
        <w:rPr>
          <w:rFonts w:hint="eastAsia" w:ascii="仿宋_GB2312" w:hAnsi="仿宋" w:eastAsia="仿宋_GB2312" w:cs="仿宋_GB2312"/>
          <w:color w:val="auto"/>
          <w:kern w:val="0"/>
          <w:sz w:val="24"/>
          <w:highlight w:val="none"/>
          <w:lang w:val="zh-CN"/>
        </w:rPr>
        <w:t xml:space="preserve">                                                     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7B1847F7">
      <w:pPr>
        <w:widowControl/>
        <w:jc w:val="left"/>
        <w:rPr>
          <w:rFonts w:ascii="仿宋_GB2312" w:hAnsi="仿宋_GB2312" w:eastAsia="仿宋_GB2312" w:cs="仿宋_GB2312"/>
          <w:color w:val="auto"/>
          <w:sz w:val="32"/>
          <w:szCs w:val="32"/>
          <w:highlight w:val="none"/>
        </w:rPr>
        <w:sectPr>
          <w:pgSz w:w="11905" w:h="16838"/>
          <w:pgMar w:top="958" w:right="1440" w:bottom="958" w:left="1587" w:header="850" w:footer="992" w:gutter="0"/>
          <w:pgNumType w:fmt="decimal"/>
          <w:cols w:space="720" w:num="1"/>
          <w:rtlGutter w:val="0"/>
          <w:docGrid w:type="lines" w:linePitch="317" w:charSpace="0"/>
        </w:sectPr>
      </w:pPr>
    </w:p>
    <w:p w14:paraId="64A588D1">
      <w:pPr>
        <w:snapToGrid w:val="0"/>
        <w:spacing w:line="360" w:lineRule="auto"/>
        <w:ind w:firstLine="602" w:firstLineChars="200"/>
        <w:rPr>
          <w:rFonts w:hint="eastAsia" w:ascii="仿宋_GB2312" w:hAnsi="仿宋_GB2312" w:eastAsia="仿宋_GB2312" w:cs="仿宋_GB2312"/>
          <w:color w:val="auto"/>
          <w:sz w:val="32"/>
          <w:szCs w:val="32"/>
          <w:highlight w:val="none"/>
        </w:rPr>
      </w:pPr>
      <w:r>
        <w:rPr>
          <w:rFonts w:hint="eastAsia" w:ascii="仿宋" w:hAnsi="仿宋" w:eastAsia="仿宋" w:cs="仿宋_GB2312"/>
          <w:b/>
          <w:color w:val="auto"/>
          <w:sz w:val="30"/>
          <w:szCs w:val="30"/>
          <w:highlight w:val="none"/>
        </w:rPr>
        <w:t>七、技术需求偏离表</w:t>
      </w:r>
    </w:p>
    <w:p w14:paraId="6B799372">
      <w:pPr>
        <w:snapToGrid w:val="0"/>
        <w:spacing w:line="360" w:lineRule="auto"/>
        <w:ind w:firstLine="602" w:firstLineChars="200"/>
        <w:jc w:val="center"/>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技术需求偏离表</w:t>
      </w:r>
    </w:p>
    <w:p w14:paraId="4D733520">
      <w:pPr>
        <w:spacing w:line="360" w:lineRule="auto"/>
        <w:jc w:val="left"/>
        <w:rPr>
          <w:rFonts w:hint="eastAsia" w:ascii="宋体" w:hAnsi="宋体"/>
          <w:color w:val="auto"/>
          <w:sz w:val="24"/>
          <w:highlight w:val="none"/>
        </w:rPr>
      </w:pPr>
    </w:p>
    <w:p w14:paraId="02EDBFD1">
      <w:pPr>
        <w:pStyle w:val="14"/>
        <w:spacing w:line="360" w:lineRule="auto"/>
        <w:rPr>
          <w:rFonts w:hint="eastAsia" w:hAnsi="宋体" w:cs="仿宋_GB2312"/>
          <w:color w:val="auto"/>
          <w:sz w:val="24"/>
          <w:szCs w:val="24"/>
          <w:highlight w:val="none"/>
        </w:rPr>
      </w:pPr>
      <w:r>
        <w:rPr>
          <w:rFonts w:hint="eastAsia" w:hAnsi="宋体" w:cs="仿宋_GB2312"/>
          <w:color w:val="auto"/>
          <w:sz w:val="24"/>
          <w:szCs w:val="24"/>
          <w:highlight w:val="none"/>
        </w:rPr>
        <w:t>所竞分标：</w:t>
      </w:r>
      <w:r>
        <w:rPr>
          <w:rFonts w:hint="eastAsia" w:hAnsi="宋体" w:cs="仿宋_GB2312"/>
          <w:color w:val="auto"/>
          <w:sz w:val="24"/>
          <w:szCs w:val="24"/>
          <w:highlight w:val="none"/>
          <w:u w:val="singl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0A0F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2" w:type="dxa"/>
            <w:vMerge w:val="restart"/>
            <w:tcBorders>
              <w:top w:val="single" w:color="auto" w:sz="4" w:space="0"/>
              <w:left w:val="single" w:color="auto" w:sz="4" w:space="0"/>
              <w:bottom w:val="single" w:color="auto" w:sz="4" w:space="0"/>
              <w:right w:val="single" w:color="auto" w:sz="4" w:space="0"/>
            </w:tcBorders>
            <w:noWrap w:val="0"/>
            <w:vAlign w:val="center"/>
          </w:tcPr>
          <w:p w14:paraId="76F14216">
            <w:pPr>
              <w:rPr>
                <w:rFonts w:hint="eastAsia" w:ascii="宋体" w:hAnsi="宋体"/>
                <w:color w:val="auto"/>
                <w:szCs w:val="21"/>
                <w:highlight w:val="none"/>
              </w:rPr>
            </w:pPr>
            <w:r>
              <w:rPr>
                <w:rFonts w:hint="eastAsia" w:ascii="宋体" w:hAnsi="宋体"/>
                <w:color w:val="auto"/>
                <w:szCs w:val="21"/>
                <w:highlight w:val="none"/>
              </w:rPr>
              <w:t>项号</w:t>
            </w:r>
          </w:p>
        </w:tc>
        <w:tc>
          <w:tcPr>
            <w:tcW w:w="3456" w:type="dxa"/>
            <w:gridSpan w:val="3"/>
            <w:tcBorders>
              <w:top w:val="single" w:color="auto" w:sz="4" w:space="0"/>
              <w:left w:val="single" w:color="auto" w:sz="4" w:space="0"/>
              <w:bottom w:val="single" w:color="auto" w:sz="4" w:space="0"/>
              <w:right w:val="single" w:color="auto" w:sz="4" w:space="0"/>
            </w:tcBorders>
            <w:noWrap w:val="0"/>
            <w:vAlign w:val="center"/>
          </w:tcPr>
          <w:p w14:paraId="6D76C086">
            <w:pPr>
              <w:jc w:val="center"/>
              <w:rPr>
                <w:rFonts w:hint="eastAsia" w:ascii="宋体" w:hAnsi="宋体"/>
                <w:color w:val="auto"/>
                <w:szCs w:val="21"/>
                <w:highlight w:val="none"/>
              </w:rPr>
            </w:pPr>
            <w:r>
              <w:rPr>
                <w:rFonts w:hint="eastAsia" w:ascii="宋体" w:hAnsi="宋体"/>
                <w:color w:val="auto"/>
                <w:szCs w:val="21"/>
                <w:highlight w:val="none"/>
              </w:rPr>
              <w:t>竞争性磋商采购文件需求</w:t>
            </w:r>
          </w:p>
        </w:tc>
        <w:tc>
          <w:tcPr>
            <w:tcW w:w="2946" w:type="dxa"/>
            <w:gridSpan w:val="3"/>
            <w:tcBorders>
              <w:top w:val="single" w:color="auto" w:sz="4" w:space="0"/>
              <w:left w:val="single" w:color="auto" w:sz="4" w:space="0"/>
              <w:bottom w:val="single" w:color="auto" w:sz="4" w:space="0"/>
              <w:right w:val="single" w:color="auto" w:sz="4" w:space="0"/>
            </w:tcBorders>
            <w:noWrap w:val="0"/>
            <w:vAlign w:val="center"/>
          </w:tcPr>
          <w:p w14:paraId="1D2CDA08">
            <w:pPr>
              <w:jc w:val="center"/>
              <w:rPr>
                <w:rFonts w:hint="eastAsia" w:ascii="宋体" w:hAnsi="宋体"/>
                <w:color w:val="auto"/>
                <w:szCs w:val="21"/>
                <w:highlight w:val="none"/>
              </w:rPr>
            </w:pPr>
            <w:r>
              <w:rPr>
                <w:rFonts w:hint="eastAsia" w:ascii="宋体" w:hAnsi="宋体"/>
                <w:color w:val="auto"/>
                <w:szCs w:val="21"/>
                <w:highlight w:val="none"/>
              </w:rPr>
              <w:t>响应文件承诺</w:t>
            </w:r>
          </w:p>
        </w:tc>
        <w:tc>
          <w:tcPr>
            <w:tcW w:w="1096" w:type="dxa"/>
            <w:vMerge w:val="restart"/>
            <w:tcBorders>
              <w:top w:val="single" w:color="auto" w:sz="4" w:space="0"/>
              <w:left w:val="single" w:color="auto" w:sz="4" w:space="0"/>
              <w:bottom w:val="single" w:color="auto" w:sz="4" w:space="0"/>
              <w:right w:val="single" w:color="auto" w:sz="4" w:space="0"/>
            </w:tcBorders>
            <w:noWrap w:val="0"/>
            <w:vAlign w:val="center"/>
          </w:tcPr>
          <w:p w14:paraId="209FB902">
            <w:pPr>
              <w:rPr>
                <w:rFonts w:hint="eastAsia" w:ascii="宋体" w:hAnsi="宋体"/>
                <w:color w:val="auto"/>
                <w:szCs w:val="21"/>
                <w:highlight w:val="none"/>
              </w:rPr>
            </w:pPr>
            <w:r>
              <w:rPr>
                <w:rFonts w:hint="eastAsia" w:ascii="宋体" w:hAnsi="宋体"/>
                <w:color w:val="auto"/>
                <w:szCs w:val="21"/>
                <w:highlight w:val="none"/>
              </w:rPr>
              <w:t>偏离说明</w:t>
            </w:r>
          </w:p>
        </w:tc>
      </w:tr>
      <w:tr w14:paraId="46A5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2" w:type="dxa"/>
            <w:vMerge w:val="continue"/>
            <w:tcBorders>
              <w:top w:val="single" w:color="auto" w:sz="4" w:space="0"/>
              <w:left w:val="single" w:color="auto" w:sz="4" w:space="0"/>
              <w:bottom w:val="single" w:color="auto" w:sz="4" w:space="0"/>
              <w:right w:val="single" w:color="auto" w:sz="4" w:space="0"/>
            </w:tcBorders>
            <w:noWrap w:val="0"/>
            <w:vAlign w:val="center"/>
          </w:tcPr>
          <w:p w14:paraId="6D1D9264">
            <w:pPr>
              <w:widowControl/>
              <w:jc w:val="left"/>
              <w:rPr>
                <w:rFonts w:ascii="宋体" w:hAnsi="宋体"/>
                <w:color w:val="auto"/>
                <w:szCs w:val="21"/>
                <w:highlight w:val="none"/>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66713194">
            <w:pPr>
              <w:rPr>
                <w:rFonts w:hint="eastAsia" w:ascii="宋体" w:hAnsi="宋体"/>
                <w:color w:val="auto"/>
                <w:szCs w:val="21"/>
                <w:highlight w:val="none"/>
              </w:rPr>
            </w:pPr>
            <w:r>
              <w:rPr>
                <w:rFonts w:hint="eastAsia" w:ascii="宋体" w:hAnsi="宋体"/>
                <w:color w:val="auto"/>
                <w:szCs w:val="21"/>
                <w:highlight w:val="none"/>
              </w:rPr>
              <w:t>服务名称</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1EFF7794">
            <w:pPr>
              <w:rPr>
                <w:rFonts w:hint="eastAsia" w:ascii="宋体" w:hAnsi="宋体"/>
                <w:color w:val="auto"/>
                <w:szCs w:val="21"/>
                <w:highlight w:val="none"/>
              </w:rPr>
            </w:pPr>
            <w:r>
              <w:rPr>
                <w:rFonts w:hint="eastAsia" w:ascii="宋体" w:hAnsi="宋体"/>
                <w:color w:val="auto"/>
                <w:szCs w:val="21"/>
                <w:highlight w:val="none"/>
              </w:rPr>
              <w:t>数量</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456D2A90">
            <w:pPr>
              <w:rPr>
                <w:rFonts w:hint="eastAsia" w:ascii="宋体" w:hAnsi="宋体"/>
                <w:color w:val="auto"/>
                <w:szCs w:val="21"/>
                <w:highlight w:val="none"/>
              </w:rPr>
            </w:pPr>
            <w:r>
              <w:rPr>
                <w:rFonts w:hint="eastAsia" w:ascii="宋体" w:hAnsi="宋体"/>
                <w:color w:val="auto"/>
                <w:szCs w:val="21"/>
                <w:highlight w:val="none"/>
              </w:rPr>
              <w:t>服务参数要求</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5113853">
            <w:pPr>
              <w:rPr>
                <w:rFonts w:hint="eastAsia" w:ascii="宋体" w:hAnsi="宋体"/>
                <w:color w:val="auto"/>
                <w:szCs w:val="21"/>
                <w:highlight w:val="none"/>
              </w:rPr>
            </w:pPr>
            <w:r>
              <w:rPr>
                <w:rFonts w:hint="eastAsia" w:ascii="宋体" w:hAnsi="宋体"/>
                <w:color w:val="auto"/>
                <w:szCs w:val="21"/>
                <w:highlight w:val="none"/>
              </w:rPr>
              <w:t>服务名称</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1FBC3E89">
            <w:pPr>
              <w:rPr>
                <w:rFonts w:hint="eastAsia" w:ascii="宋体" w:hAnsi="宋体"/>
                <w:color w:val="auto"/>
                <w:szCs w:val="21"/>
                <w:highlight w:val="none"/>
              </w:rPr>
            </w:pPr>
            <w:r>
              <w:rPr>
                <w:rFonts w:hint="eastAsia" w:ascii="宋体" w:hAnsi="宋体"/>
                <w:color w:val="auto"/>
                <w:szCs w:val="21"/>
                <w:highlight w:val="none"/>
              </w:rPr>
              <w:t>数量</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232A869F">
            <w:pPr>
              <w:rPr>
                <w:rFonts w:hint="eastAsia" w:ascii="宋体" w:hAnsi="宋体"/>
                <w:color w:val="auto"/>
                <w:szCs w:val="21"/>
                <w:highlight w:val="none"/>
              </w:rPr>
            </w:pPr>
            <w:r>
              <w:rPr>
                <w:rFonts w:hint="eastAsia" w:ascii="宋体" w:hAnsi="宋体"/>
                <w:color w:val="auto"/>
                <w:szCs w:val="21"/>
                <w:highlight w:val="none"/>
              </w:rPr>
              <w:t>服务参数</w:t>
            </w:r>
          </w:p>
        </w:tc>
        <w:tc>
          <w:tcPr>
            <w:tcW w:w="1096" w:type="dxa"/>
            <w:vMerge w:val="continue"/>
            <w:tcBorders>
              <w:top w:val="single" w:color="auto" w:sz="4" w:space="0"/>
              <w:left w:val="single" w:color="auto" w:sz="4" w:space="0"/>
              <w:bottom w:val="single" w:color="auto" w:sz="4" w:space="0"/>
              <w:right w:val="single" w:color="auto" w:sz="4" w:space="0"/>
            </w:tcBorders>
            <w:noWrap w:val="0"/>
            <w:vAlign w:val="center"/>
          </w:tcPr>
          <w:p w14:paraId="66BD74EB">
            <w:pPr>
              <w:widowControl/>
              <w:jc w:val="left"/>
              <w:rPr>
                <w:rFonts w:ascii="宋体" w:hAnsi="宋体"/>
                <w:color w:val="auto"/>
                <w:szCs w:val="21"/>
                <w:highlight w:val="none"/>
              </w:rPr>
            </w:pPr>
          </w:p>
        </w:tc>
      </w:tr>
      <w:tr w14:paraId="280A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2" w:type="dxa"/>
            <w:tcBorders>
              <w:top w:val="single" w:color="auto" w:sz="4" w:space="0"/>
              <w:left w:val="single" w:color="auto" w:sz="4" w:space="0"/>
              <w:bottom w:val="single" w:color="auto" w:sz="4" w:space="0"/>
              <w:right w:val="single" w:color="auto" w:sz="4" w:space="0"/>
            </w:tcBorders>
            <w:noWrap w:val="0"/>
            <w:vAlign w:val="center"/>
          </w:tcPr>
          <w:p w14:paraId="0C02AD59">
            <w:pPr>
              <w:rPr>
                <w:rFonts w:hint="eastAsia" w:ascii="宋体" w:hAnsi="宋体"/>
                <w:color w:val="auto"/>
                <w:szCs w:val="21"/>
                <w:highlight w:val="none"/>
              </w:rPr>
            </w:pPr>
            <w:r>
              <w:rPr>
                <w:rFonts w:hint="eastAsia" w:ascii="宋体" w:hAnsi="宋体"/>
                <w:color w:val="auto"/>
                <w:szCs w:val="21"/>
                <w:highlight w:val="none"/>
              </w:rPr>
              <w:t>1</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141082E7">
            <w:pPr>
              <w:rPr>
                <w:rFonts w:hint="eastAsia" w:ascii="宋体" w:hAnsi="宋体"/>
                <w:color w:val="auto"/>
                <w:szCs w:val="21"/>
                <w:highlight w:val="none"/>
              </w:rPr>
            </w:pPr>
            <w:r>
              <w:rPr>
                <w:rFonts w:hint="eastAsia" w:ascii="宋体" w:hAnsi="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62F781DC">
            <w:pPr>
              <w:rPr>
                <w:rFonts w:hint="eastAsia" w:ascii="宋体" w:hAnsi="宋体"/>
                <w:color w:val="auto"/>
                <w:szCs w:val="21"/>
                <w:highlight w:val="none"/>
              </w:rPr>
            </w:pPr>
            <w:r>
              <w:rPr>
                <w:rFonts w:hint="eastAsia" w:ascii="宋体" w:hAnsi="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00F93659">
            <w:pPr>
              <w:rPr>
                <w:rFonts w:hint="eastAsia" w:ascii="宋体" w:hAnsi="宋体"/>
                <w:color w:val="auto"/>
                <w:szCs w:val="21"/>
                <w:highlight w:val="none"/>
              </w:rPr>
            </w:pPr>
            <w:r>
              <w:rPr>
                <w:rFonts w:hint="eastAsia" w:ascii="宋体" w:hAnsi="宋体"/>
                <w:color w:val="auto"/>
                <w:szCs w:val="21"/>
                <w:highlight w:val="none"/>
              </w:rPr>
              <w:t>1  ……</w:t>
            </w:r>
          </w:p>
          <w:p w14:paraId="4207801B">
            <w:pPr>
              <w:rPr>
                <w:rFonts w:hint="eastAsia" w:ascii="宋体" w:hAnsi="宋体"/>
                <w:color w:val="auto"/>
                <w:szCs w:val="21"/>
                <w:highlight w:val="none"/>
              </w:rPr>
            </w:pPr>
            <w:r>
              <w:rPr>
                <w:rFonts w:hint="eastAsia" w:ascii="宋体" w:hAnsi="宋体"/>
                <w:color w:val="auto"/>
                <w:szCs w:val="21"/>
                <w:highlight w:val="none"/>
              </w:rPr>
              <w:t>2  ……</w:t>
            </w:r>
          </w:p>
          <w:p w14:paraId="1CEE9D5D">
            <w:pPr>
              <w:rPr>
                <w:rFonts w:hint="eastAsia" w:ascii="宋体" w:hAnsi="宋体"/>
                <w:color w:val="auto"/>
                <w:szCs w:val="21"/>
                <w:highlight w:val="none"/>
              </w:rPr>
            </w:pPr>
            <w:r>
              <w:rPr>
                <w:rFonts w:hint="eastAsia" w:ascii="宋体" w:hAnsi="宋体"/>
                <w:color w:val="auto"/>
                <w:szCs w:val="21"/>
                <w:highlight w:val="none"/>
              </w:rPr>
              <w:t>3  ……</w:t>
            </w:r>
          </w:p>
          <w:p w14:paraId="75A07BB7">
            <w:pPr>
              <w:rPr>
                <w:rFonts w:hint="eastAsia" w:ascii="宋体" w:hAnsi="宋体"/>
                <w:color w:val="auto"/>
                <w:szCs w:val="21"/>
                <w:highlight w:val="none"/>
              </w:rPr>
            </w:pPr>
            <w:r>
              <w:rPr>
                <w:rFonts w:hint="eastAsia" w:ascii="宋体" w:hAnsi="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3BDB4704">
            <w:pPr>
              <w:rPr>
                <w:rFonts w:hint="eastAsia" w:ascii="宋体" w:hAnsi="宋体"/>
                <w:color w:val="auto"/>
                <w:szCs w:val="21"/>
                <w:highlight w:val="none"/>
              </w:rPr>
            </w:pPr>
            <w:r>
              <w:rPr>
                <w:rFonts w:hint="eastAsia" w:ascii="宋体" w:hAnsi="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04B3A3AD">
            <w:pPr>
              <w:rPr>
                <w:rFonts w:hint="eastAsia" w:ascii="宋体" w:hAnsi="宋体"/>
                <w:color w:val="auto"/>
                <w:szCs w:val="21"/>
                <w:highlight w:val="none"/>
              </w:rPr>
            </w:pPr>
            <w:r>
              <w:rPr>
                <w:rFonts w:hint="eastAsia" w:ascii="宋体" w:hAnsi="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188C5DF2">
            <w:pPr>
              <w:rPr>
                <w:rFonts w:hint="eastAsia" w:ascii="宋体" w:hAnsi="宋体"/>
                <w:color w:val="auto"/>
                <w:szCs w:val="21"/>
                <w:highlight w:val="none"/>
              </w:rPr>
            </w:pPr>
            <w:r>
              <w:rPr>
                <w:rFonts w:hint="eastAsia" w:ascii="宋体" w:hAnsi="宋体"/>
                <w:color w:val="auto"/>
                <w:szCs w:val="21"/>
                <w:highlight w:val="none"/>
              </w:rPr>
              <w:t>1  ……</w:t>
            </w:r>
          </w:p>
          <w:p w14:paraId="427DE506">
            <w:pPr>
              <w:rPr>
                <w:rFonts w:hint="eastAsia" w:ascii="宋体" w:hAnsi="宋体"/>
                <w:color w:val="auto"/>
                <w:szCs w:val="21"/>
                <w:highlight w:val="none"/>
              </w:rPr>
            </w:pPr>
            <w:r>
              <w:rPr>
                <w:rFonts w:hint="eastAsia" w:ascii="宋体" w:hAnsi="宋体"/>
                <w:color w:val="auto"/>
                <w:szCs w:val="21"/>
                <w:highlight w:val="none"/>
              </w:rPr>
              <w:t>2  ……</w:t>
            </w:r>
          </w:p>
          <w:p w14:paraId="2457AFA8">
            <w:pPr>
              <w:rPr>
                <w:rFonts w:hint="eastAsia" w:ascii="宋体" w:hAnsi="宋体"/>
                <w:color w:val="auto"/>
                <w:szCs w:val="21"/>
                <w:highlight w:val="none"/>
              </w:rPr>
            </w:pPr>
            <w:r>
              <w:rPr>
                <w:rFonts w:hint="eastAsia" w:ascii="宋体" w:hAnsi="宋体"/>
                <w:color w:val="auto"/>
                <w:szCs w:val="21"/>
                <w:highlight w:val="none"/>
              </w:rPr>
              <w:t>3  ……</w:t>
            </w:r>
          </w:p>
          <w:p w14:paraId="7DBB163E">
            <w:pPr>
              <w:rPr>
                <w:rFonts w:hint="eastAsia" w:ascii="宋体" w:hAnsi="宋体"/>
                <w:color w:val="auto"/>
                <w:szCs w:val="21"/>
                <w:highlight w:val="none"/>
              </w:rPr>
            </w:pPr>
            <w:r>
              <w:rPr>
                <w:rFonts w:hint="eastAsia" w:ascii="宋体" w:hAnsi="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460EB77A">
            <w:pPr>
              <w:rPr>
                <w:rFonts w:hint="eastAsia" w:ascii="宋体" w:hAnsi="宋体"/>
                <w:color w:val="auto"/>
                <w:szCs w:val="21"/>
                <w:highlight w:val="none"/>
              </w:rPr>
            </w:pPr>
          </w:p>
        </w:tc>
      </w:tr>
      <w:tr w14:paraId="2E7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2" w:type="dxa"/>
            <w:tcBorders>
              <w:top w:val="single" w:color="auto" w:sz="4" w:space="0"/>
              <w:left w:val="single" w:color="auto" w:sz="4" w:space="0"/>
              <w:bottom w:val="single" w:color="auto" w:sz="4" w:space="0"/>
              <w:right w:val="single" w:color="auto" w:sz="4" w:space="0"/>
            </w:tcBorders>
            <w:noWrap w:val="0"/>
            <w:vAlign w:val="center"/>
          </w:tcPr>
          <w:p w14:paraId="17A51202">
            <w:pPr>
              <w:rPr>
                <w:rFonts w:hint="eastAsia" w:ascii="宋体" w:hAnsi="宋体"/>
                <w:color w:val="auto"/>
                <w:szCs w:val="21"/>
                <w:highlight w:val="none"/>
              </w:rPr>
            </w:pPr>
            <w:r>
              <w:rPr>
                <w:rFonts w:hint="eastAsia" w:ascii="宋体" w:hAnsi="宋体"/>
                <w:color w:val="auto"/>
                <w:szCs w:val="21"/>
                <w:highlight w:val="none"/>
              </w:rPr>
              <w:t>2</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0B17E0FD">
            <w:pPr>
              <w:rPr>
                <w:rFonts w:hint="eastAsia" w:ascii="宋体" w:hAnsi="宋体"/>
                <w:color w:val="auto"/>
                <w:szCs w:val="21"/>
                <w:highlight w:val="none"/>
              </w:rPr>
            </w:pPr>
            <w:r>
              <w:rPr>
                <w:rFonts w:hint="eastAsia" w:ascii="宋体" w:hAnsi="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0413BFCA">
            <w:pPr>
              <w:rPr>
                <w:rFonts w:hint="eastAsia" w:ascii="宋体" w:hAnsi="宋体"/>
                <w:color w:val="auto"/>
                <w:szCs w:val="21"/>
                <w:highlight w:val="none"/>
              </w:rPr>
            </w:pPr>
            <w:r>
              <w:rPr>
                <w:rFonts w:hint="eastAsia" w:ascii="宋体" w:hAnsi="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3E8288A3">
            <w:pPr>
              <w:rPr>
                <w:rFonts w:hint="eastAsia" w:ascii="宋体" w:hAnsi="宋体"/>
                <w:color w:val="auto"/>
                <w:szCs w:val="21"/>
                <w:highlight w:val="none"/>
              </w:rPr>
            </w:pPr>
            <w:r>
              <w:rPr>
                <w:rFonts w:hint="eastAsia" w:ascii="宋体" w:hAnsi="宋体"/>
                <w:color w:val="auto"/>
                <w:szCs w:val="21"/>
                <w:highlight w:val="none"/>
              </w:rPr>
              <w:t>1  ……</w:t>
            </w:r>
          </w:p>
          <w:p w14:paraId="15A4547E">
            <w:pPr>
              <w:rPr>
                <w:rFonts w:hint="eastAsia" w:ascii="宋体" w:hAnsi="宋体"/>
                <w:color w:val="auto"/>
                <w:szCs w:val="21"/>
                <w:highlight w:val="none"/>
              </w:rPr>
            </w:pPr>
            <w:r>
              <w:rPr>
                <w:rFonts w:hint="eastAsia" w:ascii="宋体" w:hAnsi="宋体"/>
                <w:color w:val="auto"/>
                <w:szCs w:val="21"/>
                <w:highlight w:val="none"/>
              </w:rPr>
              <w:t>2  ……</w:t>
            </w:r>
          </w:p>
          <w:p w14:paraId="681A3818">
            <w:pPr>
              <w:rPr>
                <w:rFonts w:hint="eastAsia" w:ascii="宋体" w:hAnsi="宋体"/>
                <w:color w:val="auto"/>
                <w:szCs w:val="21"/>
                <w:highlight w:val="none"/>
              </w:rPr>
            </w:pPr>
            <w:r>
              <w:rPr>
                <w:rFonts w:hint="eastAsia" w:ascii="宋体" w:hAnsi="宋体"/>
                <w:color w:val="auto"/>
                <w:szCs w:val="21"/>
                <w:highlight w:val="none"/>
              </w:rPr>
              <w:t>3  ……</w:t>
            </w:r>
          </w:p>
          <w:p w14:paraId="07695474">
            <w:pPr>
              <w:rPr>
                <w:rFonts w:hint="eastAsia" w:ascii="宋体" w:hAnsi="宋体"/>
                <w:color w:val="auto"/>
                <w:szCs w:val="21"/>
                <w:highlight w:val="none"/>
              </w:rPr>
            </w:pPr>
            <w:r>
              <w:rPr>
                <w:rFonts w:hint="eastAsia" w:ascii="宋体" w:hAnsi="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B379DC8">
            <w:pPr>
              <w:rPr>
                <w:rFonts w:hint="eastAsia" w:ascii="宋体" w:hAnsi="宋体"/>
                <w:color w:val="auto"/>
                <w:szCs w:val="21"/>
                <w:highlight w:val="none"/>
              </w:rPr>
            </w:pPr>
            <w:r>
              <w:rPr>
                <w:rFonts w:hint="eastAsia" w:ascii="宋体" w:hAnsi="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4ACA92CC">
            <w:pPr>
              <w:rPr>
                <w:rFonts w:hint="eastAsia" w:ascii="宋体" w:hAnsi="宋体"/>
                <w:color w:val="auto"/>
                <w:szCs w:val="21"/>
                <w:highlight w:val="none"/>
              </w:rPr>
            </w:pPr>
            <w:r>
              <w:rPr>
                <w:rFonts w:hint="eastAsia" w:ascii="宋体" w:hAnsi="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14:paraId="3863CFEF">
            <w:pPr>
              <w:rPr>
                <w:rFonts w:hint="eastAsia" w:ascii="宋体" w:hAnsi="宋体"/>
                <w:color w:val="auto"/>
                <w:szCs w:val="21"/>
                <w:highlight w:val="none"/>
              </w:rPr>
            </w:pPr>
            <w:r>
              <w:rPr>
                <w:rFonts w:hint="eastAsia" w:ascii="宋体" w:hAnsi="宋体"/>
                <w:color w:val="auto"/>
                <w:szCs w:val="21"/>
                <w:highlight w:val="none"/>
              </w:rPr>
              <w:t>1  ……</w:t>
            </w:r>
          </w:p>
          <w:p w14:paraId="392888C3">
            <w:pPr>
              <w:rPr>
                <w:rFonts w:hint="eastAsia" w:ascii="宋体" w:hAnsi="宋体"/>
                <w:color w:val="auto"/>
                <w:szCs w:val="21"/>
                <w:highlight w:val="none"/>
              </w:rPr>
            </w:pPr>
            <w:r>
              <w:rPr>
                <w:rFonts w:hint="eastAsia" w:ascii="宋体" w:hAnsi="宋体"/>
                <w:color w:val="auto"/>
                <w:szCs w:val="21"/>
                <w:highlight w:val="none"/>
              </w:rPr>
              <w:t>2  ……</w:t>
            </w:r>
          </w:p>
          <w:p w14:paraId="20925A09">
            <w:pPr>
              <w:rPr>
                <w:rFonts w:hint="eastAsia" w:ascii="宋体" w:hAnsi="宋体"/>
                <w:color w:val="auto"/>
                <w:szCs w:val="21"/>
                <w:highlight w:val="none"/>
              </w:rPr>
            </w:pPr>
            <w:r>
              <w:rPr>
                <w:rFonts w:hint="eastAsia" w:ascii="宋体" w:hAnsi="宋体"/>
                <w:color w:val="auto"/>
                <w:szCs w:val="21"/>
                <w:highlight w:val="none"/>
              </w:rPr>
              <w:t>3  ……</w:t>
            </w:r>
          </w:p>
          <w:p w14:paraId="48480A4D">
            <w:pPr>
              <w:rPr>
                <w:rFonts w:hint="eastAsia" w:ascii="宋体" w:hAnsi="宋体"/>
                <w:color w:val="auto"/>
                <w:szCs w:val="21"/>
                <w:highlight w:val="none"/>
              </w:rPr>
            </w:pPr>
            <w:r>
              <w:rPr>
                <w:rFonts w:hint="eastAsia" w:ascii="宋体" w:hAnsi="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3550FFCC">
            <w:pPr>
              <w:rPr>
                <w:rFonts w:hint="eastAsia" w:ascii="宋体" w:hAnsi="宋体"/>
                <w:color w:val="auto"/>
                <w:szCs w:val="21"/>
                <w:highlight w:val="none"/>
              </w:rPr>
            </w:pPr>
          </w:p>
        </w:tc>
      </w:tr>
      <w:tr w14:paraId="395A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2" w:type="dxa"/>
            <w:tcBorders>
              <w:top w:val="single" w:color="auto" w:sz="4" w:space="0"/>
              <w:left w:val="single" w:color="auto" w:sz="4" w:space="0"/>
              <w:bottom w:val="single" w:color="auto" w:sz="4" w:space="0"/>
              <w:right w:val="single" w:color="auto" w:sz="4" w:space="0"/>
            </w:tcBorders>
            <w:noWrap w:val="0"/>
            <w:vAlign w:val="center"/>
          </w:tcPr>
          <w:p w14:paraId="4074605D">
            <w:pPr>
              <w:rPr>
                <w:rFonts w:hint="eastAsia" w:ascii="宋体" w:hAnsi="宋体"/>
                <w:color w:val="auto"/>
                <w:szCs w:val="21"/>
                <w:highlight w:val="none"/>
              </w:rPr>
            </w:pPr>
            <w:r>
              <w:rPr>
                <w:rFonts w:hint="eastAsia" w:ascii="宋体" w:hAnsi="宋体"/>
                <w:color w:val="auto"/>
                <w:szCs w:val="21"/>
                <w:highlight w:val="none"/>
              </w:rPr>
              <w:t>...</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01583D9E">
            <w:pPr>
              <w:rPr>
                <w:rFonts w:hint="eastAsia" w:ascii="宋体" w:hAnsi="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noWrap w:val="0"/>
            <w:vAlign w:val="center"/>
          </w:tcPr>
          <w:p w14:paraId="1C97D721">
            <w:pPr>
              <w:rPr>
                <w:rFonts w:hint="eastAsia" w:ascii="宋体" w:hAnsi="宋体"/>
                <w:color w:val="auto"/>
                <w:szCs w:val="21"/>
                <w:highlight w:val="none"/>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2A893484">
            <w:pPr>
              <w:rPr>
                <w:rFonts w:hint="eastAsia" w:ascii="宋体" w:hAnsi="宋体"/>
                <w:color w:val="auto"/>
                <w:szCs w:val="21"/>
                <w:highlight w:val="none"/>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9649BFB">
            <w:pPr>
              <w:rPr>
                <w:rFonts w:hint="eastAsia" w:ascii="宋体" w:hAnsi="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noWrap w:val="0"/>
            <w:vAlign w:val="center"/>
          </w:tcPr>
          <w:p w14:paraId="70A42AE7">
            <w:pPr>
              <w:rPr>
                <w:rFonts w:hint="eastAsia" w:ascii="宋体" w:hAnsi="宋体"/>
                <w:color w:val="auto"/>
                <w:szCs w:val="21"/>
                <w:highlight w:val="none"/>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14:paraId="332C9B26">
            <w:pPr>
              <w:rPr>
                <w:rFonts w:hint="eastAsia" w:ascii="宋体" w:hAnsi="宋体"/>
                <w:color w:val="auto"/>
                <w:szCs w:val="21"/>
                <w:highlight w:val="none"/>
              </w:rPr>
            </w:pPr>
          </w:p>
        </w:tc>
        <w:tc>
          <w:tcPr>
            <w:tcW w:w="1096" w:type="dxa"/>
            <w:tcBorders>
              <w:top w:val="single" w:color="auto" w:sz="4" w:space="0"/>
              <w:left w:val="single" w:color="auto" w:sz="4" w:space="0"/>
              <w:bottom w:val="single" w:color="auto" w:sz="4" w:space="0"/>
              <w:right w:val="single" w:color="auto" w:sz="4" w:space="0"/>
            </w:tcBorders>
            <w:noWrap w:val="0"/>
            <w:vAlign w:val="center"/>
          </w:tcPr>
          <w:p w14:paraId="2AED31D8">
            <w:pPr>
              <w:rPr>
                <w:rFonts w:hint="eastAsia" w:ascii="宋体" w:hAnsi="宋体"/>
                <w:color w:val="auto"/>
                <w:szCs w:val="21"/>
                <w:highlight w:val="none"/>
              </w:rPr>
            </w:pPr>
          </w:p>
        </w:tc>
      </w:tr>
    </w:tbl>
    <w:p w14:paraId="6C9F049A">
      <w:pPr>
        <w:pStyle w:val="8"/>
        <w:spacing w:after="0" w:line="360" w:lineRule="auto"/>
        <w:contextualSpacing/>
        <w:rPr>
          <w:rFonts w:hint="eastAsia" w:ascii="宋体" w:hAnsi="宋体"/>
          <w:color w:val="auto"/>
          <w:kern w:val="0"/>
          <w:sz w:val="21"/>
          <w:szCs w:val="21"/>
          <w:highlight w:val="none"/>
        </w:rPr>
      </w:pPr>
      <w:r>
        <w:rPr>
          <w:rFonts w:hint="eastAsia" w:ascii="宋体" w:hAnsi="宋体"/>
          <w:color w:val="auto"/>
          <w:kern w:val="0"/>
          <w:sz w:val="21"/>
          <w:szCs w:val="21"/>
          <w:highlight w:val="none"/>
        </w:rPr>
        <w:t>注：</w:t>
      </w:r>
    </w:p>
    <w:p w14:paraId="0D66ECB9">
      <w:pPr>
        <w:pStyle w:val="8"/>
        <w:spacing w:after="0" w:line="360" w:lineRule="auto"/>
        <w:contextualSpacing/>
        <w:rPr>
          <w:rFonts w:hint="eastAsia" w:ascii="宋体" w:hAnsi="宋体" w:cs="仿宋_GB2312"/>
          <w:color w:val="auto"/>
          <w:kern w:val="0"/>
          <w:sz w:val="21"/>
          <w:szCs w:val="21"/>
          <w:highlight w:val="none"/>
        </w:rPr>
      </w:pPr>
      <w:r>
        <w:rPr>
          <w:rFonts w:hint="eastAsia" w:ascii="宋体" w:hAnsi="宋体" w:cs="仿宋_GB2312"/>
          <w:color w:val="auto"/>
          <w:kern w:val="0"/>
          <w:sz w:val="21"/>
          <w:szCs w:val="21"/>
          <w:highlight w:val="none"/>
        </w:rPr>
        <w:t>1.说明：应对照磋商文件“第二章”中“采购需求一览表”的采购清单及技术参数条款逐条作出明确响应，并作出偏离说明。</w:t>
      </w:r>
    </w:p>
    <w:p w14:paraId="08C814E6">
      <w:pPr>
        <w:pStyle w:val="11"/>
        <w:spacing w:line="400" w:lineRule="exact"/>
        <w:ind w:firstLine="0" w:firstLineChars="0"/>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17247B46">
      <w:pPr>
        <w:spacing w:line="400" w:lineRule="exact"/>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3.表格内容均需按要求填写并盖章，不得留空，否则按竞标无效处理。</w:t>
      </w:r>
    </w:p>
    <w:p w14:paraId="22E286B0">
      <w:pPr>
        <w:pStyle w:val="14"/>
        <w:spacing w:line="400" w:lineRule="exact"/>
        <w:rPr>
          <w:rFonts w:hint="eastAsia" w:hAnsi="宋体" w:cs="仿宋_GB2312"/>
          <w:color w:val="auto"/>
          <w:sz w:val="21"/>
          <w:highlight w:val="none"/>
        </w:rPr>
      </w:pPr>
      <w:r>
        <w:rPr>
          <w:rFonts w:hint="eastAsia" w:hAnsi="宋体" w:cs="仿宋_GB2312"/>
          <w:color w:val="auto"/>
          <w:sz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23A5A667">
      <w:pPr>
        <w:pStyle w:val="11"/>
        <w:spacing w:line="360" w:lineRule="auto"/>
        <w:ind w:firstLine="0" w:firstLineChars="0"/>
        <w:rPr>
          <w:rFonts w:hint="eastAsia" w:ascii="宋体" w:hAnsi="宋体" w:cs="仿宋_GB2312"/>
          <w:color w:val="auto"/>
          <w:sz w:val="24"/>
          <w:highlight w:val="none"/>
        </w:rPr>
      </w:pPr>
      <w:r>
        <w:rPr>
          <w:rFonts w:hint="eastAsia" w:ascii="宋体" w:hAnsi="宋体" w:eastAsia="宋体" w:cs="仿宋_GB2312"/>
          <w:color w:val="auto"/>
          <w:sz w:val="21"/>
          <w:szCs w:val="21"/>
          <w:highlight w:val="none"/>
        </w:rPr>
        <w:t>5. 如技术偏离表中的竞标响应与佐证材料不一致的，以佐证材料为准。</w:t>
      </w:r>
    </w:p>
    <w:p w14:paraId="6A110E1D">
      <w:pPr>
        <w:snapToGrid w:val="0"/>
        <w:spacing w:line="360" w:lineRule="auto"/>
        <w:ind w:firstLine="602" w:firstLineChars="200"/>
        <w:rPr>
          <w:rFonts w:hint="eastAsia" w:ascii="仿宋" w:hAnsi="仿宋" w:eastAsia="仿宋" w:cs="仿宋_GB2312"/>
          <w:b/>
          <w:color w:val="auto"/>
          <w:sz w:val="30"/>
          <w:szCs w:val="30"/>
          <w:highlight w:val="none"/>
        </w:rPr>
      </w:pPr>
    </w:p>
    <w:p w14:paraId="5A3FB21E">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8DF9AE0">
      <w:pPr>
        <w:autoSpaceDE w:val="0"/>
        <w:autoSpaceDN w:val="0"/>
        <w:spacing w:line="360" w:lineRule="auto"/>
        <w:ind w:firstLine="6480" w:firstLineChars="270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313ADF33">
      <w:pPr>
        <w:autoSpaceDE w:val="0"/>
        <w:autoSpaceDN w:val="0"/>
        <w:spacing w:line="360" w:lineRule="auto"/>
        <w:ind w:firstLine="6505" w:firstLineChars="2700"/>
        <w:rPr>
          <w:rFonts w:hint="eastAsia" w:ascii="仿宋_GB2312" w:hAnsi="仿宋" w:eastAsia="仿宋_GB2312" w:cs="仿宋_GB2312"/>
          <w:b/>
          <w:bCs/>
          <w:color w:val="auto"/>
          <w:sz w:val="24"/>
          <w:highlight w:val="none"/>
        </w:rPr>
      </w:pPr>
    </w:p>
    <w:p w14:paraId="75219B44">
      <w:pPr>
        <w:adjustRightInd w:val="0"/>
        <w:snapToGrid w:val="0"/>
        <w:spacing w:line="520" w:lineRule="exact"/>
        <w:jc w:val="center"/>
        <w:rPr>
          <w:rFonts w:hint="eastAsia" w:ascii="方正小标宋简体" w:hAnsi="方正小标宋简体" w:eastAsia="方正小标宋简体" w:cs="方正小标宋简体"/>
          <w:bCs/>
          <w:color w:val="auto"/>
          <w:sz w:val="44"/>
          <w:szCs w:val="44"/>
          <w:highlight w:val="none"/>
        </w:rPr>
      </w:pPr>
    </w:p>
    <w:p w14:paraId="0D15781B">
      <w:pPr>
        <w:widowControl/>
        <w:jc w:val="left"/>
        <w:rPr>
          <w:rFonts w:hint="eastAsia" w:ascii="宋体" w:hAnsi="宋体" w:cs="宋体"/>
          <w:b/>
          <w:bCs/>
          <w:color w:val="auto"/>
          <w:kern w:val="0"/>
          <w:sz w:val="30"/>
          <w:szCs w:val="30"/>
          <w:highlight w:val="none"/>
          <w:lang w:bidi="ar"/>
        </w:rPr>
      </w:pPr>
    </w:p>
    <w:p w14:paraId="49B02F4C">
      <w:pPr>
        <w:widowControl/>
        <w:jc w:val="left"/>
        <w:rPr>
          <w:color w:val="auto"/>
          <w:highlight w:val="none"/>
        </w:rPr>
      </w:pPr>
      <w:r>
        <w:rPr>
          <w:rFonts w:hint="eastAsia" w:ascii="宋体" w:hAnsi="宋体" w:cs="宋体"/>
          <w:b/>
          <w:bCs/>
          <w:color w:val="auto"/>
          <w:kern w:val="0"/>
          <w:sz w:val="30"/>
          <w:szCs w:val="30"/>
          <w:highlight w:val="none"/>
          <w:lang w:bidi="ar"/>
        </w:rPr>
        <w:t>八、施工组织设计</w:t>
      </w:r>
    </w:p>
    <w:p w14:paraId="4FC9908E">
      <w:pPr>
        <w:widowControl/>
        <w:spacing w:line="440" w:lineRule="exact"/>
        <w:jc w:val="left"/>
        <w:rPr>
          <w:color w:val="auto"/>
          <w:szCs w:val="21"/>
          <w:highlight w:val="none"/>
        </w:rPr>
      </w:pPr>
      <w:r>
        <w:rPr>
          <w:rFonts w:hint="eastAsia" w:ascii="宋体" w:hAnsi="宋体" w:cs="宋体"/>
          <w:color w:val="auto"/>
          <w:kern w:val="0"/>
          <w:szCs w:val="21"/>
          <w:highlight w:val="none"/>
          <w:lang w:bidi="ar"/>
        </w:rPr>
        <w:t>1.投标人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施工组织设计还应结合工程特点提出切实可行的工程质量、工程进度、安全生产、防汛度汛、文明施工、水土保持、环境保护管理方案。</w:t>
      </w:r>
    </w:p>
    <w:p w14:paraId="08EA7626">
      <w:pPr>
        <w:widowControl/>
        <w:spacing w:line="440" w:lineRule="exact"/>
        <w:jc w:val="left"/>
        <w:rPr>
          <w:color w:val="auto"/>
          <w:szCs w:val="21"/>
          <w:highlight w:val="none"/>
        </w:rPr>
      </w:pPr>
      <w:r>
        <w:rPr>
          <w:rFonts w:hint="eastAsia" w:ascii="宋体" w:hAnsi="宋体" w:cs="宋体"/>
          <w:color w:val="auto"/>
          <w:kern w:val="0"/>
          <w:szCs w:val="21"/>
          <w:highlight w:val="none"/>
          <w:lang w:bidi="ar"/>
        </w:rPr>
        <w:t>施工组织设计应附的文字说明如下(包括但不限于以下内容，否则响应文件无效)：</w:t>
      </w:r>
    </w:p>
    <w:p w14:paraId="391401B8">
      <w:pPr>
        <w:widowControl/>
        <w:spacing w:line="440" w:lineRule="exact"/>
        <w:jc w:val="left"/>
        <w:rPr>
          <w:color w:val="auto"/>
          <w:szCs w:val="21"/>
          <w:highlight w:val="none"/>
        </w:rPr>
      </w:pPr>
      <w:r>
        <w:rPr>
          <w:rFonts w:hint="eastAsia" w:ascii="宋体" w:hAnsi="宋体" w:cs="宋体"/>
          <w:color w:val="auto"/>
          <w:kern w:val="0"/>
          <w:szCs w:val="21"/>
          <w:highlight w:val="none"/>
          <w:lang w:bidi="ar"/>
        </w:rPr>
        <w:t>(1)施工方案与技术措施；</w:t>
      </w:r>
    </w:p>
    <w:p w14:paraId="0F9BF290">
      <w:pPr>
        <w:widowControl/>
        <w:spacing w:line="440" w:lineRule="exact"/>
        <w:jc w:val="left"/>
        <w:rPr>
          <w:color w:val="auto"/>
          <w:szCs w:val="21"/>
          <w:highlight w:val="none"/>
        </w:rPr>
      </w:pPr>
      <w:r>
        <w:rPr>
          <w:rFonts w:hint="eastAsia" w:ascii="宋体" w:hAnsi="宋体" w:cs="宋体"/>
          <w:color w:val="auto"/>
          <w:kern w:val="0"/>
          <w:szCs w:val="21"/>
          <w:highlight w:val="none"/>
          <w:lang w:bidi="ar"/>
        </w:rPr>
        <w:t>(2)质量管理体系与措施；</w:t>
      </w:r>
    </w:p>
    <w:p w14:paraId="2064BFBE">
      <w:pPr>
        <w:widowControl/>
        <w:spacing w:line="440" w:lineRule="exact"/>
        <w:jc w:val="left"/>
        <w:rPr>
          <w:color w:val="auto"/>
          <w:szCs w:val="21"/>
          <w:highlight w:val="none"/>
        </w:rPr>
      </w:pPr>
      <w:r>
        <w:rPr>
          <w:rFonts w:hint="eastAsia" w:ascii="宋体" w:hAnsi="宋体" w:cs="宋体"/>
          <w:color w:val="auto"/>
          <w:kern w:val="0"/>
          <w:szCs w:val="21"/>
          <w:highlight w:val="none"/>
          <w:lang w:bidi="ar"/>
        </w:rPr>
        <w:t>(3)安全管理体系与措施；</w:t>
      </w:r>
    </w:p>
    <w:p w14:paraId="46E9955F">
      <w:pPr>
        <w:widowControl/>
        <w:spacing w:line="440" w:lineRule="exact"/>
        <w:jc w:val="left"/>
        <w:rPr>
          <w:color w:val="auto"/>
          <w:szCs w:val="21"/>
          <w:highlight w:val="none"/>
        </w:rPr>
      </w:pPr>
      <w:r>
        <w:rPr>
          <w:rFonts w:hint="eastAsia" w:ascii="宋体" w:hAnsi="宋体" w:cs="宋体"/>
          <w:color w:val="auto"/>
          <w:kern w:val="0"/>
          <w:szCs w:val="21"/>
          <w:highlight w:val="none"/>
          <w:lang w:bidi="ar"/>
        </w:rPr>
        <w:t>(4)环境保护管理体系与措施；</w:t>
      </w:r>
    </w:p>
    <w:p w14:paraId="57CF2830">
      <w:pPr>
        <w:widowControl/>
        <w:spacing w:line="440" w:lineRule="exact"/>
        <w:jc w:val="left"/>
        <w:rPr>
          <w:color w:val="auto"/>
          <w:szCs w:val="21"/>
          <w:highlight w:val="none"/>
        </w:rPr>
      </w:pPr>
      <w:r>
        <w:rPr>
          <w:rFonts w:hint="eastAsia" w:ascii="宋体" w:hAnsi="宋体" w:cs="宋体"/>
          <w:color w:val="auto"/>
          <w:kern w:val="0"/>
          <w:szCs w:val="21"/>
          <w:highlight w:val="none"/>
          <w:lang w:bidi="ar"/>
        </w:rPr>
        <w:t xml:space="preserve">(5)工程进度计划与措施； </w:t>
      </w:r>
    </w:p>
    <w:p w14:paraId="43E172F6">
      <w:pPr>
        <w:widowControl/>
        <w:spacing w:line="440" w:lineRule="exact"/>
        <w:jc w:val="left"/>
        <w:rPr>
          <w:color w:val="auto"/>
          <w:szCs w:val="21"/>
          <w:highlight w:val="none"/>
        </w:rPr>
      </w:pPr>
      <w:r>
        <w:rPr>
          <w:rFonts w:hint="eastAsia" w:ascii="宋体" w:hAnsi="宋体" w:cs="宋体"/>
          <w:color w:val="auto"/>
          <w:kern w:val="0"/>
          <w:szCs w:val="21"/>
          <w:highlight w:val="none"/>
          <w:lang w:bidi="ar"/>
        </w:rPr>
        <w:t>(6)资源配置计划；</w:t>
      </w:r>
    </w:p>
    <w:p w14:paraId="68AABD56">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 </w:t>
      </w:r>
    </w:p>
    <w:p w14:paraId="1C1934B3">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2.施工组织设计除采用文字表述外应附下列图表，图表及格式要求附后。</w:t>
      </w:r>
    </w:p>
    <w:p w14:paraId="1F19B8E6">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附件一：拟投入本合同工程的主要施工设备表</w:t>
      </w:r>
    </w:p>
    <w:p w14:paraId="7DCFFAA4">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附件二：拟投入本合同工程的试验和检测仪器设备表</w:t>
      </w:r>
    </w:p>
    <w:p w14:paraId="48A66D5C">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附件三：拟投入本合同工程的劳动力计划表</w:t>
      </w:r>
    </w:p>
    <w:p w14:paraId="7CBF182B">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附件四、拟投入本合同工程的材料进场计划表 </w:t>
      </w:r>
    </w:p>
    <w:p w14:paraId="58A9F283">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附件五：计划开工日期、完工日期和施工进度网络图(或横递图)</w:t>
      </w:r>
    </w:p>
    <w:p w14:paraId="4D147325">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附件六：施工总平面图</w:t>
      </w:r>
    </w:p>
    <w:p w14:paraId="7197A411">
      <w:pPr>
        <w:widowControl/>
        <w:spacing w:line="440" w:lineRule="exact"/>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附件七：临时用地表</w:t>
      </w:r>
    </w:p>
    <w:p w14:paraId="7C8B7B08">
      <w:pPr>
        <w:widowControl/>
        <w:spacing w:line="440" w:lineRule="exact"/>
        <w:jc w:val="left"/>
        <w:rPr>
          <w:rFonts w:hint="eastAsia" w:ascii="宋体" w:hAnsi="宋体" w:cs="宋体"/>
          <w:color w:val="auto"/>
          <w:kern w:val="0"/>
          <w:szCs w:val="21"/>
          <w:highlight w:val="none"/>
          <w:lang w:bidi="ar"/>
        </w:rPr>
      </w:pPr>
    </w:p>
    <w:p w14:paraId="3D98EFAE">
      <w:pPr>
        <w:widowControl/>
        <w:jc w:val="left"/>
        <w:rPr>
          <w:rFonts w:hint="eastAsia" w:ascii="宋体" w:hAnsi="宋体" w:cs="宋体"/>
          <w:b/>
          <w:bCs/>
          <w:color w:val="auto"/>
          <w:kern w:val="0"/>
          <w:sz w:val="20"/>
          <w:szCs w:val="20"/>
          <w:highlight w:val="none"/>
          <w:lang w:bidi="ar"/>
        </w:rPr>
      </w:pPr>
    </w:p>
    <w:p w14:paraId="02309EBB">
      <w:pPr>
        <w:widowControl/>
        <w:jc w:val="left"/>
        <w:rPr>
          <w:rFonts w:hint="eastAsia" w:ascii="宋体" w:hAnsi="宋体" w:cs="宋体"/>
          <w:b/>
          <w:bCs/>
          <w:color w:val="auto"/>
          <w:kern w:val="0"/>
          <w:sz w:val="20"/>
          <w:szCs w:val="20"/>
          <w:highlight w:val="none"/>
          <w:lang w:bidi="ar"/>
        </w:rPr>
      </w:pPr>
    </w:p>
    <w:p w14:paraId="57C4CBD8">
      <w:pPr>
        <w:widowControl/>
        <w:jc w:val="left"/>
        <w:rPr>
          <w:rFonts w:hint="eastAsia" w:ascii="宋体" w:hAnsi="宋体" w:cs="宋体"/>
          <w:b/>
          <w:bCs/>
          <w:color w:val="auto"/>
          <w:kern w:val="0"/>
          <w:sz w:val="20"/>
          <w:szCs w:val="20"/>
          <w:highlight w:val="none"/>
          <w:lang w:bidi="ar"/>
        </w:rPr>
      </w:pPr>
    </w:p>
    <w:p w14:paraId="3DFCAF55">
      <w:pPr>
        <w:widowControl/>
        <w:jc w:val="left"/>
        <w:rPr>
          <w:rFonts w:hint="eastAsia" w:ascii="宋体" w:hAnsi="宋体" w:cs="宋体"/>
          <w:b/>
          <w:bCs/>
          <w:color w:val="auto"/>
          <w:kern w:val="0"/>
          <w:sz w:val="20"/>
          <w:szCs w:val="20"/>
          <w:highlight w:val="none"/>
          <w:lang w:bidi="ar"/>
        </w:rPr>
      </w:pPr>
    </w:p>
    <w:p w14:paraId="0EC49622">
      <w:pPr>
        <w:widowControl/>
        <w:jc w:val="left"/>
        <w:rPr>
          <w:rFonts w:hint="eastAsia" w:ascii="宋体" w:hAnsi="宋体" w:cs="宋体"/>
          <w:b/>
          <w:bCs/>
          <w:color w:val="auto"/>
          <w:kern w:val="0"/>
          <w:sz w:val="20"/>
          <w:szCs w:val="20"/>
          <w:highlight w:val="none"/>
          <w:lang w:bidi="ar"/>
        </w:rPr>
      </w:pPr>
    </w:p>
    <w:p w14:paraId="0D51BDC2">
      <w:pPr>
        <w:widowControl/>
        <w:jc w:val="left"/>
        <w:rPr>
          <w:rFonts w:hint="eastAsia" w:ascii="宋体" w:hAnsi="宋体" w:cs="宋体"/>
          <w:b/>
          <w:bCs/>
          <w:color w:val="auto"/>
          <w:kern w:val="0"/>
          <w:sz w:val="20"/>
          <w:szCs w:val="20"/>
          <w:highlight w:val="none"/>
          <w:lang w:bidi="ar"/>
        </w:rPr>
      </w:pPr>
    </w:p>
    <w:p w14:paraId="3B360E1F">
      <w:pPr>
        <w:widowControl/>
        <w:jc w:val="left"/>
        <w:rPr>
          <w:rFonts w:hint="eastAsia" w:ascii="宋体" w:hAnsi="宋体" w:cs="宋体"/>
          <w:b/>
          <w:bCs/>
          <w:color w:val="auto"/>
          <w:kern w:val="0"/>
          <w:sz w:val="20"/>
          <w:szCs w:val="20"/>
          <w:highlight w:val="none"/>
          <w:lang w:bidi="ar"/>
        </w:rPr>
      </w:pPr>
    </w:p>
    <w:p w14:paraId="10DE66FC">
      <w:pPr>
        <w:widowControl/>
        <w:jc w:val="left"/>
        <w:rPr>
          <w:rFonts w:hint="eastAsia" w:ascii="宋体" w:hAnsi="宋体" w:cs="宋体"/>
          <w:b/>
          <w:bCs/>
          <w:color w:val="auto"/>
          <w:kern w:val="0"/>
          <w:sz w:val="20"/>
          <w:szCs w:val="20"/>
          <w:highlight w:val="none"/>
          <w:lang w:bidi="ar"/>
        </w:rPr>
      </w:pPr>
    </w:p>
    <w:p w14:paraId="14DB7772">
      <w:pPr>
        <w:widowControl/>
        <w:jc w:val="left"/>
        <w:rPr>
          <w:rFonts w:hint="eastAsia" w:ascii="宋体" w:hAnsi="宋体" w:cs="宋体"/>
          <w:b/>
          <w:bCs/>
          <w:color w:val="auto"/>
          <w:kern w:val="0"/>
          <w:sz w:val="20"/>
          <w:szCs w:val="20"/>
          <w:highlight w:val="none"/>
          <w:lang w:bidi="ar"/>
        </w:rPr>
      </w:pPr>
    </w:p>
    <w:p w14:paraId="67CF7F6C">
      <w:pPr>
        <w:widowControl/>
        <w:jc w:val="left"/>
        <w:rPr>
          <w:rFonts w:hint="eastAsia" w:ascii="宋体" w:hAnsi="宋体" w:cs="宋体"/>
          <w:b/>
          <w:bCs/>
          <w:color w:val="auto"/>
          <w:kern w:val="0"/>
          <w:sz w:val="20"/>
          <w:szCs w:val="20"/>
          <w:highlight w:val="none"/>
          <w:lang w:bidi="ar"/>
        </w:rPr>
      </w:pPr>
    </w:p>
    <w:p w14:paraId="3E0A87FE">
      <w:pPr>
        <w:widowControl/>
        <w:jc w:val="left"/>
        <w:rPr>
          <w:rFonts w:hint="eastAsia" w:ascii="宋体" w:hAnsi="宋体" w:cs="宋体"/>
          <w:b/>
          <w:bCs/>
          <w:color w:val="auto"/>
          <w:kern w:val="0"/>
          <w:sz w:val="20"/>
          <w:szCs w:val="20"/>
          <w:highlight w:val="none"/>
          <w:lang w:bidi="ar"/>
        </w:rPr>
      </w:pPr>
    </w:p>
    <w:p w14:paraId="6BF6C8C1">
      <w:pPr>
        <w:widowControl/>
        <w:jc w:val="left"/>
        <w:rPr>
          <w:rFonts w:hint="eastAsia" w:ascii="宋体" w:hAnsi="宋体" w:cs="宋体"/>
          <w:b/>
          <w:bCs/>
          <w:color w:val="auto"/>
          <w:kern w:val="0"/>
          <w:sz w:val="20"/>
          <w:szCs w:val="20"/>
          <w:highlight w:val="none"/>
          <w:lang w:bidi="ar"/>
        </w:rPr>
      </w:pPr>
    </w:p>
    <w:p w14:paraId="577D29BB">
      <w:pPr>
        <w:widowControl/>
        <w:spacing w:line="440" w:lineRule="exact"/>
        <w:jc w:val="left"/>
        <w:rPr>
          <w:rFonts w:hint="eastAsia" w:ascii="宋体" w:hAnsi="宋体" w:cs="宋体"/>
          <w:b/>
          <w:bCs/>
          <w:color w:val="auto"/>
          <w:kern w:val="0"/>
          <w:sz w:val="20"/>
          <w:szCs w:val="20"/>
          <w:highlight w:val="none"/>
          <w:lang w:bidi="ar"/>
        </w:rPr>
      </w:pPr>
    </w:p>
    <w:p w14:paraId="599C911F">
      <w:pPr>
        <w:widowControl/>
        <w:spacing w:line="440" w:lineRule="exact"/>
        <w:jc w:val="left"/>
        <w:rPr>
          <w:color w:val="auto"/>
          <w:highlight w:val="none"/>
        </w:rPr>
      </w:pPr>
      <w:r>
        <w:rPr>
          <w:rFonts w:hint="eastAsia" w:ascii="宋体" w:hAnsi="宋体" w:cs="宋体"/>
          <w:b/>
          <w:bCs/>
          <w:color w:val="auto"/>
          <w:kern w:val="0"/>
          <w:sz w:val="20"/>
          <w:szCs w:val="20"/>
          <w:highlight w:val="none"/>
          <w:lang w:bidi="ar"/>
        </w:rPr>
        <w:t>附件一：拟投入本标段的主要施工设备表</w:t>
      </w:r>
    </w:p>
    <w:p w14:paraId="7644ECF0">
      <w:pPr>
        <w:widowControl/>
        <w:spacing w:line="440" w:lineRule="exact"/>
        <w:jc w:val="center"/>
        <w:rPr>
          <w:color w:val="auto"/>
          <w:highlight w:val="none"/>
        </w:rPr>
      </w:pPr>
      <w:r>
        <w:rPr>
          <w:rFonts w:hint="eastAsia" w:ascii="宋体" w:hAnsi="宋体" w:cs="宋体"/>
          <w:b/>
          <w:bCs/>
          <w:color w:val="auto"/>
          <w:kern w:val="0"/>
          <w:sz w:val="20"/>
          <w:szCs w:val="20"/>
          <w:highlight w:val="none"/>
          <w:lang w:bidi="ar"/>
        </w:rPr>
        <w:t>拟投入本标段的主要施工设备表</w:t>
      </w:r>
    </w:p>
    <w:p w14:paraId="3BBB2401">
      <w:pPr>
        <w:widowControl/>
        <w:jc w:val="left"/>
        <w:rPr>
          <w:rFonts w:hint="eastAsia" w:ascii="宋体" w:hAnsi="宋体" w:cs="宋体"/>
          <w:b/>
          <w:bCs/>
          <w:color w:val="auto"/>
          <w:kern w:val="0"/>
          <w:sz w:val="20"/>
          <w:szCs w:val="20"/>
          <w:highlight w:val="none"/>
          <w:lang w:bidi="ar"/>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846"/>
        <w:gridCol w:w="837"/>
        <w:gridCol w:w="625"/>
        <w:gridCol w:w="700"/>
        <w:gridCol w:w="913"/>
        <w:gridCol w:w="787"/>
        <w:gridCol w:w="800"/>
        <w:gridCol w:w="700"/>
        <w:gridCol w:w="788"/>
        <w:gridCol w:w="812"/>
      </w:tblGrid>
      <w:tr w14:paraId="16E5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88" w:type="dxa"/>
            <w:noWrap w:val="0"/>
            <w:vAlign w:val="center"/>
          </w:tcPr>
          <w:p w14:paraId="71958493">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序号</w:t>
            </w:r>
          </w:p>
        </w:tc>
        <w:tc>
          <w:tcPr>
            <w:tcW w:w="846" w:type="dxa"/>
            <w:noWrap w:val="0"/>
            <w:vAlign w:val="center"/>
          </w:tcPr>
          <w:p w14:paraId="5975024E">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施工机械名称</w:t>
            </w:r>
          </w:p>
        </w:tc>
        <w:tc>
          <w:tcPr>
            <w:tcW w:w="837" w:type="dxa"/>
            <w:noWrap w:val="0"/>
            <w:vAlign w:val="center"/>
          </w:tcPr>
          <w:p w14:paraId="2A325469">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型号、规格</w:t>
            </w:r>
          </w:p>
        </w:tc>
        <w:tc>
          <w:tcPr>
            <w:tcW w:w="625" w:type="dxa"/>
            <w:noWrap w:val="0"/>
            <w:vAlign w:val="center"/>
          </w:tcPr>
          <w:p w14:paraId="510373BF">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数量</w:t>
            </w:r>
          </w:p>
        </w:tc>
        <w:tc>
          <w:tcPr>
            <w:tcW w:w="700" w:type="dxa"/>
            <w:noWrap w:val="0"/>
            <w:vAlign w:val="center"/>
          </w:tcPr>
          <w:p w14:paraId="3D5ED6F9">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制造年份</w:t>
            </w:r>
          </w:p>
        </w:tc>
        <w:tc>
          <w:tcPr>
            <w:tcW w:w="913" w:type="dxa"/>
            <w:noWrap w:val="0"/>
            <w:vAlign w:val="center"/>
          </w:tcPr>
          <w:p w14:paraId="0DE76996">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额定功率（KW）</w:t>
            </w:r>
          </w:p>
        </w:tc>
        <w:tc>
          <w:tcPr>
            <w:tcW w:w="787" w:type="dxa"/>
            <w:noWrap w:val="0"/>
            <w:vAlign w:val="center"/>
          </w:tcPr>
          <w:p w14:paraId="5451FD28">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国别、产地</w:t>
            </w:r>
          </w:p>
        </w:tc>
        <w:tc>
          <w:tcPr>
            <w:tcW w:w="800" w:type="dxa"/>
            <w:noWrap w:val="0"/>
            <w:vAlign w:val="center"/>
          </w:tcPr>
          <w:p w14:paraId="18E70FAE">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生产能力</w:t>
            </w:r>
          </w:p>
        </w:tc>
        <w:tc>
          <w:tcPr>
            <w:tcW w:w="700" w:type="dxa"/>
            <w:noWrap w:val="0"/>
            <w:vAlign w:val="center"/>
          </w:tcPr>
          <w:p w14:paraId="701CDA55">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进场时间</w:t>
            </w:r>
          </w:p>
        </w:tc>
        <w:tc>
          <w:tcPr>
            <w:tcW w:w="788" w:type="dxa"/>
            <w:noWrap w:val="0"/>
            <w:vAlign w:val="center"/>
          </w:tcPr>
          <w:p w14:paraId="101A5CFB">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退场时间</w:t>
            </w:r>
          </w:p>
        </w:tc>
        <w:tc>
          <w:tcPr>
            <w:tcW w:w="812" w:type="dxa"/>
            <w:noWrap w:val="0"/>
            <w:vAlign w:val="center"/>
          </w:tcPr>
          <w:p w14:paraId="7EB3F9F3">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用于施工部位</w:t>
            </w:r>
          </w:p>
        </w:tc>
      </w:tr>
      <w:tr w14:paraId="12EF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88" w:type="dxa"/>
            <w:noWrap w:val="0"/>
            <w:vAlign w:val="center"/>
          </w:tcPr>
          <w:p w14:paraId="66F7D947">
            <w:pPr>
              <w:widowControl/>
              <w:jc w:val="center"/>
              <w:rPr>
                <w:rFonts w:hint="eastAsia" w:ascii="宋体" w:hAnsi="宋体" w:cs="宋体"/>
                <w:b/>
                <w:bCs/>
                <w:color w:val="auto"/>
                <w:kern w:val="0"/>
                <w:sz w:val="20"/>
                <w:szCs w:val="20"/>
                <w:highlight w:val="none"/>
                <w:lang w:bidi="ar"/>
              </w:rPr>
            </w:pPr>
          </w:p>
        </w:tc>
        <w:tc>
          <w:tcPr>
            <w:tcW w:w="846" w:type="dxa"/>
            <w:noWrap w:val="0"/>
            <w:vAlign w:val="center"/>
          </w:tcPr>
          <w:p w14:paraId="7F54A6A1">
            <w:pPr>
              <w:widowControl/>
              <w:jc w:val="center"/>
              <w:rPr>
                <w:rFonts w:hint="eastAsia" w:ascii="宋体" w:hAnsi="宋体" w:cs="宋体"/>
                <w:b/>
                <w:bCs/>
                <w:color w:val="auto"/>
                <w:kern w:val="0"/>
                <w:sz w:val="20"/>
                <w:szCs w:val="20"/>
                <w:highlight w:val="none"/>
                <w:lang w:bidi="ar"/>
              </w:rPr>
            </w:pPr>
          </w:p>
        </w:tc>
        <w:tc>
          <w:tcPr>
            <w:tcW w:w="837" w:type="dxa"/>
            <w:noWrap w:val="0"/>
            <w:vAlign w:val="center"/>
          </w:tcPr>
          <w:p w14:paraId="7C94C7A1">
            <w:pPr>
              <w:widowControl/>
              <w:jc w:val="center"/>
              <w:rPr>
                <w:rFonts w:hint="eastAsia" w:ascii="宋体" w:hAnsi="宋体" w:cs="宋体"/>
                <w:b/>
                <w:bCs/>
                <w:color w:val="auto"/>
                <w:kern w:val="0"/>
                <w:sz w:val="20"/>
                <w:szCs w:val="20"/>
                <w:highlight w:val="none"/>
                <w:lang w:bidi="ar"/>
              </w:rPr>
            </w:pPr>
          </w:p>
        </w:tc>
        <w:tc>
          <w:tcPr>
            <w:tcW w:w="625" w:type="dxa"/>
            <w:noWrap w:val="0"/>
            <w:vAlign w:val="center"/>
          </w:tcPr>
          <w:p w14:paraId="03F3382D">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1C8DAB6C">
            <w:pPr>
              <w:widowControl/>
              <w:jc w:val="center"/>
              <w:rPr>
                <w:rFonts w:hint="eastAsia" w:ascii="宋体" w:hAnsi="宋体" w:cs="宋体"/>
                <w:b/>
                <w:bCs/>
                <w:color w:val="auto"/>
                <w:kern w:val="0"/>
                <w:sz w:val="20"/>
                <w:szCs w:val="20"/>
                <w:highlight w:val="none"/>
                <w:lang w:bidi="ar"/>
              </w:rPr>
            </w:pPr>
          </w:p>
        </w:tc>
        <w:tc>
          <w:tcPr>
            <w:tcW w:w="913" w:type="dxa"/>
            <w:noWrap w:val="0"/>
            <w:vAlign w:val="center"/>
          </w:tcPr>
          <w:p w14:paraId="22CE2F2B">
            <w:pPr>
              <w:widowControl/>
              <w:jc w:val="center"/>
              <w:rPr>
                <w:rFonts w:hint="eastAsia" w:ascii="宋体" w:hAnsi="宋体" w:cs="宋体"/>
                <w:b/>
                <w:bCs/>
                <w:color w:val="auto"/>
                <w:kern w:val="0"/>
                <w:sz w:val="20"/>
                <w:szCs w:val="20"/>
                <w:highlight w:val="none"/>
                <w:lang w:bidi="ar"/>
              </w:rPr>
            </w:pPr>
          </w:p>
        </w:tc>
        <w:tc>
          <w:tcPr>
            <w:tcW w:w="787" w:type="dxa"/>
            <w:noWrap w:val="0"/>
            <w:vAlign w:val="center"/>
          </w:tcPr>
          <w:p w14:paraId="5EEB0990">
            <w:pPr>
              <w:widowControl/>
              <w:jc w:val="center"/>
              <w:rPr>
                <w:rFonts w:hint="eastAsia" w:ascii="宋体" w:hAnsi="宋体" w:cs="宋体"/>
                <w:b/>
                <w:bCs/>
                <w:color w:val="auto"/>
                <w:kern w:val="0"/>
                <w:sz w:val="20"/>
                <w:szCs w:val="20"/>
                <w:highlight w:val="none"/>
                <w:lang w:bidi="ar"/>
              </w:rPr>
            </w:pPr>
          </w:p>
        </w:tc>
        <w:tc>
          <w:tcPr>
            <w:tcW w:w="800" w:type="dxa"/>
            <w:noWrap w:val="0"/>
            <w:vAlign w:val="center"/>
          </w:tcPr>
          <w:p w14:paraId="19254581">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7CB6BF1F">
            <w:pPr>
              <w:widowControl/>
              <w:jc w:val="center"/>
              <w:rPr>
                <w:rFonts w:hint="eastAsia" w:ascii="宋体" w:hAnsi="宋体" w:cs="宋体"/>
                <w:b/>
                <w:bCs/>
                <w:color w:val="auto"/>
                <w:kern w:val="0"/>
                <w:sz w:val="20"/>
                <w:szCs w:val="20"/>
                <w:highlight w:val="none"/>
                <w:lang w:bidi="ar"/>
              </w:rPr>
            </w:pPr>
          </w:p>
        </w:tc>
        <w:tc>
          <w:tcPr>
            <w:tcW w:w="788" w:type="dxa"/>
            <w:noWrap w:val="0"/>
            <w:vAlign w:val="center"/>
          </w:tcPr>
          <w:p w14:paraId="2D492252">
            <w:pPr>
              <w:widowControl/>
              <w:jc w:val="center"/>
              <w:rPr>
                <w:rFonts w:hint="eastAsia" w:ascii="宋体" w:hAnsi="宋体" w:cs="宋体"/>
                <w:b/>
                <w:bCs/>
                <w:color w:val="auto"/>
                <w:kern w:val="0"/>
                <w:sz w:val="20"/>
                <w:szCs w:val="20"/>
                <w:highlight w:val="none"/>
                <w:lang w:bidi="ar"/>
              </w:rPr>
            </w:pPr>
          </w:p>
        </w:tc>
        <w:tc>
          <w:tcPr>
            <w:tcW w:w="812" w:type="dxa"/>
            <w:noWrap w:val="0"/>
            <w:vAlign w:val="center"/>
          </w:tcPr>
          <w:p w14:paraId="51349C8C">
            <w:pPr>
              <w:widowControl/>
              <w:jc w:val="center"/>
              <w:rPr>
                <w:rFonts w:hint="eastAsia" w:ascii="宋体" w:hAnsi="宋体" w:cs="宋体"/>
                <w:b/>
                <w:bCs/>
                <w:color w:val="auto"/>
                <w:kern w:val="0"/>
                <w:sz w:val="20"/>
                <w:szCs w:val="20"/>
                <w:highlight w:val="none"/>
                <w:lang w:bidi="ar"/>
              </w:rPr>
            </w:pPr>
          </w:p>
        </w:tc>
      </w:tr>
      <w:tr w14:paraId="3FD4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88" w:type="dxa"/>
            <w:noWrap w:val="0"/>
            <w:vAlign w:val="center"/>
          </w:tcPr>
          <w:p w14:paraId="3F0F1921">
            <w:pPr>
              <w:widowControl/>
              <w:jc w:val="center"/>
              <w:rPr>
                <w:rFonts w:hint="eastAsia" w:ascii="宋体" w:hAnsi="宋体" w:cs="宋体"/>
                <w:b/>
                <w:bCs/>
                <w:color w:val="auto"/>
                <w:kern w:val="0"/>
                <w:sz w:val="20"/>
                <w:szCs w:val="20"/>
                <w:highlight w:val="none"/>
                <w:lang w:bidi="ar"/>
              </w:rPr>
            </w:pPr>
          </w:p>
        </w:tc>
        <w:tc>
          <w:tcPr>
            <w:tcW w:w="846" w:type="dxa"/>
            <w:noWrap w:val="0"/>
            <w:vAlign w:val="center"/>
          </w:tcPr>
          <w:p w14:paraId="2F52B990">
            <w:pPr>
              <w:widowControl/>
              <w:jc w:val="center"/>
              <w:rPr>
                <w:rFonts w:hint="eastAsia" w:ascii="宋体" w:hAnsi="宋体" w:cs="宋体"/>
                <w:b/>
                <w:bCs/>
                <w:color w:val="auto"/>
                <w:kern w:val="0"/>
                <w:sz w:val="20"/>
                <w:szCs w:val="20"/>
                <w:highlight w:val="none"/>
                <w:lang w:bidi="ar"/>
              </w:rPr>
            </w:pPr>
          </w:p>
        </w:tc>
        <w:tc>
          <w:tcPr>
            <w:tcW w:w="837" w:type="dxa"/>
            <w:noWrap w:val="0"/>
            <w:vAlign w:val="center"/>
          </w:tcPr>
          <w:p w14:paraId="7DD737A3">
            <w:pPr>
              <w:widowControl/>
              <w:jc w:val="center"/>
              <w:rPr>
                <w:rFonts w:hint="eastAsia" w:ascii="宋体" w:hAnsi="宋体" w:cs="宋体"/>
                <w:b/>
                <w:bCs/>
                <w:color w:val="auto"/>
                <w:kern w:val="0"/>
                <w:sz w:val="20"/>
                <w:szCs w:val="20"/>
                <w:highlight w:val="none"/>
                <w:lang w:bidi="ar"/>
              </w:rPr>
            </w:pPr>
          </w:p>
        </w:tc>
        <w:tc>
          <w:tcPr>
            <w:tcW w:w="625" w:type="dxa"/>
            <w:noWrap w:val="0"/>
            <w:vAlign w:val="center"/>
          </w:tcPr>
          <w:p w14:paraId="0B463A48">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6F4F8AB0">
            <w:pPr>
              <w:widowControl/>
              <w:jc w:val="center"/>
              <w:rPr>
                <w:rFonts w:hint="eastAsia" w:ascii="宋体" w:hAnsi="宋体" w:cs="宋体"/>
                <w:b/>
                <w:bCs/>
                <w:color w:val="auto"/>
                <w:kern w:val="0"/>
                <w:sz w:val="20"/>
                <w:szCs w:val="20"/>
                <w:highlight w:val="none"/>
                <w:lang w:bidi="ar"/>
              </w:rPr>
            </w:pPr>
          </w:p>
        </w:tc>
        <w:tc>
          <w:tcPr>
            <w:tcW w:w="913" w:type="dxa"/>
            <w:noWrap w:val="0"/>
            <w:vAlign w:val="center"/>
          </w:tcPr>
          <w:p w14:paraId="4E412E14">
            <w:pPr>
              <w:widowControl/>
              <w:jc w:val="center"/>
              <w:rPr>
                <w:rFonts w:hint="eastAsia" w:ascii="宋体" w:hAnsi="宋体" w:cs="宋体"/>
                <w:b/>
                <w:bCs/>
                <w:color w:val="auto"/>
                <w:kern w:val="0"/>
                <w:sz w:val="20"/>
                <w:szCs w:val="20"/>
                <w:highlight w:val="none"/>
                <w:lang w:bidi="ar"/>
              </w:rPr>
            </w:pPr>
          </w:p>
        </w:tc>
        <w:tc>
          <w:tcPr>
            <w:tcW w:w="787" w:type="dxa"/>
            <w:noWrap w:val="0"/>
            <w:vAlign w:val="center"/>
          </w:tcPr>
          <w:p w14:paraId="1CCDCA3D">
            <w:pPr>
              <w:widowControl/>
              <w:jc w:val="center"/>
              <w:rPr>
                <w:rFonts w:hint="eastAsia" w:ascii="宋体" w:hAnsi="宋体" w:cs="宋体"/>
                <w:b/>
                <w:bCs/>
                <w:color w:val="auto"/>
                <w:kern w:val="0"/>
                <w:sz w:val="20"/>
                <w:szCs w:val="20"/>
                <w:highlight w:val="none"/>
                <w:lang w:bidi="ar"/>
              </w:rPr>
            </w:pPr>
          </w:p>
        </w:tc>
        <w:tc>
          <w:tcPr>
            <w:tcW w:w="800" w:type="dxa"/>
            <w:noWrap w:val="0"/>
            <w:vAlign w:val="center"/>
          </w:tcPr>
          <w:p w14:paraId="2CF8369D">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01F37059">
            <w:pPr>
              <w:widowControl/>
              <w:jc w:val="center"/>
              <w:rPr>
                <w:rFonts w:hint="eastAsia" w:ascii="宋体" w:hAnsi="宋体" w:cs="宋体"/>
                <w:b/>
                <w:bCs/>
                <w:color w:val="auto"/>
                <w:kern w:val="0"/>
                <w:sz w:val="20"/>
                <w:szCs w:val="20"/>
                <w:highlight w:val="none"/>
                <w:lang w:bidi="ar"/>
              </w:rPr>
            </w:pPr>
          </w:p>
        </w:tc>
        <w:tc>
          <w:tcPr>
            <w:tcW w:w="788" w:type="dxa"/>
            <w:noWrap w:val="0"/>
            <w:vAlign w:val="center"/>
          </w:tcPr>
          <w:p w14:paraId="4D8546D7">
            <w:pPr>
              <w:widowControl/>
              <w:jc w:val="center"/>
              <w:rPr>
                <w:rFonts w:hint="eastAsia" w:ascii="宋体" w:hAnsi="宋体" w:cs="宋体"/>
                <w:b/>
                <w:bCs/>
                <w:color w:val="auto"/>
                <w:kern w:val="0"/>
                <w:sz w:val="20"/>
                <w:szCs w:val="20"/>
                <w:highlight w:val="none"/>
                <w:lang w:bidi="ar"/>
              </w:rPr>
            </w:pPr>
          </w:p>
        </w:tc>
        <w:tc>
          <w:tcPr>
            <w:tcW w:w="812" w:type="dxa"/>
            <w:noWrap w:val="0"/>
            <w:vAlign w:val="center"/>
          </w:tcPr>
          <w:p w14:paraId="63D25801">
            <w:pPr>
              <w:widowControl/>
              <w:jc w:val="center"/>
              <w:rPr>
                <w:rFonts w:hint="eastAsia" w:ascii="宋体" w:hAnsi="宋体" w:cs="宋体"/>
                <w:b/>
                <w:bCs/>
                <w:color w:val="auto"/>
                <w:kern w:val="0"/>
                <w:sz w:val="20"/>
                <w:szCs w:val="20"/>
                <w:highlight w:val="none"/>
                <w:lang w:bidi="ar"/>
              </w:rPr>
            </w:pPr>
          </w:p>
        </w:tc>
      </w:tr>
      <w:tr w14:paraId="7096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688" w:type="dxa"/>
            <w:noWrap w:val="0"/>
            <w:vAlign w:val="center"/>
          </w:tcPr>
          <w:p w14:paraId="456B687F">
            <w:pPr>
              <w:widowControl/>
              <w:jc w:val="center"/>
              <w:rPr>
                <w:rFonts w:hint="eastAsia" w:ascii="宋体" w:hAnsi="宋体" w:cs="宋体"/>
                <w:b/>
                <w:bCs/>
                <w:color w:val="auto"/>
                <w:kern w:val="0"/>
                <w:sz w:val="20"/>
                <w:szCs w:val="20"/>
                <w:highlight w:val="none"/>
                <w:lang w:bidi="ar"/>
              </w:rPr>
            </w:pPr>
          </w:p>
        </w:tc>
        <w:tc>
          <w:tcPr>
            <w:tcW w:w="846" w:type="dxa"/>
            <w:noWrap w:val="0"/>
            <w:vAlign w:val="center"/>
          </w:tcPr>
          <w:p w14:paraId="5A4A72D4">
            <w:pPr>
              <w:widowControl/>
              <w:jc w:val="center"/>
              <w:rPr>
                <w:rFonts w:hint="eastAsia" w:ascii="宋体" w:hAnsi="宋体" w:cs="宋体"/>
                <w:b/>
                <w:bCs/>
                <w:color w:val="auto"/>
                <w:kern w:val="0"/>
                <w:sz w:val="20"/>
                <w:szCs w:val="20"/>
                <w:highlight w:val="none"/>
                <w:lang w:bidi="ar"/>
              </w:rPr>
            </w:pPr>
          </w:p>
        </w:tc>
        <w:tc>
          <w:tcPr>
            <w:tcW w:w="837" w:type="dxa"/>
            <w:noWrap w:val="0"/>
            <w:vAlign w:val="center"/>
          </w:tcPr>
          <w:p w14:paraId="08CA2955">
            <w:pPr>
              <w:widowControl/>
              <w:jc w:val="center"/>
              <w:rPr>
                <w:rFonts w:hint="eastAsia" w:ascii="宋体" w:hAnsi="宋体" w:cs="宋体"/>
                <w:b/>
                <w:bCs/>
                <w:color w:val="auto"/>
                <w:kern w:val="0"/>
                <w:sz w:val="20"/>
                <w:szCs w:val="20"/>
                <w:highlight w:val="none"/>
                <w:lang w:bidi="ar"/>
              </w:rPr>
            </w:pPr>
          </w:p>
        </w:tc>
        <w:tc>
          <w:tcPr>
            <w:tcW w:w="625" w:type="dxa"/>
            <w:noWrap w:val="0"/>
            <w:vAlign w:val="center"/>
          </w:tcPr>
          <w:p w14:paraId="350C4E92">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78C077D0">
            <w:pPr>
              <w:widowControl/>
              <w:jc w:val="center"/>
              <w:rPr>
                <w:rFonts w:hint="eastAsia" w:ascii="宋体" w:hAnsi="宋体" w:cs="宋体"/>
                <w:b/>
                <w:bCs/>
                <w:color w:val="auto"/>
                <w:kern w:val="0"/>
                <w:sz w:val="20"/>
                <w:szCs w:val="20"/>
                <w:highlight w:val="none"/>
                <w:lang w:bidi="ar"/>
              </w:rPr>
            </w:pPr>
          </w:p>
        </w:tc>
        <w:tc>
          <w:tcPr>
            <w:tcW w:w="913" w:type="dxa"/>
            <w:noWrap w:val="0"/>
            <w:vAlign w:val="center"/>
          </w:tcPr>
          <w:p w14:paraId="55547A60">
            <w:pPr>
              <w:widowControl/>
              <w:jc w:val="center"/>
              <w:rPr>
                <w:rFonts w:hint="eastAsia" w:ascii="宋体" w:hAnsi="宋体" w:cs="宋体"/>
                <w:b/>
                <w:bCs/>
                <w:color w:val="auto"/>
                <w:kern w:val="0"/>
                <w:sz w:val="20"/>
                <w:szCs w:val="20"/>
                <w:highlight w:val="none"/>
                <w:lang w:bidi="ar"/>
              </w:rPr>
            </w:pPr>
          </w:p>
        </w:tc>
        <w:tc>
          <w:tcPr>
            <w:tcW w:w="787" w:type="dxa"/>
            <w:noWrap w:val="0"/>
            <w:vAlign w:val="center"/>
          </w:tcPr>
          <w:p w14:paraId="16AA9CB4">
            <w:pPr>
              <w:widowControl/>
              <w:jc w:val="center"/>
              <w:rPr>
                <w:rFonts w:hint="eastAsia" w:ascii="宋体" w:hAnsi="宋体" w:cs="宋体"/>
                <w:b/>
                <w:bCs/>
                <w:color w:val="auto"/>
                <w:kern w:val="0"/>
                <w:sz w:val="20"/>
                <w:szCs w:val="20"/>
                <w:highlight w:val="none"/>
                <w:lang w:bidi="ar"/>
              </w:rPr>
            </w:pPr>
          </w:p>
        </w:tc>
        <w:tc>
          <w:tcPr>
            <w:tcW w:w="800" w:type="dxa"/>
            <w:noWrap w:val="0"/>
            <w:vAlign w:val="center"/>
          </w:tcPr>
          <w:p w14:paraId="38A607FD">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1730F011">
            <w:pPr>
              <w:widowControl/>
              <w:jc w:val="center"/>
              <w:rPr>
                <w:rFonts w:hint="eastAsia" w:ascii="宋体" w:hAnsi="宋体" w:cs="宋体"/>
                <w:b/>
                <w:bCs/>
                <w:color w:val="auto"/>
                <w:kern w:val="0"/>
                <w:sz w:val="20"/>
                <w:szCs w:val="20"/>
                <w:highlight w:val="none"/>
                <w:lang w:bidi="ar"/>
              </w:rPr>
            </w:pPr>
          </w:p>
        </w:tc>
        <w:tc>
          <w:tcPr>
            <w:tcW w:w="788" w:type="dxa"/>
            <w:noWrap w:val="0"/>
            <w:vAlign w:val="center"/>
          </w:tcPr>
          <w:p w14:paraId="5BEFA267">
            <w:pPr>
              <w:widowControl/>
              <w:jc w:val="center"/>
              <w:rPr>
                <w:rFonts w:hint="eastAsia" w:ascii="宋体" w:hAnsi="宋体" w:cs="宋体"/>
                <w:b/>
                <w:bCs/>
                <w:color w:val="auto"/>
                <w:kern w:val="0"/>
                <w:sz w:val="20"/>
                <w:szCs w:val="20"/>
                <w:highlight w:val="none"/>
                <w:lang w:bidi="ar"/>
              </w:rPr>
            </w:pPr>
          </w:p>
        </w:tc>
        <w:tc>
          <w:tcPr>
            <w:tcW w:w="812" w:type="dxa"/>
            <w:noWrap w:val="0"/>
            <w:vAlign w:val="center"/>
          </w:tcPr>
          <w:p w14:paraId="7310729C">
            <w:pPr>
              <w:widowControl/>
              <w:jc w:val="center"/>
              <w:rPr>
                <w:rFonts w:hint="eastAsia" w:ascii="宋体" w:hAnsi="宋体" w:cs="宋体"/>
                <w:b/>
                <w:bCs/>
                <w:color w:val="auto"/>
                <w:kern w:val="0"/>
                <w:sz w:val="20"/>
                <w:szCs w:val="20"/>
                <w:highlight w:val="none"/>
                <w:lang w:bidi="ar"/>
              </w:rPr>
            </w:pPr>
          </w:p>
        </w:tc>
      </w:tr>
      <w:tr w14:paraId="1F59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88" w:type="dxa"/>
            <w:noWrap w:val="0"/>
            <w:vAlign w:val="center"/>
          </w:tcPr>
          <w:p w14:paraId="1467F539">
            <w:pPr>
              <w:widowControl/>
              <w:jc w:val="center"/>
              <w:rPr>
                <w:rFonts w:hint="eastAsia" w:ascii="宋体" w:hAnsi="宋体" w:cs="宋体"/>
                <w:b/>
                <w:bCs/>
                <w:color w:val="auto"/>
                <w:kern w:val="0"/>
                <w:sz w:val="20"/>
                <w:szCs w:val="20"/>
                <w:highlight w:val="none"/>
                <w:lang w:bidi="ar"/>
              </w:rPr>
            </w:pPr>
          </w:p>
        </w:tc>
        <w:tc>
          <w:tcPr>
            <w:tcW w:w="846" w:type="dxa"/>
            <w:noWrap w:val="0"/>
            <w:vAlign w:val="center"/>
          </w:tcPr>
          <w:p w14:paraId="0117F2CE">
            <w:pPr>
              <w:widowControl/>
              <w:jc w:val="center"/>
              <w:rPr>
                <w:rFonts w:hint="eastAsia" w:ascii="宋体" w:hAnsi="宋体" w:cs="宋体"/>
                <w:b/>
                <w:bCs/>
                <w:color w:val="auto"/>
                <w:kern w:val="0"/>
                <w:sz w:val="20"/>
                <w:szCs w:val="20"/>
                <w:highlight w:val="none"/>
                <w:lang w:bidi="ar"/>
              </w:rPr>
            </w:pPr>
          </w:p>
        </w:tc>
        <w:tc>
          <w:tcPr>
            <w:tcW w:w="837" w:type="dxa"/>
            <w:noWrap w:val="0"/>
            <w:vAlign w:val="center"/>
          </w:tcPr>
          <w:p w14:paraId="333E5784">
            <w:pPr>
              <w:widowControl/>
              <w:jc w:val="center"/>
              <w:rPr>
                <w:rFonts w:hint="eastAsia" w:ascii="宋体" w:hAnsi="宋体" w:cs="宋体"/>
                <w:b/>
                <w:bCs/>
                <w:color w:val="auto"/>
                <w:kern w:val="0"/>
                <w:sz w:val="20"/>
                <w:szCs w:val="20"/>
                <w:highlight w:val="none"/>
                <w:lang w:bidi="ar"/>
              </w:rPr>
            </w:pPr>
          </w:p>
        </w:tc>
        <w:tc>
          <w:tcPr>
            <w:tcW w:w="625" w:type="dxa"/>
            <w:noWrap w:val="0"/>
            <w:vAlign w:val="center"/>
          </w:tcPr>
          <w:p w14:paraId="1F5B39C5">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48F31859">
            <w:pPr>
              <w:widowControl/>
              <w:jc w:val="center"/>
              <w:rPr>
                <w:rFonts w:hint="eastAsia" w:ascii="宋体" w:hAnsi="宋体" w:cs="宋体"/>
                <w:b/>
                <w:bCs/>
                <w:color w:val="auto"/>
                <w:kern w:val="0"/>
                <w:sz w:val="20"/>
                <w:szCs w:val="20"/>
                <w:highlight w:val="none"/>
                <w:lang w:bidi="ar"/>
              </w:rPr>
            </w:pPr>
          </w:p>
        </w:tc>
        <w:tc>
          <w:tcPr>
            <w:tcW w:w="913" w:type="dxa"/>
            <w:noWrap w:val="0"/>
            <w:vAlign w:val="center"/>
          </w:tcPr>
          <w:p w14:paraId="03D0D88F">
            <w:pPr>
              <w:widowControl/>
              <w:jc w:val="center"/>
              <w:rPr>
                <w:rFonts w:hint="eastAsia" w:ascii="宋体" w:hAnsi="宋体" w:cs="宋体"/>
                <w:b/>
                <w:bCs/>
                <w:color w:val="auto"/>
                <w:kern w:val="0"/>
                <w:sz w:val="20"/>
                <w:szCs w:val="20"/>
                <w:highlight w:val="none"/>
                <w:lang w:bidi="ar"/>
              </w:rPr>
            </w:pPr>
          </w:p>
        </w:tc>
        <w:tc>
          <w:tcPr>
            <w:tcW w:w="787" w:type="dxa"/>
            <w:noWrap w:val="0"/>
            <w:vAlign w:val="center"/>
          </w:tcPr>
          <w:p w14:paraId="79D33458">
            <w:pPr>
              <w:widowControl/>
              <w:jc w:val="center"/>
              <w:rPr>
                <w:rFonts w:hint="eastAsia" w:ascii="宋体" w:hAnsi="宋体" w:cs="宋体"/>
                <w:b/>
                <w:bCs/>
                <w:color w:val="auto"/>
                <w:kern w:val="0"/>
                <w:sz w:val="20"/>
                <w:szCs w:val="20"/>
                <w:highlight w:val="none"/>
                <w:lang w:bidi="ar"/>
              </w:rPr>
            </w:pPr>
          </w:p>
        </w:tc>
        <w:tc>
          <w:tcPr>
            <w:tcW w:w="800" w:type="dxa"/>
            <w:noWrap w:val="0"/>
            <w:vAlign w:val="center"/>
          </w:tcPr>
          <w:p w14:paraId="3760636D">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0B44565B">
            <w:pPr>
              <w:widowControl/>
              <w:jc w:val="center"/>
              <w:rPr>
                <w:rFonts w:hint="eastAsia" w:ascii="宋体" w:hAnsi="宋体" w:cs="宋体"/>
                <w:b/>
                <w:bCs/>
                <w:color w:val="auto"/>
                <w:kern w:val="0"/>
                <w:sz w:val="20"/>
                <w:szCs w:val="20"/>
                <w:highlight w:val="none"/>
                <w:lang w:bidi="ar"/>
              </w:rPr>
            </w:pPr>
          </w:p>
        </w:tc>
        <w:tc>
          <w:tcPr>
            <w:tcW w:w="788" w:type="dxa"/>
            <w:noWrap w:val="0"/>
            <w:vAlign w:val="center"/>
          </w:tcPr>
          <w:p w14:paraId="3A048793">
            <w:pPr>
              <w:widowControl/>
              <w:jc w:val="center"/>
              <w:rPr>
                <w:rFonts w:hint="eastAsia" w:ascii="宋体" w:hAnsi="宋体" w:cs="宋体"/>
                <w:b/>
                <w:bCs/>
                <w:color w:val="auto"/>
                <w:kern w:val="0"/>
                <w:sz w:val="20"/>
                <w:szCs w:val="20"/>
                <w:highlight w:val="none"/>
                <w:lang w:bidi="ar"/>
              </w:rPr>
            </w:pPr>
          </w:p>
        </w:tc>
        <w:tc>
          <w:tcPr>
            <w:tcW w:w="812" w:type="dxa"/>
            <w:noWrap w:val="0"/>
            <w:vAlign w:val="center"/>
          </w:tcPr>
          <w:p w14:paraId="6141A09B">
            <w:pPr>
              <w:widowControl/>
              <w:jc w:val="center"/>
              <w:rPr>
                <w:rFonts w:hint="eastAsia" w:ascii="宋体" w:hAnsi="宋体" w:cs="宋体"/>
                <w:b/>
                <w:bCs/>
                <w:color w:val="auto"/>
                <w:kern w:val="0"/>
                <w:sz w:val="20"/>
                <w:szCs w:val="20"/>
                <w:highlight w:val="none"/>
                <w:lang w:bidi="ar"/>
              </w:rPr>
            </w:pPr>
          </w:p>
        </w:tc>
      </w:tr>
      <w:tr w14:paraId="489B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88" w:type="dxa"/>
            <w:noWrap w:val="0"/>
            <w:vAlign w:val="center"/>
          </w:tcPr>
          <w:p w14:paraId="6CE93BE4">
            <w:pPr>
              <w:widowControl/>
              <w:jc w:val="center"/>
              <w:rPr>
                <w:rFonts w:hint="eastAsia" w:ascii="宋体" w:hAnsi="宋体" w:cs="宋体"/>
                <w:b/>
                <w:bCs/>
                <w:color w:val="auto"/>
                <w:kern w:val="0"/>
                <w:sz w:val="20"/>
                <w:szCs w:val="20"/>
                <w:highlight w:val="none"/>
                <w:lang w:bidi="ar"/>
              </w:rPr>
            </w:pPr>
          </w:p>
        </w:tc>
        <w:tc>
          <w:tcPr>
            <w:tcW w:w="846" w:type="dxa"/>
            <w:noWrap w:val="0"/>
            <w:vAlign w:val="center"/>
          </w:tcPr>
          <w:p w14:paraId="0DCDA0C7">
            <w:pPr>
              <w:widowControl/>
              <w:jc w:val="center"/>
              <w:rPr>
                <w:rFonts w:hint="eastAsia" w:ascii="宋体" w:hAnsi="宋体" w:cs="宋体"/>
                <w:b/>
                <w:bCs/>
                <w:color w:val="auto"/>
                <w:kern w:val="0"/>
                <w:sz w:val="20"/>
                <w:szCs w:val="20"/>
                <w:highlight w:val="none"/>
                <w:lang w:bidi="ar"/>
              </w:rPr>
            </w:pPr>
          </w:p>
        </w:tc>
        <w:tc>
          <w:tcPr>
            <w:tcW w:w="837" w:type="dxa"/>
            <w:noWrap w:val="0"/>
            <w:vAlign w:val="center"/>
          </w:tcPr>
          <w:p w14:paraId="6EB48890">
            <w:pPr>
              <w:widowControl/>
              <w:jc w:val="center"/>
              <w:rPr>
                <w:rFonts w:hint="eastAsia" w:ascii="宋体" w:hAnsi="宋体" w:cs="宋体"/>
                <w:b/>
                <w:bCs/>
                <w:color w:val="auto"/>
                <w:kern w:val="0"/>
                <w:sz w:val="20"/>
                <w:szCs w:val="20"/>
                <w:highlight w:val="none"/>
                <w:lang w:bidi="ar"/>
              </w:rPr>
            </w:pPr>
          </w:p>
        </w:tc>
        <w:tc>
          <w:tcPr>
            <w:tcW w:w="625" w:type="dxa"/>
            <w:noWrap w:val="0"/>
            <w:vAlign w:val="center"/>
          </w:tcPr>
          <w:p w14:paraId="1F933FAB">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4A8BEEA3">
            <w:pPr>
              <w:widowControl/>
              <w:jc w:val="center"/>
              <w:rPr>
                <w:rFonts w:hint="eastAsia" w:ascii="宋体" w:hAnsi="宋体" w:cs="宋体"/>
                <w:b/>
                <w:bCs/>
                <w:color w:val="auto"/>
                <w:kern w:val="0"/>
                <w:sz w:val="20"/>
                <w:szCs w:val="20"/>
                <w:highlight w:val="none"/>
                <w:lang w:bidi="ar"/>
              </w:rPr>
            </w:pPr>
          </w:p>
        </w:tc>
        <w:tc>
          <w:tcPr>
            <w:tcW w:w="913" w:type="dxa"/>
            <w:noWrap w:val="0"/>
            <w:vAlign w:val="center"/>
          </w:tcPr>
          <w:p w14:paraId="48FC6D26">
            <w:pPr>
              <w:widowControl/>
              <w:jc w:val="center"/>
              <w:rPr>
                <w:rFonts w:hint="eastAsia" w:ascii="宋体" w:hAnsi="宋体" w:cs="宋体"/>
                <w:b/>
                <w:bCs/>
                <w:color w:val="auto"/>
                <w:kern w:val="0"/>
                <w:sz w:val="20"/>
                <w:szCs w:val="20"/>
                <w:highlight w:val="none"/>
                <w:lang w:bidi="ar"/>
              </w:rPr>
            </w:pPr>
          </w:p>
        </w:tc>
        <w:tc>
          <w:tcPr>
            <w:tcW w:w="787" w:type="dxa"/>
            <w:noWrap w:val="0"/>
            <w:vAlign w:val="center"/>
          </w:tcPr>
          <w:p w14:paraId="7377F83B">
            <w:pPr>
              <w:widowControl/>
              <w:jc w:val="center"/>
              <w:rPr>
                <w:rFonts w:hint="eastAsia" w:ascii="宋体" w:hAnsi="宋体" w:cs="宋体"/>
                <w:b/>
                <w:bCs/>
                <w:color w:val="auto"/>
                <w:kern w:val="0"/>
                <w:sz w:val="20"/>
                <w:szCs w:val="20"/>
                <w:highlight w:val="none"/>
                <w:lang w:bidi="ar"/>
              </w:rPr>
            </w:pPr>
          </w:p>
        </w:tc>
        <w:tc>
          <w:tcPr>
            <w:tcW w:w="800" w:type="dxa"/>
            <w:noWrap w:val="0"/>
            <w:vAlign w:val="center"/>
          </w:tcPr>
          <w:p w14:paraId="6773C200">
            <w:pPr>
              <w:widowControl/>
              <w:jc w:val="center"/>
              <w:rPr>
                <w:rFonts w:hint="eastAsia" w:ascii="宋体" w:hAnsi="宋体" w:cs="宋体"/>
                <w:b/>
                <w:bCs/>
                <w:color w:val="auto"/>
                <w:kern w:val="0"/>
                <w:sz w:val="20"/>
                <w:szCs w:val="20"/>
                <w:highlight w:val="none"/>
                <w:lang w:bidi="ar"/>
              </w:rPr>
            </w:pPr>
          </w:p>
        </w:tc>
        <w:tc>
          <w:tcPr>
            <w:tcW w:w="700" w:type="dxa"/>
            <w:noWrap w:val="0"/>
            <w:vAlign w:val="center"/>
          </w:tcPr>
          <w:p w14:paraId="65B5EF29">
            <w:pPr>
              <w:widowControl/>
              <w:jc w:val="center"/>
              <w:rPr>
                <w:rFonts w:hint="eastAsia" w:ascii="宋体" w:hAnsi="宋体" w:cs="宋体"/>
                <w:b/>
                <w:bCs/>
                <w:color w:val="auto"/>
                <w:kern w:val="0"/>
                <w:sz w:val="20"/>
                <w:szCs w:val="20"/>
                <w:highlight w:val="none"/>
                <w:lang w:bidi="ar"/>
              </w:rPr>
            </w:pPr>
          </w:p>
        </w:tc>
        <w:tc>
          <w:tcPr>
            <w:tcW w:w="788" w:type="dxa"/>
            <w:noWrap w:val="0"/>
            <w:vAlign w:val="center"/>
          </w:tcPr>
          <w:p w14:paraId="44B3DC45">
            <w:pPr>
              <w:widowControl/>
              <w:jc w:val="center"/>
              <w:rPr>
                <w:rFonts w:hint="eastAsia" w:ascii="宋体" w:hAnsi="宋体" w:cs="宋体"/>
                <w:b/>
                <w:bCs/>
                <w:color w:val="auto"/>
                <w:kern w:val="0"/>
                <w:sz w:val="20"/>
                <w:szCs w:val="20"/>
                <w:highlight w:val="none"/>
                <w:lang w:bidi="ar"/>
              </w:rPr>
            </w:pPr>
          </w:p>
        </w:tc>
        <w:tc>
          <w:tcPr>
            <w:tcW w:w="812" w:type="dxa"/>
            <w:noWrap w:val="0"/>
            <w:vAlign w:val="center"/>
          </w:tcPr>
          <w:p w14:paraId="7566BD75">
            <w:pPr>
              <w:widowControl/>
              <w:jc w:val="center"/>
              <w:rPr>
                <w:rFonts w:hint="eastAsia" w:ascii="宋体" w:hAnsi="宋体" w:cs="宋体"/>
                <w:b/>
                <w:bCs/>
                <w:color w:val="auto"/>
                <w:kern w:val="0"/>
                <w:sz w:val="20"/>
                <w:szCs w:val="20"/>
                <w:highlight w:val="none"/>
                <w:lang w:bidi="ar"/>
              </w:rPr>
            </w:pPr>
          </w:p>
        </w:tc>
      </w:tr>
    </w:tbl>
    <w:p w14:paraId="079EA5B3">
      <w:pPr>
        <w:widowControl/>
        <w:jc w:val="left"/>
        <w:rPr>
          <w:rFonts w:hint="eastAsia" w:ascii="宋体" w:hAnsi="宋体" w:cs="宋体"/>
          <w:b/>
          <w:bCs/>
          <w:color w:val="auto"/>
          <w:kern w:val="0"/>
          <w:sz w:val="20"/>
          <w:szCs w:val="20"/>
          <w:highlight w:val="none"/>
          <w:lang w:bidi="ar"/>
        </w:rPr>
      </w:pPr>
    </w:p>
    <w:p w14:paraId="27F8E7DB">
      <w:pPr>
        <w:widowControl/>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注：表中内容须按要求填写，如某项不确定可用“/”表述，否则响应文件作无效处理。</w:t>
      </w:r>
    </w:p>
    <w:p w14:paraId="6707C30E">
      <w:pPr>
        <w:widowControl/>
        <w:jc w:val="left"/>
        <w:rPr>
          <w:rFonts w:hint="eastAsia" w:ascii="宋体" w:hAnsi="宋体" w:cs="宋体"/>
          <w:b/>
          <w:bCs/>
          <w:color w:val="auto"/>
          <w:kern w:val="0"/>
          <w:sz w:val="20"/>
          <w:szCs w:val="20"/>
          <w:highlight w:val="none"/>
          <w:lang w:bidi="ar"/>
        </w:rPr>
      </w:pPr>
    </w:p>
    <w:p w14:paraId="20668EAF">
      <w:pPr>
        <w:widowControl/>
        <w:jc w:val="left"/>
        <w:rPr>
          <w:rFonts w:hint="eastAsia" w:ascii="宋体" w:hAnsi="宋体" w:cs="宋体"/>
          <w:b/>
          <w:bCs/>
          <w:color w:val="auto"/>
          <w:kern w:val="0"/>
          <w:sz w:val="20"/>
          <w:szCs w:val="20"/>
          <w:highlight w:val="none"/>
          <w:lang w:bidi="ar"/>
        </w:rPr>
      </w:pPr>
    </w:p>
    <w:p w14:paraId="6FC3CA7A">
      <w:pPr>
        <w:widowControl/>
        <w:jc w:val="left"/>
        <w:rPr>
          <w:rFonts w:hint="eastAsia" w:ascii="宋体" w:hAnsi="宋体" w:cs="宋体"/>
          <w:b/>
          <w:bCs/>
          <w:color w:val="auto"/>
          <w:kern w:val="0"/>
          <w:sz w:val="20"/>
          <w:szCs w:val="20"/>
          <w:highlight w:val="none"/>
          <w:lang w:bidi="ar"/>
        </w:rPr>
      </w:pPr>
    </w:p>
    <w:p w14:paraId="4ED5C299">
      <w:pPr>
        <w:widowControl/>
        <w:jc w:val="left"/>
        <w:rPr>
          <w:rFonts w:hint="eastAsia" w:ascii="宋体" w:hAnsi="宋体" w:cs="宋体"/>
          <w:b/>
          <w:bCs/>
          <w:color w:val="auto"/>
          <w:kern w:val="0"/>
          <w:sz w:val="20"/>
          <w:szCs w:val="20"/>
          <w:highlight w:val="none"/>
          <w:lang w:bidi="ar"/>
        </w:rPr>
      </w:pPr>
    </w:p>
    <w:p w14:paraId="422E595D">
      <w:pPr>
        <w:widowControl/>
        <w:spacing w:line="440" w:lineRule="exact"/>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 xml:space="preserve">附件二：拟投入本合同工程的试验和检测仪器设备表 </w:t>
      </w:r>
    </w:p>
    <w:p w14:paraId="0A9B578C">
      <w:pPr>
        <w:widowControl/>
        <w:spacing w:line="440" w:lineRule="exact"/>
        <w:jc w:val="center"/>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拟投入本合同工程的试验和检测仪器设备表</w:t>
      </w:r>
    </w:p>
    <w:p w14:paraId="59196A45">
      <w:pPr>
        <w:widowControl/>
        <w:jc w:val="left"/>
        <w:rPr>
          <w:rFonts w:hint="eastAsia" w:ascii="宋体" w:hAnsi="宋体" w:cs="宋体"/>
          <w:b/>
          <w:bCs/>
          <w:color w:val="auto"/>
          <w:kern w:val="0"/>
          <w:sz w:val="20"/>
          <w:szCs w:val="20"/>
          <w:highlight w:val="none"/>
          <w:lang w:bidi="ar"/>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146"/>
        <w:gridCol w:w="927"/>
        <w:gridCol w:w="654"/>
        <w:gridCol w:w="819"/>
        <w:gridCol w:w="859"/>
        <w:gridCol w:w="981"/>
        <w:gridCol w:w="880"/>
        <w:gridCol w:w="777"/>
      </w:tblGrid>
      <w:tr w14:paraId="40DE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61" w:type="dxa"/>
            <w:noWrap w:val="0"/>
            <w:vAlign w:val="center"/>
          </w:tcPr>
          <w:p w14:paraId="61B14006">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序号</w:t>
            </w:r>
          </w:p>
        </w:tc>
        <w:tc>
          <w:tcPr>
            <w:tcW w:w="1146" w:type="dxa"/>
            <w:noWrap w:val="0"/>
            <w:vAlign w:val="center"/>
          </w:tcPr>
          <w:p w14:paraId="0E6F697E">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仪器设备名称</w:t>
            </w:r>
          </w:p>
        </w:tc>
        <w:tc>
          <w:tcPr>
            <w:tcW w:w="927" w:type="dxa"/>
            <w:noWrap w:val="0"/>
            <w:vAlign w:val="center"/>
          </w:tcPr>
          <w:p w14:paraId="34963ECF">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型号、规格</w:t>
            </w:r>
          </w:p>
        </w:tc>
        <w:tc>
          <w:tcPr>
            <w:tcW w:w="654" w:type="dxa"/>
            <w:noWrap w:val="0"/>
            <w:vAlign w:val="center"/>
          </w:tcPr>
          <w:p w14:paraId="13F90BC7">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数量</w:t>
            </w:r>
          </w:p>
        </w:tc>
        <w:tc>
          <w:tcPr>
            <w:tcW w:w="819" w:type="dxa"/>
            <w:noWrap w:val="0"/>
            <w:vAlign w:val="center"/>
          </w:tcPr>
          <w:p w14:paraId="598A684E">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国别、产地</w:t>
            </w:r>
          </w:p>
        </w:tc>
        <w:tc>
          <w:tcPr>
            <w:tcW w:w="859" w:type="dxa"/>
            <w:noWrap w:val="0"/>
            <w:vAlign w:val="center"/>
          </w:tcPr>
          <w:p w14:paraId="59095589">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 w:val="20"/>
                <w:szCs w:val="20"/>
                <w:highlight w:val="none"/>
                <w:lang w:bidi="ar"/>
              </w:rPr>
              <w:t>制造年份</w:t>
            </w:r>
          </w:p>
        </w:tc>
        <w:tc>
          <w:tcPr>
            <w:tcW w:w="981" w:type="dxa"/>
            <w:noWrap w:val="0"/>
            <w:vAlign w:val="center"/>
          </w:tcPr>
          <w:p w14:paraId="0F89389E">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 w:val="20"/>
                <w:szCs w:val="20"/>
                <w:highlight w:val="none"/>
                <w:lang w:bidi="ar"/>
              </w:rPr>
              <w:t>己使用台时数</w:t>
            </w:r>
          </w:p>
        </w:tc>
        <w:tc>
          <w:tcPr>
            <w:tcW w:w="880" w:type="dxa"/>
            <w:noWrap w:val="0"/>
            <w:vAlign w:val="center"/>
          </w:tcPr>
          <w:p w14:paraId="41EE8AA3">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 w:val="20"/>
                <w:szCs w:val="20"/>
                <w:highlight w:val="none"/>
                <w:lang w:bidi="ar"/>
              </w:rPr>
              <w:t>用途</w:t>
            </w:r>
          </w:p>
        </w:tc>
        <w:tc>
          <w:tcPr>
            <w:tcW w:w="777" w:type="dxa"/>
            <w:noWrap w:val="0"/>
            <w:vAlign w:val="center"/>
          </w:tcPr>
          <w:p w14:paraId="0A30F8DF">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备注</w:t>
            </w:r>
          </w:p>
        </w:tc>
      </w:tr>
      <w:tr w14:paraId="4102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61" w:type="dxa"/>
            <w:noWrap w:val="0"/>
            <w:vAlign w:val="center"/>
          </w:tcPr>
          <w:p w14:paraId="271A2EC2">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2CC5B9AD">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0FA7F4AB">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60A1CADE">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09D2BB60">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2F63929B">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2DD66148">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0F08B806">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4ACF90FB">
            <w:pPr>
              <w:widowControl/>
              <w:jc w:val="center"/>
              <w:rPr>
                <w:rFonts w:hint="eastAsia" w:ascii="宋体" w:hAnsi="宋体" w:cs="宋体"/>
                <w:b/>
                <w:bCs/>
                <w:color w:val="auto"/>
                <w:kern w:val="0"/>
                <w:sz w:val="20"/>
                <w:szCs w:val="20"/>
                <w:highlight w:val="none"/>
                <w:lang w:bidi="ar"/>
              </w:rPr>
            </w:pPr>
          </w:p>
        </w:tc>
      </w:tr>
      <w:tr w14:paraId="755A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61" w:type="dxa"/>
            <w:noWrap w:val="0"/>
            <w:vAlign w:val="center"/>
          </w:tcPr>
          <w:p w14:paraId="1376EC60">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63842EEE">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3F39D881">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5E739D7A">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65D26005">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0B64CDAC">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626C530C">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19838035">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4E6CE918">
            <w:pPr>
              <w:widowControl/>
              <w:jc w:val="center"/>
              <w:rPr>
                <w:rFonts w:hint="eastAsia" w:ascii="宋体" w:hAnsi="宋体" w:cs="宋体"/>
                <w:b/>
                <w:bCs/>
                <w:color w:val="auto"/>
                <w:kern w:val="0"/>
                <w:sz w:val="20"/>
                <w:szCs w:val="20"/>
                <w:highlight w:val="none"/>
                <w:lang w:bidi="ar"/>
              </w:rPr>
            </w:pPr>
          </w:p>
        </w:tc>
      </w:tr>
      <w:tr w14:paraId="5BB5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1" w:type="dxa"/>
            <w:noWrap w:val="0"/>
            <w:vAlign w:val="center"/>
          </w:tcPr>
          <w:p w14:paraId="774F90B3">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6268AC15">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7F2E7036">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602FAAC7">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479B733E">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46E7CBD7">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78B15369">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08F6F6F5">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0E60BE74">
            <w:pPr>
              <w:widowControl/>
              <w:jc w:val="center"/>
              <w:rPr>
                <w:rFonts w:hint="eastAsia" w:ascii="宋体" w:hAnsi="宋体" w:cs="宋体"/>
                <w:b/>
                <w:bCs/>
                <w:color w:val="auto"/>
                <w:kern w:val="0"/>
                <w:sz w:val="20"/>
                <w:szCs w:val="20"/>
                <w:highlight w:val="none"/>
                <w:lang w:bidi="ar"/>
              </w:rPr>
            </w:pPr>
          </w:p>
        </w:tc>
      </w:tr>
      <w:tr w14:paraId="39BB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761" w:type="dxa"/>
            <w:noWrap w:val="0"/>
            <w:vAlign w:val="center"/>
          </w:tcPr>
          <w:p w14:paraId="3AF04153">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0903D6A8">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33C380AE">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06F89B64">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44A41FDD">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518F2453">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3BF18B86">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56AD4E0D">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06300144">
            <w:pPr>
              <w:widowControl/>
              <w:jc w:val="center"/>
              <w:rPr>
                <w:rFonts w:hint="eastAsia" w:ascii="宋体" w:hAnsi="宋体" w:cs="宋体"/>
                <w:b/>
                <w:bCs/>
                <w:color w:val="auto"/>
                <w:kern w:val="0"/>
                <w:sz w:val="20"/>
                <w:szCs w:val="20"/>
                <w:highlight w:val="none"/>
                <w:lang w:bidi="ar"/>
              </w:rPr>
            </w:pPr>
          </w:p>
        </w:tc>
      </w:tr>
      <w:tr w14:paraId="37B0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61" w:type="dxa"/>
            <w:noWrap w:val="0"/>
            <w:vAlign w:val="center"/>
          </w:tcPr>
          <w:p w14:paraId="2DC81FDF">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104EC11B">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575308B9">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30C92784">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03CD4A90">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0E78FB5C">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4768E719">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69C424D3">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4B3126D5">
            <w:pPr>
              <w:widowControl/>
              <w:jc w:val="center"/>
              <w:rPr>
                <w:rFonts w:hint="eastAsia" w:ascii="宋体" w:hAnsi="宋体" w:cs="宋体"/>
                <w:b/>
                <w:bCs/>
                <w:color w:val="auto"/>
                <w:kern w:val="0"/>
                <w:sz w:val="20"/>
                <w:szCs w:val="20"/>
                <w:highlight w:val="none"/>
                <w:lang w:bidi="ar"/>
              </w:rPr>
            </w:pPr>
          </w:p>
        </w:tc>
      </w:tr>
    </w:tbl>
    <w:p w14:paraId="2AEA52D3">
      <w:pPr>
        <w:widowControl/>
        <w:jc w:val="left"/>
        <w:rPr>
          <w:rFonts w:hint="eastAsia" w:ascii="宋体" w:hAnsi="宋体" w:cs="宋体"/>
          <w:b/>
          <w:bCs/>
          <w:color w:val="auto"/>
          <w:kern w:val="0"/>
          <w:sz w:val="20"/>
          <w:szCs w:val="20"/>
          <w:highlight w:val="none"/>
          <w:lang w:bidi="ar"/>
        </w:rPr>
      </w:pPr>
    </w:p>
    <w:p w14:paraId="4C37ADF8">
      <w:pPr>
        <w:widowControl/>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注：表中内容须按要求填写，如某项不确定可用“/”表述，否则响应文件作无效处理。</w:t>
      </w:r>
    </w:p>
    <w:p w14:paraId="13142F11">
      <w:pPr>
        <w:widowControl/>
        <w:jc w:val="left"/>
        <w:rPr>
          <w:rFonts w:hint="eastAsia" w:ascii="宋体" w:hAnsi="宋体" w:cs="宋体"/>
          <w:b/>
          <w:bCs/>
          <w:color w:val="auto"/>
          <w:kern w:val="0"/>
          <w:sz w:val="20"/>
          <w:szCs w:val="20"/>
          <w:highlight w:val="none"/>
          <w:lang w:bidi="ar"/>
        </w:rPr>
      </w:pPr>
    </w:p>
    <w:p w14:paraId="36BD3F20">
      <w:pPr>
        <w:widowControl/>
        <w:jc w:val="left"/>
        <w:rPr>
          <w:rFonts w:hint="eastAsia" w:ascii="宋体" w:hAnsi="宋体" w:cs="宋体"/>
          <w:b/>
          <w:bCs/>
          <w:color w:val="auto"/>
          <w:kern w:val="0"/>
          <w:sz w:val="20"/>
          <w:szCs w:val="20"/>
          <w:highlight w:val="none"/>
          <w:lang w:bidi="ar"/>
        </w:rPr>
      </w:pPr>
    </w:p>
    <w:p w14:paraId="1C712BA4">
      <w:pPr>
        <w:widowControl/>
        <w:jc w:val="left"/>
        <w:rPr>
          <w:rFonts w:hint="eastAsia" w:ascii="宋体" w:hAnsi="宋体" w:cs="宋体"/>
          <w:b/>
          <w:bCs/>
          <w:color w:val="auto"/>
          <w:kern w:val="0"/>
          <w:sz w:val="20"/>
          <w:szCs w:val="20"/>
          <w:highlight w:val="none"/>
          <w:lang w:bidi="ar"/>
        </w:rPr>
      </w:pPr>
    </w:p>
    <w:p w14:paraId="24F7E38D">
      <w:pPr>
        <w:widowControl/>
        <w:jc w:val="left"/>
        <w:rPr>
          <w:rFonts w:hint="eastAsia" w:ascii="宋体" w:hAnsi="宋体" w:cs="宋体"/>
          <w:b/>
          <w:bCs/>
          <w:color w:val="auto"/>
          <w:kern w:val="0"/>
          <w:sz w:val="20"/>
          <w:szCs w:val="20"/>
          <w:highlight w:val="none"/>
          <w:lang w:bidi="ar"/>
        </w:rPr>
      </w:pPr>
    </w:p>
    <w:p w14:paraId="7347DC17">
      <w:pPr>
        <w:widowControl/>
        <w:jc w:val="left"/>
        <w:rPr>
          <w:rFonts w:hint="eastAsia" w:ascii="宋体" w:hAnsi="宋体" w:cs="宋体"/>
          <w:b/>
          <w:bCs/>
          <w:color w:val="auto"/>
          <w:kern w:val="0"/>
          <w:sz w:val="20"/>
          <w:szCs w:val="20"/>
          <w:highlight w:val="none"/>
          <w:lang w:bidi="ar"/>
        </w:rPr>
      </w:pPr>
    </w:p>
    <w:p w14:paraId="3FC0C4DD">
      <w:pPr>
        <w:widowControl/>
        <w:jc w:val="left"/>
        <w:rPr>
          <w:rFonts w:hint="eastAsia" w:ascii="宋体" w:hAnsi="宋体" w:cs="宋体"/>
          <w:b/>
          <w:bCs/>
          <w:color w:val="auto"/>
          <w:kern w:val="0"/>
          <w:sz w:val="20"/>
          <w:szCs w:val="20"/>
          <w:highlight w:val="none"/>
          <w:lang w:bidi="ar"/>
        </w:rPr>
      </w:pPr>
    </w:p>
    <w:p w14:paraId="75AADD8D">
      <w:pPr>
        <w:widowControl/>
        <w:jc w:val="left"/>
        <w:rPr>
          <w:rFonts w:hint="eastAsia" w:ascii="宋体" w:hAnsi="宋体" w:cs="宋体"/>
          <w:b/>
          <w:bCs/>
          <w:color w:val="auto"/>
          <w:kern w:val="0"/>
          <w:sz w:val="20"/>
          <w:szCs w:val="20"/>
          <w:highlight w:val="none"/>
          <w:lang w:bidi="ar"/>
        </w:rPr>
      </w:pPr>
    </w:p>
    <w:p w14:paraId="31EAE4EF">
      <w:pPr>
        <w:widowControl/>
        <w:spacing w:line="440" w:lineRule="exact"/>
        <w:jc w:val="left"/>
        <w:rPr>
          <w:rFonts w:hint="eastAsia" w:ascii="宋体" w:hAnsi="宋体" w:cs="宋体"/>
          <w:b/>
          <w:bCs/>
          <w:color w:val="auto"/>
          <w:kern w:val="0"/>
          <w:sz w:val="20"/>
          <w:szCs w:val="20"/>
          <w:highlight w:val="none"/>
          <w:lang w:bidi="ar"/>
        </w:rPr>
      </w:pPr>
    </w:p>
    <w:p w14:paraId="5F4B41AE">
      <w:pPr>
        <w:widowControl/>
        <w:spacing w:line="440" w:lineRule="exact"/>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 xml:space="preserve">附件三：拟投入本合同工程的劳动力计划表 </w:t>
      </w:r>
    </w:p>
    <w:p w14:paraId="01DAAEE3">
      <w:pPr>
        <w:widowControl/>
        <w:spacing w:line="440" w:lineRule="exact"/>
        <w:jc w:val="center"/>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拟投入本合同工程的劳动力计划表</w:t>
      </w:r>
    </w:p>
    <w:p w14:paraId="1C25049A">
      <w:pPr>
        <w:widowControl/>
        <w:jc w:val="left"/>
        <w:rPr>
          <w:rFonts w:hint="eastAsia" w:ascii="宋体" w:hAnsi="宋体" w:cs="宋体"/>
          <w:b/>
          <w:bCs/>
          <w:color w:val="auto"/>
          <w:kern w:val="0"/>
          <w:sz w:val="20"/>
          <w:szCs w:val="20"/>
          <w:highlight w:val="none"/>
          <w:lang w:bidi="ar"/>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1362"/>
        <w:gridCol w:w="602"/>
        <w:gridCol w:w="532"/>
        <w:gridCol w:w="522"/>
        <w:gridCol w:w="460"/>
        <w:gridCol w:w="463"/>
        <w:gridCol w:w="573"/>
        <w:gridCol w:w="892"/>
        <w:gridCol w:w="1003"/>
      </w:tblGrid>
      <w:tr w14:paraId="5EC3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3077" w:type="dxa"/>
            <w:gridSpan w:val="2"/>
            <w:noWrap w:val="0"/>
            <w:vAlign w:val="center"/>
          </w:tcPr>
          <w:p w14:paraId="77F966EB">
            <w:pPr>
              <w:spacing w:line="360" w:lineRule="auto"/>
              <w:ind w:firstLine="1680" w:firstLineChars="700"/>
              <w:rPr>
                <w:rFonts w:hint="eastAsia" w:ascii="仿宋_GB2312" w:hAnsi="仿宋" w:eastAsia="仿宋_GB2312" w:cs="仿宋_GB2312"/>
                <w:color w:val="auto"/>
                <w:sz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-53340</wp:posOffset>
                      </wp:positionH>
                      <wp:positionV relativeFrom="paragraph">
                        <wp:posOffset>5715</wp:posOffset>
                      </wp:positionV>
                      <wp:extent cx="1939925" cy="632460"/>
                      <wp:effectExtent l="1270" t="4445" r="1905" b="10795"/>
                      <wp:wrapNone/>
                      <wp:docPr id="11" name="直接连接符 11"/>
                      <wp:cNvGraphicFramePr/>
                      <a:graphic xmlns:a="http://schemas.openxmlformats.org/drawingml/2006/main">
                        <a:graphicData uri="http://schemas.microsoft.com/office/word/2010/wordprocessingShape">
                          <wps:wsp>
                            <wps:cNvCnPr/>
                            <wps:spPr>
                              <a:xfrm>
                                <a:off x="0" y="0"/>
                                <a:ext cx="1939925" cy="63246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2pt;margin-top:0.45pt;height:49.8pt;width:152.75pt;z-index:251660288;mso-width-relative:page;mso-height-relative:page;" filled="f" stroked="t" coordsize="21600,21600" o:gfxdata="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FLpBV1QAAAAcBAAAPAAAAAAAAAAEAIAAAACIAAABkcnMvZG93bnJl&#10;di54bWxQSwECFAAUAAAACACHTuJAeZytkwACAAD5AwAADgAAAAAAAAABACAAAAAkAQAAZHJzL2Uy&#10;b0RvYy54bWxQSwUGAAAAAAYABgBZAQAAlgUAAAAA&#10;">
                      <v:fill on="f" focussize="0,0"/>
                      <v:stroke color="#000000" joinstyle="round"/>
                      <v:imagedata o:title=""/>
                      <o:lock v:ext="edit" aspectratio="f"/>
                    </v:line>
                  </w:pict>
                </mc:Fallback>
              </mc:AlternateContent>
            </w:r>
            <w:r>
              <w:rPr>
                <w:rFonts w:hint="eastAsia" w:ascii="仿宋_GB2312" w:hAnsi="仿宋" w:eastAsia="仿宋_GB2312" w:cs="仿宋_GB2312"/>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-44450</wp:posOffset>
                      </wp:positionH>
                      <wp:positionV relativeFrom="paragraph">
                        <wp:posOffset>14605</wp:posOffset>
                      </wp:positionV>
                      <wp:extent cx="1246505" cy="1462405"/>
                      <wp:effectExtent l="3810" t="3175" r="6985" b="20320"/>
                      <wp:wrapNone/>
                      <wp:docPr id="7" name="直接连接符 7"/>
                      <wp:cNvGraphicFramePr/>
                      <a:graphic xmlns:a="http://schemas.openxmlformats.org/drawingml/2006/main">
                        <a:graphicData uri="http://schemas.microsoft.com/office/word/2010/wordprocessingShape">
                          <wps:wsp>
                            <wps:cNvCnPr/>
                            <wps:spPr>
                              <a:xfrm>
                                <a:off x="0" y="0"/>
                                <a:ext cx="1246505" cy="146240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5pt;margin-top:1.15pt;height:115.15pt;width:98.15pt;z-index:251659264;mso-width-relative:page;mso-height-relative:page;" filled="f" stroked="t" coordsize="21600,21600" o:gfxdata="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mtotYAAAAIAQAADwAAAAAAAAABACAAAAAiAAAAZHJzL2Rvd25yZXYu&#10;eG1sUEsBAhQAFAAAAAgAh07iQMwWvEL9AQAA+AMAAA4AAAAAAAAAAQAgAAAAJQEAAGRycy9lMm9E&#10;b2MueG1sUEsFBgAAAAAGAAYAWQEAAJQFAAAAAA==&#10;">
                      <v:fill on="f" focussize="0,0"/>
                      <v:stroke color="#000000" joinstyle="round"/>
                      <v:imagedata o:title=""/>
                      <o:lock v:ext="edit" aspectratio="f"/>
                    </v:line>
                  </w:pict>
                </mc:Fallback>
              </mc:AlternateContent>
            </w:r>
            <w:r>
              <w:rPr>
                <w:rFonts w:hint="eastAsia" w:ascii="仿宋_GB2312" w:hAnsi="仿宋" w:eastAsia="仿宋_GB2312" w:cs="仿宋_GB2312"/>
                <w:color w:val="auto"/>
                <w:sz w:val="24"/>
                <w:highlight w:val="none"/>
              </w:rPr>
              <w:t>工种</w:t>
            </w:r>
          </w:p>
          <w:p w14:paraId="00FCCC3F">
            <w:pPr>
              <w:spacing w:line="360" w:lineRule="auto"/>
              <w:ind w:firstLine="960" w:firstLineChars="40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人数</w:t>
            </w:r>
          </w:p>
          <w:p w14:paraId="2DEC9E7C">
            <w:pPr>
              <w:spacing w:line="360" w:lineRule="auto"/>
              <w:rPr>
                <w:rFonts w:hint="eastAsia" w:ascii="仿宋_GB2312" w:hAnsi="仿宋" w:eastAsia="仿宋_GB2312" w:cs="仿宋_GB2312"/>
                <w:color w:val="auto"/>
                <w:sz w:val="24"/>
                <w:highlight w:val="none"/>
              </w:rPr>
            </w:pPr>
          </w:p>
          <w:p w14:paraId="3FA86B97">
            <w:pPr>
              <w:spacing w:line="360" w:lineRule="auto"/>
              <w:ind w:firstLine="240" w:firstLineChars="1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时间</w:t>
            </w:r>
          </w:p>
        </w:tc>
        <w:tc>
          <w:tcPr>
            <w:tcW w:w="602" w:type="dxa"/>
            <w:noWrap w:val="0"/>
            <w:vAlign w:val="center"/>
          </w:tcPr>
          <w:p w14:paraId="1FD00F28">
            <w:pPr>
              <w:spacing w:line="360" w:lineRule="auto"/>
              <w:rPr>
                <w:rFonts w:hint="eastAsia" w:ascii="仿宋_GB2312" w:hAnsi="仿宋" w:eastAsia="仿宋_GB2312" w:cs="仿宋_GB2312"/>
                <w:color w:val="auto"/>
                <w:sz w:val="24"/>
                <w:highlight w:val="none"/>
              </w:rPr>
            </w:pPr>
          </w:p>
        </w:tc>
        <w:tc>
          <w:tcPr>
            <w:tcW w:w="532" w:type="dxa"/>
            <w:noWrap w:val="0"/>
            <w:vAlign w:val="center"/>
          </w:tcPr>
          <w:p w14:paraId="56B85195">
            <w:pPr>
              <w:spacing w:line="360" w:lineRule="auto"/>
              <w:rPr>
                <w:rFonts w:hint="eastAsia" w:ascii="仿宋_GB2312" w:hAnsi="仿宋" w:eastAsia="仿宋_GB2312" w:cs="仿宋_GB2312"/>
                <w:color w:val="auto"/>
                <w:sz w:val="24"/>
                <w:highlight w:val="none"/>
              </w:rPr>
            </w:pPr>
          </w:p>
        </w:tc>
        <w:tc>
          <w:tcPr>
            <w:tcW w:w="522" w:type="dxa"/>
            <w:noWrap w:val="0"/>
            <w:vAlign w:val="center"/>
          </w:tcPr>
          <w:p w14:paraId="4AB1DFF5">
            <w:pPr>
              <w:spacing w:line="360" w:lineRule="auto"/>
              <w:rPr>
                <w:rFonts w:hint="eastAsia" w:ascii="仿宋_GB2312" w:hAnsi="仿宋" w:eastAsia="仿宋_GB2312" w:cs="仿宋_GB2312"/>
                <w:color w:val="auto"/>
                <w:sz w:val="24"/>
                <w:highlight w:val="none"/>
              </w:rPr>
            </w:pPr>
          </w:p>
        </w:tc>
        <w:tc>
          <w:tcPr>
            <w:tcW w:w="460" w:type="dxa"/>
            <w:noWrap w:val="0"/>
            <w:vAlign w:val="center"/>
          </w:tcPr>
          <w:p w14:paraId="62DFFE5E">
            <w:pPr>
              <w:spacing w:line="360" w:lineRule="auto"/>
              <w:rPr>
                <w:rFonts w:hint="eastAsia" w:ascii="仿宋_GB2312" w:hAnsi="仿宋" w:eastAsia="仿宋_GB2312" w:cs="仿宋_GB2312"/>
                <w:color w:val="auto"/>
                <w:sz w:val="24"/>
                <w:highlight w:val="none"/>
              </w:rPr>
            </w:pPr>
          </w:p>
        </w:tc>
        <w:tc>
          <w:tcPr>
            <w:tcW w:w="463" w:type="dxa"/>
            <w:noWrap w:val="0"/>
            <w:vAlign w:val="center"/>
          </w:tcPr>
          <w:p w14:paraId="29216D7D">
            <w:pPr>
              <w:spacing w:line="360" w:lineRule="auto"/>
              <w:rPr>
                <w:rFonts w:hint="eastAsia" w:ascii="仿宋_GB2312" w:hAnsi="仿宋" w:eastAsia="仿宋_GB2312" w:cs="仿宋_GB2312"/>
                <w:color w:val="auto"/>
                <w:sz w:val="24"/>
                <w:highlight w:val="none"/>
              </w:rPr>
            </w:pPr>
          </w:p>
        </w:tc>
        <w:tc>
          <w:tcPr>
            <w:tcW w:w="573" w:type="dxa"/>
            <w:noWrap w:val="0"/>
            <w:vAlign w:val="center"/>
          </w:tcPr>
          <w:p w14:paraId="3390DD22">
            <w:pPr>
              <w:spacing w:line="360" w:lineRule="auto"/>
              <w:rPr>
                <w:rFonts w:hint="eastAsia" w:ascii="仿宋_GB2312" w:hAnsi="仿宋" w:eastAsia="仿宋_GB2312" w:cs="仿宋_GB2312"/>
                <w:color w:val="auto"/>
                <w:sz w:val="24"/>
                <w:highlight w:val="none"/>
              </w:rPr>
            </w:pPr>
          </w:p>
        </w:tc>
        <w:tc>
          <w:tcPr>
            <w:tcW w:w="1895" w:type="dxa"/>
            <w:gridSpan w:val="2"/>
            <w:noWrap w:val="0"/>
            <w:vAlign w:val="center"/>
          </w:tcPr>
          <w:p w14:paraId="7D06FE04">
            <w:pPr>
              <w:spacing w:line="360" w:lineRule="auto"/>
              <w:rPr>
                <w:rFonts w:hint="eastAsia" w:ascii="仿宋_GB2312" w:hAnsi="仿宋" w:eastAsia="仿宋_GB2312" w:cs="仿宋_GB2312"/>
                <w:color w:val="auto"/>
                <w:sz w:val="24"/>
                <w:highlight w:val="none"/>
              </w:rPr>
            </w:pPr>
          </w:p>
          <w:p w14:paraId="36DABDE0">
            <w:pPr>
              <w:spacing w:line="360" w:lineRule="auto"/>
              <w:ind w:firstLine="480" w:firstLineChars="2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合计</w:t>
            </w:r>
          </w:p>
          <w:p w14:paraId="444DD831">
            <w:pPr>
              <w:spacing w:line="360" w:lineRule="auto"/>
              <w:rPr>
                <w:rFonts w:hint="eastAsia" w:ascii="仿宋_GB2312" w:hAnsi="仿宋" w:eastAsia="仿宋_GB2312" w:cs="仿宋_GB2312"/>
                <w:color w:val="auto"/>
                <w:sz w:val="24"/>
                <w:highlight w:val="none"/>
              </w:rPr>
            </w:pPr>
            <w:r>
              <w:rPr>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489585</wp:posOffset>
                      </wp:positionH>
                      <wp:positionV relativeFrom="paragraph">
                        <wp:posOffset>191135</wp:posOffset>
                      </wp:positionV>
                      <wp:extent cx="8255" cy="718185"/>
                      <wp:effectExtent l="4445" t="0" r="6350" b="5715"/>
                      <wp:wrapNone/>
                      <wp:docPr id="8" name="直接连接符 8"/>
                      <wp:cNvGraphicFramePr/>
                      <a:graphic xmlns:a="http://schemas.openxmlformats.org/drawingml/2006/main">
                        <a:graphicData uri="http://schemas.microsoft.com/office/word/2010/wordprocessingShape">
                          <wps:wsp>
                            <wps:cNvCnPr/>
                            <wps:spPr>
                              <a:xfrm>
                                <a:off x="0" y="0"/>
                                <a:ext cx="8255" cy="71818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8.55pt;margin-top:15.05pt;height:56.55pt;width:0.65pt;z-index:251662336;mso-width-relative:page;mso-height-relative:page;" filled="f" stroked="t" coordsize="21600,21600" o:gfxdata="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S0OPLWAAAACAEAAA8AAAAAAAAAAQAgAAAAIgAAAGRycy9kb3ducmV2LnhtbFBL&#10;AQIUABQAAAAIAIdO4kAwwwrs+AEAAPQDAAAOAAAAAAAAAAEAIAAAACUBAABkcnMvZTJvRG9jLnht&#10;bFBLBQYAAAAABgAGAFkBAACPBQAAAAA=&#10;">
                      <v:fill on="f" focussize="0,0"/>
                      <v:stroke color="#000000" joinstyle="round"/>
                      <v:imagedata o:title=""/>
                      <o:lock v:ext="edit" aspectratio="f"/>
                    </v:line>
                  </w:pict>
                </mc:Fallback>
              </mc:AlternateContent>
            </w: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-51435</wp:posOffset>
                      </wp:positionH>
                      <wp:positionV relativeFrom="paragraph">
                        <wp:posOffset>186690</wp:posOffset>
                      </wp:positionV>
                      <wp:extent cx="1195070" cy="8890"/>
                      <wp:effectExtent l="0" t="0" r="0" b="0"/>
                      <wp:wrapNone/>
                      <wp:docPr id="3" name="直接连接符 3"/>
                      <wp:cNvGraphicFramePr/>
                      <a:graphic xmlns:a="http://schemas.openxmlformats.org/drawingml/2006/main">
                        <a:graphicData uri="http://schemas.microsoft.com/office/word/2010/wordprocessingShape">
                          <wps:wsp>
                            <wps:cNvCnPr/>
                            <wps:spPr>
                              <a:xfrm flipV="1">
                                <a:off x="0" y="0"/>
                                <a:ext cx="1195070" cy="889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4.05pt;margin-top:14.7pt;height:0.7pt;width:94.1pt;z-index:251661312;mso-width-relative:page;mso-height-relative:page;" filled="f" stroked="t" coordsize="21600,21600" o:gfxdata="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544nC1gAAAAgBAAAPAAAAAAAAAAEAIAAAACIAAABkcnMv&#10;ZG93bnJldi54bWxQSwECFAAUAAAACACHTuJAjivOTwUCAAD/AwAADgAAAAAAAAABACAAAAAlAQAA&#10;ZHJzL2Uyb0RvYy54bWxQSwUGAAAAAAYABgBZAQAAnAUAAAAA&#10;">
                      <v:fill on="f" focussize="0,0"/>
                      <v:stroke color="#000000" joinstyle="round"/>
                      <v:imagedata o:title=""/>
                      <o:lock v:ext="edit" aspectratio="f"/>
                    </v:line>
                  </w:pict>
                </mc:Fallback>
              </mc:AlternateContent>
            </w:r>
          </w:p>
          <w:p w14:paraId="5395A423">
            <w:pPr>
              <w:spacing w:line="360" w:lineRule="auto"/>
              <w:ind w:left="960" w:hanging="960" w:hangingChars="400"/>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人数  人工工日数</w:t>
            </w:r>
          </w:p>
        </w:tc>
      </w:tr>
      <w:tr w14:paraId="4E9D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vMerge w:val="restart"/>
            <w:noWrap w:val="0"/>
            <w:vAlign w:val="center"/>
          </w:tcPr>
          <w:p w14:paraId="526F8F70">
            <w:pPr>
              <w:spacing w:line="360" w:lineRule="auto"/>
              <w:ind w:firstLine="720" w:firstLineChars="3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年</w:t>
            </w:r>
          </w:p>
        </w:tc>
        <w:tc>
          <w:tcPr>
            <w:tcW w:w="1362" w:type="dxa"/>
            <w:noWrap w:val="0"/>
            <w:vAlign w:val="top"/>
          </w:tcPr>
          <w:p w14:paraId="792B2B92">
            <w:pPr>
              <w:spacing w:line="360" w:lineRule="auto"/>
              <w:ind w:firstLine="960" w:firstLineChars="400"/>
              <w:jc w:val="right"/>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月</w:t>
            </w:r>
          </w:p>
        </w:tc>
        <w:tc>
          <w:tcPr>
            <w:tcW w:w="602" w:type="dxa"/>
            <w:noWrap w:val="0"/>
            <w:vAlign w:val="top"/>
          </w:tcPr>
          <w:p w14:paraId="6D162B57">
            <w:pPr>
              <w:spacing w:line="360" w:lineRule="auto"/>
              <w:rPr>
                <w:rFonts w:hint="eastAsia" w:ascii="仿宋_GB2312" w:hAnsi="仿宋" w:eastAsia="仿宋_GB2312" w:cs="仿宋_GB2312"/>
                <w:color w:val="auto"/>
                <w:sz w:val="24"/>
                <w:highlight w:val="none"/>
              </w:rPr>
            </w:pPr>
          </w:p>
        </w:tc>
        <w:tc>
          <w:tcPr>
            <w:tcW w:w="532" w:type="dxa"/>
            <w:noWrap w:val="0"/>
            <w:vAlign w:val="top"/>
          </w:tcPr>
          <w:p w14:paraId="04BE5E18">
            <w:pPr>
              <w:spacing w:line="360" w:lineRule="auto"/>
              <w:rPr>
                <w:rFonts w:hint="eastAsia" w:ascii="仿宋_GB2312" w:hAnsi="仿宋" w:eastAsia="仿宋_GB2312" w:cs="仿宋_GB2312"/>
                <w:color w:val="auto"/>
                <w:sz w:val="24"/>
                <w:highlight w:val="none"/>
              </w:rPr>
            </w:pPr>
          </w:p>
        </w:tc>
        <w:tc>
          <w:tcPr>
            <w:tcW w:w="522" w:type="dxa"/>
            <w:noWrap w:val="0"/>
            <w:vAlign w:val="top"/>
          </w:tcPr>
          <w:p w14:paraId="2B0FD9FB">
            <w:pPr>
              <w:spacing w:line="360" w:lineRule="auto"/>
              <w:rPr>
                <w:rFonts w:hint="eastAsia" w:ascii="仿宋_GB2312" w:hAnsi="仿宋" w:eastAsia="仿宋_GB2312" w:cs="仿宋_GB2312"/>
                <w:color w:val="auto"/>
                <w:sz w:val="24"/>
                <w:highlight w:val="none"/>
              </w:rPr>
            </w:pPr>
          </w:p>
        </w:tc>
        <w:tc>
          <w:tcPr>
            <w:tcW w:w="460" w:type="dxa"/>
            <w:noWrap w:val="0"/>
            <w:vAlign w:val="top"/>
          </w:tcPr>
          <w:p w14:paraId="6966FDED">
            <w:pPr>
              <w:spacing w:line="360" w:lineRule="auto"/>
              <w:rPr>
                <w:rFonts w:hint="eastAsia" w:ascii="仿宋_GB2312" w:hAnsi="仿宋" w:eastAsia="仿宋_GB2312" w:cs="仿宋_GB2312"/>
                <w:color w:val="auto"/>
                <w:sz w:val="24"/>
                <w:highlight w:val="none"/>
              </w:rPr>
            </w:pPr>
          </w:p>
        </w:tc>
        <w:tc>
          <w:tcPr>
            <w:tcW w:w="463" w:type="dxa"/>
            <w:noWrap w:val="0"/>
            <w:vAlign w:val="top"/>
          </w:tcPr>
          <w:p w14:paraId="178C8ED0">
            <w:pPr>
              <w:spacing w:line="360" w:lineRule="auto"/>
              <w:rPr>
                <w:rFonts w:hint="eastAsia" w:ascii="仿宋_GB2312" w:hAnsi="仿宋" w:eastAsia="仿宋_GB2312" w:cs="仿宋_GB2312"/>
                <w:color w:val="auto"/>
                <w:sz w:val="24"/>
                <w:highlight w:val="none"/>
              </w:rPr>
            </w:pPr>
          </w:p>
        </w:tc>
        <w:tc>
          <w:tcPr>
            <w:tcW w:w="573" w:type="dxa"/>
            <w:noWrap w:val="0"/>
            <w:vAlign w:val="top"/>
          </w:tcPr>
          <w:p w14:paraId="50F010F7">
            <w:pPr>
              <w:spacing w:line="360" w:lineRule="auto"/>
              <w:rPr>
                <w:rFonts w:hint="eastAsia" w:ascii="仿宋_GB2312" w:hAnsi="仿宋" w:eastAsia="仿宋_GB2312" w:cs="仿宋_GB2312"/>
                <w:color w:val="auto"/>
                <w:sz w:val="24"/>
                <w:highlight w:val="none"/>
              </w:rPr>
            </w:pPr>
          </w:p>
        </w:tc>
        <w:tc>
          <w:tcPr>
            <w:tcW w:w="892" w:type="dxa"/>
            <w:noWrap w:val="0"/>
            <w:vAlign w:val="top"/>
          </w:tcPr>
          <w:p w14:paraId="679DA5AA">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55A499B7">
            <w:pPr>
              <w:spacing w:line="360" w:lineRule="auto"/>
              <w:rPr>
                <w:rFonts w:hint="eastAsia" w:ascii="仿宋_GB2312" w:hAnsi="仿宋" w:eastAsia="仿宋_GB2312" w:cs="仿宋_GB2312"/>
                <w:color w:val="auto"/>
                <w:sz w:val="24"/>
                <w:highlight w:val="none"/>
              </w:rPr>
            </w:pPr>
          </w:p>
        </w:tc>
      </w:tr>
      <w:tr w14:paraId="176C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vMerge w:val="continue"/>
            <w:noWrap w:val="0"/>
            <w:vAlign w:val="center"/>
          </w:tcPr>
          <w:p w14:paraId="74A3F7A4">
            <w:pPr>
              <w:spacing w:line="360" w:lineRule="auto"/>
              <w:rPr>
                <w:rFonts w:hint="eastAsia" w:ascii="仿宋_GB2312" w:hAnsi="仿宋" w:eastAsia="仿宋_GB2312" w:cs="仿宋_GB2312"/>
                <w:color w:val="auto"/>
                <w:sz w:val="24"/>
                <w:highlight w:val="none"/>
              </w:rPr>
            </w:pPr>
          </w:p>
        </w:tc>
        <w:tc>
          <w:tcPr>
            <w:tcW w:w="1362" w:type="dxa"/>
            <w:noWrap w:val="0"/>
            <w:vAlign w:val="top"/>
          </w:tcPr>
          <w:p w14:paraId="1E9977FB">
            <w:pPr>
              <w:spacing w:line="360" w:lineRule="auto"/>
              <w:jc w:val="right"/>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月</w:t>
            </w:r>
          </w:p>
        </w:tc>
        <w:tc>
          <w:tcPr>
            <w:tcW w:w="602" w:type="dxa"/>
            <w:noWrap w:val="0"/>
            <w:vAlign w:val="top"/>
          </w:tcPr>
          <w:p w14:paraId="65EB6073">
            <w:pPr>
              <w:spacing w:line="360" w:lineRule="auto"/>
              <w:rPr>
                <w:rFonts w:hint="eastAsia" w:ascii="仿宋_GB2312" w:hAnsi="仿宋" w:eastAsia="仿宋_GB2312" w:cs="仿宋_GB2312"/>
                <w:color w:val="auto"/>
                <w:sz w:val="24"/>
                <w:highlight w:val="none"/>
              </w:rPr>
            </w:pPr>
          </w:p>
        </w:tc>
        <w:tc>
          <w:tcPr>
            <w:tcW w:w="532" w:type="dxa"/>
            <w:noWrap w:val="0"/>
            <w:vAlign w:val="top"/>
          </w:tcPr>
          <w:p w14:paraId="19B38572">
            <w:pPr>
              <w:spacing w:line="360" w:lineRule="auto"/>
              <w:rPr>
                <w:rFonts w:hint="eastAsia" w:ascii="仿宋_GB2312" w:hAnsi="仿宋" w:eastAsia="仿宋_GB2312" w:cs="仿宋_GB2312"/>
                <w:color w:val="auto"/>
                <w:sz w:val="24"/>
                <w:highlight w:val="none"/>
              </w:rPr>
            </w:pPr>
          </w:p>
        </w:tc>
        <w:tc>
          <w:tcPr>
            <w:tcW w:w="522" w:type="dxa"/>
            <w:noWrap w:val="0"/>
            <w:vAlign w:val="top"/>
          </w:tcPr>
          <w:p w14:paraId="2B10F907">
            <w:pPr>
              <w:spacing w:line="360" w:lineRule="auto"/>
              <w:rPr>
                <w:rFonts w:hint="eastAsia" w:ascii="仿宋_GB2312" w:hAnsi="仿宋" w:eastAsia="仿宋_GB2312" w:cs="仿宋_GB2312"/>
                <w:color w:val="auto"/>
                <w:sz w:val="24"/>
                <w:highlight w:val="none"/>
              </w:rPr>
            </w:pPr>
          </w:p>
        </w:tc>
        <w:tc>
          <w:tcPr>
            <w:tcW w:w="460" w:type="dxa"/>
            <w:noWrap w:val="0"/>
            <w:vAlign w:val="top"/>
          </w:tcPr>
          <w:p w14:paraId="128F3A56">
            <w:pPr>
              <w:spacing w:line="360" w:lineRule="auto"/>
              <w:rPr>
                <w:rFonts w:hint="eastAsia" w:ascii="仿宋_GB2312" w:hAnsi="仿宋" w:eastAsia="仿宋_GB2312" w:cs="仿宋_GB2312"/>
                <w:color w:val="auto"/>
                <w:sz w:val="24"/>
                <w:highlight w:val="none"/>
              </w:rPr>
            </w:pPr>
          </w:p>
        </w:tc>
        <w:tc>
          <w:tcPr>
            <w:tcW w:w="463" w:type="dxa"/>
            <w:noWrap w:val="0"/>
            <w:vAlign w:val="top"/>
          </w:tcPr>
          <w:p w14:paraId="7CF59748">
            <w:pPr>
              <w:spacing w:line="360" w:lineRule="auto"/>
              <w:rPr>
                <w:rFonts w:hint="eastAsia" w:ascii="仿宋_GB2312" w:hAnsi="仿宋" w:eastAsia="仿宋_GB2312" w:cs="仿宋_GB2312"/>
                <w:color w:val="auto"/>
                <w:sz w:val="24"/>
                <w:highlight w:val="none"/>
              </w:rPr>
            </w:pPr>
          </w:p>
        </w:tc>
        <w:tc>
          <w:tcPr>
            <w:tcW w:w="573" w:type="dxa"/>
            <w:noWrap w:val="0"/>
            <w:vAlign w:val="top"/>
          </w:tcPr>
          <w:p w14:paraId="3D292F6A">
            <w:pPr>
              <w:spacing w:line="360" w:lineRule="auto"/>
              <w:rPr>
                <w:rFonts w:hint="eastAsia" w:ascii="仿宋_GB2312" w:hAnsi="仿宋" w:eastAsia="仿宋_GB2312" w:cs="仿宋_GB2312"/>
                <w:color w:val="auto"/>
                <w:sz w:val="24"/>
                <w:highlight w:val="none"/>
              </w:rPr>
            </w:pPr>
          </w:p>
        </w:tc>
        <w:tc>
          <w:tcPr>
            <w:tcW w:w="892" w:type="dxa"/>
            <w:noWrap w:val="0"/>
            <w:vAlign w:val="top"/>
          </w:tcPr>
          <w:p w14:paraId="4B606784">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0B4FBFD0">
            <w:pPr>
              <w:spacing w:line="360" w:lineRule="auto"/>
              <w:rPr>
                <w:rFonts w:hint="eastAsia" w:ascii="仿宋_GB2312" w:hAnsi="仿宋" w:eastAsia="仿宋_GB2312" w:cs="仿宋_GB2312"/>
                <w:color w:val="auto"/>
                <w:sz w:val="24"/>
                <w:highlight w:val="none"/>
              </w:rPr>
            </w:pPr>
          </w:p>
        </w:tc>
      </w:tr>
      <w:tr w14:paraId="13BB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vMerge w:val="continue"/>
            <w:noWrap w:val="0"/>
            <w:vAlign w:val="center"/>
          </w:tcPr>
          <w:p w14:paraId="2CC2CA00">
            <w:pPr>
              <w:spacing w:line="360" w:lineRule="auto"/>
              <w:rPr>
                <w:rFonts w:hint="eastAsia" w:ascii="仿宋_GB2312" w:hAnsi="仿宋" w:eastAsia="仿宋_GB2312" w:cs="仿宋_GB2312"/>
                <w:color w:val="auto"/>
                <w:sz w:val="24"/>
                <w:highlight w:val="none"/>
              </w:rPr>
            </w:pPr>
          </w:p>
        </w:tc>
        <w:tc>
          <w:tcPr>
            <w:tcW w:w="1362" w:type="dxa"/>
            <w:noWrap w:val="0"/>
            <w:vAlign w:val="top"/>
          </w:tcPr>
          <w:p w14:paraId="787DCAB5">
            <w:pPr>
              <w:spacing w:line="360" w:lineRule="auto"/>
              <w:jc w:val="right"/>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月</w:t>
            </w:r>
          </w:p>
        </w:tc>
        <w:tc>
          <w:tcPr>
            <w:tcW w:w="602" w:type="dxa"/>
            <w:noWrap w:val="0"/>
            <w:vAlign w:val="top"/>
          </w:tcPr>
          <w:p w14:paraId="4C628C1B">
            <w:pPr>
              <w:spacing w:line="360" w:lineRule="auto"/>
              <w:rPr>
                <w:rFonts w:hint="eastAsia" w:ascii="仿宋_GB2312" w:hAnsi="仿宋" w:eastAsia="仿宋_GB2312" w:cs="仿宋_GB2312"/>
                <w:color w:val="auto"/>
                <w:sz w:val="24"/>
                <w:highlight w:val="none"/>
              </w:rPr>
            </w:pPr>
          </w:p>
        </w:tc>
        <w:tc>
          <w:tcPr>
            <w:tcW w:w="532" w:type="dxa"/>
            <w:noWrap w:val="0"/>
            <w:vAlign w:val="top"/>
          </w:tcPr>
          <w:p w14:paraId="2A799C4A">
            <w:pPr>
              <w:spacing w:line="360" w:lineRule="auto"/>
              <w:rPr>
                <w:rFonts w:hint="eastAsia" w:ascii="仿宋_GB2312" w:hAnsi="仿宋" w:eastAsia="仿宋_GB2312" w:cs="仿宋_GB2312"/>
                <w:color w:val="auto"/>
                <w:sz w:val="24"/>
                <w:highlight w:val="none"/>
              </w:rPr>
            </w:pPr>
          </w:p>
        </w:tc>
        <w:tc>
          <w:tcPr>
            <w:tcW w:w="522" w:type="dxa"/>
            <w:noWrap w:val="0"/>
            <w:vAlign w:val="top"/>
          </w:tcPr>
          <w:p w14:paraId="1E8C5541">
            <w:pPr>
              <w:spacing w:line="360" w:lineRule="auto"/>
              <w:rPr>
                <w:rFonts w:hint="eastAsia" w:ascii="仿宋_GB2312" w:hAnsi="仿宋" w:eastAsia="仿宋_GB2312" w:cs="仿宋_GB2312"/>
                <w:color w:val="auto"/>
                <w:sz w:val="24"/>
                <w:highlight w:val="none"/>
              </w:rPr>
            </w:pPr>
          </w:p>
        </w:tc>
        <w:tc>
          <w:tcPr>
            <w:tcW w:w="460" w:type="dxa"/>
            <w:noWrap w:val="0"/>
            <w:vAlign w:val="top"/>
          </w:tcPr>
          <w:p w14:paraId="3C4818CF">
            <w:pPr>
              <w:spacing w:line="360" w:lineRule="auto"/>
              <w:rPr>
                <w:rFonts w:hint="eastAsia" w:ascii="仿宋_GB2312" w:hAnsi="仿宋" w:eastAsia="仿宋_GB2312" w:cs="仿宋_GB2312"/>
                <w:color w:val="auto"/>
                <w:sz w:val="24"/>
                <w:highlight w:val="none"/>
              </w:rPr>
            </w:pPr>
          </w:p>
        </w:tc>
        <w:tc>
          <w:tcPr>
            <w:tcW w:w="463" w:type="dxa"/>
            <w:noWrap w:val="0"/>
            <w:vAlign w:val="top"/>
          </w:tcPr>
          <w:p w14:paraId="0E2CAD53">
            <w:pPr>
              <w:spacing w:line="360" w:lineRule="auto"/>
              <w:rPr>
                <w:rFonts w:hint="eastAsia" w:ascii="仿宋_GB2312" w:hAnsi="仿宋" w:eastAsia="仿宋_GB2312" w:cs="仿宋_GB2312"/>
                <w:color w:val="auto"/>
                <w:sz w:val="24"/>
                <w:highlight w:val="none"/>
              </w:rPr>
            </w:pPr>
          </w:p>
        </w:tc>
        <w:tc>
          <w:tcPr>
            <w:tcW w:w="573" w:type="dxa"/>
            <w:noWrap w:val="0"/>
            <w:vAlign w:val="top"/>
          </w:tcPr>
          <w:p w14:paraId="59EEF930">
            <w:pPr>
              <w:spacing w:line="360" w:lineRule="auto"/>
              <w:rPr>
                <w:rFonts w:hint="eastAsia" w:ascii="仿宋_GB2312" w:hAnsi="仿宋" w:eastAsia="仿宋_GB2312" w:cs="仿宋_GB2312"/>
                <w:color w:val="auto"/>
                <w:sz w:val="24"/>
                <w:highlight w:val="none"/>
              </w:rPr>
            </w:pPr>
          </w:p>
        </w:tc>
        <w:tc>
          <w:tcPr>
            <w:tcW w:w="892" w:type="dxa"/>
            <w:noWrap w:val="0"/>
            <w:vAlign w:val="top"/>
          </w:tcPr>
          <w:p w14:paraId="4F13A79D">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58746A8B">
            <w:pPr>
              <w:spacing w:line="360" w:lineRule="auto"/>
              <w:rPr>
                <w:rFonts w:hint="eastAsia" w:ascii="仿宋_GB2312" w:hAnsi="仿宋" w:eastAsia="仿宋_GB2312" w:cs="仿宋_GB2312"/>
                <w:color w:val="auto"/>
                <w:sz w:val="24"/>
                <w:highlight w:val="none"/>
              </w:rPr>
            </w:pPr>
          </w:p>
        </w:tc>
      </w:tr>
      <w:tr w14:paraId="2424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vMerge w:val="continue"/>
            <w:noWrap w:val="0"/>
            <w:vAlign w:val="center"/>
          </w:tcPr>
          <w:p w14:paraId="28CB06CB">
            <w:pPr>
              <w:spacing w:line="360" w:lineRule="auto"/>
              <w:rPr>
                <w:rFonts w:hint="eastAsia" w:ascii="仿宋_GB2312" w:hAnsi="仿宋" w:eastAsia="仿宋_GB2312" w:cs="仿宋_GB2312"/>
                <w:color w:val="auto"/>
                <w:sz w:val="24"/>
                <w:highlight w:val="none"/>
              </w:rPr>
            </w:pPr>
          </w:p>
        </w:tc>
        <w:tc>
          <w:tcPr>
            <w:tcW w:w="1362" w:type="dxa"/>
            <w:noWrap w:val="0"/>
            <w:vAlign w:val="top"/>
          </w:tcPr>
          <w:p w14:paraId="604B1616">
            <w:pPr>
              <w:spacing w:line="360" w:lineRule="auto"/>
              <w:jc w:val="right"/>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月</w:t>
            </w:r>
          </w:p>
        </w:tc>
        <w:tc>
          <w:tcPr>
            <w:tcW w:w="602" w:type="dxa"/>
            <w:noWrap w:val="0"/>
            <w:vAlign w:val="top"/>
          </w:tcPr>
          <w:p w14:paraId="57054713">
            <w:pPr>
              <w:spacing w:line="360" w:lineRule="auto"/>
              <w:rPr>
                <w:rFonts w:hint="eastAsia" w:ascii="仿宋_GB2312" w:hAnsi="仿宋" w:eastAsia="仿宋_GB2312" w:cs="仿宋_GB2312"/>
                <w:color w:val="auto"/>
                <w:sz w:val="24"/>
                <w:highlight w:val="none"/>
              </w:rPr>
            </w:pPr>
          </w:p>
        </w:tc>
        <w:tc>
          <w:tcPr>
            <w:tcW w:w="532" w:type="dxa"/>
            <w:noWrap w:val="0"/>
            <w:vAlign w:val="top"/>
          </w:tcPr>
          <w:p w14:paraId="62F0EF96">
            <w:pPr>
              <w:spacing w:line="360" w:lineRule="auto"/>
              <w:rPr>
                <w:rFonts w:hint="eastAsia" w:ascii="仿宋_GB2312" w:hAnsi="仿宋" w:eastAsia="仿宋_GB2312" w:cs="仿宋_GB2312"/>
                <w:color w:val="auto"/>
                <w:sz w:val="24"/>
                <w:highlight w:val="none"/>
              </w:rPr>
            </w:pPr>
          </w:p>
        </w:tc>
        <w:tc>
          <w:tcPr>
            <w:tcW w:w="522" w:type="dxa"/>
            <w:noWrap w:val="0"/>
            <w:vAlign w:val="top"/>
          </w:tcPr>
          <w:p w14:paraId="1AE7A33F">
            <w:pPr>
              <w:spacing w:line="360" w:lineRule="auto"/>
              <w:rPr>
                <w:rFonts w:hint="eastAsia" w:ascii="仿宋_GB2312" w:hAnsi="仿宋" w:eastAsia="仿宋_GB2312" w:cs="仿宋_GB2312"/>
                <w:color w:val="auto"/>
                <w:sz w:val="24"/>
                <w:highlight w:val="none"/>
              </w:rPr>
            </w:pPr>
          </w:p>
        </w:tc>
        <w:tc>
          <w:tcPr>
            <w:tcW w:w="460" w:type="dxa"/>
            <w:noWrap w:val="0"/>
            <w:vAlign w:val="top"/>
          </w:tcPr>
          <w:p w14:paraId="097E6BB4">
            <w:pPr>
              <w:spacing w:line="360" w:lineRule="auto"/>
              <w:rPr>
                <w:rFonts w:hint="eastAsia" w:ascii="仿宋_GB2312" w:hAnsi="仿宋" w:eastAsia="仿宋_GB2312" w:cs="仿宋_GB2312"/>
                <w:color w:val="auto"/>
                <w:sz w:val="24"/>
                <w:highlight w:val="none"/>
              </w:rPr>
            </w:pPr>
          </w:p>
        </w:tc>
        <w:tc>
          <w:tcPr>
            <w:tcW w:w="463" w:type="dxa"/>
            <w:noWrap w:val="0"/>
            <w:vAlign w:val="top"/>
          </w:tcPr>
          <w:p w14:paraId="596F981B">
            <w:pPr>
              <w:spacing w:line="360" w:lineRule="auto"/>
              <w:rPr>
                <w:rFonts w:hint="eastAsia" w:ascii="仿宋_GB2312" w:hAnsi="仿宋" w:eastAsia="仿宋_GB2312" w:cs="仿宋_GB2312"/>
                <w:color w:val="auto"/>
                <w:sz w:val="24"/>
                <w:highlight w:val="none"/>
              </w:rPr>
            </w:pPr>
          </w:p>
        </w:tc>
        <w:tc>
          <w:tcPr>
            <w:tcW w:w="573" w:type="dxa"/>
            <w:noWrap w:val="0"/>
            <w:vAlign w:val="top"/>
          </w:tcPr>
          <w:p w14:paraId="73484FC2">
            <w:pPr>
              <w:spacing w:line="360" w:lineRule="auto"/>
              <w:rPr>
                <w:rFonts w:hint="eastAsia" w:ascii="仿宋_GB2312" w:hAnsi="仿宋" w:eastAsia="仿宋_GB2312" w:cs="仿宋_GB2312"/>
                <w:color w:val="auto"/>
                <w:sz w:val="24"/>
                <w:highlight w:val="none"/>
              </w:rPr>
            </w:pPr>
          </w:p>
        </w:tc>
        <w:tc>
          <w:tcPr>
            <w:tcW w:w="892" w:type="dxa"/>
            <w:noWrap w:val="0"/>
            <w:vAlign w:val="top"/>
          </w:tcPr>
          <w:p w14:paraId="7DFD2B9C">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033C0956">
            <w:pPr>
              <w:spacing w:line="360" w:lineRule="auto"/>
              <w:rPr>
                <w:rFonts w:hint="eastAsia" w:ascii="仿宋_GB2312" w:hAnsi="仿宋" w:eastAsia="仿宋_GB2312" w:cs="仿宋_GB2312"/>
                <w:color w:val="auto"/>
                <w:sz w:val="24"/>
                <w:highlight w:val="none"/>
              </w:rPr>
            </w:pPr>
          </w:p>
        </w:tc>
      </w:tr>
      <w:tr w14:paraId="074E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vMerge w:val="continue"/>
            <w:noWrap w:val="0"/>
            <w:vAlign w:val="center"/>
          </w:tcPr>
          <w:p w14:paraId="03143321">
            <w:pPr>
              <w:spacing w:line="360" w:lineRule="auto"/>
              <w:rPr>
                <w:rFonts w:hint="eastAsia" w:ascii="仿宋_GB2312" w:hAnsi="仿宋" w:eastAsia="仿宋_GB2312" w:cs="仿宋_GB2312"/>
                <w:color w:val="auto"/>
                <w:sz w:val="24"/>
                <w:highlight w:val="none"/>
              </w:rPr>
            </w:pPr>
          </w:p>
        </w:tc>
        <w:tc>
          <w:tcPr>
            <w:tcW w:w="1362" w:type="dxa"/>
            <w:noWrap w:val="0"/>
            <w:vAlign w:val="top"/>
          </w:tcPr>
          <w:p w14:paraId="173F6C43">
            <w:pPr>
              <w:spacing w:line="360" w:lineRule="auto"/>
              <w:jc w:val="right"/>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月</w:t>
            </w:r>
          </w:p>
        </w:tc>
        <w:tc>
          <w:tcPr>
            <w:tcW w:w="602" w:type="dxa"/>
            <w:noWrap w:val="0"/>
            <w:vAlign w:val="top"/>
          </w:tcPr>
          <w:p w14:paraId="72060BA5">
            <w:pPr>
              <w:spacing w:line="360" w:lineRule="auto"/>
              <w:rPr>
                <w:rFonts w:hint="eastAsia" w:ascii="仿宋_GB2312" w:hAnsi="仿宋" w:eastAsia="仿宋_GB2312" w:cs="仿宋_GB2312"/>
                <w:color w:val="auto"/>
                <w:sz w:val="24"/>
                <w:highlight w:val="none"/>
              </w:rPr>
            </w:pPr>
          </w:p>
        </w:tc>
        <w:tc>
          <w:tcPr>
            <w:tcW w:w="532" w:type="dxa"/>
            <w:noWrap w:val="0"/>
            <w:vAlign w:val="top"/>
          </w:tcPr>
          <w:p w14:paraId="2050B5E1">
            <w:pPr>
              <w:spacing w:line="360" w:lineRule="auto"/>
              <w:rPr>
                <w:rFonts w:hint="eastAsia" w:ascii="仿宋_GB2312" w:hAnsi="仿宋" w:eastAsia="仿宋_GB2312" w:cs="仿宋_GB2312"/>
                <w:color w:val="auto"/>
                <w:sz w:val="24"/>
                <w:highlight w:val="none"/>
              </w:rPr>
            </w:pPr>
          </w:p>
        </w:tc>
        <w:tc>
          <w:tcPr>
            <w:tcW w:w="522" w:type="dxa"/>
            <w:noWrap w:val="0"/>
            <w:vAlign w:val="top"/>
          </w:tcPr>
          <w:p w14:paraId="0D128AD2">
            <w:pPr>
              <w:spacing w:line="360" w:lineRule="auto"/>
              <w:rPr>
                <w:rFonts w:hint="eastAsia" w:ascii="仿宋_GB2312" w:hAnsi="仿宋" w:eastAsia="仿宋_GB2312" w:cs="仿宋_GB2312"/>
                <w:color w:val="auto"/>
                <w:sz w:val="24"/>
                <w:highlight w:val="none"/>
              </w:rPr>
            </w:pPr>
          </w:p>
        </w:tc>
        <w:tc>
          <w:tcPr>
            <w:tcW w:w="460" w:type="dxa"/>
            <w:noWrap w:val="0"/>
            <w:vAlign w:val="top"/>
          </w:tcPr>
          <w:p w14:paraId="667D16B1">
            <w:pPr>
              <w:spacing w:line="360" w:lineRule="auto"/>
              <w:rPr>
                <w:rFonts w:hint="eastAsia" w:ascii="仿宋_GB2312" w:hAnsi="仿宋" w:eastAsia="仿宋_GB2312" w:cs="仿宋_GB2312"/>
                <w:color w:val="auto"/>
                <w:sz w:val="24"/>
                <w:highlight w:val="none"/>
              </w:rPr>
            </w:pPr>
          </w:p>
        </w:tc>
        <w:tc>
          <w:tcPr>
            <w:tcW w:w="463" w:type="dxa"/>
            <w:noWrap w:val="0"/>
            <w:vAlign w:val="top"/>
          </w:tcPr>
          <w:p w14:paraId="3FB2D349">
            <w:pPr>
              <w:spacing w:line="360" w:lineRule="auto"/>
              <w:rPr>
                <w:rFonts w:hint="eastAsia" w:ascii="仿宋_GB2312" w:hAnsi="仿宋" w:eastAsia="仿宋_GB2312" w:cs="仿宋_GB2312"/>
                <w:color w:val="auto"/>
                <w:sz w:val="24"/>
                <w:highlight w:val="none"/>
              </w:rPr>
            </w:pPr>
          </w:p>
        </w:tc>
        <w:tc>
          <w:tcPr>
            <w:tcW w:w="573" w:type="dxa"/>
            <w:noWrap w:val="0"/>
            <w:vAlign w:val="top"/>
          </w:tcPr>
          <w:p w14:paraId="09A6F49A">
            <w:pPr>
              <w:spacing w:line="360" w:lineRule="auto"/>
              <w:rPr>
                <w:rFonts w:hint="eastAsia" w:ascii="仿宋_GB2312" w:hAnsi="仿宋" w:eastAsia="仿宋_GB2312" w:cs="仿宋_GB2312"/>
                <w:color w:val="auto"/>
                <w:sz w:val="24"/>
                <w:highlight w:val="none"/>
              </w:rPr>
            </w:pPr>
          </w:p>
        </w:tc>
        <w:tc>
          <w:tcPr>
            <w:tcW w:w="892" w:type="dxa"/>
            <w:noWrap w:val="0"/>
            <w:vAlign w:val="top"/>
          </w:tcPr>
          <w:p w14:paraId="283B3B7D">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6E264C0F">
            <w:pPr>
              <w:spacing w:line="360" w:lineRule="auto"/>
              <w:rPr>
                <w:rFonts w:hint="eastAsia" w:ascii="仿宋_GB2312" w:hAnsi="仿宋" w:eastAsia="仿宋_GB2312" w:cs="仿宋_GB2312"/>
                <w:color w:val="auto"/>
                <w:sz w:val="24"/>
                <w:highlight w:val="none"/>
              </w:rPr>
            </w:pPr>
          </w:p>
        </w:tc>
      </w:tr>
      <w:tr w14:paraId="3EC9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vMerge w:val="continue"/>
            <w:noWrap w:val="0"/>
            <w:vAlign w:val="center"/>
          </w:tcPr>
          <w:p w14:paraId="1AB933F8">
            <w:pPr>
              <w:spacing w:line="360" w:lineRule="auto"/>
              <w:rPr>
                <w:rFonts w:hint="eastAsia" w:ascii="仿宋_GB2312" w:hAnsi="仿宋" w:eastAsia="仿宋_GB2312" w:cs="仿宋_GB2312"/>
                <w:color w:val="auto"/>
                <w:sz w:val="24"/>
                <w:highlight w:val="none"/>
              </w:rPr>
            </w:pPr>
          </w:p>
        </w:tc>
        <w:tc>
          <w:tcPr>
            <w:tcW w:w="1362" w:type="dxa"/>
            <w:noWrap w:val="0"/>
            <w:vAlign w:val="top"/>
          </w:tcPr>
          <w:p w14:paraId="1F447C0E">
            <w:pPr>
              <w:spacing w:line="360" w:lineRule="auto"/>
              <w:rPr>
                <w:rFonts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 xml:space="preserve">      </w:t>
            </w:r>
          </w:p>
        </w:tc>
        <w:tc>
          <w:tcPr>
            <w:tcW w:w="602" w:type="dxa"/>
            <w:noWrap w:val="0"/>
            <w:vAlign w:val="top"/>
          </w:tcPr>
          <w:p w14:paraId="1EC55B8B">
            <w:pPr>
              <w:spacing w:line="360" w:lineRule="auto"/>
              <w:rPr>
                <w:rFonts w:hint="eastAsia" w:ascii="仿宋_GB2312" w:hAnsi="仿宋" w:eastAsia="仿宋_GB2312" w:cs="仿宋_GB2312"/>
                <w:color w:val="auto"/>
                <w:sz w:val="24"/>
                <w:highlight w:val="none"/>
              </w:rPr>
            </w:pPr>
          </w:p>
        </w:tc>
        <w:tc>
          <w:tcPr>
            <w:tcW w:w="532" w:type="dxa"/>
            <w:noWrap w:val="0"/>
            <w:vAlign w:val="top"/>
          </w:tcPr>
          <w:p w14:paraId="06642327">
            <w:pPr>
              <w:spacing w:line="360" w:lineRule="auto"/>
              <w:rPr>
                <w:rFonts w:hint="eastAsia" w:ascii="仿宋_GB2312" w:hAnsi="仿宋" w:eastAsia="仿宋_GB2312" w:cs="仿宋_GB2312"/>
                <w:color w:val="auto"/>
                <w:sz w:val="24"/>
                <w:highlight w:val="none"/>
              </w:rPr>
            </w:pPr>
          </w:p>
        </w:tc>
        <w:tc>
          <w:tcPr>
            <w:tcW w:w="522" w:type="dxa"/>
            <w:noWrap w:val="0"/>
            <w:vAlign w:val="top"/>
          </w:tcPr>
          <w:p w14:paraId="7F7F9C21">
            <w:pPr>
              <w:spacing w:line="360" w:lineRule="auto"/>
              <w:rPr>
                <w:rFonts w:hint="eastAsia" w:ascii="仿宋_GB2312" w:hAnsi="仿宋" w:eastAsia="仿宋_GB2312" w:cs="仿宋_GB2312"/>
                <w:color w:val="auto"/>
                <w:sz w:val="24"/>
                <w:highlight w:val="none"/>
              </w:rPr>
            </w:pPr>
          </w:p>
        </w:tc>
        <w:tc>
          <w:tcPr>
            <w:tcW w:w="460" w:type="dxa"/>
            <w:noWrap w:val="0"/>
            <w:vAlign w:val="top"/>
          </w:tcPr>
          <w:p w14:paraId="285DA8E6">
            <w:pPr>
              <w:spacing w:line="360" w:lineRule="auto"/>
              <w:rPr>
                <w:rFonts w:hint="eastAsia" w:ascii="仿宋_GB2312" w:hAnsi="仿宋" w:eastAsia="仿宋_GB2312" w:cs="仿宋_GB2312"/>
                <w:color w:val="auto"/>
                <w:sz w:val="24"/>
                <w:highlight w:val="none"/>
              </w:rPr>
            </w:pPr>
          </w:p>
        </w:tc>
        <w:tc>
          <w:tcPr>
            <w:tcW w:w="463" w:type="dxa"/>
            <w:noWrap w:val="0"/>
            <w:vAlign w:val="top"/>
          </w:tcPr>
          <w:p w14:paraId="608C49BA">
            <w:pPr>
              <w:spacing w:line="360" w:lineRule="auto"/>
              <w:rPr>
                <w:rFonts w:hint="eastAsia" w:ascii="仿宋_GB2312" w:hAnsi="仿宋" w:eastAsia="仿宋_GB2312" w:cs="仿宋_GB2312"/>
                <w:color w:val="auto"/>
                <w:sz w:val="24"/>
                <w:highlight w:val="none"/>
              </w:rPr>
            </w:pPr>
          </w:p>
        </w:tc>
        <w:tc>
          <w:tcPr>
            <w:tcW w:w="573" w:type="dxa"/>
            <w:noWrap w:val="0"/>
            <w:vAlign w:val="top"/>
          </w:tcPr>
          <w:p w14:paraId="3ED754D0">
            <w:pPr>
              <w:spacing w:line="360" w:lineRule="auto"/>
              <w:rPr>
                <w:rFonts w:hint="eastAsia" w:ascii="仿宋_GB2312" w:hAnsi="仿宋" w:eastAsia="仿宋_GB2312" w:cs="仿宋_GB2312"/>
                <w:color w:val="auto"/>
                <w:sz w:val="24"/>
                <w:highlight w:val="none"/>
              </w:rPr>
            </w:pPr>
          </w:p>
        </w:tc>
        <w:tc>
          <w:tcPr>
            <w:tcW w:w="892" w:type="dxa"/>
            <w:noWrap w:val="0"/>
            <w:vAlign w:val="top"/>
          </w:tcPr>
          <w:p w14:paraId="56407086">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062BC36A">
            <w:pPr>
              <w:spacing w:line="360" w:lineRule="auto"/>
              <w:rPr>
                <w:rFonts w:hint="eastAsia" w:ascii="仿宋_GB2312" w:hAnsi="仿宋" w:eastAsia="仿宋_GB2312" w:cs="仿宋_GB2312"/>
                <w:color w:val="auto"/>
                <w:sz w:val="24"/>
                <w:highlight w:val="none"/>
              </w:rPr>
            </w:pPr>
          </w:p>
        </w:tc>
      </w:tr>
      <w:tr w14:paraId="1B58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29" w:type="dxa"/>
            <w:gridSpan w:val="8"/>
            <w:noWrap w:val="0"/>
            <w:vAlign w:val="center"/>
          </w:tcPr>
          <w:p w14:paraId="557702FC">
            <w:pPr>
              <w:spacing w:line="360" w:lineRule="auto"/>
              <w:ind w:firstLine="1200" w:firstLineChars="500"/>
              <w:rPr>
                <w:rFonts w:hint="eastAsia" w:ascii="仿宋_GB2312" w:hAnsi="仿宋" w:eastAsia="仿宋_GB2312" w:cs="仿宋_GB2312"/>
                <w:color w:val="auto"/>
                <w:sz w:val="24"/>
                <w:highlight w:val="none"/>
              </w:rPr>
            </w:pPr>
            <w:r>
              <w:rPr>
                <w:rFonts w:hint="eastAsia" w:ascii="仿宋_GB2312" w:hAnsi="仿宋" w:eastAsia="仿宋_GB2312" w:cs="仿宋_GB2312"/>
                <w:color w:val="auto"/>
                <w:sz w:val="24"/>
                <w:highlight w:val="none"/>
              </w:rPr>
              <w:t>总计</w:t>
            </w:r>
          </w:p>
        </w:tc>
        <w:tc>
          <w:tcPr>
            <w:tcW w:w="892" w:type="dxa"/>
            <w:noWrap w:val="0"/>
            <w:vAlign w:val="top"/>
          </w:tcPr>
          <w:p w14:paraId="58F35929">
            <w:pPr>
              <w:spacing w:line="360" w:lineRule="auto"/>
              <w:rPr>
                <w:rFonts w:hint="eastAsia" w:ascii="仿宋_GB2312" w:hAnsi="仿宋" w:eastAsia="仿宋_GB2312" w:cs="仿宋_GB2312"/>
                <w:color w:val="auto"/>
                <w:sz w:val="24"/>
                <w:highlight w:val="none"/>
              </w:rPr>
            </w:pPr>
          </w:p>
        </w:tc>
        <w:tc>
          <w:tcPr>
            <w:tcW w:w="1003" w:type="dxa"/>
            <w:noWrap w:val="0"/>
            <w:vAlign w:val="top"/>
          </w:tcPr>
          <w:p w14:paraId="58C5B6C4">
            <w:pPr>
              <w:spacing w:line="360" w:lineRule="auto"/>
              <w:rPr>
                <w:rFonts w:hint="eastAsia" w:ascii="仿宋_GB2312" w:hAnsi="仿宋" w:eastAsia="仿宋_GB2312" w:cs="仿宋_GB2312"/>
                <w:color w:val="auto"/>
                <w:sz w:val="24"/>
                <w:highlight w:val="none"/>
              </w:rPr>
            </w:pPr>
          </w:p>
        </w:tc>
      </w:tr>
    </w:tbl>
    <w:p w14:paraId="17C786B8">
      <w:pPr>
        <w:widowControl/>
        <w:jc w:val="left"/>
        <w:rPr>
          <w:rFonts w:hint="eastAsia" w:ascii="宋体" w:hAnsi="宋体" w:cs="宋体"/>
          <w:b/>
          <w:bCs/>
          <w:color w:val="auto"/>
          <w:kern w:val="0"/>
          <w:sz w:val="20"/>
          <w:szCs w:val="20"/>
          <w:highlight w:val="none"/>
          <w:lang w:bidi="ar"/>
        </w:rPr>
      </w:pPr>
    </w:p>
    <w:p w14:paraId="361B1FD5">
      <w:pPr>
        <w:widowControl/>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注：表中内容须按要求填写，如某项不确定可用“/”表述，否则响应文件作无效处理。</w:t>
      </w:r>
    </w:p>
    <w:p w14:paraId="2F0B59C6">
      <w:pPr>
        <w:widowControl/>
        <w:jc w:val="left"/>
        <w:rPr>
          <w:rFonts w:hint="eastAsia" w:ascii="宋体" w:hAnsi="宋体" w:cs="宋体"/>
          <w:b/>
          <w:bCs/>
          <w:color w:val="auto"/>
          <w:kern w:val="0"/>
          <w:sz w:val="20"/>
          <w:szCs w:val="20"/>
          <w:highlight w:val="none"/>
          <w:lang w:bidi="ar"/>
        </w:rPr>
      </w:pPr>
    </w:p>
    <w:p w14:paraId="3B09E6D0">
      <w:pPr>
        <w:widowControl/>
        <w:jc w:val="left"/>
        <w:rPr>
          <w:rFonts w:hint="eastAsia" w:ascii="宋体" w:hAnsi="宋体" w:cs="宋体"/>
          <w:b/>
          <w:bCs/>
          <w:color w:val="auto"/>
          <w:kern w:val="0"/>
          <w:sz w:val="20"/>
          <w:szCs w:val="20"/>
          <w:highlight w:val="none"/>
          <w:lang w:bidi="ar"/>
        </w:rPr>
      </w:pPr>
    </w:p>
    <w:p w14:paraId="65259672">
      <w:pPr>
        <w:widowControl/>
        <w:jc w:val="left"/>
        <w:rPr>
          <w:rFonts w:hint="eastAsia" w:ascii="宋体" w:hAnsi="宋体" w:cs="宋体"/>
          <w:b/>
          <w:bCs/>
          <w:color w:val="auto"/>
          <w:kern w:val="0"/>
          <w:sz w:val="20"/>
          <w:szCs w:val="20"/>
          <w:highlight w:val="none"/>
          <w:lang w:bidi="ar"/>
        </w:rPr>
      </w:pPr>
    </w:p>
    <w:p w14:paraId="5A1AC125">
      <w:pPr>
        <w:widowControl/>
        <w:spacing w:line="440" w:lineRule="exact"/>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 xml:space="preserve">附件四：拟投入本合同工程的材料进场计划表 </w:t>
      </w:r>
    </w:p>
    <w:p w14:paraId="310F73B2">
      <w:pPr>
        <w:widowControl/>
        <w:spacing w:line="440" w:lineRule="exact"/>
        <w:jc w:val="center"/>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拟投入本合同工程的材料进场计划表</w:t>
      </w:r>
    </w:p>
    <w:p w14:paraId="467EA0EB">
      <w:pPr>
        <w:pStyle w:val="9"/>
        <w:rPr>
          <w:rFonts w:hint="eastAsia"/>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146"/>
        <w:gridCol w:w="927"/>
        <w:gridCol w:w="654"/>
        <w:gridCol w:w="819"/>
        <w:gridCol w:w="859"/>
        <w:gridCol w:w="981"/>
        <w:gridCol w:w="880"/>
        <w:gridCol w:w="777"/>
      </w:tblGrid>
      <w:tr w14:paraId="39E1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61" w:type="dxa"/>
            <w:vMerge w:val="restart"/>
            <w:noWrap w:val="0"/>
            <w:vAlign w:val="center"/>
          </w:tcPr>
          <w:p w14:paraId="2EB38618">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名称</w:t>
            </w:r>
          </w:p>
        </w:tc>
        <w:tc>
          <w:tcPr>
            <w:tcW w:w="1146" w:type="dxa"/>
            <w:vMerge w:val="restart"/>
            <w:noWrap w:val="0"/>
            <w:vAlign w:val="center"/>
          </w:tcPr>
          <w:p w14:paraId="4994E775">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规格</w:t>
            </w:r>
          </w:p>
        </w:tc>
        <w:tc>
          <w:tcPr>
            <w:tcW w:w="927" w:type="dxa"/>
            <w:vMerge w:val="restart"/>
            <w:noWrap w:val="0"/>
            <w:vAlign w:val="center"/>
          </w:tcPr>
          <w:p w14:paraId="7D1F2473">
            <w:pPr>
              <w:widowControl/>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计量</w:t>
            </w:r>
          </w:p>
          <w:p w14:paraId="6CF207EB">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单位</w:t>
            </w:r>
          </w:p>
        </w:tc>
        <w:tc>
          <w:tcPr>
            <w:tcW w:w="4193" w:type="dxa"/>
            <w:gridSpan w:val="5"/>
            <w:noWrap w:val="0"/>
            <w:vAlign w:val="center"/>
          </w:tcPr>
          <w:p w14:paraId="0CBC01AA">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数量</w:t>
            </w:r>
          </w:p>
        </w:tc>
        <w:tc>
          <w:tcPr>
            <w:tcW w:w="777" w:type="dxa"/>
            <w:noWrap w:val="0"/>
            <w:vAlign w:val="center"/>
          </w:tcPr>
          <w:p w14:paraId="76CDF11B">
            <w:pPr>
              <w:widowControl/>
              <w:jc w:val="left"/>
              <w:rPr>
                <w:rFonts w:hint="eastAsia" w:ascii="宋体" w:hAnsi="宋体" w:cs="宋体"/>
                <w:b/>
                <w:bCs/>
                <w:color w:val="auto"/>
                <w:kern w:val="0"/>
                <w:szCs w:val="21"/>
                <w:highlight w:val="none"/>
                <w:lang w:bidi="ar"/>
              </w:rPr>
            </w:pPr>
            <w:r>
              <w:rPr>
                <w:rFonts w:hint="eastAsia" w:ascii="宋体" w:hAnsi="宋体" w:cs="宋体"/>
                <w:color w:val="auto"/>
                <w:kern w:val="0"/>
                <w:szCs w:val="21"/>
                <w:highlight w:val="none"/>
                <w:lang w:bidi="ar"/>
              </w:rPr>
              <w:t>备注</w:t>
            </w:r>
          </w:p>
        </w:tc>
      </w:tr>
      <w:tr w14:paraId="646D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61" w:type="dxa"/>
            <w:vMerge w:val="continue"/>
            <w:noWrap w:val="0"/>
            <w:vAlign w:val="center"/>
          </w:tcPr>
          <w:p w14:paraId="4D10FE6E">
            <w:pPr>
              <w:widowControl/>
              <w:jc w:val="center"/>
              <w:rPr>
                <w:rFonts w:hint="eastAsia" w:ascii="宋体" w:hAnsi="宋体" w:cs="宋体"/>
                <w:b/>
                <w:bCs/>
                <w:color w:val="auto"/>
                <w:kern w:val="0"/>
                <w:sz w:val="20"/>
                <w:szCs w:val="20"/>
                <w:highlight w:val="none"/>
                <w:lang w:bidi="ar"/>
              </w:rPr>
            </w:pPr>
          </w:p>
        </w:tc>
        <w:tc>
          <w:tcPr>
            <w:tcW w:w="1146" w:type="dxa"/>
            <w:vMerge w:val="continue"/>
            <w:noWrap w:val="0"/>
            <w:vAlign w:val="center"/>
          </w:tcPr>
          <w:p w14:paraId="7DCD657C">
            <w:pPr>
              <w:widowControl/>
              <w:jc w:val="center"/>
              <w:rPr>
                <w:rFonts w:hint="eastAsia" w:ascii="宋体" w:hAnsi="宋体" w:cs="宋体"/>
                <w:b/>
                <w:bCs/>
                <w:color w:val="auto"/>
                <w:kern w:val="0"/>
                <w:sz w:val="20"/>
                <w:szCs w:val="20"/>
                <w:highlight w:val="none"/>
                <w:lang w:bidi="ar"/>
              </w:rPr>
            </w:pPr>
          </w:p>
        </w:tc>
        <w:tc>
          <w:tcPr>
            <w:tcW w:w="927" w:type="dxa"/>
            <w:vMerge w:val="continue"/>
            <w:noWrap w:val="0"/>
            <w:vAlign w:val="center"/>
          </w:tcPr>
          <w:p w14:paraId="55D479A7">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6B970781">
            <w:pPr>
              <w:widowControl/>
              <w:jc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总量</w:t>
            </w:r>
          </w:p>
        </w:tc>
        <w:tc>
          <w:tcPr>
            <w:tcW w:w="819" w:type="dxa"/>
            <w:noWrap w:val="0"/>
            <w:vAlign w:val="center"/>
          </w:tcPr>
          <w:p w14:paraId="3999BB2E">
            <w:pPr>
              <w:widowControl/>
              <w:jc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月</w:t>
            </w:r>
          </w:p>
        </w:tc>
        <w:tc>
          <w:tcPr>
            <w:tcW w:w="859" w:type="dxa"/>
            <w:noWrap w:val="0"/>
            <w:vAlign w:val="center"/>
          </w:tcPr>
          <w:p w14:paraId="7C362F5E">
            <w:pPr>
              <w:widowControl/>
              <w:jc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月</w:t>
            </w:r>
          </w:p>
        </w:tc>
        <w:tc>
          <w:tcPr>
            <w:tcW w:w="981" w:type="dxa"/>
            <w:noWrap w:val="0"/>
            <w:vAlign w:val="center"/>
          </w:tcPr>
          <w:p w14:paraId="7B54D7D0">
            <w:pPr>
              <w:widowControl/>
              <w:jc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月</w:t>
            </w:r>
          </w:p>
        </w:tc>
        <w:tc>
          <w:tcPr>
            <w:tcW w:w="880" w:type="dxa"/>
            <w:noWrap w:val="0"/>
            <w:vAlign w:val="center"/>
          </w:tcPr>
          <w:p w14:paraId="6C80483B">
            <w:pPr>
              <w:widowControl/>
              <w:jc w:val="center"/>
              <w:rPr>
                <w:rFonts w:hint="eastAsia" w:ascii="宋体" w:hAnsi="宋体" w:cs="宋体"/>
                <w:color w:val="auto"/>
                <w:kern w:val="0"/>
                <w:sz w:val="20"/>
                <w:szCs w:val="20"/>
                <w:highlight w:val="none"/>
                <w:lang w:bidi="ar"/>
              </w:rPr>
            </w:pPr>
            <w:r>
              <w:rPr>
                <w:rFonts w:hint="eastAsia" w:ascii="宋体" w:hAnsi="宋体" w:cs="宋体"/>
                <w:color w:val="auto"/>
                <w:kern w:val="0"/>
                <w:sz w:val="20"/>
                <w:szCs w:val="20"/>
                <w:highlight w:val="none"/>
                <w:lang w:bidi="ar"/>
              </w:rPr>
              <w:t>月</w:t>
            </w:r>
          </w:p>
        </w:tc>
        <w:tc>
          <w:tcPr>
            <w:tcW w:w="777" w:type="dxa"/>
            <w:noWrap w:val="0"/>
            <w:vAlign w:val="center"/>
          </w:tcPr>
          <w:p w14:paraId="427AAE18">
            <w:pPr>
              <w:widowControl/>
              <w:jc w:val="center"/>
              <w:rPr>
                <w:rFonts w:hint="eastAsia" w:ascii="宋体" w:hAnsi="宋体" w:cs="宋体"/>
                <w:b/>
                <w:bCs/>
                <w:color w:val="auto"/>
                <w:kern w:val="0"/>
                <w:sz w:val="20"/>
                <w:szCs w:val="20"/>
                <w:highlight w:val="none"/>
                <w:lang w:bidi="ar"/>
              </w:rPr>
            </w:pPr>
          </w:p>
        </w:tc>
      </w:tr>
      <w:tr w14:paraId="7A00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61" w:type="dxa"/>
            <w:noWrap w:val="0"/>
            <w:vAlign w:val="center"/>
          </w:tcPr>
          <w:p w14:paraId="517E2B75">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5EFB34B9">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7009E881">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0E401314">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76B76875">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1C21CEAF">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2CEE6D96">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2DB8C93E">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6091C78F">
            <w:pPr>
              <w:widowControl/>
              <w:jc w:val="center"/>
              <w:rPr>
                <w:rFonts w:hint="eastAsia" w:ascii="宋体" w:hAnsi="宋体" w:cs="宋体"/>
                <w:b/>
                <w:bCs/>
                <w:color w:val="auto"/>
                <w:kern w:val="0"/>
                <w:sz w:val="20"/>
                <w:szCs w:val="20"/>
                <w:highlight w:val="none"/>
                <w:lang w:bidi="ar"/>
              </w:rPr>
            </w:pPr>
          </w:p>
        </w:tc>
      </w:tr>
      <w:tr w14:paraId="72D7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1" w:type="dxa"/>
            <w:noWrap w:val="0"/>
            <w:vAlign w:val="center"/>
          </w:tcPr>
          <w:p w14:paraId="0E13445F">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3BEAB799">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4E7C3D78">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07034DF1">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6A61E5FA">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409638BD">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718FFC8D">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4B755C3C">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12141E97">
            <w:pPr>
              <w:widowControl/>
              <w:jc w:val="center"/>
              <w:rPr>
                <w:rFonts w:hint="eastAsia" w:ascii="宋体" w:hAnsi="宋体" w:cs="宋体"/>
                <w:b/>
                <w:bCs/>
                <w:color w:val="auto"/>
                <w:kern w:val="0"/>
                <w:sz w:val="20"/>
                <w:szCs w:val="20"/>
                <w:highlight w:val="none"/>
                <w:lang w:bidi="ar"/>
              </w:rPr>
            </w:pPr>
          </w:p>
        </w:tc>
      </w:tr>
      <w:tr w14:paraId="0FB2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761" w:type="dxa"/>
            <w:noWrap w:val="0"/>
            <w:vAlign w:val="center"/>
          </w:tcPr>
          <w:p w14:paraId="4BC60F1E">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2F031000">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76E37849">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3B5C43EC">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6FE9F0ED">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5F854F82">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13338B31">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4653E783">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532839FE">
            <w:pPr>
              <w:widowControl/>
              <w:jc w:val="center"/>
              <w:rPr>
                <w:rFonts w:hint="eastAsia" w:ascii="宋体" w:hAnsi="宋体" w:cs="宋体"/>
                <w:b/>
                <w:bCs/>
                <w:color w:val="auto"/>
                <w:kern w:val="0"/>
                <w:sz w:val="20"/>
                <w:szCs w:val="20"/>
                <w:highlight w:val="none"/>
                <w:lang w:bidi="ar"/>
              </w:rPr>
            </w:pPr>
          </w:p>
        </w:tc>
      </w:tr>
      <w:tr w14:paraId="4610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61" w:type="dxa"/>
            <w:noWrap w:val="0"/>
            <w:vAlign w:val="center"/>
          </w:tcPr>
          <w:p w14:paraId="02DFE198">
            <w:pPr>
              <w:widowControl/>
              <w:jc w:val="center"/>
              <w:rPr>
                <w:rFonts w:hint="eastAsia" w:ascii="宋体" w:hAnsi="宋体" w:cs="宋体"/>
                <w:b/>
                <w:bCs/>
                <w:color w:val="auto"/>
                <w:kern w:val="0"/>
                <w:sz w:val="20"/>
                <w:szCs w:val="20"/>
                <w:highlight w:val="none"/>
                <w:lang w:bidi="ar"/>
              </w:rPr>
            </w:pPr>
          </w:p>
        </w:tc>
        <w:tc>
          <w:tcPr>
            <w:tcW w:w="1146" w:type="dxa"/>
            <w:noWrap w:val="0"/>
            <w:vAlign w:val="center"/>
          </w:tcPr>
          <w:p w14:paraId="7FC8754B">
            <w:pPr>
              <w:widowControl/>
              <w:jc w:val="center"/>
              <w:rPr>
                <w:rFonts w:hint="eastAsia" w:ascii="宋体" w:hAnsi="宋体" w:cs="宋体"/>
                <w:b/>
                <w:bCs/>
                <w:color w:val="auto"/>
                <w:kern w:val="0"/>
                <w:sz w:val="20"/>
                <w:szCs w:val="20"/>
                <w:highlight w:val="none"/>
                <w:lang w:bidi="ar"/>
              </w:rPr>
            </w:pPr>
          </w:p>
        </w:tc>
        <w:tc>
          <w:tcPr>
            <w:tcW w:w="927" w:type="dxa"/>
            <w:noWrap w:val="0"/>
            <w:vAlign w:val="center"/>
          </w:tcPr>
          <w:p w14:paraId="6AD3F8DC">
            <w:pPr>
              <w:widowControl/>
              <w:jc w:val="center"/>
              <w:rPr>
                <w:rFonts w:hint="eastAsia" w:ascii="宋体" w:hAnsi="宋体" w:cs="宋体"/>
                <w:b/>
                <w:bCs/>
                <w:color w:val="auto"/>
                <w:kern w:val="0"/>
                <w:sz w:val="20"/>
                <w:szCs w:val="20"/>
                <w:highlight w:val="none"/>
                <w:lang w:bidi="ar"/>
              </w:rPr>
            </w:pPr>
          </w:p>
        </w:tc>
        <w:tc>
          <w:tcPr>
            <w:tcW w:w="654" w:type="dxa"/>
            <w:noWrap w:val="0"/>
            <w:vAlign w:val="center"/>
          </w:tcPr>
          <w:p w14:paraId="64E30AC6">
            <w:pPr>
              <w:widowControl/>
              <w:jc w:val="center"/>
              <w:rPr>
                <w:rFonts w:hint="eastAsia" w:ascii="宋体" w:hAnsi="宋体" w:cs="宋体"/>
                <w:b/>
                <w:bCs/>
                <w:color w:val="auto"/>
                <w:kern w:val="0"/>
                <w:sz w:val="20"/>
                <w:szCs w:val="20"/>
                <w:highlight w:val="none"/>
                <w:lang w:bidi="ar"/>
              </w:rPr>
            </w:pPr>
          </w:p>
        </w:tc>
        <w:tc>
          <w:tcPr>
            <w:tcW w:w="819" w:type="dxa"/>
            <w:noWrap w:val="0"/>
            <w:vAlign w:val="center"/>
          </w:tcPr>
          <w:p w14:paraId="0B30D6FD">
            <w:pPr>
              <w:widowControl/>
              <w:jc w:val="center"/>
              <w:rPr>
                <w:rFonts w:hint="eastAsia" w:ascii="宋体" w:hAnsi="宋体" w:cs="宋体"/>
                <w:b/>
                <w:bCs/>
                <w:color w:val="auto"/>
                <w:kern w:val="0"/>
                <w:sz w:val="20"/>
                <w:szCs w:val="20"/>
                <w:highlight w:val="none"/>
                <w:lang w:bidi="ar"/>
              </w:rPr>
            </w:pPr>
          </w:p>
        </w:tc>
        <w:tc>
          <w:tcPr>
            <w:tcW w:w="859" w:type="dxa"/>
            <w:noWrap w:val="0"/>
            <w:vAlign w:val="center"/>
          </w:tcPr>
          <w:p w14:paraId="5BC4CEBD">
            <w:pPr>
              <w:widowControl/>
              <w:jc w:val="center"/>
              <w:rPr>
                <w:rFonts w:hint="eastAsia" w:ascii="宋体" w:hAnsi="宋体" w:cs="宋体"/>
                <w:b/>
                <w:bCs/>
                <w:color w:val="auto"/>
                <w:kern w:val="0"/>
                <w:sz w:val="20"/>
                <w:szCs w:val="20"/>
                <w:highlight w:val="none"/>
                <w:lang w:bidi="ar"/>
              </w:rPr>
            </w:pPr>
          </w:p>
        </w:tc>
        <w:tc>
          <w:tcPr>
            <w:tcW w:w="981" w:type="dxa"/>
            <w:noWrap w:val="0"/>
            <w:vAlign w:val="center"/>
          </w:tcPr>
          <w:p w14:paraId="7F7438AB">
            <w:pPr>
              <w:widowControl/>
              <w:jc w:val="center"/>
              <w:rPr>
                <w:rFonts w:hint="eastAsia" w:ascii="宋体" w:hAnsi="宋体" w:cs="宋体"/>
                <w:b/>
                <w:bCs/>
                <w:color w:val="auto"/>
                <w:kern w:val="0"/>
                <w:sz w:val="20"/>
                <w:szCs w:val="20"/>
                <w:highlight w:val="none"/>
                <w:lang w:bidi="ar"/>
              </w:rPr>
            </w:pPr>
          </w:p>
        </w:tc>
        <w:tc>
          <w:tcPr>
            <w:tcW w:w="880" w:type="dxa"/>
            <w:noWrap w:val="0"/>
            <w:vAlign w:val="center"/>
          </w:tcPr>
          <w:p w14:paraId="0372D6FB">
            <w:pPr>
              <w:widowControl/>
              <w:jc w:val="center"/>
              <w:rPr>
                <w:rFonts w:hint="eastAsia" w:ascii="宋体" w:hAnsi="宋体" w:cs="宋体"/>
                <w:b/>
                <w:bCs/>
                <w:color w:val="auto"/>
                <w:kern w:val="0"/>
                <w:sz w:val="20"/>
                <w:szCs w:val="20"/>
                <w:highlight w:val="none"/>
                <w:lang w:bidi="ar"/>
              </w:rPr>
            </w:pPr>
          </w:p>
        </w:tc>
        <w:tc>
          <w:tcPr>
            <w:tcW w:w="777" w:type="dxa"/>
            <w:noWrap w:val="0"/>
            <w:vAlign w:val="center"/>
          </w:tcPr>
          <w:p w14:paraId="5CC35565">
            <w:pPr>
              <w:widowControl/>
              <w:jc w:val="center"/>
              <w:rPr>
                <w:rFonts w:hint="eastAsia" w:ascii="宋体" w:hAnsi="宋体" w:cs="宋体"/>
                <w:b/>
                <w:bCs/>
                <w:color w:val="auto"/>
                <w:kern w:val="0"/>
                <w:sz w:val="20"/>
                <w:szCs w:val="20"/>
                <w:highlight w:val="none"/>
                <w:lang w:bidi="ar"/>
              </w:rPr>
            </w:pPr>
          </w:p>
        </w:tc>
      </w:tr>
    </w:tbl>
    <w:p w14:paraId="0C433091">
      <w:pPr>
        <w:widowControl/>
        <w:jc w:val="left"/>
        <w:rPr>
          <w:rFonts w:hint="eastAsia" w:ascii="宋体" w:hAnsi="宋体" w:cs="宋体"/>
          <w:b/>
          <w:bCs/>
          <w:color w:val="auto"/>
          <w:kern w:val="0"/>
          <w:sz w:val="20"/>
          <w:szCs w:val="20"/>
          <w:highlight w:val="none"/>
          <w:lang w:bidi="ar"/>
        </w:rPr>
      </w:pPr>
    </w:p>
    <w:p w14:paraId="6633AB9A">
      <w:pPr>
        <w:widowControl/>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注：表中内容须按要求填写，如某项不确定可用“/”表述，否则响应文件作无效处理。</w:t>
      </w:r>
    </w:p>
    <w:p w14:paraId="241CE966">
      <w:pPr>
        <w:widowControl/>
        <w:jc w:val="left"/>
        <w:rPr>
          <w:rFonts w:hint="eastAsia" w:ascii="宋体" w:hAnsi="宋体" w:cs="宋体"/>
          <w:b/>
          <w:bCs/>
          <w:color w:val="auto"/>
          <w:kern w:val="0"/>
          <w:sz w:val="20"/>
          <w:szCs w:val="20"/>
          <w:highlight w:val="none"/>
          <w:lang w:bidi="ar"/>
        </w:rPr>
      </w:pPr>
    </w:p>
    <w:p w14:paraId="1B85DB46">
      <w:pPr>
        <w:widowControl/>
        <w:jc w:val="left"/>
        <w:rPr>
          <w:rFonts w:hint="eastAsia" w:ascii="宋体" w:hAnsi="宋体" w:cs="宋体"/>
          <w:b/>
          <w:bCs/>
          <w:color w:val="auto"/>
          <w:kern w:val="0"/>
          <w:sz w:val="20"/>
          <w:szCs w:val="20"/>
          <w:highlight w:val="none"/>
          <w:lang w:bidi="ar"/>
        </w:rPr>
      </w:pPr>
    </w:p>
    <w:p w14:paraId="05E70FF7">
      <w:pPr>
        <w:widowControl/>
        <w:spacing w:line="440" w:lineRule="exact"/>
        <w:jc w:val="left"/>
        <w:rPr>
          <w:rFonts w:hint="eastAsia" w:ascii="宋体" w:hAnsi="宋体" w:cs="宋体"/>
          <w:b/>
          <w:bCs/>
          <w:color w:val="auto"/>
          <w:kern w:val="0"/>
          <w:sz w:val="20"/>
          <w:szCs w:val="20"/>
          <w:highlight w:val="none"/>
          <w:lang w:bidi="ar"/>
        </w:rPr>
      </w:pPr>
    </w:p>
    <w:p w14:paraId="183045A8">
      <w:pPr>
        <w:widowControl/>
        <w:spacing w:line="440" w:lineRule="exact"/>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 xml:space="preserve">附件五：计划开工日期、完工日期和施工进度网络图（或横道图） </w:t>
      </w:r>
    </w:p>
    <w:p w14:paraId="7AD2BBE2">
      <w:pPr>
        <w:widowControl/>
        <w:spacing w:line="360" w:lineRule="auto"/>
        <w:jc w:val="center"/>
        <w:rPr>
          <w:color w:val="auto"/>
          <w:highlight w:val="none"/>
        </w:rPr>
      </w:pPr>
      <w:r>
        <w:rPr>
          <w:rFonts w:hint="eastAsia" w:ascii="宋体" w:hAnsi="宋体" w:cs="宋体"/>
          <w:b/>
          <w:bCs/>
          <w:color w:val="auto"/>
          <w:kern w:val="0"/>
          <w:sz w:val="20"/>
          <w:szCs w:val="20"/>
          <w:highlight w:val="none"/>
          <w:lang w:bidi="ar"/>
        </w:rPr>
        <w:t>计划开工日期、完工日期和施工进度网络图（或横道图）</w:t>
      </w:r>
    </w:p>
    <w:p w14:paraId="1E92B230">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1. 投标人应递交施工进度网络图或施工进度表，说明按招标文件要求的计划工期进行施工的各个关键日期。</w:t>
      </w:r>
    </w:p>
    <w:p w14:paraId="3D5984C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2. 施工进度表可采用网络图（或横道图）表示。</w:t>
      </w:r>
    </w:p>
    <w:p w14:paraId="584C0668">
      <w:pPr>
        <w:pStyle w:val="9"/>
        <w:rPr>
          <w:color w:val="auto"/>
          <w:highlight w:val="none"/>
        </w:rPr>
      </w:pPr>
    </w:p>
    <w:p w14:paraId="12F8D85C">
      <w:pPr>
        <w:widowControl/>
        <w:spacing w:line="440" w:lineRule="exact"/>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 xml:space="preserve">附件六：施工总平面图 </w:t>
      </w:r>
    </w:p>
    <w:p w14:paraId="118288A7">
      <w:pPr>
        <w:widowControl/>
        <w:spacing w:line="360" w:lineRule="auto"/>
        <w:jc w:val="center"/>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施工总平面图</w:t>
      </w:r>
    </w:p>
    <w:p w14:paraId="7668C2B0">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投标人应递交一份施工总平面图，绘出现场临时设施布置图及表并附文字说明，说明临时设施、加工车间、现场办公、设备及仓储、供电、供水、卫生、生活、道路、消防等设施的情况和布置。</w:t>
      </w:r>
    </w:p>
    <w:p w14:paraId="4A99AA46">
      <w:pPr>
        <w:pStyle w:val="9"/>
        <w:rPr>
          <w:color w:val="auto"/>
          <w:highlight w:val="none"/>
        </w:rPr>
      </w:pPr>
    </w:p>
    <w:p w14:paraId="0839F1BA">
      <w:pPr>
        <w:widowControl/>
        <w:spacing w:line="440" w:lineRule="exact"/>
        <w:jc w:val="left"/>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 xml:space="preserve">附件七：临时用地表 </w:t>
      </w:r>
    </w:p>
    <w:p w14:paraId="0211360D">
      <w:pPr>
        <w:widowControl/>
        <w:spacing w:line="440" w:lineRule="exact"/>
        <w:jc w:val="center"/>
        <w:rPr>
          <w:rFonts w:hint="eastAsia" w:ascii="宋体" w:hAnsi="宋体" w:cs="宋体"/>
          <w:b/>
          <w:bCs/>
          <w:color w:val="auto"/>
          <w:kern w:val="0"/>
          <w:sz w:val="20"/>
          <w:szCs w:val="20"/>
          <w:highlight w:val="none"/>
          <w:lang w:bidi="ar"/>
        </w:rPr>
      </w:pPr>
      <w:r>
        <w:rPr>
          <w:rFonts w:hint="eastAsia" w:ascii="宋体" w:hAnsi="宋体" w:cs="宋体"/>
          <w:b/>
          <w:bCs/>
          <w:color w:val="auto"/>
          <w:kern w:val="0"/>
          <w:sz w:val="20"/>
          <w:szCs w:val="20"/>
          <w:highlight w:val="none"/>
          <w:lang w:bidi="ar"/>
        </w:rPr>
        <w:t>临时用地表</w:t>
      </w:r>
    </w:p>
    <w:tbl>
      <w:tblPr>
        <w:tblStyle w:val="20"/>
        <w:tblpPr w:leftFromText="180" w:rightFromText="180" w:vertAnchor="text" w:horzAnchor="page" w:tblpX="1875" w:tblpY="36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2115"/>
        <w:gridCol w:w="2116"/>
        <w:gridCol w:w="2116"/>
      </w:tblGrid>
      <w:tr w14:paraId="2F42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2115" w:type="dxa"/>
            <w:noWrap w:val="0"/>
            <w:vAlign w:val="center"/>
          </w:tcPr>
          <w:p w14:paraId="0FA3AC11">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用途</w:t>
            </w:r>
          </w:p>
        </w:tc>
        <w:tc>
          <w:tcPr>
            <w:tcW w:w="2115" w:type="dxa"/>
            <w:noWrap w:val="0"/>
            <w:vAlign w:val="center"/>
          </w:tcPr>
          <w:p w14:paraId="757140A8">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面积（m</w:t>
            </w:r>
            <w:r>
              <w:rPr>
                <w:rFonts w:hint="eastAsia" w:ascii="宋体" w:hAnsi="宋体" w:cs="宋体"/>
                <w:color w:val="auto"/>
                <w:kern w:val="0"/>
                <w:szCs w:val="21"/>
                <w:highlight w:val="none"/>
                <w:vertAlign w:val="superscript"/>
                <w:lang w:bidi="ar"/>
              </w:rPr>
              <w:t>2</w:t>
            </w:r>
            <w:r>
              <w:rPr>
                <w:rFonts w:hint="eastAsia" w:ascii="宋体" w:hAnsi="宋体" w:cs="宋体"/>
                <w:color w:val="auto"/>
                <w:kern w:val="0"/>
                <w:szCs w:val="21"/>
                <w:highlight w:val="none"/>
                <w:lang w:bidi="ar"/>
              </w:rPr>
              <w:t>）</w:t>
            </w:r>
          </w:p>
        </w:tc>
        <w:tc>
          <w:tcPr>
            <w:tcW w:w="2116" w:type="dxa"/>
            <w:noWrap w:val="0"/>
            <w:vAlign w:val="center"/>
          </w:tcPr>
          <w:p w14:paraId="60E01C01">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位置</w:t>
            </w:r>
          </w:p>
        </w:tc>
        <w:tc>
          <w:tcPr>
            <w:tcW w:w="2116" w:type="dxa"/>
            <w:noWrap w:val="0"/>
            <w:vAlign w:val="center"/>
          </w:tcPr>
          <w:p w14:paraId="6619AE18">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需用时间</w:t>
            </w:r>
          </w:p>
        </w:tc>
      </w:tr>
      <w:tr w14:paraId="25A3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noWrap w:val="0"/>
            <w:vAlign w:val="center"/>
          </w:tcPr>
          <w:p w14:paraId="50C1221E">
            <w:pPr>
              <w:widowControl/>
              <w:jc w:val="center"/>
              <w:rPr>
                <w:rFonts w:hint="eastAsia" w:ascii="宋体" w:hAnsi="宋体" w:cs="宋体"/>
                <w:b/>
                <w:bCs/>
                <w:color w:val="auto"/>
                <w:kern w:val="0"/>
                <w:sz w:val="30"/>
                <w:szCs w:val="30"/>
                <w:highlight w:val="none"/>
                <w:lang w:bidi="ar"/>
              </w:rPr>
            </w:pPr>
          </w:p>
        </w:tc>
        <w:tc>
          <w:tcPr>
            <w:tcW w:w="2115" w:type="dxa"/>
            <w:noWrap w:val="0"/>
            <w:vAlign w:val="center"/>
          </w:tcPr>
          <w:p w14:paraId="565821C5">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48FF8C1F">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69E17CD7">
            <w:pPr>
              <w:widowControl/>
              <w:jc w:val="center"/>
              <w:rPr>
                <w:rFonts w:hint="eastAsia" w:ascii="宋体" w:hAnsi="宋体" w:cs="宋体"/>
                <w:b/>
                <w:bCs/>
                <w:color w:val="auto"/>
                <w:kern w:val="0"/>
                <w:sz w:val="30"/>
                <w:szCs w:val="30"/>
                <w:highlight w:val="none"/>
                <w:lang w:bidi="ar"/>
              </w:rPr>
            </w:pPr>
          </w:p>
        </w:tc>
      </w:tr>
      <w:tr w14:paraId="09AF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noWrap w:val="0"/>
            <w:vAlign w:val="center"/>
          </w:tcPr>
          <w:p w14:paraId="06B75062">
            <w:pPr>
              <w:widowControl/>
              <w:jc w:val="center"/>
              <w:rPr>
                <w:rFonts w:hint="eastAsia" w:ascii="宋体" w:hAnsi="宋体" w:cs="宋体"/>
                <w:b/>
                <w:bCs/>
                <w:color w:val="auto"/>
                <w:kern w:val="0"/>
                <w:sz w:val="30"/>
                <w:szCs w:val="30"/>
                <w:highlight w:val="none"/>
                <w:lang w:bidi="ar"/>
              </w:rPr>
            </w:pPr>
          </w:p>
        </w:tc>
        <w:tc>
          <w:tcPr>
            <w:tcW w:w="2115" w:type="dxa"/>
            <w:noWrap w:val="0"/>
            <w:vAlign w:val="center"/>
          </w:tcPr>
          <w:p w14:paraId="4C7C5189">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77B4984E">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1A2CC8C1">
            <w:pPr>
              <w:widowControl/>
              <w:jc w:val="center"/>
              <w:rPr>
                <w:rFonts w:hint="eastAsia" w:ascii="宋体" w:hAnsi="宋体" w:cs="宋体"/>
                <w:b/>
                <w:bCs/>
                <w:color w:val="auto"/>
                <w:kern w:val="0"/>
                <w:sz w:val="30"/>
                <w:szCs w:val="30"/>
                <w:highlight w:val="none"/>
                <w:lang w:bidi="ar"/>
              </w:rPr>
            </w:pPr>
          </w:p>
        </w:tc>
      </w:tr>
      <w:tr w14:paraId="31D4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noWrap w:val="0"/>
            <w:vAlign w:val="center"/>
          </w:tcPr>
          <w:p w14:paraId="04077D81">
            <w:pPr>
              <w:widowControl/>
              <w:jc w:val="center"/>
              <w:rPr>
                <w:rFonts w:hint="eastAsia" w:ascii="宋体" w:hAnsi="宋体" w:cs="宋体"/>
                <w:b/>
                <w:bCs/>
                <w:color w:val="auto"/>
                <w:kern w:val="0"/>
                <w:sz w:val="30"/>
                <w:szCs w:val="30"/>
                <w:highlight w:val="none"/>
                <w:lang w:bidi="ar"/>
              </w:rPr>
            </w:pPr>
          </w:p>
        </w:tc>
        <w:tc>
          <w:tcPr>
            <w:tcW w:w="2115" w:type="dxa"/>
            <w:noWrap w:val="0"/>
            <w:vAlign w:val="center"/>
          </w:tcPr>
          <w:p w14:paraId="329853C2">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1E17E0ED">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7D46C63B">
            <w:pPr>
              <w:widowControl/>
              <w:jc w:val="center"/>
              <w:rPr>
                <w:rFonts w:hint="eastAsia" w:ascii="宋体" w:hAnsi="宋体" w:cs="宋体"/>
                <w:b/>
                <w:bCs/>
                <w:color w:val="auto"/>
                <w:kern w:val="0"/>
                <w:sz w:val="30"/>
                <w:szCs w:val="30"/>
                <w:highlight w:val="none"/>
                <w:lang w:bidi="ar"/>
              </w:rPr>
            </w:pPr>
          </w:p>
        </w:tc>
      </w:tr>
      <w:tr w14:paraId="1685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noWrap w:val="0"/>
            <w:vAlign w:val="center"/>
          </w:tcPr>
          <w:p w14:paraId="16EA9230">
            <w:pPr>
              <w:widowControl/>
              <w:jc w:val="center"/>
              <w:rPr>
                <w:rFonts w:hint="eastAsia" w:ascii="宋体" w:hAnsi="宋体" w:cs="宋体"/>
                <w:b/>
                <w:bCs/>
                <w:color w:val="auto"/>
                <w:kern w:val="0"/>
                <w:sz w:val="30"/>
                <w:szCs w:val="30"/>
                <w:highlight w:val="none"/>
                <w:lang w:bidi="ar"/>
              </w:rPr>
            </w:pPr>
          </w:p>
        </w:tc>
        <w:tc>
          <w:tcPr>
            <w:tcW w:w="2115" w:type="dxa"/>
            <w:noWrap w:val="0"/>
            <w:vAlign w:val="center"/>
          </w:tcPr>
          <w:p w14:paraId="35F6D421">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4A42ABA1">
            <w:pPr>
              <w:widowControl/>
              <w:jc w:val="center"/>
              <w:rPr>
                <w:rFonts w:hint="eastAsia" w:ascii="宋体" w:hAnsi="宋体" w:cs="宋体"/>
                <w:b/>
                <w:bCs/>
                <w:color w:val="auto"/>
                <w:kern w:val="0"/>
                <w:sz w:val="30"/>
                <w:szCs w:val="30"/>
                <w:highlight w:val="none"/>
                <w:lang w:bidi="ar"/>
              </w:rPr>
            </w:pPr>
          </w:p>
        </w:tc>
        <w:tc>
          <w:tcPr>
            <w:tcW w:w="2116" w:type="dxa"/>
            <w:noWrap w:val="0"/>
            <w:vAlign w:val="center"/>
          </w:tcPr>
          <w:p w14:paraId="2AFB0AB9">
            <w:pPr>
              <w:widowControl/>
              <w:jc w:val="center"/>
              <w:rPr>
                <w:rFonts w:hint="eastAsia" w:ascii="宋体" w:hAnsi="宋体" w:cs="宋体"/>
                <w:b/>
                <w:bCs/>
                <w:color w:val="auto"/>
                <w:kern w:val="0"/>
                <w:sz w:val="30"/>
                <w:szCs w:val="30"/>
                <w:highlight w:val="none"/>
                <w:lang w:bidi="ar"/>
              </w:rPr>
            </w:pPr>
          </w:p>
        </w:tc>
      </w:tr>
    </w:tbl>
    <w:p w14:paraId="2E975258">
      <w:pPr>
        <w:widowControl/>
        <w:jc w:val="left"/>
        <w:rPr>
          <w:rFonts w:hint="eastAsia" w:ascii="宋体" w:hAnsi="宋体" w:cs="宋体"/>
          <w:b/>
          <w:bCs/>
          <w:color w:val="auto"/>
          <w:kern w:val="0"/>
          <w:sz w:val="20"/>
          <w:szCs w:val="20"/>
          <w:highlight w:val="none"/>
          <w:lang w:bidi="ar"/>
        </w:rPr>
      </w:pPr>
    </w:p>
    <w:p w14:paraId="130317B6">
      <w:pPr>
        <w:widowControl/>
        <w:jc w:val="left"/>
        <w:rPr>
          <w:rFonts w:hint="eastAsia" w:ascii="宋体" w:hAnsi="宋体" w:cs="宋体"/>
          <w:b/>
          <w:bCs/>
          <w:color w:val="auto"/>
          <w:kern w:val="0"/>
          <w:sz w:val="20"/>
          <w:szCs w:val="20"/>
          <w:highlight w:val="none"/>
          <w:lang w:bidi="ar"/>
        </w:rPr>
      </w:pPr>
    </w:p>
    <w:p w14:paraId="3DAF8517">
      <w:pPr>
        <w:snapToGrid w:val="0"/>
        <w:spacing w:line="360" w:lineRule="auto"/>
        <w:ind w:firstLine="402" w:firstLineChars="200"/>
        <w:rPr>
          <w:rFonts w:hint="eastAsia" w:ascii="仿宋" w:hAnsi="仿宋" w:eastAsia="仿宋" w:cs="仿宋_GB2312"/>
          <w:b/>
          <w:color w:val="auto"/>
          <w:sz w:val="30"/>
          <w:szCs w:val="30"/>
          <w:highlight w:val="none"/>
        </w:rPr>
      </w:pPr>
      <w:r>
        <w:rPr>
          <w:rFonts w:hint="eastAsia" w:ascii="宋体" w:hAnsi="宋体" w:cs="宋体"/>
          <w:b/>
          <w:bCs/>
          <w:color w:val="auto"/>
          <w:kern w:val="0"/>
          <w:sz w:val="20"/>
          <w:szCs w:val="20"/>
          <w:highlight w:val="none"/>
          <w:lang w:bidi="ar"/>
        </w:rPr>
        <w:t>注：表中内容须按要求填写，如某项不确定可用“/”表述，否则响应文件作无效处理。</w:t>
      </w:r>
    </w:p>
    <w:p w14:paraId="69061286">
      <w:pPr>
        <w:widowControl/>
        <w:jc w:val="left"/>
        <w:rPr>
          <w:rFonts w:hint="eastAsia" w:ascii="宋体" w:hAnsi="宋体" w:cs="宋体"/>
          <w:b/>
          <w:bCs/>
          <w:color w:val="auto"/>
          <w:kern w:val="0"/>
          <w:sz w:val="30"/>
          <w:szCs w:val="30"/>
          <w:highlight w:val="none"/>
          <w:lang w:bidi="ar"/>
        </w:rPr>
      </w:pPr>
    </w:p>
    <w:p w14:paraId="14169B52">
      <w:pPr>
        <w:widowControl/>
        <w:jc w:val="left"/>
        <w:rPr>
          <w:rFonts w:hint="eastAsia" w:ascii="宋体" w:hAnsi="宋体" w:cs="宋体"/>
          <w:b/>
          <w:bCs/>
          <w:color w:val="auto"/>
          <w:kern w:val="0"/>
          <w:sz w:val="30"/>
          <w:szCs w:val="30"/>
          <w:highlight w:val="none"/>
          <w:lang w:bidi="ar"/>
        </w:rPr>
      </w:pPr>
    </w:p>
    <w:p w14:paraId="51BD8E2F">
      <w:pPr>
        <w:widowControl/>
        <w:jc w:val="left"/>
        <w:rPr>
          <w:rFonts w:hint="eastAsia" w:ascii="宋体" w:hAnsi="宋体" w:cs="宋体"/>
          <w:b/>
          <w:bCs/>
          <w:color w:val="auto"/>
          <w:kern w:val="0"/>
          <w:sz w:val="30"/>
          <w:szCs w:val="30"/>
          <w:highlight w:val="none"/>
          <w:lang w:bidi="ar"/>
        </w:rPr>
      </w:pPr>
    </w:p>
    <w:p w14:paraId="2F825BFF">
      <w:pPr>
        <w:widowControl/>
        <w:jc w:val="left"/>
        <w:rPr>
          <w:rFonts w:hint="eastAsia" w:ascii="宋体" w:hAnsi="宋体" w:cs="宋体"/>
          <w:b/>
          <w:bCs/>
          <w:color w:val="auto"/>
          <w:kern w:val="0"/>
          <w:sz w:val="30"/>
          <w:szCs w:val="30"/>
          <w:highlight w:val="none"/>
          <w:lang w:bidi="ar"/>
        </w:rPr>
      </w:pPr>
    </w:p>
    <w:p w14:paraId="3AE9E61B">
      <w:pPr>
        <w:widowControl/>
        <w:jc w:val="left"/>
        <w:rPr>
          <w:rFonts w:hint="eastAsia" w:ascii="宋体" w:hAnsi="宋体" w:cs="宋体"/>
          <w:b/>
          <w:bCs/>
          <w:color w:val="auto"/>
          <w:kern w:val="0"/>
          <w:sz w:val="30"/>
          <w:szCs w:val="30"/>
          <w:highlight w:val="none"/>
          <w:lang w:bidi="ar"/>
        </w:rPr>
      </w:pPr>
    </w:p>
    <w:p w14:paraId="3FE80849">
      <w:pPr>
        <w:widowControl/>
        <w:jc w:val="left"/>
        <w:rPr>
          <w:color w:val="auto"/>
          <w:highlight w:val="none"/>
        </w:rPr>
      </w:pPr>
      <w:r>
        <w:rPr>
          <w:rFonts w:hint="eastAsia" w:ascii="宋体" w:hAnsi="宋体" w:cs="宋体"/>
          <w:b/>
          <w:bCs/>
          <w:color w:val="auto"/>
          <w:kern w:val="0"/>
          <w:sz w:val="30"/>
          <w:szCs w:val="30"/>
          <w:highlight w:val="none"/>
          <w:lang w:bidi="ar"/>
        </w:rPr>
        <w:t>九、项目管理机构</w:t>
      </w:r>
    </w:p>
    <w:p w14:paraId="74A5CF23">
      <w:pPr>
        <w:widowControl/>
        <w:jc w:val="left"/>
        <w:rPr>
          <w:color w:val="auto"/>
          <w:highlight w:val="none"/>
        </w:rPr>
      </w:pPr>
      <w:r>
        <w:rPr>
          <w:rFonts w:hint="eastAsia" w:ascii="宋体" w:hAnsi="宋体" w:cs="宋体"/>
          <w:b/>
          <w:bCs/>
          <w:color w:val="auto"/>
          <w:kern w:val="0"/>
          <w:sz w:val="30"/>
          <w:szCs w:val="30"/>
          <w:highlight w:val="none"/>
          <w:lang w:bidi="ar"/>
        </w:rPr>
        <w:t xml:space="preserve">1.项目管理机构配备情况表 </w:t>
      </w:r>
    </w:p>
    <w:tbl>
      <w:tblPr>
        <w:tblStyle w:val="20"/>
        <w:tblpPr w:leftFromText="180" w:rightFromText="180" w:vertAnchor="text" w:horzAnchor="page" w:tblpX="1875" w:tblpY="36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9"/>
        <w:gridCol w:w="1188"/>
        <w:gridCol w:w="1189"/>
        <w:gridCol w:w="1188"/>
        <w:gridCol w:w="1189"/>
        <w:gridCol w:w="1188"/>
        <w:gridCol w:w="1189"/>
      </w:tblGrid>
      <w:tr w14:paraId="5C20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189" w:type="dxa"/>
            <w:noWrap w:val="0"/>
            <w:vAlign w:val="center"/>
          </w:tcPr>
          <w:p w14:paraId="7F8DE5D6">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工作岗位名称</w:t>
            </w:r>
          </w:p>
        </w:tc>
        <w:tc>
          <w:tcPr>
            <w:tcW w:w="1188" w:type="dxa"/>
            <w:noWrap w:val="0"/>
            <w:vAlign w:val="center"/>
          </w:tcPr>
          <w:p w14:paraId="709D2555">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姓名</w:t>
            </w:r>
          </w:p>
        </w:tc>
        <w:tc>
          <w:tcPr>
            <w:tcW w:w="1189" w:type="dxa"/>
            <w:noWrap w:val="0"/>
            <w:vAlign w:val="center"/>
          </w:tcPr>
          <w:p w14:paraId="0BFFF04B">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性别</w:t>
            </w:r>
          </w:p>
        </w:tc>
        <w:tc>
          <w:tcPr>
            <w:tcW w:w="1188" w:type="dxa"/>
            <w:noWrap w:val="0"/>
            <w:vAlign w:val="center"/>
          </w:tcPr>
          <w:p w14:paraId="67FC4983">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工作职责</w:t>
            </w:r>
          </w:p>
        </w:tc>
        <w:tc>
          <w:tcPr>
            <w:tcW w:w="1189" w:type="dxa"/>
            <w:noWrap w:val="0"/>
            <w:vAlign w:val="center"/>
          </w:tcPr>
          <w:p w14:paraId="303FE5A3">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职称</w:t>
            </w:r>
          </w:p>
        </w:tc>
        <w:tc>
          <w:tcPr>
            <w:tcW w:w="1188" w:type="dxa"/>
            <w:noWrap w:val="0"/>
            <w:vAlign w:val="center"/>
          </w:tcPr>
          <w:p w14:paraId="63CC34DE">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专业</w:t>
            </w:r>
          </w:p>
        </w:tc>
        <w:tc>
          <w:tcPr>
            <w:tcW w:w="1189" w:type="dxa"/>
            <w:noWrap w:val="0"/>
            <w:vAlign w:val="center"/>
          </w:tcPr>
          <w:p w14:paraId="3376A432">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相关证书及编号</w:t>
            </w:r>
          </w:p>
        </w:tc>
      </w:tr>
      <w:tr w14:paraId="6862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9" w:type="dxa"/>
            <w:noWrap w:val="0"/>
            <w:vAlign w:val="center"/>
          </w:tcPr>
          <w:p w14:paraId="5C1733D2">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1.项目经理</w:t>
            </w:r>
          </w:p>
        </w:tc>
        <w:tc>
          <w:tcPr>
            <w:tcW w:w="1188" w:type="dxa"/>
            <w:noWrap w:val="0"/>
            <w:vAlign w:val="center"/>
          </w:tcPr>
          <w:p w14:paraId="6031657F">
            <w:pPr>
              <w:widowControl/>
              <w:jc w:val="center"/>
              <w:rPr>
                <w:rFonts w:hint="eastAsia" w:ascii="宋体" w:hAnsi="宋体" w:cs="宋体"/>
                <w:color w:val="auto"/>
                <w:kern w:val="0"/>
                <w:szCs w:val="21"/>
                <w:highlight w:val="none"/>
                <w:lang w:bidi="ar"/>
              </w:rPr>
            </w:pPr>
          </w:p>
        </w:tc>
        <w:tc>
          <w:tcPr>
            <w:tcW w:w="1189" w:type="dxa"/>
            <w:noWrap w:val="0"/>
            <w:vAlign w:val="center"/>
          </w:tcPr>
          <w:p w14:paraId="34C08DE8">
            <w:pPr>
              <w:widowControl/>
              <w:jc w:val="center"/>
              <w:rPr>
                <w:rFonts w:hint="eastAsia" w:ascii="宋体" w:hAnsi="宋体" w:cs="宋体"/>
                <w:color w:val="auto"/>
                <w:kern w:val="0"/>
                <w:szCs w:val="21"/>
                <w:highlight w:val="none"/>
                <w:lang w:bidi="ar"/>
              </w:rPr>
            </w:pPr>
          </w:p>
        </w:tc>
        <w:tc>
          <w:tcPr>
            <w:tcW w:w="1188" w:type="dxa"/>
            <w:noWrap w:val="0"/>
            <w:vAlign w:val="center"/>
          </w:tcPr>
          <w:p w14:paraId="5C4DD97F">
            <w:pPr>
              <w:widowControl/>
              <w:jc w:val="center"/>
              <w:rPr>
                <w:rFonts w:hint="eastAsia" w:ascii="宋体" w:hAnsi="宋体" w:cs="宋体"/>
                <w:color w:val="auto"/>
                <w:kern w:val="0"/>
                <w:szCs w:val="21"/>
                <w:highlight w:val="none"/>
                <w:lang w:bidi="ar"/>
              </w:rPr>
            </w:pPr>
          </w:p>
        </w:tc>
        <w:tc>
          <w:tcPr>
            <w:tcW w:w="1189" w:type="dxa"/>
            <w:noWrap w:val="0"/>
            <w:vAlign w:val="center"/>
          </w:tcPr>
          <w:p w14:paraId="65E272A2">
            <w:pPr>
              <w:widowControl/>
              <w:jc w:val="center"/>
              <w:rPr>
                <w:rFonts w:hint="eastAsia" w:ascii="宋体" w:hAnsi="宋体" w:cs="宋体"/>
                <w:color w:val="auto"/>
                <w:kern w:val="0"/>
                <w:szCs w:val="21"/>
                <w:highlight w:val="none"/>
                <w:lang w:bidi="ar"/>
              </w:rPr>
            </w:pPr>
          </w:p>
        </w:tc>
        <w:tc>
          <w:tcPr>
            <w:tcW w:w="1188" w:type="dxa"/>
            <w:noWrap w:val="0"/>
            <w:vAlign w:val="center"/>
          </w:tcPr>
          <w:p w14:paraId="32BB00C1">
            <w:pPr>
              <w:widowControl/>
              <w:jc w:val="center"/>
              <w:rPr>
                <w:rFonts w:hint="eastAsia" w:ascii="宋体" w:hAnsi="宋体" w:cs="宋体"/>
                <w:color w:val="auto"/>
                <w:kern w:val="0"/>
                <w:szCs w:val="21"/>
                <w:highlight w:val="none"/>
                <w:lang w:bidi="ar"/>
              </w:rPr>
            </w:pPr>
          </w:p>
        </w:tc>
        <w:tc>
          <w:tcPr>
            <w:tcW w:w="1189" w:type="dxa"/>
            <w:noWrap w:val="0"/>
            <w:vAlign w:val="center"/>
          </w:tcPr>
          <w:p w14:paraId="27E7CAF5">
            <w:pPr>
              <w:widowControl/>
              <w:jc w:val="center"/>
              <w:rPr>
                <w:rFonts w:hint="eastAsia" w:ascii="宋体" w:hAnsi="宋体" w:cs="宋体"/>
                <w:color w:val="auto"/>
                <w:kern w:val="0"/>
                <w:szCs w:val="21"/>
                <w:highlight w:val="none"/>
                <w:lang w:bidi="ar"/>
              </w:rPr>
            </w:pPr>
          </w:p>
        </w:tc>
      </w:tr>
      <w:tr w14:paraId="02E1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9" w:type="dxa"/>
            <w:noWrap w:val="0"/>
            <w:vAlign w:val="center"/>
          </w:tcPr>
          <w:p w14:paraId="66692985">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2.技术负责人</w:t>
            </w:r>
          </w:p>
        </w:tc>
        <w:tc>
          <w:tcPr>
            <w:tcW w:w="1188" w:type="dxa"/>
            <w:noWrap w:val="0"/>
            <w:vAlign w:val="center"/>
          </w:tcPr>
          <w:p w14:paraId="545BB6AA">
            <w:pPr>
              <w:widowControl/>
              <w:jc w:val="center"/>
              <w:rPr>
                <w:rFonts w:hint="eastAsia" w:ascii="宋体" w:hAnsi="宋体" w:cs="宋体"/>
                <w:color w:val="auto"/>
                <w:kern w:val="0"/>
                <w:szCs w:val="21"/>
                <w:highlight w:val="none"/>
                <w:lang w:bidi="ar"/>
              </w:rPr>
            </w:pPr>
          </w:p>
        </w:tc>
        <w:tc>
          <w:tcPr>
            <w:tcW w:w="1189" w:type="dxa"/>
            <w:noWrap w:val="0"/>
            <w:vAlign w:val="center"/>
          </w:tcPr>
          <w:p w14:paraId="2B125B3E">
            <w:pPr>
              <w:widowControl/>
              <w:jc w:val="center"/>
              <w:rPr>
                <w:rFonts w:hint="eastAsia" w:ascii="宋体" w:hAnsi="宋体" w:cs="宋体"/>
                <w:color w:val="auto"/>
                <w:kern w:val="0"/>
                <w:szCs w:val="21"/>
                <w:highlight w:val="none"/>
                <w:lang w:bidi="ar"/>
              </w:rPr>
            </w:pPr>
          </w:p>
        </w:tc>
        <w:tc>
          <w:tcPr>
            <w:tcW w:w="1188" w:type="dxa"/>
            <w:noWrap w:val="0"/>
            <w:vAlign w:val="center"/>
          </w:tcPr>
          <w:p w14:paraId="71F43935">
            <w:pPr>
              <w:widowControl/>
              <w:jc w:val="center"/>
              <w:rPr>
                <w:rFonts w:hint="eastAsia" w:ascii="宋体" w:hAnsi="宋体" w:cs="宋体"/>
                <w:color w:val="auto"/>
                <w:kern w:val="0"/>
                <w:szCs w:val="21"/>
                <w:highlight w:val="none"/>
                <w:lang w:bidi="ar"/>
              </w:rPr>
            </w:pPr>
          </w:p>
        </w:tc>
        <w:tc>
          <w:tcPr>
            <w:tcW w:w="1189" w:type="dxa"/>
            <w:noWrap w:val="0"/>
            <w:vAlign w:val="center"/>
          </w:tcPr>
          <w:p w14:paraId="39B8CCEC">
            <w:pPr>
              <w:widowControl/>
              <w:jc w:val="center"/>
              <w:rPr>
                <w:rFonts w:hint="eastAsia" w:ascii="宋体" w:hAnsi="宋体" w:cs="宋体"/>
                <w:color w:val="auto"/>
                <w:kern w:val="0"/>
                <w:szCs w:val="21"/>
                <w:highlight w:val="none"/>
                <w:lang w:bidi="ar"/>
              </w:rPr>
            </w:pPr>
          </w:p>
        </w:tc>
        <w:tc>
          <w:tcPr>
            <w:tcW w:w="1188" w:type="dxa"/>
            <w:noWrap w:val="0"/>
            <w:vAlign w:val="center"/>
          </w:tcPr>
          <w:p w14:paraId="57DA3B06">
            <w:pPr>
              <w:widowControl/>
              <w:jc w:val="center"/>
              <w:rPr>
                <w:rFonts w:hint="eastAsia" w:ascii="宋体" w:hAnsi="宋体" w:cs="宋体"/>
                <w:color w:val="auto"/>
                <w:kern w:val="0"/>
                <w:szCs w:val="21"/>
                <w:highlight w:val="none"/>
                <w:lang w:bidi="ar"/>
              </w:rPr>
            </w:pPr>
          </w:p>
        </w:tc>
        <w:tc>
          <w:tcPr>
            <w:tcW w:w="1189" w:type="dxa"/>
            <w:noWrap w:val="0"/>
            <w:vAlign w:val="center"/>
          </w:tcPr>
          <w:p w14:paraId="6313F02F">
            <w:pPr>
              <w:widowControl/>
              <w:jc w:val="center"/>
              <w:rPr>
                <w:rFonts w:hint="eastAsia" w:ascii="宋体" w:hAnsi="宋体" w:cs="宋体"/>
                <w:color w:val="auto"/>
                <w:kern w:val="0"/>
                <w:szCs w:val="21"/>
                <w:highlight w:val="none"/>
                <w:lang w:bidi="ar"/>
              </w:rPr>
            </w:pPr>
          </w:p>
        </w:tc>
      </w:tr>
      <w:tr w14:paraId="6064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9" w:type="dxa"/>
            <w:noWrap w:val="0"/>
            <w:vAlign w:val="center"/>
          </w:tcPr>
          <w:p w14:paraId="4B514F76">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3.质量管理员</w:t>
            </w:r>
          </w:p>
        </w:tc>
        <w:tc>
          <w:tcPr>
            <w:tcW w:w="1188" w:type="dxa"/>
            <w:noWrap w:val="0"/>
            <w:vAlign w:val="center"/>
          </w:tcPr>
          <w:p w14:paraId="4E702F67">
            <w:pPr>
              <w:widowControl/>
              <w:jc w:val="center"/>
              <w:rPr>
                <w:rFonts w:hint="eastAsia" w:ascii="宋体" w:hAnsi="宋体" w:cs="宋体"/>
                <w:color w:val="auto"/>
                <w:kern w:val="0"/>
                <w:szCs w:val="21"/>
                <w:highlight w:val="none"/>
                <w:lang w:bidi="ar"/>
              </w:rPr>
            </w:pPr>
          </w:p>
        </w:tc>
        <w:tc>
          <w:tcPr>
            <w:tcW w:w="1189" w:type="dxa"/>
            <w:noWrap w:val="0"/>
            <w:vAlign w:val="center"/>
          </w:tcPr>
          <w:p w14:paraId="106EB07E">
            <w:pPr>
              <w:widowControl/>
              <w:jc w:val="center"/>
              <w:rPr>
                <w:rFonts w:hint="eastAsia" w:ascii="宋体" w:hAnsi="宋体" w:cs="宋体"/>
                <w:color w:val="auto"/>
                <w:kern w:val="0"/>
                <w:szCs w:val="21"/>
                <w:highlight w:val="none"/>
                <w:lang w:bidi="ar"/>
              </w:rPr>
            </w:pPr>
          </w:p>
        </w:tc>
        <w:tc>
          <w:tcPr>
            <w:tcW w:w="1188" w:type="dxa"/>
            <w:noWrap w:val="0"/>
            <w:vAlign w:val="center"/>
          </w:tcPr>
          <w:p w14:paraId="07BBB38C">
            <w:pPr>
              <w:widowControl/>
              <w:jc w:val="center"/>
              <w:rPr>
                <w:rFonts w:hint="eastAsia" w:ascii="宋体" w:hAnsi="宋体" w:cs="宋体"/>
                <w:color w:val="auto"/>
                <w:kern w:val="0"/>
                <w:szCs w:val="21"/>
                <w:highlight w:val="none"/>
                <w:lang w:bidi="ar"/>
              </w:rPr>
            </w:pPr>
          </w:p>
        </w:tc>
        <w:tc>
          <w:tcPr>
            <w:tcW w:w="1189" w:type="dxa"/>
            <w:noWrap w:val="0"/>
            <w:vAlign w:val="center"/>
          </w:tcPr>
          <w:p w14:paraId="455BEA2E">
            <w:pPr>
              <w:widowControl/>
              <w:jc w:val="center"/>
              <w:rPr>
                <w:rFonts w:hint="eastAsia" w:ascii="宋体" w:hAnsi="宋体" w:cs="宋体"/>
                <w:color w:val="auto"/>
                <w:kern w:val="0"/>
                <w:szCs w:val="21"/>
                <w:highlight w:val="none"/>
                <w:lang w:bidi="ar"/>
              </w:rPr>
            </w:pPr>
          </w:p>
        </w:tc>
        <w:tc>
          <w:tcPr>
            <w:tcW w:w="1188" w:type="dxa"/>
            <w:noWrap w:val="0"/>
            <w:vAlign w:val="center"/>
          </w:tcPr>
          <w:p w14:paraId="3909054F">
            <w:pPr>
              <w:widowControl/>
              <w:jc w:val="center"/>
              <w:rPr>
                <w:rFonts w:hint="eastAsia" w:ascii="宋体" w:hAnsi="宋体" w:cs="宋体"/>
                <w:color w:val="auto"/>
                <w:kern w:val="0"/>
                <w:szCs w:val="21"/>
                <w:highlight w:val="none"/>
                <w:lang w:bidi="ar"/>
              </w:rPr>
            </w:pPr>
          </w:p>
        </w:tc>
        <w:tc>
          <w:tcPr>
            <w:tcW w:w="1189" w:type="dxa"/>
            <w:noWrap w:val="0"/>
            <w:vAlign w:val="center"/>
          </w:tcPr>
          <w:p w14:paraId="2C406D32">
            <w:pPr>
              <w:widowControl/>
              <w:jc w:val="center"/>
              <w:rPr>
                <w:rFonts w:hint="eastAsia" w:ascii="宋体" w:hAnsi="宋体" w:cs="宋体"/>
                <w:color w:val="auto"/>
                <w:kern w:val="0"/>
                <w:szCs w:val="21"/>
                <w:highlight w:val="none"/>
                <w:lang w:bidi="ar"/>
              </w:rPr>
            </w:pPr>
          </w:p>
        </w:tc>
      </w:tr>
      <w:tr w14:paraId="21F0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9" w:type="dxa"/>
            <w:noWrap w:val="0"/>
            <w:vAlign w:val="center"/>
          </w:tcPr>
          <w:p w14:paraId="5027342F">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4.安全管理员</w:t>
            </w:r>
          </w:p>
        </w:tc>
        <w:tc>
          <w:tcPr>
            <w:tcW w:w="1188" w:type="dxa"/>
            <w:noWrap w:val="0"/>
            <w:vAlign w:val="center"/>
          </w:tcPr>
          <w:p w14:paraId="00AE763C">
            <w:pPr>
              <w:widowControl/>
              <w:jc w:val="center"/>
              <w:rPr>
                <w:rFonts w:hint="eastAsia" w:ascii="宋体" w:hAnsi="宋体" w:cs="宋体"/>
                <w:color w:val="auto"/>
                <w:kern w:val="0"/>
                <w:szCs w:val="21"/>
                <w:highlight w:val="none"/>
                <w:lang w:bidi="ar"/>
              </w:rPr>
            </w:pPr>
          </w:p>
        </w:tc>
        <w:tc>
          <w:tcPr>
            <w:tcW w:w="1189" w:type="dxa"/>
            <w:noWrap w:val="0"/>
            <w:vAlign w:val="center"/>
          </w:tcPr>
          <w:p w14:paraId="48B444A7">
            <w:pPr>
              <w:widowControl/>
              <w:jc w:val="center"/>
              <w:rPr>
                <w:rFonts w:hint="eastAsia" w:ascii="宋体" w:hAnsi="宋体" w:cs="宋体"/>
                <w:color w:val="auto"/>
                <w:kern w:val="0"/>
                <w:szCs w:val="21"/>
                <w:highlight w:val="none"/>
                <w:lang w:bidi="ar"/>
              </w:rPr>
            </w:pPr>
          </w:p>
        </w:tc>
        <w:tc>
          <w:tcPr>
            <w:tcW w:w="1188" w:type="dxa"/>
            <w:noWrap w:val="0"/>
            <w:vAlign w:val="center"/>
          </w:tcPr>
          <w:p w14:paraId="741736B1">
            <w:pPr>
              <w:widowControl/>
              <w:jc w:val="center"/>
              <w:rPr>
                <w:rFonts w:hint="eastAsia" w:ascii="宋体" w:hAnsi="宋体" w:cs="宋体"/>
                <w:color w:val="auto"/>
                <w:kern w:val="0"/>
                <w:szCs w:val="21"/>
                <w:highlight w:val="none"/>
                <w:lang w:bidi="ar"/>
              </w:rPr>
            </w:pPr>
          </w:p>
        </w:tc>
        <w:tc>
          <w:tcPr>
            <w:tcW w:w="1189" w:type="dxa"/>
            <w:noWrap w:val="0"/>
            <w:vAlign w:val="center"/>
          </w:tcPr>
          <w:p w14:paraId="7096DA06">
            <w:pPr>
              <w:widowControl/>
              <w:jc w:val="center"/>
              <w:rPr>
                <w:rFonts w:hint="eastAsia" w:ascii="宋体" w:hAnsi="宋体" w:cs="宋体"/>
                <w:color w:val="auto"/>
                <w:kern w:val="0"/>
                <w:szCs w:val="21"/>
                <w:highlight w:val="none"/>
                <w:lang w:bidi="ar"/>
              </w:rPr>
            </w:pPr>
          </w:p>
        </w:tc>
        <w:tc>
          <w:tcPr>
            <w:tcW w:w="1188" w:type="dxa"/>
            <w:noWrap w:val="0"/>
            <w:vAlign w:val="center"/>
          </w:tcPr>
          <w:p w14:paraId="2E0EEE28">
            <w:pPr>
              <w:widowControl/>
              <w:jc w:val="center"/>
              <w:rPr>
                <w:rFonts w:hint="eastAsia" w:ascii="宋体" w:hAnsi="宋体" w:cs="宋体"/>
                <w:color w:val="auto"/>
                <w:kern w:val="0"/>
                <w:szCs w:val="21"/>
                <w:highlight w:val="none"/>
                <w:lang w:bidi="ar"/>
              </w:rPr>
            </w:pPr>
          </w:p>
        </w:tc>
        <w:tc>
          <w:tcPr>
            <w:tcW w:w="1189" w:type="dxa"/>
            <w:noWrap w:val="0"/>
            <w:vAlign w:val="center"/>
          </w:tcPr>
          <w:p w14:paraId="58732F89">
            <w:pPr>
              <w:widowControl/>
              <w:jc w:val="center"/>
              <w:rPr>
                <w:rFonts w:hint="eastAsia" w:ascii="宋体" w:hAnsi="宋体" w:cs="宋体"/>
                <w:color w:val="auto"/>
                <w:kern w:val="0"/>
                <w:szCs w:val="21"/>
                <w:highlight w:val="none"/>
                <w:lang w:bidi="ar"/>
              </w:rPr>
            </w:pPr>
          </w:p>
        </w:tc>
      </w:tr>
      <w:tr w14:paraId="0654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189" w:type="dxa"/>
            <w:noWrap w:val="0"/>
            <w:vAlign w:val="center"/>
          </w:tcPr>
          <w:p w14:paraId="3C34D5FC">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tc>
        <w:tc>
          <w:tcPr>
            <w:tcW w:w="1188" w:type="dxa"/>
            <w:noWrap w:val="0"/>
            <w:vAlign w:val="center"/>
          </w:tcPr>
          <w:p w14:paraId="792D14BB">
            <w:pPr>
              <w:widowControl/>
              <w:jc w:val="center"/>
              <w:rPr>
                <w:rFonts w:hint="eastAsia" w:ascii="宋体" w:hAnsi="宋体" w:cs="宋体"/>
                <w:color w:val="auto"/>
                <w:kern w:val="0"/>
                <w:szCs w:val="21"/>
                <w:highlight w:val="none"/>
                <w:lang w:bidi="ar"/>
              </w:rPr>
            </w:pPr>
          </w:p>
        </w:tc>
        <w:tc>
          <w:tcPr>
            <w:tcW w:w="1189" w:type="dxa"/>
            <w:noWrap w:val="0"/>
            <w:vAlign w:val="center"/>
          </w:tcPr>
          <w:p w14:paraId="08389099">
            <w:pPr>
              <w:widowControl/>
              <w:jc w:val="center"/>
              <w:rPr>
                <w:rFonts w:hint="eastAsia" w:ascii="宋体" w:hAnsi="宋体" w:cs="宋体"/>
                <w:color w:val="auto"/>
                <w:kern w:val="0"/>
                <w:szCs w:val="21"/>
                <w:highlight w:val="none"/>
                <w:lang w:bidi="ar"/>
              </w:rPr>
            </w:pPr>
          </w:p>
        </w:tc>
        <w:tc>
          <w:tcPr>
            <w:tcW w:w="1188" w:type="dxa"/>
            <w:noWrap w:val="0"/>
            <w:vAlign w:val="center"/>
          </w:tcPr>
          <w:p w14:paraId="207593AD">
            <w:pPr>
              <w:widowControl/>
              <w:jc w:val="center"/>
              <w:rPr>
                <w:rFonts w:hint="eastAsia" w:ascii="宋体" w:hAnsi="宋体" w:cs="宋体"/>
                <w:color w:val="auto"/>
                <w:kern w:val="0"/>
                <w:szCs w:val="21"/>
                <w:highlight w:val="none"/>
                <w:lang w:bidi="ar"/>
              </w:rPr>
            </w:pPr>
          </w:p>
        </w:tc>
        <w:tc>
          <w:tcPr>
            <w:tcW w:w="1189" w:type="dxa"/>
            <w:noWrap w:val="0"/>
            <w:vAlign w:val="center"/>
          </w:tcPr>
          <w:p w14:paraId="6D28DECE">
            <w:pPr>
              <w:widowControl/>
              <w:jc w:val="center"/>
              <w:rPr>
                <w:rFonts w:hint="eastAsia" w:ascii="宋体" w:hAnsi="宋体" w:cs="宋体"/>
                <w:color w:val="auto"/>
                <w:kern w:val="0"/>
                <w:szCs w:val="21"/>
                <w:highlight w:val="none"/>
                <w:lang w:bidi="ar"/>
              </w:rPr>
            </w:pPr>
          </w:p>
        </w:tc>
        <w:tc>
          <w:tcPr>
            <w:tcW w:w="1188" w:type="dxa"/>
            <w:noWrap w:val="0"/>
            <w:vAlign w:val="center"/>
          </w:tcPr>
          <w:p w14:paraId="0F4DB8FB">
            <w:pPr>
              <w:widowControl/>
              <w:jc w:val="center"/>
              <w:rPr>
                <w:rFonts w:hint="eastAsia" w:ascii="宋体" w:hAnsi="宋体" w:cs="宋体"/>
                <w:color w:val="auto"/>
                <w:kern w:val="0"/>
                <w:szCs w:val="21"/>
                <w:highlight w:val="none"/>
                <w:lang w:bidi="ar"/>
              </w:rPr>
            </w:pPr>
          </w:p>
        </w:tc>
        <w:tc>
          <w:tcPr>
            <w:tcW w:w="1189" w:type="dxa"/>
            <w:noWrap w:val="0"/>
            <w:vAlign w:val="center"/>
          </w:tcPr>
          <w:p w14:paraId="437FD37B">
            <w:pPr>
              <w:widowControl/>
              <w:jc w:val="center"/>
              <w:rPr>
                <w:rFonts w:hint="eastAsia" w:ascii="宋体" w:hAnsi="宋体" w:cs="宋体"/>
                <w:color w:val="auto"/>
                <w:kern w:val="0"/>
                <w:szCs w:val="21"/>
                <w:highlight w:val="none"/>
                <w:lang w:bidi="ar"/>
              </w:rPr>
            </w:pPr>
          </w:p>
        </w:tc>
      </w:tr>
      <w:tr w14:paraId="6AE5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189" w:type="dxa"/>
            <w:noWrap w:val="0"/>
            <w:vAlign w:val="center"/>
          </w:tcPr>
          <w:p w14:paraId="428B56C2">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tc>
        <w:tc>
          <w:tcPr>
            <w:tcW w:w="1188" w:type="dxa"/>
            <w:noWrap w:val="0"/>
            <w:vAlign w:val="center"/>
          </w:tcPr>
          <w:p w14:paraId="3539143D">
            <w:pPr>
              <w:widowControl/>
              <w:jc w:val="center"/>
              <w:rPr>
                <w:rFonts w:hint="eastAsia" w:ascii="宋体" w:hAnsi="宋体" w:cs="宋体"/>
                <w:color w:val="auto"/>
                <w:kern w:val="0"/>
                <w:szCs w:val="21"/>
                <w:highlight w:val="none"/>
                <w:lang w:bidi="ar"/>
              </w:rPr>
            </w:pPr>
          </w:p>
        </w:tc>
        <w:tc>
          <w:tcPr>
            <w:tcW w:w="1189" w:type="dxa"/>
            <w:noWrap w:val="0"/>
            <w:vAlign w:val="center"/>
          </w:tcPr>
          <w:p w14:paraId="4786A58F">
            <w:pPr>
              <w:widowControl/>
              <w:jc w:val="center"/>
              <w:rPr>
                <w:rFonts w:hint="eastAsia" w:ascii="宋体" w:hAnsi="宋体" w:cs="宋体"/>
                <w:color w:val="auto"/>
                <w:kern w:val="0"/>
                <w:szCs w:val="21"/>
                <w:highlight w:val="none"/>
                <w:lang w:bidi="ar"/>
              </w:rPr>
            </w:pPr>
          </w:p>
        </w:tc>
        <w:tc>
          <w:tcPr>
            <w:tcW w:w="1188" w:type="dxa"/>
            <w:noWrap w:val="0"/>
            <w:vAlign w:val="center"/>
          </w:tcPr>
          <w:p w14:paraId="65A37108">
            <w:pPr>
              <w:widowControl/>
              <w:jc w:val="center"/>
              <w:rPr>
                <w:rFonts w:hint="eastAsia" w:ascii="宋体" w:hAnsi="宋体" w:cs="宋体"/>
                <w:color w:val="auto"/>
                <w:kern w:val="0"/>
                <w:szCs w:val="21"/>
                <w:highlight w:val="none"/>
                <w:lang w:bidi="ar"/>
              </w:rPr>
            </w:pPr>
          </w:p>
        </w:tc>
        <w:tc>
          <w:tcPr>
            <w:tcW w:w="1189" w:type="dxa"/>
            <w:noWrap w:val="0"/>
            <w:vAlign w:val="center"/>
          </w:tcPr>
          <w:p w14:paraId="50777532">
            <w:pPr>
              <w:widowControl/>
              <w:jc w:val="center"/>
              <w:rPr>
                <w:rFonts w:hint="eastAsia" w:ascii="宋体" w:hAnsi="宋体" w:cs="宋体"/>
                <w:color w:val="auto"/>
                <w:kern w:val="0"/>
                <w:szCs w:val="21"/>
                <w:highlight w:val="none"/>
                <w:lang w:bidi="ar"/>
              </w:rPr>
            </w:pPr>
          </w:p>
        </w:tc>
        <w:tc>
          <w:tcPr>
            <w:tcW w:w="1188" w:type="dxa"/>
            <w:noWrap w:val="0"/>
            <w:vAlign w:val="center"/>
          </w:tcPr>
          <w:p w14:paraId="59368A5F">
            <w:pPr>
              <w:widowControl/>
              <w:jc w:val="center"/>
              <w:rPr>
                <w:rFonts w:hint="eastAsia" w:ascii="宋体" w:hAnsi="宋体" w:cs="宋体"/>
                <w:color w:val="auto"/>
                <w:kern w:val="0"/>
                <w:szCs w:val="21"/>
                <w:highlight w:val="none"/>
                <w:lang w:bidi="ar"/>
              </w:rPr>
            </w:pPr>
          </w:p>
        </w:tc>
        <w:tc>
          <w:tcPr>
            <w:tcW w:w="1189" w:type="dxa"/>
            <w:noWrap w:val="0"/>
            <w:vAlign w:val="center"/>
          </w:tcPr>
          <w:p w14:paraId="5AE10811">
            <w:pPr>
              <w:widowControl/>
              <w:jc w:val="center"/>
              <w:rPr>
                <w:rFonts w:hint="eastAsia" w:ascii="宋体" w:hAnsi="宋体" w:cs="宋体"/>
                <w:color w:val="auto"/>
                <w:kern w:val="0"/>
                <w:szCs w:val="21"/>
                <w:highlight w:val="none"/>
                <w:lang w:bidi="ar"/>
              </w:rPr>
            </w:pPr>
          </w:p>
        </w:tc>
      </w:tr>
      <w:tr w14:paraId="471B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189" w:type="dxa"/>
            <w:noWrap w:val="0"/>
            <w:vAlign w:val="center"/>
          </w:tcPr>
          <w:p w14:paraId="335F59A9">
            <w:pPr>
              <w:widowControl/>
              <w:jc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tc>
        <w:tc>
          <w:tcPr>
            <w:tcW w:w="1188" w:type="dxa"/>
            <w:noWrap w:val="0"/>
            <w:vAlign w:val="center"/>
          </w:tcPr>
          <w:p w14:paraId="4BCE046B">
            <w:pPr>
              <w:widowControl/>
              <w:jc w:val="center"/>
              <w:rPr>
                <w:rFonts w:hint="eastAsia" w:ascii="宋体" w:hAnsi="宋体" w:cs="宋体"/>
                <w:color w:val="auto"/>
                <w:kern w:val="0"/>
                <w:szCs w:val="21"/>
                <w:highlight w:val="none"/>
                <w:lang w:bidi="ar"/>
              </w:rPr>
            </w:pPr>
          </w:p>
        </w:tc>
        <w:tc>
          <w:tcPr>
            <w:tcW w:w="1189" w:type="dxa"/>
            <w:noWrap w:val="0"/>
            <w:vAlign w:val="center"/>
          </w:tcPr>
          <w:p w14:paraId="3269848C">
            <w:pPr>
              <w:widowControl/>
              <w:jc w:val="center"/>
              <w:rPr>
                <w:rFonts w:hint="eastAsia" w:ascii="宋体" w:hAnsi="宋体" w:cs="宋体"/>
                <w:color w:val="auto"/>
                <w:kern w:val="0"/>
                <w:szCs w:val="21"/>
                <w:highlight w:val="none"/>
                <w:lang w:bidi="ar"/>
              </w:rPr>
            </w:pPr>
          </w:p>
        </w:tc>
        <w:tc>
          <w:tcPr>
            <w:tcW w:w="1188" w:type="dxa"/>
            <w:noWrap w:val="0"/>
            <w:vAlign w:val="center"/>
          </w:tcPr>
          <w:p w14:paraId="29B3F592">
            <w:pPr>
              <w:widowControl/>
              <w:jc w:val="center"/>
              <w:rPr>
                <w:rFonts w:hint="eastAsia" w:ascii="宋体" w:hAnsi="宋体" w:cs="宋体"/>
                <w:color w:val="auto"/>
                <w:kern w:val="0"/>
                <w:szCs w:val="21"/>
                <w:highlight w:val="none"/>
                <w:lang w:bidi="ar"/>
              </w:rPr>
            </w:pPr>
          </w:p>
        </w:tc>
        <w:tc>
          <w:tcPr>
            <w:tcW w:w="1189" w:type="dxa"/>
            <w:noWrap w:val="0"/>
            <w:vAlign w:val="center"/>
          </w:tcPr>
          <w:p w14:paraId="1ADD029E">
            <w:pPr>
              <w:widowControl/>
              <w:jc w:val="center"/>
              <w:rPr>
                <w:rFonts w:hint="eastAsia" w:ascii="宋体" w:hAnsi="宋体" w:cs="宋体"/>
                <w:color w:val="auto"/>
                <w:kern w:val="0"/>
                <w:szCs w:val="21"/>
                <w:highlight w:val="none"/>
                <w:lang w:bidi="ar"/>
              </w:rPr>
            </w:pPr>
          </w:p>
        </w:tc>
        <w:tc>
          <w:tcPr>
            <w:tcW w:w="1188" w:type="dxa"/>
            <w:noWrap w:val="0"/>
            <w:vAlign w:val="center"/>
          </w:tcPr>
          <w:p w14:paraId="5BC666A0">
            <w:pPr>
              <w:widowControl/>
              <w:jc w:val="center"/>
              <w:rPr>
                <w:rFonts w:hint="eastAsia" w:ascii="宋体" w:hAnsi="宋体" w:cs="宋体"/>
                <w:color w:val="auto"/>
                <w:kern w:val="0"/>
                <w:szCs w:val="21"/>
                <w:highlight w:val="none"/>
                <w:lang w:bidi="ar"/>
              </w:rPr>
            </w:pPr>
          </w:p>
        </w:tc>
        <w:tc>
          <w:tcPr>
            <w:tcW w:w="1189" w:type="dxa"/>
            <w:noWrap w:val="0"/>
            <w:vAlign w:val="center"/>
          </w:tcPr>
          <w:p w14:paraId="254E3144">
            <w:pPr>
              <w:widowControl/>
              <w:jc w:val="center"/>
              <w:rPr>
                <w:rFonts w:hint="eastAsia" w:ascii="宋体" w:hAnsi="宋体" w:cs="宋体"/>
                <w:color w:val="auto"/>
                <w:kern w:val="0"/>
                <w:szCs w:val="21"/>
                <w:highlight w:val="none"/>
                <w:lang w:bidi="ar"/>
              </w:rPr>
            </w:pPr>
          </w:p>
        </w:tc>
      </w:tr>
    </w:tbl>
    <w:p w14:paraId="7E60EE1A">
      <w:pPr>
        <w:widowControl/>
        <w:jc w:val="left"/>
        <w:rPr>
          <w:rFonts w:hint="eastAsia" w:ascii="宋体" w:hAnsi="宋体" w:cs="宋体"/>
          <w:color w:val="auto"/>
          <w:kern w:val="0"/>
          <w:sz w:val="20"/>
          <w:szCs w:val="20"/>
          <w:highlight w:val="none"/>
          <w:lang w:bidi="ar"/>
        </w:rPr>
      </w:pPr>
    </w:p>
    <w:p w14:paraId="07858AF3">
      <w:pPr>
        <w:widowControl/>
        <w:jc w:val="left"/>
        <w:rPr>
          <w:rFonts w:hint="eastAsia" w:ascii="宋体" w:hAnsi="宋体" w:cs="宋体"/>
          <w:color w:val="auto"/>
          <w:kern w:val="0"/>
          <w:sz w:val="20"/>
          <w:szCs w:val="20"/>
          <w:highlight w:val="none"/>
          <w:lang w:bidi="ar"/>
        </w:rPr>
      </w:pPr>
    </w:p>
    <w:p w14:paraId="46FA0DD5">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F314BC9">
      <w:pPr>
        <w:autoSpaceDE w:val="0"/>
        <w:autoSpaceDN w:val="0"/>
        <w:spacing w:line="360" w:lineRule="auto"/>
        <w:jc w:val="righ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4392983E">
      <w:pPr>
        <w:widowControl/>
        <w:jc w:val="left"/>
        <w:rPr>
          <w:rFonts w:hint="eastAsia" w:ascii="宋体" w:hAnsi="宋体" w:cs="宋体"/>
          <w:color w:val="auto"/>
          <w:kern w:val="0"/>
          <w:sz w:val="20"/>
          <w:szCs w:val="20"/>
          <w:highlight w:val="none"/>
          <w:lang w:bidi="ar"/>
        </w:rPr>
      </w:pPr>
    </w:p>
    <w:p w14:paraId="4C82361F">
      <w:pPr>
        <w:widowControl/>
        <w:spacing w:line="360" w:lineRule="auto"/>
        <w:jc w:val="left"/>
        <w:rPr>
          <w:color w:val="auto"/>
          <w:szCs w:val="21"/>
          <w:highlight w:val="none"/>
        </w:rPr>
      </w:pPr>
      <w:r>
        <w:rPr>
          <w:rFonts w:hint="eastAsia" w:ascii="宋体" w:hAnsi="宋体" w:cs="宋体"/>
          <w:color w:val="auto"/>
          <w:kern w:val="0"/>
          <w:szCs w:val="21"/>
          <w:highlight w:val="none"/>
          <w:lang w:bidi="ar"/>
        </w:rPr>
        <w:t xml:space="preserve">注： </w:t>
      </w:r>
    </w:p>
    <w:p w14:paraId="687D7977">
      <w:pPr>
        <w:widowControl/>
        <w:spacing w:line="360" w:lineRule="auto"/>
        <w:jc w:val="left"/>
        <w:rPr>
          <w:color w:val="auto"/>
          <w:szCs w:val="21"/>
          <w:highlight w:val="none"/>
        </w:rPr>
      </w:pPr>
      <w:r>
        <w:rPr>
          <w:rFonts w:hint="eastAsia" w:ascii="宋体" w:hAnsi="宋体" w:cs="宋体"/>
          <w:color w:val="auto"/>
          <w:kern w:val="0"/>
          <w:szCs w:val="21"/>
          <w:highlight w:val="none"/>
          <w:lang w:bidi="ar"/>
        </w:rPr>
        <w:t xml:space="preserve">1.本表所列岗位的所有管理人员的情况均应如实填写。可按以上格式扩展为多页填写。 </w:t>
      </w:r>
    </w:p>
    <w:p w14:paraId="78A26407">
      <w:pPr>
        <w:widowControl/>
        <w:spacing w:line="360" w:lineRule="auto"/>
        <w:jc w:val="left"/>
        <w:rPr>
          <w:color w:val="auto"/>
          <w:szCs w:val="21"/>
          <w:highlight w:val="none"/>
        </w:rPr>
      </w:pPr>
      <w:r>
        <w:rPr>
          <w:rFonts w:hint="eastAsia" w:ascii="宋体" w:hAnsi="宋体" w:cs="宋体"/>
          <w:color w:val="auto"/>
          <w:kern w:val="0"/>
          <w:szCs w:val="21"/>
          <w:highlight w:val="none"/>
          <w:lang w:bidi="ar"/>
        </w:rPr>
        <w:t>2.项目经理、技术负责人、安全管理员、质量管理员等主要管理人员须提供以下材料：</w:t>
      </w:r>
    </w:p>
    <w:p w14:paraId="0717D6E4">
      <w:pPr>
        <w:widowControl/>
        <w:spacing w:line="360" w:lineRule="auto"/>
        <w:jc w:val="left"/>
        <w:rPr>
          <w:color w:val="auto"/>
          <w:szCs w:val="21"/>
          <w:highlight w:val="none"/>
        </w:rPr>
      </w:pPr>
      <w:r>
        <w:rPr>
          <w:rFonts w:hint="eastAsia" w:ascii="宋体" w:hAnsi="宋体" w:cs="宋体"/>
          <w:color w:val="auto"/>
          <w:kern w:val="0"/>
          <w:szCs w:val="21"/>
          <w:highlight w:val="none"/>
          <w:lang w:bidi="ar"/>
        </w:rPr>
        <w:t>（1）项目经理应附注册建造师证、身份证、职称证（如有）、省级</w:t>
      </w:r>
      <w:r>
        <w:rPr>
          <w:rFonts w:hint="eastAsia" w:ascii="宋体" w:hAnsi="宋体"/>
          <w:color w:val="auto"/>
          <w:szCs w:val="21"/>
          <w:highlight w:val="none"/>
        </w:rPr>
        <w:t>（含省级）及</w:t>
      </w:r>
      <w:r>
        <w:rPr>
          <w:rFonts w:hint="eastAsia" w:ascii="宋体" w:hAnsi="宋体" w:cs="宋体"/>
          <w:color w:val="auto"/>
          <w:kern w:val="0"/>
          <w:szCs w:val="21"/>
          <w:highlight w:val="none"/>
          <w:lang w:bidi="ar"/>
        </w:rPr>
        <w:t>以上水行政主管部门或其授权的部门（机构）颁发的 B 类岗位考核合格证书、养老保险个人账户对账单或社保部门开具的参保缴费证明；</w:t>
      </w:r>
    </w:p>
    <w:p w14:paraId="5DF5CC20">
      <w:pPr>
        <w:widowControl/>
        <w:spacing w:line="360" w:lineRule="auto"/>
        <w:jc w:val="left"/>
        <w:rPr>
          <w:color w:val="auto"/>
          <w:szCs w:val="21"/>
          <w:highlight w:val="none"/>
        </w:rPr>
      </w:pPr>
      <w:r>
        <w:rPr>
          <w:rFonts w:hint="eastAsia" w:ascii="宋体" w:hAnsi="宋体" w:cs="宋体"/>
          <w:color w:val="auto"/>
          <w:kern w:val="0"/>
          <w:szCs w:val="21"/>
          <w:highlight w:val="none"/>
          <w:lang w:bidi="ar"/>
        </w:rPr>
        <w:t>（2）技术负责人应附身份证、职称证、养老保险个人账户对账单或社保部门开具的参保缴费证明；</w:t>
      </w:r>
    </w:p>
    <w:p w14:paraId="57D7EC40">
      <w:pPr>
        <w:widowControl/>
        <w:spacing w:line="360" w:lineRule="auto"/>
        <w:jc w:val="left"/>
        <w:rPr>
          <w:color w:val="auto"/>
          <w:szCs w:val="21"/>
          <w:highlight w:val="none"/>
        </w:rPr>
      </w:pPr>
      <w:r>
        <w:rPr>
          <w:rFonts w:hint="eastAsia" w:ascii="宋体" w:hAnsi="宋体" w:cs="宋体"/>
          <w:color w:val="auto"/>
          <w:kern w:val="0"/>
          <w:szCs w:val="21"/>
          <w:highlight w:val="none"/>
          <w:lang w:bidi="ar"/>
        </w:rPr>
        <w:t>（3）安全管理员应附身份证、职称证（如有）、省级</w:t>
      </w:r>
      <w:r>
        <w:rPr>
          <w:rFonts w:hint="eastAsia" w:ascii="宋体" w:hAnsi="宋体"/>
          <w:color w:val="auto"/>
          <w:szCs w:val="21"/>
          <w:highlight w:val="none"/>
        </w:rPr>
        <w:t>（含省级）及</w:t>
      </w:r>
      <w:r>
        <w:rPr>
          <w:rFonts w:hint="eastAsia" w:ascii="宋体" w:hAnsi="宋体" w:cs="宋体"/>
          <w:color w:val="auto"/>
          <w:kern w:val="0"/>
          <w:szCs w:val="21"/>
          <w:highlight w:val="none"/>
          <w:lang w:bidi="ar"/>
        </w:rPr>
        <w:t>以上水行政主管部门或其授权的部门（机构）颁发的 C 类岗位考核合格证书、养老保险个人账户对账单或社保部门开具的参保缴费证明；</w:t>
      </w:r>
    </w:p>
    <w:p w14:paraId="55E766CB">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（4）质量管理员应附身份证、省级（</w:t>
      </w:r>
      <w:r>
        <w:rPr>
          <w:rFonts w:hint="eastAsia" w:ascii="宋体" w:hAnsi="宋体"/>
          <w:color w:val="auto"/>
          <w:szCs w:val="21"/>
          <w:highlight w:val="none"/>
        </w:rPr>
        <w:t>含省级）及</w:t>
      </w:r>
      <w:r>
        <w:rPr>
          <w:rFonts w:hint="eastAsia" w:ascii="宋体" w:hAnsi="宋体" w:cs="宋体"/>
          <w:color w:val="auto"/>
          <w:kern w:val="0"/>
          <w:szCs w:val="21"/>
          <w:highlight w:val="none"/>
          <w:lang w:bidi="ar"/>
        </w:rPr>
        <w:t>以上水行政主管部门或其授权部门（机构）颁发的质量检查员证书、职称证（如有）、养老保险个人账户对账单或社保部门开具的参保缴费证明。</w:t>
      </w:r>
    </w:p>
    <w:p w14:paraId="0196C370">
      <w:pPr>
        <w:widowControl/>
        <w:spacing w:line="360" w:lineRule="auto"/>
        <w:jc w:val="left"/>
        <w:rPr>
          <w:color w:val="auto"/>
          <w:szCs w:val="21"/>
          <w:highlight w:val="none"/>
        </w:rPr>
      </w:pPr>
      <w:r>
        <w:rPr>
          <w:rFonts w:hint="eastAsia" w:ascii="宋体" w:hAnsi="宋体" w:cs="宋体"/>
          <w:color w:val="auto"/>
          <w:kern w:val="0"/>
          <w:szCs w:val="21"/>
          <w:highlight w:val="none"/>
          <w:lang w:bidi="ar"/>
        </w:rPr>
        <w:br w:type="page"/>
      </w:r>
    </w:p>
    <w:p w14:paraId="35163E1D">
      <w:pPr>
        <w:widowControl/>
        <w:jc w:val="left"/>
        <w:rPr>
          <w:rFonts w:hint="eastAsia" w:ascii="宋体" w:hAnsi="宋体" w:cs="宋体"/>
          <w:b/>
          <w:bCs/>
          <w:color w:val="auto"/>
          <w:kern w:val="0"/>
          <w:sz w:val="30"/>
          <w:szCs w:val="30"/>
          <w:highlight w:val="none"/>
          <w:lang w:bidi="ar"/>
        </w:rPr>
      </w:pPr>
      <w:r>
        <w:rPr>
          <w:rFonts w:hint="eastAsia" w:ascii="宋体" w:hAnsi="宋体" w:cs="宋体"/>
          <w:b/>
          <w:bCs/>
          <w:color w:val="auto"/>
          <w:kern w:val="0"/>
          <w:sz w:val="30"/>
          <w:szCs w:val="30"/>
          <w:highlight w:val="none"/>
          <w:lang w:bidi="ar"/>
        </w:rPr>
        <w:t>2.项目经理（注册建造师）简历表</w:t>
      </w:r>
    </w:p>
    <w:p w14:paraId="05ECEBA1">
      <w:pPr>
        <w:pStyle w:val="15"/>
        <w:rPr>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579F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5C98F6F1">
            <w:pPr>
              <w:jc w:val="center"/>
              <w:rPr>
                <w:color w:val="auto"/>
                <w:highlight w:val="none"/>
              </w:rPr>
            </w:pPr>
            <w:r>
              <w:rPr>
                <w:color w:val="auto"/>
                <w:highlight w:val="none"/>
              </w:rPr>
              <w:t>姓名</w:t>
            </w:r>
          </w:p>
        </w:tc>
        <w:tc>
          <w:tcPr>
            <w:tcW w:w="2340" w:type="dxa"/>
            <w:gridSpan w:val="3"/>
            <w:noWrap w:val="0"/>
            <w:vAlign w:val="center"/>
          </w:tcPr>
          <w:p w14:paraId="67D55AEB">
            <w:pPr>
              <w:jc w:val="center"/>
              <w:rPr>
                <w:color w:val="auto"/>
                <w:highlight w:val="none"/>
              </w:rPr>
            </w:pPr>
          </w:p>
        </w:tc>
        <w:tc>
          <w:tcPr>
            <w:tcW w:w="1893" w:type="dxa"/>
            <w:gridSpan w:val="2"/>
            <w:noWrap w:val="0"/>
            <w:vAlign w:val="center"/>
          </w:tcPr>
          <w:p w14:paraId="13B3D5C7">
            <w:pPr>
              <w:jc w:val="center"/>
              <w:rPr>
                <w:color w:val="auto"/>
                <w:highlight w:val="none"/>
              </w:rPr>
            </w:pPr>
            <w:r>
              <w:rPr>
                <w:color w:val="auto"/>
                <w:highlight w:val="none"/>
              </w:rPr>
              <w:t>性别</w:t>
            </w:r>
          </w:p>
        </w:tc>
        <w:tc>
          <w:tcPr>
            <w:tcW w:w="1585" w:type="dxa"/>
            <w:gridSpan w:val="2"/>
            <w:noWrap w:val="0"/>
            <w:vAlign w:val="center"/>
          </w:tcPr>
          <w:p w14:paraId="5C59F3A5">
            <w:pPr>
              <w:jc w:val="center"/>
              <w:rPr>
                <w:color w:val="auto"/>
                <w:highlight w:val="none"/>
              </w:rPr>
            </w:pPr>
          </w:p>
        </w:tc>
        <w:tc>
          <w:tcPr>
            <w:tcW w:w="1108" w:type="dxa"/>
            <w:gridSpan w:val="2"/>
            <w:noWrap w:val="0"/>
            <w:vAlign w:val="center"/>
          </w:tcPr>
          <w:p w14:paraId="0C4D917F">
            <w:pPr>
              <w:jc w:val="center"/>
              <w:rPr>
                <w:color w:val="auto"/>
                <w:highlight w:val="none"/>
              </w:rPr>
            </w:pPr>
            <w:r>
              <w:rPr>
                <w:color w:val="auto"/>
                <w:highlight w:val="none"/>
              </w:rPr>
              <w:t>年龄</w:t>
            </w:r>
          </w:p>
        </w:tc>
        <w:tc>
          <w:tcPr>
            <w:tcW w:w="1276" w:type="dxa"/>
            <w:noWrap w:val="0"/>
            <w:vAlign w:val="center"/>
          </w:tcPr>
          <w:p w14:paraId="1BACF4D9">
            <w:pPr>
              <w:jc w:val="center"/>
              <w:rPr>
                <w:color w:val="auto"/>
                <w:highlight w:val="none"/>
              </w:rPr>
            </w:pPr>
          </w:p>
        </w:tc>
      </w:tr>
      <w:tr w14:paraId="669E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0BEB4BE9">
            <w:pPr>
              <w:jc w:val="center"/>
              <w:rPr>
                <w:color w:val="auto"/>
                <w:highlight w:val="none"/>
              </w:rPr>
            </w:pPr>
            <w:r>
              <w:rPr>
                <w:color w:val="auto"/>
                <w:highlight w:val="none"/>
              </w:rPr>
              <w:t>职务</w:t>
            </w:r>
          </w:p>
        </w:tc>
        <w:tc>
          <w:tcPr>
            <w:tcW w:w="2340" w:type="dxa"/>
            <w:gridSpan w:val="3"/>
            <w:noWrap w:val="0"/>
            <w:vAlign w:val="center"/>
          </w:tcPr>
          <w:p w14:paraId="390F450F">
            <w:pPr>
              <w:jc w:val="center"/>
              <w:rPr>
                <w:color w:val="auto"/>
                <w:highlight w:val="none"/>
              </w:rPr>
            </w:pPr>
          </w:p>
        </w:tc>
        <w:tc>
          <w:tcPr>
            <w:tcW w:w="1893" w:type="dxa"/>
            <w:gridSpan w:val="2"/>
            <w:noWrap w:val="0"/>
            <w:vAlign w:val="center"/>
          </w:tcPr>
          <w:p w14:paraId="56F1BDCE">
            <w:pPr>
              <w:jc w:val="center"/>
              <w:rPr>
                <w:color w:val="auto"/>
                <w:highlight w:val="none"/>
              </w:rPr>
            </w:pPr>
            <w:r>
              <w:rPr>
                <w:color w:val="auto"/>
                <w:highlight w:val="none"/>
              </w:rPr>
              <w:t>职称</w:t>
            </w:r>
          </w:p>
        </w:tc>
        <w:tc>
          <w:tcPr>
            <w:tcW w:w="1585" w:type="dxa"/>
            <w:gridSpan w:val="2"/>
            <w:noWrap w:val="0"/>
            <w:vAlign w:val="center"/>
          </w:tcPr>
          <w:p w14:paraId="00023DDE">
            <w:pPr>
              <w:jc w:val="center"/>
              <w:rPr>
                <w:color w:val="auto"/>
                <w:highlight w:val="none"/>
              </w:rPr>
            </w:pPr>
          </w:p>
        </w:tc>
        <w:tc>
          <w:tcPr>
            <w:tcW w:w="1108" w:type="dxa"/>
            <w:gridSpan w:val="2"/>
            <w:noWrap w:val="0"/>
            <w:vAlign w:val="center"/>
          </w:tcPr>
          <w:p w14:paraId="69854036">
            <w:pPr>
              <w:jc w:val="center"/>
              <w:rPr>
                <w:color w:val="auto"/>
                <w:highlight w:val="none"/>
              </w:rPr>
            </w:pPr>
            <w:r>
              <w:rPr>
                <w:color w:val="auto"/>
                <w:highlight w:val="none"/>
              </w:rPr>
              <w:t>学历</w:t>
            </w:r>
          </w:p>
        </w:tc>
        <w:tc>
          <w:tcPr>
            <w:tcW w:w="1276" w:type="dxa"/>
            <w:noWrap w:val="0"/>
            <w:vAlign w:val="center"/>
          </w:tcPr>
          <w:p w14:paraId="3B3E6EBE">
            <w:pPr>
              <w:jc w:val="center"/>
              <w:rPr>
                <w:color w:val="auto"/>
                <w:highlight w:val="none"/>
              </w:rPr>
            </w:pPr>
          </w:p>
        </w:tc>
      </w:tr>
      <w:tr w14:paraId="1BA4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7374A8CA">
            <w:pPr>
              <w:jc w:val="center"/>
              <w:rPr>
                <w:color w:val="auto"/>
                <w:highlight w:val="none"/>
              </w:rPr>
            </w:pPr>
            <w:r>
              <w:rPr>
                <w:color w:val="auto"/>
                <w:highlight w:val="none"/>
              </w:rPr>
              <w:t>参加工作时间</w:t>
            </w:r>
          </w:p>
        </w:tc>
        <w:tc>
          <w:tcPr>
            <w:tcW w:w="1893" w:type="dxa"/>
            <w:gridSpan w:val="2"/>
            <w:noWrap w:val="0"/>
            <w:vAlign w:val="center"/>
          </w:tcPr>
          <w:p w14:paraId="1F6F6AAD">
            <w:pPr>
              <w:jc w:val="center"/>
              <w:rPr>
                <w:color w:val="auto"/>
                <w:highlight w:val="none"/>
              </w:rPr>
            </w:pPr>
          </w:p>
        </w:tc>
        <w:tc>
          <w:tcPr>
            <w:tcW w:w="2693" w:type="dxa"/>
            <w:gridSpan w:val="4"/>
            <w:noWrap w:val="0"/>
            <w:vAlign w:val="center"/>
          </w:tcPr>
          <w:p w14:paraId="1F9985E4">
            <w:pPr>
              <w:jc w:val="center"/>
              <w:rPr>
                <w:color w:val="auto"/>
                <w:highlight w:val="none"/>
              </w:rPr>
            </w:pPr>
            <w:r>
              <w:rPr>
                <w:color w:val="auto"/>
                <w:highlight w:val="none"/>
              </w:rPr>
              <w:t>担任项目经理年限</w:t>
            </w:r>
          </w:p>
        </w:tc>
        <w:tc>
          <w:tcPr>
            <w:tcW w:w="1276" w:type="dxa"/>
            <w:noWrap w:val="0"/>
            <w:vAlign w:val="center"/>
          </w:tcPr>
          <w:p w14:paraId="23B5E484">
            <w:pPr>
              <w:jc w:val="center"/>
              <w:rPr>
                <w:color w:val="auto"/>
                <w:highlight w:val="none"/>
              </w:rPr>
            </w:pPr>
          </w:p>
        </w:tc>
      </w:tr>
      <w:tr w14:paraId="53C9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FFA6167">
            <w:pPr>
              <w:jc w:val="center"/>
              <w:rPr>
                <w:color w:val="auto"/>
                <w:highlight w:val="none"/>
              </w:rPr>
            </w:pPr>
            <w:r>
              <w:rPr>
                <w:rFonts w:hint="eastAsia"/>
                <w:color w:val="auto"/>
                <w:highlight w:val="none"/>
              </w:rPr>
              <w:t>建造师注册</w:t>
            </w:r>
            <w:r>
              <w:rPr>
                <w:color w:val="auto"/>
                <w:highlight w:val="none"/>
              </w:rPr>
              <w:t>编号</w:t>
            </w:r>
          </w:p>
        </w:tc>
        <w:tc>
          <w:tcPr>
            <w:tcW w:w="5862" w:type="dxa"/>
            <w:gridSpan w:val="7"/>
            <w:noWrap w:val="0"/>
            <w:vAlign w:val="center"/>
          </w:tcPr>
          <w:p w14:paraId="3284126C">
            <w:pPr>
              <w:jc w:val="center"/>
              <w:rPr>
                <w:color w:val="auto"/>
                <w:highlight w:val="none"/>
              </w:rPr>
            </w:pPr>
          </w:p>
        </w:tc>
      </w:tr>
      <w:tr w14:paraId="1584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71AD9926">
            <w:pPr>
              <w:jc w:val="center"/>
              <w:rPr>
                <w:color w:val="auto"/>
                <w:highlight w:val="none"/>
              </w:rPr>
            </w:pPr>
            <w:r>
              <w:rPr>
                <w:color w:val="auto"/>
                <w:highlight w:val="none"/>
              </w:rPr>
              <w:t>在建和已完工程项目情况</w:t>
            </w:r>
          </w:p>
        </w:tc>
      </w:tr>
      <w:tr w14:paraId="5C46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55A334C1">
            <w:pPr>
              <w:jc w:val="center"/>
              <w:rPr>
                <w:color w:val="auto"/>
                <w:highlight w:val="none"/>
              </w:rPr>
            </w:pPr>
            <w:r>
              <w:rPr>
                <w:color w:val="auto"/>
                <w:highlight w:val="none"/>
              </w:rPr>
              <w:t>建设单位</w:t>
            </w:r>
          </w:p>
        </w:tc>
        <w:tc>
          <w:tcPr>
            <w:tcW w:w="1548" w:type="dxa"/>
            <w:noWrap w:val="0"/>
            <w:vAlign w:val="center"/>
          </w:tcPr>
          <w:p w14:paraId="388DFD45">
            <w:pPr>
              <w:jc w:val="center"/>
              <w:rPr>
                <w:color w:val="auto"/>
                <w:highlight w:val="none"/>
              </w:rPr>
            </w:pPr>
            <w:r>
              <w:rPr>
                <w:color w:val="auto"/>
                <w:highlight w:val="none"/>
              </w:rPr>
              <w:t>项目名称</w:t>
            </w:r>
          </w:p>
        </w:tc>
        <w:tc>
          <w:tcPr>
            <w:tcW w:w="1547" w:type="dxa"/>
            <w:gridSpan w:val="2"/>
            <w:noWrap w:val="0"/>
            <w:vAlign w:val="center"/>
          </w:tcPr>
          <w:p w14:paraId="4837F904">
            <w:pPr>
              <w:jc w:val="center"/>
              <w:rPr>
                <w:color w:val="auto"/>
                <w:highlight w:val="none"/>
              </w:rPr>
            </w:pPr>
            <w:r>
              <w:rPr>
                <w:color w:val="auto"/>
                <w:highlight w:val="none"/>
              </w:rPr>
              <w:t>建设规模</w:t>
            </w:r>
          </w:p>
        </w:tc>
        <w:tc>
          <w:tcPr>
            <w:tcW w:w="1548" w:type="dxa"/>
            <w:gridSpan w:val="2"/>
            <w:noWrap w:val="0"/>
            <w:vAlign w:val="center"/>
          </w:tcPr>
          <w:p w14:paraId="0CF2B87B">
            <w:pPr>
              <w:jc w:val="center"/>
              <w:rPr>
                <w:color w:val="auto"/>
                <w:highlight w:val="none"/>
              </w:rPr>
            </w:pPr>
            <w:r>
              <w:rPr>
                <w:color w:val="auto"/>
                <w:highlight w:val="none"/>
              </w:rPr>
              <w:t>开、竣工日期</w:t>
            </w:r>
          </w:p>
        </w:tc>
        <w:tc>
          <w:tcPr>
            <w:tcW w:w="1547" w:type="dxa"/>
            <w:gridSpan w:val="2"/>
            <w:noWrap w:val="0"/>
            <w:vAlign w:val="center"/>
          </w:tcPr>
          <w:p w14:paraId="284AA7EE">
            <w:pPr>
              <w:jc w:val="center"/>
              <w:rPr>
                <w:color w:val="auto"/>
                <w:highlight w:val="none"/>
              </w:rPr>
            </w:pPr>
            <w:r>
              <w:rPr>
                <w:color w:val="auto"/>
                <w:highlight w:val="none"/>
              </w:rPr>
              <w:t>在建或已完</w:t>
            </w:r>
          </w:p>
        </w:tc>
        <w:tc>
          <w:tcPr>
            <w:tcW w:w="1548" w:type="dxa"/>
            <w:gridSpan w:val="2"/>
            <w:noWrap w:val="0"/>
            <w:vAlign w:val="center"/>
          </w:tcPr>
          <w:p w14:paraId="1090E5F1">
            <w:pPr>
              <w:jc w:val="center"/>
              <w:rPr>
                <w:color w:val="auto"/>
                <w:highlight w:val="none"/>
              </w:rPr>
            </w:pPr>
            <w:r>
              <w:rPr>
                <w:color w:val="auto"/>
                <w:highlight w:val="none"/>
              </w:rPr>
              <w:t>工程质量</w:t>
            </w:r>
          </w:p>
        </w:tc>
      </w:tr>
      <w:tr w14:paraId="41EC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736A2FDE">
            <w:pPr>
              <w:jc w:val="center"/>
              <w:rPr>
                <w:color w:val="auto"/>
                <w:highlight w:val="none"/>
              </w:rPr>
            </w:pPr>
          </w:p>
        </w:tc>
        <w:tc>
          <w:tcPr>
            <w:tcW w:w="1548" w:type="dxa"/>
            <w:noWrap w:val="0"/>
            <w:vAlign w:val="center"/>
          </w:tcPr>
          <w:p w14:paraId="35EDA4CF">
            <w:pPr>
              <w:jc w:val="center"/>
              <w:rPr>
                <w:color w:val="auto"/>
                <w:highlight w:val="none"/>
              </w:rPr>
            </w:pPr>
          </w:p>
        </w:tc>
        <w:tc>
          <w:tcPr>
            <w:tcW w:w="1547" w:type="dxa"/>
            <w:gridSpan w:val="2"/>
            <w:noWrap w:val="0"/>
            <w:vAlign w:val="center"/>
          </w:tcPr>
          <w:p w14:paraId="56D8F658">
            <w:pPr>
              <w:jc w:val="center"/>
              <w:rPr>
                <w:color w:val="auto"/>
                <w:highlight w:val="none"/>
              </w:rPr>
            </w:pPr>
          </w:p>
        </w:tc>
        <w:tc>
          <w:tcPr>
            <w:tcW w:w="1548" w:type="dxa"/>
            <w:gridSpan w:val="2"/>
            <w:noWrap w:val="0"/>
            <w:vAlign w:val="center"/>
          </w:tcPr>
          <w:p w14:paraId="2BEB3A84">
            <w:pPr>
              <w:jc w:val="center"/>
              <w:rPr>
                <w:color w:val="auto"/>
                <w:highlight w:val="none"/>
              </w:rPr>
            </w:pPr>
          </w:p>
        </w:tc>
        <w:tc>
          <w:tcPr>
            <w:tcW w:w="1547" w:type="dxa"/>
            <w:gridSpan w:val="2"/>
            <w:noWrap w:val="0"/>
            <w:vAlign w:val="center"/>
          </w:tcPr>
          <w:p w14:paraId="48700DC2">
            <w:pPr>
              <w:jc w:val="center"/>
              <w:rPr>
                <w:color w:val="auto"/>
                <w:highlight w:val="none"/>
              </w:rPr>
            </w:pPr>
          </w:p>
        </w:tc>
        <w:tc>
          <w:tcPr>
            <w:tcW w:w="1548" w:type="dxa"/>
            <w:gridSpan w:val="2"/>
            <w:noWrap w:val="0"/>
            <w:vAlign w:val="center"/>
          </w:tcPr>
          <w:p w14:paraId="6418E0FE">
            <w:pPr>
              <w:jc w:val="center"/>
              <w:rPr>
                <w:color w:val="auto"/>
                <w:highlight w:val="none"/>
              </w:rPr>
            </w:pPr>
          </w:p>
        </w:tc>
      </w:tr>
      <w:tr w14:paraId="6FA8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2C8FEB6F">
            <w:pPr>
              <w:jc w:val="center"/>
              <w:rPr>
                <w:color w:val="auto"/>
                <w:highlight w:val="none"/>
              </w:rPr>
            </w:pPr>
          </w:p>
        </w:tc>
        <w:tc>
          <w:tcPr>
            <w:tcW w:w="1548" w:type="dxa"/>
            <w:noWrap w:val="0"/>
            <w:vAlign w:val="center"/>
          </w:tcPr>
          <w:p w14:paraId="10A8B03A">
            <w:pPr>
              <w:jc w:val="center"/>
              <w:rPr>
                <w:color w:val="auto"/>
                <w:highlight w:val="none"/>
              </w:rPr>
            </w:pPr>
          </w:p>
        </w:tc>
        <w:tc>
          <w:tcPr>
            <w:tcW w:w="1547" w:type="dxa"/>
            <w:gridSpan w:val="2"/>
            <w:noWrap w:val="0"/>
            <w:vAlign w:val="center"/>
          </w:tcPr>
          <w:p w14:paraId="2D021C7A">
            <w:pPr>
              <w:jc w:val="center"/>
              <w:rPr>
                <w:color w:val="auto"/>
                <w:highlight w:val="none"/>
              </w:rPr>
            </w:pPr>
          </w:p>
        </w:tc>
        <w:tc>
          <w:tcPr>
            <w:tcW w:w="1548" w:type="dxa"/>
            <w:gridSpan w:val="2"/>
            <w:noWrap w:val="0"/>
            <w:vAlign w:val="center"/>
          </w:tcPr>
          <w:p w14:paraId="04D9BDF7">
            <w:pPr>
              <w:jc w:val="center"/>
              <w:rPr>
                <w:color w:val="auto"/>
                <w:highlight w:val="none"/>
              </w:rPr>
            </w:pPr>
          </w:p>
        </w:tc>
        <w:tc>
          <w:tcPr>
            <w:tcW w:w="1547" w:type="dxa"/>
            <w:gridSpan w:val="2"/>
            <w:noWrap w:val="0"/>
            <w:vAlign w:val="center"/>
          </w:tcPr>
          <w:p w14:paraId="20A8110F">
            <w:pPr>
              <w:jc w:val="center"/>
              <w:rPr>
                <w:color w:val="auto"/>
                <w:highlight w:val="none"/>
              </w:rPr>
            </w:pPr>
          </w:p>
        </w:tc>
        <w:tc>
          <w:tcPr>
            <w:tcW w:w="1548" w:type="dxa"/>
            <w:gridSpan w:val="2"/>
            <w:noWrap w:val="0"/>
            <w:vAlign w:val="center"/>
          </w:tcPr>
          <w:p w14:paraId="25C5C3B6">
            <w:pPr>
              <w:jc w:val="center"/>
              <w:rPr>
                <w:color w:val="auto"/>
                <w:highlight w:val="none"/>
              </w:rPr>
            </w:pPr>
          </w:p>
        </w:tc>
      </w:tr>
      <w:tr w14:paraId="2BDE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864AAED">
            <w:pPr>
              <w:jc w:val="center"/>
              <w:rPr>
                <w:color w:val="auto"/>
                <w:highlight w:val="none"/>
              </w:rPr>
            </w:pPr>
          </w:p>
        </w:tc>
        <w:tc>
          <w:tcPr>
            <w:tcW w:w="1548" w:type="dxa"/>
            <w:noWrap w:val="0"/>
            <w:vAlign w:val="center"/>
          </w:tcPr>
          <w:p w14:paraId="2E6E488C">
            <w:pPr>
              <w:jc w:val="center"/>
              <w:rPr>
                <w:color w:val="auto"/>
                <w:highlight w:val="none"/>
              </w:rPr>
            </w:pPr>
          </w:p>
        </w:tc>
        <w:tc>
          <w:tcPr>
            <w:tcW w:w="1547" w:type="dxa"/>
            <w:gridSpan w:val="2"/>
            <w:noWrap w:val="0"/>
            <w:vAlign w:val="center"/>
          </w:tcPr>
          <w:p w14:paraId="74410196">
            <w:pPr>
              <w:jc w:val="center"/>
              <w:rPr>
                <w:color w:val="auto"/>
                <w:highlight w:val="none"/>
              </w:rPr>
            </w:pPr>
          </w:p>
        </w:tc>
        <w:tc>
          <w:tcPr>
            <w:tcW w:w="1548" w:type="dxa"/>
            <w:gridSpan w:val="2"/>
            <w:noWrap w:val="0"/>
            <w:vAlign w:val="center"/>
          </w:tcPr>
          <w:p w14:paraId="004E223B">
            <w:pPr>
              <w:jc w:val="center"/>
              <w:rPr>
                <w:color w:val="auto"/>
                <w:highlight w:val="none"/>
              </w:rPr>
            </w:pPr>
          </w:p>
        </w:tc>
        <w:tc>
          <w:tcPr>
            <w:tcW w:w="1547" w:type="dxa"/>
            <w:gridSpan w:val="2"/>
            <w:noWrap w:val="0"/>
            <w:vAlign w:val="center"/>
          </w:tcPr>
          <w:p w14:paraId="2612812D">
            <w:pPr>
              <w:jc w:val="center"/>
              <w:rPr>
                <w:color w:val="auto"/>
                <w:highlight w:val="none"/>
              </w:rPr>
            </w:pPr>
          </w:p>
        </w:tc>
        <w:tc>
          <w:tcPr>
            <w:tcW w:w="1548" w:type="dxa"/>
            <w:gridSpan w:val="2"/>
            <w:noWrap w:val="0"/>
            <w:vAlign w:val="center"/>
          </w:tcPr>
          <w:p w14:paraId="3A9E6615">
            <w:pPr>
              <w:jc w:val="center"/>
              <w:rPr>
                <w:color w:val="auto"/>
                <w:highlight w:val="none"/>
              </w:rPr>
            </w:pPr>
          </w:p>
        </w:tc>
      </w:tr>
      <w:tr w14:paraId="1BE1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009DE4AD">
            <w:pPr>
              <w:jc w:val="center"/>
              <w:rPr>
                <w:color w:val="auto"/>
                <w:highlight w:val="none"/>
              </w:rPr>
            </w:pPr>
          </w:p>
        </w:tc>
        <w:tc>
          <w:tcPr>
            <w:tcW w:w="1548" w:type="dxa"/>
            <w:noWrap w:val="0"/>
            <w:vAlign w:val="center"/>
          </w:tcPr>
          <w:p w14:paraId="10B82DAE">
            <w:pPr>
              <w:jc w:val="center"/>
              <w:rPr>
                <w:color w:val="auto"/>
                <w:highlight w:val="none"/>
              </w:rPr>
            </w:pPr>
          </w:p>
        </w:tc>
        <w:tc>
          <w:tcPr>
            <w:tcW w:w="1547" w:type="dxa"/>
            <w:gridSpan w:val="2"/>
            <w:noWrap w:val="0"/>
            <w:vAlign w:val="center"/>
          </w:tcPr>
          <w:p w14:paraId="34929DC8">
            <w:pPr>
              <w:jc w:val="center"/>
              <w:rPr>
                <w:color w:val="auto"/>
                <w:highlight w:val="none"/>
              </w:rPr>
            </w:pPr>
          </w:p>
        </w:tc>
        <w:tc>
          <w:tcPr>
            <w:tcW w:w="1548" w:type="dxa"/>
            <w:gridSpan w:val="2"/>
            <w:noWrap w:val="0"/>
            <w:vAlign w:val="center"/>
          </w:tcPr>
          <w:p w14:paraId="02FF5EA5">
            <w:pPr>
              <w:jc w:val="center"/>
              <w:rPr>
                <w:color w:val="auto"/>
                <w:highlight w:val="none"/>
              </w:rPr>
            </w:pPr>
          </w:p>
        </w:tc>
        <w:tc>
          <w:tcPr>
            <w:tcW w:w="1547" w:type="dxa"/>
            <w:gridSpan w:val="2"/>
            <w:noWrap w:val="0"/>
            <w:vAlign w:val="center"/>
          </w:tcPr>
          <w:p w14:paraId="2798E57B">
            <w:pPr>
              <w:jc w:val="center"/>
              <w:rPr>
                <w:color w:val="auto"/>
                <w:highlight w:val="none"/>
              </w:rPr>
            </w:pPr>
          </w:p>
        </w:tc>
        <w:tc>
          <w:tcPr>
            <w:tcW w:w="1548" w:type="dxa"/>
            <w:gridSpan w:val="2"/>
            <w:noWrap w:val="0"/>
            <w:vAlign w:val="center"/>
          </w:tcPr>
          <w:p w14:paraId="737115C6">
            <w:pPr>
              <w:jc w:val="center"/>
              <w:rPr>
                <w:color w:val="auto"/>
                <w:highlight w:val="none"/>
              </w:rPr>
            </w:pPr>
          </w:p>
        </w:tc>
      </w:tr>
    </w:tbl>
    <w:p w14:paraId="1A38AF0D">
      <w:pPr>
        <w:widowControl/>
        <w:jc w:val="left"/>
        <w:rPr>
          <w:rFonts w:hint="eastAsia" w:ascii="宋体" w:hAnsi="宋体" w:cs="宋体"/>
          <w:b/>
          <w:bCs/>
          <w:color w:val="auto"/>
          <w:kern w:val="0"/>
          <w:sz w:val="30"/>
          <w:szCs w:val="30"/>
          <w:highlight w:val="none"/>
          <w:lang w:bidi="ar"/>
        </w:rPr>
      </w:pPr>
    </w:p>
    <w:p w14:paraId="5B4D0F9C">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备注：附项目经理的已完工程中标(成交)通知书（工程合同协议书）及工程竣工验收证 </w:t>
      </w:r>
    </w:p>
    <w:p w14:paraId="7E347156">
      <w:pPr>
        <w:widowControl/>
        <w:spacing w:line="360" w:lineRule="auto"/>
        <w:jc w:val="left"/>
        <w:rPr>
          <w:rFonts w:hint="eastAsia" w:ascii="宋体" w:hAnsi="宋体" w:cs="宋体"/>
          <w:b/>
          <w:bCs/>
          <w:color w:val="auto"/>
          <w:kern w:val="0"/>
          <w:sz w:val="30"/>
          <w:szCs w:val="30"/>
          <w:highlight w:val="none"/>
          <w:lang w:bidi="ar"/>
        </w:rPr>
      </w:pPr>
      <w:r>
        <w:rPr>
          <w:rFonts w:hint="eastAsia" w:ascii="宋体" w:hAnsi="宋体" w:cs="宋体"/>
          <w:color w:val="auto"/>
          <w:kern w:val="0"/>
          <w:szCs w:val="21"/>
          <w:highlight w:val="none"/>
          <w:lang w:bidi="ar"/>
        </w:rPr>
        <w:t>明材料的复印件（如有），以及供应商认为需要增加的其他证明材料复印件。</w:t>
      </w:r>
    </w:p>
    <w:p w14:paraId="0CC6E6DB">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p>
    <w:p w14:paraId="58EE6367">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85C1ED1">
      <w:pPr>
        <w:widowControl/>
        <w:jc w:val="right"/>
        <w:rPr>
          <w:rFonts w:hint="eastAsia" w:ascii="宋体" w:hAnsi="宋体" w:cs="宋体"/>
          <w:b/>
          <w:bCs/>
          <w:color w:val="auto"/>
          <w:kern w:val="0"/>
          <w:sz w:val="30"/>
          <w:szCs w:val="30"/>
          <w:highlight w:val="none"/>
          <w:lang w:bidi="ar"/>
        </w:rPr>
      </w:pPr>
      <w:r>
        <w:rPr>
          <w:rFonts w:hint="eastAsia" w:ascii="仿宋_GB2312" w:hAnsi="仿宋" w:eastAsia="仿宋_GB2312" w:cs="仿宋_GB2312"/>
          <w:color w:val="auto"/>
          <w:kern w:val="0"/>
          <w:sz w:val="24"/>
          <w:highlight w:val="none"/>
          <w:lang w:val="zh-CN"/>
        </w:rPr>
        <w:t>日期：  年  月   日</w:t>
      </w:r>
    </w:p>
    <w:p w14:paraId="313B4202">
      <w:pPr>
        <w:widowControl/>
        <w:jc w:val="left"/>
        <w:rPr>
          <w:rFonts w:hint="eastAsia" w:ascii="宋体" w:hAnsi="宋体" w:cs="宋体"/>
          <w:b/>
          <w:bCs/>
          <w:color w:val="auto"/>
          <w:kern w:val="0"/>
          <w:sz w:val="30"/>
          <w:szCs w:val="30"/>
          <w:highlight w:val="none"/>
          <w:lang w:bidi="ar"/>
        </w:rPr>
      </w:pPr>
    </w:p>
    <w:p w14:paraId="54041625">
      <w:pPr>
        <w:widowControl/>
        <w:jc w:val="left"/>
        <w:rPr>
          <w:rFonts w:hint="eastAsia" w:ascii="宋体" w:hAnsi="宋体" w:cs="宋体"/>
          <w:b/>
          <w:bCs/>
          <w:color w:val="auto"/>
          <w:kern w:val="0"/>
          <w:sz w:val="30"/>
          <w:szCs w:val="30"/>
          <w:highlight w:val="none"/>
          <w:lang w:bidi="ar"/>
        </w:rPr>
      </w:pPr>
    </w:p>
    <w:p w14:paraId="196F8D98">
      <w:pPr>
        <w:widowControl/>
        <w:jc w:val="left"/>
        <w:rPr>
          <w:rFonts w:hint="eastAsia" w:ascii="宋体" w:hAnsi="宋体" w:cs="宋体"/>
          <w:b/>
          <w:bCs/>
          <w:color w:val="auto"/>
          <w:kern w:val="0"/>
          <w:sz w:val="30"/>
          <w:szCs w:val="30"/>
          <w:highlight w:val="none"/>
          <w:lang w:bidi="ar"/>
        </w:rPr>
      </w:pPr>
    </w:p>
    <w:p w14:paraId="45B35F73">
      <w:pPr>
        <w:widowControl/>
        <w:jc w:val="left"/>
        <w:rPr>
          <w:rFonts w:hint="eastAsia" w:ascii="宋体" w:hAnsi="宋体" w:cs="宋体"/>
          <w:b/>
          <w:bCs/>
          <w:color w:val="auto"/>
          <w:kern w:val="0"/>
          <w:sz w:val="30"/>
          <w:szCs w:val="30"/>
          <w:highlight w:val="none"/>
          <w:lang w:bidi="ar"/>
        </w:rPr>
      </w:pPr>
    </w:p>
    <w:p w14:paraId="5F339A32">
      <w:pPr>
        <w:widowControl/>
        <w:jc w:val="left"/>
        <w:rPr>
          <w:rFonts w:hint="eastAsia" w:ascii="宋体" w:hAnsi="宋体" w:cs="宋体"/>
          <w:b/>
          <w:bCs/>
          <w:color w:val="auto"/>
          <w:kern w:val="0"/>
          <w:sz w:val="30"/>
          <w:szCs w:val="30"/>
          <w:highlight w:val="none"/>
          <w:lang w:bidi="ar"/>
        </w:rPr>
      </w:pPr>
    </w:p>
    <w:p w14:paraId="6516F173">
      <w:pPr>
        <w:pStyle w:val="15"/>
        <w:rPr>
          <w:rFonts w:hint="eastAsia" w:ascii="宋体" w:hAnsi="宋体" w:cs="宋体"/>
          <w:b/>
          <w:bCs/>
          <w:color w:val="auto"/>
          <w:sz w:val="30"/>
          <w:szCs w:val="30"/>
          <w:highlight w:val="none"/>
          <w:lang w:bidi="ar"/>
        </w:rPr>
      </w:pPr>
    </w:p>
    <w:p w14:paraId="6418CDAF">
      <w:pPr>
        <w:widowControl/>
        <w:jc w:val="left"/>
        <w:rPr>
          <w:rFonts w:hint="eastAsia" w:ascii="宋体" w:hAnsi="宋体" w:cs="宋体"/>
          <w:b/>
          <w:bCs/>
          <w:color w:val="auto"/>
          <w:kern w:val="0"/>
          <w:sz w:val="30"/>
          <w:szCs w:val="30"/>
          <w:highlight w:val="none"/>
          <w:lang w:bidi="ar"/>
        </w:rPr>
      </w:pPr>
    </w:p>
    <w:p w14:paraId="1CD6F0B7">
      <w:pPr>
        <w:widowControl/>
        <w:jc w:val="left"/>
        <w:rPr>
          <w:rFonts w:hint="eastAsia" w:ascii="宋体" w:hAnsi="宋体" w:cs="宋体"/>
          <w:b/>
          <w:bCs/>
          <w:color w:val="auto"/>
          <w:kern w:val="0"/>
          <w:sz w:val="30"/>
          <w:szCs w:val="30"/>
          <w:highlight w:val="none"/>
          <w:lang w:bidi="ar"/>
        </w:rPr>
      </w:pPr>
    </w:p>
    <w:p w14:paraId="573E3FA6">
      <w:pPr>
        <w:widowControl/>
        <w:jc w:val="left"/>
        <w:rPr>
          <w:color w:val="auto"/>
          <w:highlight w:val="none"/>
        </w:rPr>
      </w:pPr>
      <w:r>
        <w:rPr>
          <w:rFonts w:hint="eastAsia" w:ascii="宋体" w:hAnsi="宋体" w:cs="宋体"/>
          <w:b/>
          <w:bCs/>
          <w:color w:val="auto"/>
          <w:kern w:val="0"/>
          <w:sz w:val="30"/>
          <w:szCs w:val="30"/>
          <w:highlight w:val="none"/>
          <w:lang w:bidi="ar"/>
        </w:rPr>
        <w:t xml:space="preserve">3.项目技术负责人简历表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5243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32BA4129">
            <w:pPr>
              <w:jc w:val="center"/>
              <w:rPr>
                <w:color w:val="auto"/>
                <w:highlight w:val="none"/>
              </w:rPr>
            </w:pPr>
            <w:r>
              <w:rPr>
                <w:color w:val="auto"/>
                <w:highlight w:val="none"/>
              </w:rPr>
              <w:t>姓名</w:t>
            </w:r>
          </w:p>
        </w:tc>
        <w:tc>
          <w:tcPr>
            <w:tcW w:w="2340" w:type="dxa"/>
            <w:gridSpan w:val="3"/>
            <w:noWrap w:val="0"/>
            <w:vAlign w:val="center"/>
          </w:tcPr>
          <w:p w14:paraId="70F54914">
            <w:pPr>
              <w:jc w:val="center"/>
              <w:rPr>
                <w:color w:val="auto"/>
                <w:highlight w:val="none"/>
              </w:rPr>
            </w:pPr>
          </w:p>
        </w:tc>
        <w:tc>
          <w:tcPr>
            <w:tcW w:w="1893" w:type="dxa"/>
            <w:gridSpan w:val="2"/>
            <w:noWrap w:val="0"/>
            <w:vAlign w:val="center"/>
          </w:tcPr>
          <w:p w14:paraId="18E7DE35">
            <w:pPr>
              <w:jc w:val="center"/>
              <w:rPr>
                <w:color w:val="auto"/>
                <w:highlight w:val="none"/>
              </w:rPr>
            </w:pPr>
            <w:r>
              <w:rPr>
                <w:color w:val="auto"/>
                <w:highlight w:val="none"/>
              </w:rPr>
              <w:t>性别</w:t>
            </w:r>
          </w:p>
        </w:tc>
        <w:tc>
          <w:tcPr>
            <w:tcW w:w="1585" w:type="dxa"/>
            <w:gridSpan w:val="2"/>
            <w:noWrap w:val="0"/>
            <w:vAlign w:val="center"/>
          </w:tcPr>
          <w:p w14:paraId="4BE88BA7">
            <w:pPr>
              <w:jc w:val="center"/>
              <w:rPr>
                <w:color w:val="auto"/>
                <w:highlight w:val="none"/>
              </w:rPr>
            </w:pPr>
          </w:p>
        </w:tc>
        <w:tc>
          <w:tcPr>
            <w:tcW w:w="1108" w:type="dxa"/>
            <w:gridSpan w:val="2"/>
            <w:noWrap w:val="0"/>
            <w:vAlign w:val="center"/>
          </w:tcPr>
          <w:p w14:paraId="2081BCB5">
            <w:pPr>
              <w:jc w:val="center"/>
              <w:rPr>
                <w:color w:val="auto"/>
                <w:highlight w:val="none"/>
              </w:rPr>
            </w:pPr>
            <w:r>
              <w:rPr>
                <w:color w:val="auto"/>
                <w:highlight w:val="none"/>
              </w:rPr>
              <w:t>年龄</w:t>
            </w:r>
          </w:p>
        </w:tc>
        <w:tc>
          <w:tcPr>
            <w:tcW w:w="1276" w:type="dxa"/>
            <w:noWrap w:val="0"/>
            <w:vAlign w:val="center"/>
          </w:tcPr>
          <w:p w14:paraId="6DAE38F9">
            <w:pPr>
              <w:jc w:val="center"/>
              <w:rPr>
                <w:color w:val="auto"/>
                <w:highlight w:val="none"/>
              </w:rPr>
            </w:pPr>
          </w:p>
        </w:tc>
      </w:tr>
      <w:tr w14:paraId="49BA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08A3BFDA">
            <w:pPr>
              <w:jc w:val="center"/>
              <w:rPr>
                <w:color w:val="auto"/>
                <w:highlight w:val="none"/>
              </w:rPr>
            </w:pPr>
            <w:r>
              <w:rPr>
                <w:color w:val="auto"/>
                <w:highlight w:val="none"/>
              </w:rPr>
              <w:t>职务</w:t>
            </w:r>
          </w:p>
        </w:tc>
        <w:tc>
          <w:tcPr>
            <w:tcW w:w="2340" w:type="dxa"/>
            <w:gridSpan w:val="3"/>
            <w:noWrap w:val="0"/>
            <w:vAlign w:val="center"/>
          </w:tcPr>
          <w:p w14:paraId="6C7C5B42">
            <w:pPr>
              <w:jc w:val="center"/>
              <w:rPr>
                <w:color w:val="auto"/>
                <w:highlight w:val="none"/>
              </w:rPr>
            </w:pPr>
          </w:p>
        </w:tc>
        <w:tc>
          <w:tcPr>
            <w:tcW w:w="1893" w:type="dxa"/>
            <w:gridSpan w:val="2"/>
            <w:noWrap w:val="0"/>
            <w:vAlign w:val="center"/>
          </w:tcPr>
          <w:p w14:paraId="05826DEB">
            <w:pPr>
              <w:jc w:val="center"/>
              <w:rPr>
                <w:color w:val="auto"/>
                <w:highlight w:val="none"/>
              </w:rPr>
            </w:pPr>
            <w:r>
              <w:rPr>
                <w:color w:val="auto"/>
                <w:highlight w:val="none"/>
              </w:rPr>
              <w:t>职称</w:t>
            </w:r>
          </w:p>
        </w:tc>
        <w:tc>
          <w:tcPr>
            <w:tcW w:w="1585" w:type="dxa"/>
            <w:gridSpan w:val="2"/>
            <w:noWrap w:val="0"/>
            <w:vAlign w:val="center"/>
          </w:tcPr>
          <w:p w14:paraId="743EB600">
            <w:pPr>
              <w:jc w:val="center"/>
              <w:rPr>
                <w:color w:val="auto"/>
                <w:highlight w:val="none"/>
              </w:rPr>
            </w:pPr>
          </w:p>
        </w:tc>
        <w:tc>
          <w:tcPr>
            <w:tcW w:w="1108" w:type="dxa"/>
            <w:gridSpan w:val="2"/>
            <w:noWrap w:val="0"/>
            <w:vAlign w:val="center"/>
          </w:tcPr>
          <w:p w14:paraId="2C4694EC">
            <w:pPr>
              <w:jc w:val="center"/>
              <w:rPr>
                <w:color w:val="auto"/>
                <w:highlight w:val="none"/>
              </w:rPr>
            </w:pPr>
            <w:r>
              <w:rPr>
                <w:color w:val="auto"/>
                <w:highlight w:val="none"/>
              </w:rPr>
              <w:t>学历</w:t>
            </w:r>
          </w:p>
        </w:tc>
        <w:tc>
          <w:tcPr>
            <w:tcW w:w="1276" w:type="dxa"/>
            <w:noWrap w:val="0"/>
            <w:vAlign w:val="center"/>
          </w:tcPr>
          <w:p w14:paraId="6B22E575">
            <w:pPr>
              <w:jc w:val="center"/>
              <w:rPr>
                <w:color w:val="auto"/>
                <w:highlight w:val="none"/>
              </w:rPr>
            </w:pPr>
          </w:p>
        </w:tc>
      </w:tr>
      <w:tr w14:paraId="3CAE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73946DE1">
            <w:pPr>
              <w:jc w:val="center"/>
              <w:rPr>
                <w:color w:val="auto"/>
                <w:highlight w:val="none"/>
              </w:rPr>
            </w:pPr>
            <w:r>
              <w:rPr>
                <w:color w:val="auto"/>
                <w:highlight w:val="none"/>
              </w:rPr>
              <w:t>参加工作时间</w:t>
            </w:r>
          </w:p>
        </w:tc>
        <w:tc>
          <w:tcPr>
            <w:tcW w:w="1893" w:type="dxa"/>
            <w:gridSpan w:val="2"/>
            <w:noWrap w:val="0"/>
            <w:vAlign w:val="center"/>
          </w:tcPr>
          <w:p w14:paraId="264654F3">
            <w:pPr>
              <w:jc w:val="center"/>
              <w:rPr>
                <w:color w:val="auto"/>
                <w:highlight w:val="none"/>
              </w:rPr>
            </w:pPr>
          </w:p>
        </w:tc>
        <w:tc>
          <w:tcPr>
            <w:tcW w:w="2693" w:type="dxa"/>
            <w:gridSpan w:val="4"/>
            <w:noWrap w:val="0"/>
            <w:vAlign w:val="center"/>
          </w:tcPr>
          <w:p w14:paraId="205074EA">
            <w:pPr>
              <w:jc w:val="center"/>
              <w:rPr>
                <w:color w:val="auto"/>
                <w:highlight w:val="none"/>
              </w:rPr>
            </w:pPr>
            <w:r>
              <w:rPr>
                <w:color w:val="auto"/>
                <w:highlight w:val="none"/>
              </w:rPr>
              <w:t>担任</w:t>
            </w:r>
            <w:r>
              <w:rPr>
                <w:rFonts w:hint="eastAsia"/>
                <w:color w:val="auto"/>
                <w:highlight w:val="none"/>
              </w:rPr>
              <w:t>技术负责人</w:t>
            </w:r>
            <w:r>
              <w:rPr>
                <w:color w:val="auto"/>
                <w:highlight w:val="none"/>
              </w:rPr>
              <w:t>年限</w:t>
            </w:r>
          </w:p>
        </w:tc>
        <w:tc>
          <w:tcPr>
            <w:tcW w:w="1276" w:type="dxa"/>
            <w:noWrap w:val="0"/>
            <w:vAlign w:val="center"/>
          </w:tcPr>
          <w:p w14:paraId="46EF1F88">
            <w:pPr>
              <w:jc w:val="center"/>
              <w:rPr>
                <w:color w:val="auto"/>
                <w:highlight w:val="none"/>
              </w:rPr>
            </w:pPr>
          </w:p>
        </w:tc>
      </w:tr>
      <w:tr w14:paraId="090B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5D77B57">
            <w:pPr>
              <w:jc w:val="center"/>
              <w:rPr>
                <w:color w:val="auto"/>
                <w:highlight w:val="none"/>
              </w:rPr>
            </w:pPr>
            <w:r>
              <w:rPr>
                <w:color w:val="auto"/>
                <w:highlight w:val="none"/>
              </w:rPr>
              <w:t>在建和已完工程项目情况</w:t>
            </w:r>
          </w:p>
        </w:tc>
      </w:tr>
      <w:tr w14:paraId="4321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97E0A21">
            <w:pPr>
              <w:jc w:val="center"/>
              <w:rPr>
                <w:color w:val="auto"/>
                <w:highlight w:val="none"/>
              </w:rPr>
            </w:pPr>
            <w:r>
              <w:rPr>
                <w:color w:val="auto"/>
                <w:highlight w:val="none"/>
              </w:rPr>
              <w:t>建设单位</w:t>
            </w:r>
          </w:p>
        </w:tc>
        <w:tc>
          <w:tcPr>
            <w:tcW w:w="1548" w:type="dxa"/>
            <w:noWrap w:val="0"/>
            <w:vAlign w:val="center"/>
          </w:tcPr>
          <w:p w14:paraId="228A7683">
            <w:pPr>
              <w:jc w:val="center"/>
              <w:rPr>
                <w:color w:val="auto"/>
                <w:highlight w:val="none"/>
              </w:rPr>
            </w:pPr>
            <w:r>
              <w:rPr>
                <w:color w:val="auto"/>
                <w:highlight w:val="none"/>
              </w:rPr>
              <w:t>项目名称</w:t>
            </w:r>
          </w:p>
        </w:tc>
        <w:tc>
          <w:tcPr>
            <w:tcW w:w="1547" w:type="dxa"/>
            <w:gridSpan w:val="2"/>
            <w:noWrap w:val="0"/>
            <w:vAlign w:val="center"/>
          </w:tcPr>
          <w:p w14:paraId="774719B3">
            <w:pPr>
              <w:jc w:val="center"/>
              <w:rPr>
                <w:color w:val="auto"/>
                <w:highlight w:val="none"/>
              </w:rPr>
            </w:pPr>
            <w:r>
              <w:rPr>
                <w:color w:val="auto"/>
                <w:highlight w:val="none"/>
              </w:rPr>
              <w:t>建设规模</w:t>
            </w:r>
          </w:p>
        </w:tc>
        <w:tc>
          <w:tcPr>
            <w:tcW w:w="1548" w:type="dxa"/>
            <w:gridSpan w:val="2"/>
            <w:noWrap w:val="0"/>
            <w:vAlign w:val="center"/>
          </w:tcPr>
          <w:p w14:paraId="5E753CEB">
            <w:pPr>
              <w:jc w:val="center"/>
              <w:rPr>
                <w:color w:val="auto"/>
                <w:highlight w:val="none"/>
              </w:rPr>
            </w:pPr>
            <w:r>
              <w:rPr>
                <w:color w:val="auto"/>
                <w:highlight w:val="none"/>
              </w:rPr>
              <w:t>开、竣工日期</w:t>
            </w:r>
          </w:p>
        </w:tc>
        <w:tc>
          <w:tcPr>
            <w:tcW w:w="1547" w:type="dxa"/>
            <w:gridSpan w:val="2"/>
            <w:noWrap w:val="0"/>
            <w:vAlign w:val="center"/>
          </w:tcPr>
          <w:p w14:paraId="3AD867F4">
            <w:pPr>
              <w:jc w:val="center"/>
              <w:rPr>
                <w:color w:val="auto"/>
                <w:highlight w:val="none"/>
              </w:rPr>
            </w:pPr>
            <w:r>
              <w:rPr>
                <w:color w:val="auto"/>
                <w:highlight w:val="none"/>
              </w:rPr>
              <w:t>在建或已完</w:t>
            </w:r>
          </w:p>
        </w:tc>
        <w:tc>
          <w:tcPr>
            <w:tcW w:w="1548" w:type="dxa"/>
            <w:gridSpan w:val="2"/>
            <w:noWrap w:val="0"/>
            <w:vAlign w:val="center"/>
          </w:tcPr>
          <w:p w14:paraId="2F6B3FF3">
            <w:pPr>
              <w:jc w:val="center"/>
              <w:rPr>
                <w:color w:val="auto"/>
                <w:highlight w:val="none"/>
              </w:rPr>
            </w:pPr>
            <w:r>
              <w:rPr>
                <w:color w:val="auto"/>
                <w:highlight w:val="none"/>
              </w:rPr>
              <w:t>工程质量</w:t>
            </w:r>
          </w:p>
        </w:tc>
      </w:tr>
      <w:tr w14:paraId="21C7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5D969C00">
            <w:pPr>
              <w:jc w:val="center"/>
              <w:rPr>
                <w:color w:val="auto"/>
                <w:highlight w:val="none"/>
              </w:rPr>
            </w:pPr>
          </w:p>
        </w:tc>
        <w:tc>
          <w:tcPr>
            <w:tcW w:w="1548" w:type="dxa"/>
            <w:noWrap w:val="0"/>
            <w:vAlign w:val="center"/>
          </w:tcPr>
          <w:p w14:paraId="15395496">
            <w:pPr>
              <w:jc w:val="center"/>
              <w:rPr>
                <w:color w:val="auto"/>
                <w:highlight w:val="none"/>
              </w:rPr>
            </w:pPr>
          </w:p>
        </w:tc>
        <w:tc>
          <w:tcPr>
            <w:tcW w:w="1547" w:type="dxa"/>
            <w:gridSpan w:val="2"/>
            <w:noWrap w:val="0"/>
            <w:vAlign w:val="center"/>
          </w:tcPr>
          <w:p w14:paraId="4EB80DCC">
            <w:pPr>
              <w:jc w:val="center"/>
              <w:rPr>
                <w:color w:val="auto"/>
                <w:highlight w:val="none"/>
              </w:rPr>
            </w:pPr>
          </w:p>
        </w:tc>
        <w:tc>
          <w:tcPr>
            <w:tcW w:w="1548" w:type="dxa"/>
            <w:gridSpan w:val="2"/>
            <w:noWrap w:val="0"/>
            <w:vAlign w:val="center"/>
          </w:tcPr>
          <w:p w14:paraId="3BEF71C8">
            <w:pPr>
              <w:jc w:val="center"/>
              <w:rPr>
                <w:color w:val="auto"/>
                <w:highlight w:val="none"/>
              </w:rPr>
            </w:pPr>
          </w:p>
        </w:tc>
        <w:tc>
          <w:tcPr>
            <w:tcW w:w="1547" w:type="dxa"/>
            <w:gridSpan w:val="2"/>
            <w:noWrap w:val="0"/>
            <w:vAlign w:val="center"/>
          </w:tcPr>
          <w:p w14:paraId="153116B9">
            <w:pPr>
              <w:jc w:val="center"/>
              <w:rPr>
                <w:color w:val="auto"/>
                <w:highlight w:val="none"/>
              </w:rPr>
            </w:pPr>
          </w:p>
        </w:tc>
        <w:tc>
          <w:tcPr>
            <w:tcW w:w="1548" w:type="dxa"/>
            <w:gridSpan w:val="2"/>
            <w:noWrap w:val="0"/>
            <w:vAlign w:val="center"/>
          </w:tcPr>
          <w:p w14:paraId="3F04A110">
            <w:pPr>
              <w:jc w:val="center"/>
              <w:rPr>
                <w:color w:val="auto"/>
                <w:highlight w:val="none"/>
              </w:rPr>
            </w:pPr>
          </w:p>
        </w:tc>
      </w:tr>
      <w:tr w14:paraId="5E0B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5CCE3AC1">
            <w:pPr>
              <w:jc w:val="center"/>
              <w:rPr>
                <w:color w:val="auto"/>
                <w:highlight w:val="none"/>
              </w:rPr>
            </w:pPr>
          </w:p>
        </w:tc>
        <w:tc>
          <w:tcPr>
            <w:tcW w:w="1548" w:type="dxa"/>
            <w:noWrap w:val="0"/>
            <w:vAlign w:val="center"/>
          </w:tcPr>
          <w:p w14:paraId="34FD6E15">
            <w:pPr>
              <w:jc w:val="center"/>
              <w:rPr>
                <w:color w:val="auto"/>
                <w:highlight w:val="none"/>
              </w:rPr>
            </w:pPr>
          </w:p>
        </w:tc>
        <w:tc>
          <w:tcPr>
            <w:tcW w:w="1547" w:type="dxa"/>
            <w:gridSpan w:val="2"/>
            <w:noWrap w:val="0"/>
            <w:vAlign w:val="center"/>
          </w:tcPr>
          <w:p w14:paraId="21392C9D">
            <w:pPr>
              <w:jc w:val="center"/>
              <w:rPr>
                <w:color w:val="auto"/>
                <w:highlight w:val="none"/>
              </w:rPr>
            </w:pPr>
          </w:p>
        </w:tc>
        <w:tc>
          <w:tcPr>
            <w:tcW w:w="1548" w:type="dxa"/>
            <w:gridSpan w:val="2"/>
            <w:noWrap w:val="0"/>
            <w:vAlign w:val="center"/>
          </w:tcPr>
          <w:p w14:paraId="01E8D7DA">
            <w:pPr>
              <w:jc w:val="center"/>
              <w:rPr>
                <w:color w:val="auto"/>
                <w:highlight w:val="none"/>
              </w:rPr>
            </w:pPr>
          </w:p>
        </w:tc>
        <w:tc>
          <w:tcPr>
            <w:tcW w:w="1547" w:type="dxa"/>
            <w:gridSpan w:val="2"/>
            <w:noWrap w:val="0"/>
            <w:vAlign w:val="center"/>
          </w:tcPr>
          <w:p w14:paraId="374398FD">
            <w:pPr>
              <w:jc w:val="center"/>
              <w:rPr>
                <w:color w:val="auto"/>
                <w:highlight w:val="none"/>
              </w:rPr>
            </w:pPr>
          </w:p>
        </w:tc>
        <w:tc>
          <w:tcPr>
            <w:tcW w:w="1548" w:type="dxa"/>
            <w:gridSpan w:val="2"/>
            <w:noWrap w:val="0"/>
            <w:vAlign w:val="center"/>
          </w:tcPr>
          <w:p w14:paraId="65C164A9">
            <w:pPr>
              <w:jc w:val="center"/>
              <w:rPr>
                <w:color w:val="auto"/>
                <w:highlight w:val="none"/>
              </w:rPr>
            </w:pPr>
          </w:p>
        </w:tc>
      </w:tr>
      <w:tr w14:paraId="36CB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549F4249">
            <w:pPr>
              <w:jc w:val="center"/>
              <w:rPr>
                <w:color w:val="auto"/>
                <w:highlight w:val="none"/>
              </w:rPr>
            </w:pPr>
          </w:p>
        </w:tc>
        <w:tc>
          <w:tcPr>
            <w:tcW w:w="1548" w:type="dxa"/>
            <w:noWrap w:val="0"/>
            <w:vAlign w:val="center"/>
          </w:tcPr>
          <w:p w14:paraId="20E784DE">
            <w:pPr>
              <w:jc w:val="center"/>
              <w:rPr>
                <w:color w:val="auto"/>
                <w:highlight w:val="none"/>
              </w:rPr>
            </w:pPr>
          </w:p>
        </w:tc>
        <w:tc>
          <w:tcPr>
            <w:tcW w:w="1547" w:type="dxa"/>
            <w:gridSpan w:val="2"/>
            <w:noWrap w:val="0"/>
            <w:vAlign w:val="center"/>
          </w:tcPr>
          <w:p w14:paraId="0DB714AE">
            <w:pPr>
              <w:jc w:val="center"/>
              <w:rPr>
                <w:color w:val="auto"/>
                <w:highlight w:val="none"/>
              </w:rPr>
            </w:pPr>
          </w:p>
        </w:tc>
        <w:tc>
          <w:tcPr>
            <w:tcW w:w="1548" w:type="dxa"/>
            <w:gridSpan w:val="2"/>
            <w:noWrap w:val="0"/>
            <w:vAlign w:val="center"/>
          </w:tcPr>
          <w:p w14:paraId="37A1863E">
            <w:pPr>
              <w:jc w:val="center"/>
              <w:rPr>
                <w:color w:val="auto"/>
                <w:highlight w:val="none"/>
              </w:rPr>
            </w:pPr>
          </w:p>
        </w:tc>
        <w:tc>
          <w:tcPr>
            <w:tcW w:w="1547" w:type="dxa"/>
            <w:gridSpan w:val="2"/>
            <w:noWrap w:val="0"/>
            <w:vAlign w:val="center"/>
          </w:tcPr>
          <w:p w14:paraId="67190D6F">
            <w:pPr>
              <w:jc w:val="center"/>
              <w:rPr>
                <w:color w:val="auto"/>
                <w:highlight w:val="none"/>
              </w:rPr>
            </w:pPr>
          </w:p>
        </w:tc>
        <w:tc>
          <w:tcPr>
            <w:tcW w:w="1548" w:type="dxa"/>
            <w:gridSpan w:val="2"/>
            <w:noWrap w:val="0"/>
            <w:vAlign w:val="center"/>
          </w:tcPr>
          <w:p w14:paraId="16D68653">
            <w:pPr>
              <w:jc w:val="center"/>
              <w:rPr>
                <w:color w:val="auto"/>
                <w:highlight w:val="none"/>
              </w:rPr>
            </w:pPr>
          </w:p>
        </w:tc>
      </w:tr>
      <w:tr w14:paraId="7DFE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0FC2FA25">
            <w:pPr>
              <w:jc w:val="center"/>
              <w:rPr>
                <w:color w:val="auto"/>
                <w:highlight w:val="none"/>
              </w:rPr>
            </w:pPr>
          </w:p>
        </w:tc>
        <w:tc>
          <w:tcPr>
            <w:tcW w:w="1548" w:type="dxa"/>
            <w:noWrap w:val="0"/>
            <w:vAlign w:val="center"/>
          </w:tcPr>
          <w:p w14:paraId="009D760E">
            <w:pPr>
              <w:jc w:val="center"/>
              <w:rPr>
                <w:color w:val="auto"/>
                <w:highlight w:val="none"/>
              </w:rPr>
            </w:pPr>
          </w:p>
        </w:tc>
        <w:tc>
          <w:tcPr>
            <w:tcW w:w="1547" w:type="dxa"/>
            <w:gridSpan w:val="2"/>
            <w:noWrap w:val="0"/>
            <w:vAlign w:val="center"/>
          </w:tcPr>
          <w:p w14:paraId="74D7D69B">
            <w:pPr>
              <w:jc w:val="center"/>
              <w:rPr>
                <w:color w:val="auto"/>
                <w:highlight w:val="none"/>
              </w:rPr>
            </w:pPr>
          </w:p>
        </w:tc>
        <w:tc>
          <w:tcPr>
            <w:tcW w:w="1548" w:type="dxa"/>
            <w:gridSpan w:val="2"/>
            <w:noWrap w:val="0"/>
            <w:vAlign w:val="center"/>
          </w:tcPr>
          <w:p w14:paraId="095049E4">
            <w:pPr>
              <w:jc w:val="center"/>
              <w:rPr>
                <w:color w:val="auto"/>
                <w:highlight w:val="none"/>
              </w:rPr>
            </w:pPr>
          </w:p>
        </w:tc>
        <w:tc>
          <w:tcPr>
            <w:tcW w:w="1547" w:type="dxa"/>
            <w:gridSpan w:val="2"/>
            <w:noWrap w:val="0"/>
            <w:vAlign w:val="center"/>
          </w:tcPr>
          <w:p w14:paraId="3E3C5975">
            <w:pPr>
              <w:jc w:val="center"/>
              <w:rPr>
                <w:color w:val="auto"/>
                <w:highlight w:val="none"/>
              </w:rPr>
            </w:pPr>
          </w:p>
        </w:tc>
        <w:tc>
          <w:tcPr>
            <w:tcW w:w="1548" w:type="dxa"/>
            <w:gridSpan w:val="2"/>
            <w:noWrap w:val="0"/>
            <w:vAlign w:val="center"/>
          </w:tcPr>
          <w:p w14:paraId="7CAAE304">
            <w:pPr>
              <w:jc w:val="center"/>
              <w:rPr>
                <w:color w:val="auto"/>
                <w:highlight w:val="none"/>
              </w:rPr>
            </w:pPr>
          </w:p>
        </w:tc>
      </w:tr>
    </w:tbl>
    <w:p w14:paraId="5EC40801">
      <w:pPr>
        <w:widowControl/>
        <w:jc w:val="left"/>
        <w:rPr>
          <w:rFonts w:hint="eastAsia" w:ascii="宋体" w:hAnsi="宋体" w:cs="宋体"/>
          <w:color w:val="auto"/>
          <w:kern w:val="0"/>
          <w:sz w:val="24"/>
          <w:highlight w:val="none"/>
          <w:lang w:bidi="ar"/>
        </w:rPr>
      </w:pPr>
    </w:p>
    <w:p w14:paraId="64132E3D">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CE6941A">
      <w:pPr>
        <w:widowControl/>
        <w:jc w:val="right"/>
        <w:rPr>
          <w:rFonts w:hint="eastAsia" w:ascii="宋体" w:hAnsi="宋体" w:cs="宋体"/>
          <w:b/>
          <w:bCs/>
          <w:color w:val="auto"/>
          <w:kern w:val="0"/>
          <w:sz w:val="30"/>
          <w:szCs w:val="30"/>
          <w:highlight w:val="none"/>
          <w:lang w:bidi="ar"/>
        </w:rPr>
      </w:pPr>
      <w:r>
        <w:rPr>
          <w:rFonts w:hint="eastAsia" w:ascii="仿宋_GB2312" w:hAnsi="仿宋" w:eastAsia="仿宋_GB2312" w:cs="仿宋_GB2312"/>
          <w:color w:val="auto"/>
          <w:kern w:val="0"/>
          <w:sz w:val="24"/>
          <w:highlight w:val="none"/>
          <w:lang w:val="zh-CN"/>
        </w:rPr>
        <w:t>日期：  年  月   日</w:t>
      </w:r>
    </w:p>
    <w:p w14:paraId="100A9EF2">
      <w:pPr>
        <w:widowControl/>
        <w:jc w:val="left"/>
        <w:rPr>
          <w:rFonts w:hint="eastAsia" w:ascii="宋体" w:hAnsi="宋体" w:cs="宋体"/>
          <w:color w:val="auto"/>
          <w:kern w:val="0"/>
          <w:sz w:val="24"/>
          <w:highlight w:val="none"/>
          <w:lang w:bidi="ar"/>
        </w:rPr>
      </w:pPr>
    </w:p>
    <w:p w14:paraId="1F460A42">
      <w:pPr>
        <w:widowControl/>
        <w:jc w:val="left"/>
        <w:rPr>
          <w:rFonts w:hint="eastAsia" w:ascii="宋体" w:hAnsi="宋体" w:cs="宋体"/>
          <w:b/>
          <w:bCs/>
          <w:color w:val="auto"/>
          <w:kern w:val="0"/>
          <w:sz w:val="30"/>
          <w:szCs w:val="30"/>
          <w:highlight w:val="none"/>
          <w:lang w:bidi="ar"/>
        </w:rPr>
      </w:pPr>
      <w:r>
        <w:rPr>
          <w:rFonts w:hint="eastAsia" w:ascii="宋体" w:hAnsi="宋体" w:cs="宋体"/>
          <w:color w:val="auto"/>
          <w:kern w:val="0"/>
          <w:szCs w:val="21"/>
          <w:highlight w:val="none"/>
          <w:lang w:bidi="ar"/>
        </w:rPr>
        <w:t>备注：附技术负责人的已完工程中标(成交)通知书（工程合同协议书）及工程竣工验收证明材料的复印件（如有），以及供应商认为需要增加的其他证明材料复印件。</w:t>
      </w:r>
    </w:p>
    <w:p w14:paraId="628BD2FD">
      <w:pPr>
        <w:widowControl/>
        <w:jc w:val="left"/>
        <w:rPr>
          <w:rFonts w:hint="eastAsia" w:ascii="宋体" w:hAnsi="宋体" w:cs="宋体"/>
          <w:b/>
          <w:bCs/>
          <w:color w:val="auto"/>
          <w:kern w:val="0"/>
          <w:sz w:val="30"/>
          <w:szCs w:val="30"/>
          <w:highlight w:val="none"/>
          <w:lang w:bidi="ar"/>
        </w:rPr>
      </w:pPr>
    </w:p>
    <w:p w14:paraId="4C75C7E3">
      <w:pPr>
        <w:widowControl/>
        <w:jc w:val="left"/>
        <w:rPr>
          <w:rFonts w:hint="eastAsia" w:ascii="宋体" w:hAnsi="宋体" w:cs="宋体"/>
          <w:b/>
          <w:bCs/>
          <w:color w:val="auto"/>
          <w:kern w:val="0"/>
          <w:sz w:val="30"/>
          <w:szCs w:val="30"/>
          <w:highlight w:val="none"/>
          <w:lang w:bidi="ar"/>
        </w:rPr>
      </w:pPr>
    </w:p>
    <w:p w14:paraId="1E5596D9">
      <w:pPr>
        <w:widowControl/>
        <w:jc w:val="left"/>
        <w:rPr>
          <w:rFonts w:hint="eastAsia" w:ascii="宋体" w:hAnsi="宋体" w:cs="宋体"/>
          <w:b/>
          <w:bCs/>
          <w:color w:val="auto"/>
          <w:kern w:val="0"/>
          <w:sz w:val="30"/>
          <w:szCs w:val="30"/>
          <w:highlight w:val="none"/>
          <w:lang w:bidi="ar"/>
        </w:rPr>
      </w:pPr>
    </w:p>
    <w:p w14:paraId="0D62706B">
      <w:pPr>
        <w:snapToGrid w:val="0"/>
        <w:spacing w:line="360" w:lineRule="auto"/>
        <w:rPr>
          <w:rFonts w:hint="eastAsia" w:ascii="仿宋" w:hAnsi="仿宋" w:eastAsia="仿宋" w:cs="仿宋_GB2312"/>
          <w:b/>
          <w:color w:val="auto"/>
          <w:sz w:val="30"/>
          <w:szCs w:val="30"/>
          <w:highlight w:val="none"/>
        </w:rPr>
      </w:pPr>
      <w:r>
        <w:rPr>
          <w:rFonts w:hint="eastAsia" w:ascii="仿宋" w:hAnsi="仿宋" w:eastAsia="仿宋" w:cs="仿宋_GB2312"/>
          <w:b/>
          <w:color w:val="auto"/>
          <w:sz w:val="30"/>
          <w:szCs w:val="30"/>
          <w:highlight w:val="none"/>
        </w:rPr>
        <w:t>十、</w:t>
      </w:r>
      <w:r>
        <w:rPr>
          <w:rFonts w:hint="eastAsia" w:ascii="宋体" w:hAnsi="宋体" w:cs="宋体"/>
          <w:b/>
          <w:bCs/>
          <w:color w:val="auto"/>
          <w:kern w:val="0"/>
          <w:sz w:val="30"/>
          <w:szCs w:val="30"/>
          <w:highlight w:val="none"/>
          <w:lang w:bidi="ar"/>
        </w:rPr>
        <w:t>供应商认为需要提供的其他有关资料</w:t>
      </w:r>
    </w:p>
    <w:p w14:paraId="68234239">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p>
    <w:p w14:paraId="782F8E70">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BDE4B9E">
      <w:pPr>
        <w:autoSpaceDE w:val="0"/>
        <w:autoSpaceDN w:val="0"/>
        <w:spacing w:line="360" w:lineRule="auto"/>
        <w:ind w:firstLine="6480" w:firstLineChars="270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04E48277">
      <w:pPr>
        <w:widowControl/>
        <w:spacing w:line="360" w:lineRule="auto"/>
        <w:jc w:val="left"/>
        <w:rPr>
          <w:rFonts w:ascii="仿宋_GB2312" w:hAnsi="仿宋" w:eastAsia="仿宋_GB2312" w:cs="仿宋_GB2312"/>
          <w:b/>
          <w:bCs/>
          <w:color w:val="auto"/>
          <w:sz w:val="24"/>
          <w:highlight w:val="none"/>
        </w:rPr>
        <w:sectPr>
          <w:pgSz w:w="11905" w:h="16838"/>
          <w:pgMar w:top="958" w:right="1440" w:bottom="958" w:left="1587" w:header="850" w:footer="992" w:gutter="0"/>
          <w:pgNumType w:fmt="decimal"/>
          <w:cols w:space="720" w:num="1"/>
          <w:rtlGutter w:val="0"/>
          <w:docGrid w:type="lines" w:linePitch="317" w:charSpace="0"/>
        </w:sectPr>
      </w:pPr>
    </w:p>
    <w:p w14:paraId="0D62C0C6">
      <w:pPr>
        <w:autoSpaceDE w:val="0"/>
        <w:autoSpaceDN w:val="0"/>
        <w:spacing w:line="360" w:lineRule="auto"/>
        <w:ind w:firstLine="6505" w:firstLineChars="2700"/>
        <w:rPr>
          <w:rFonts w:hint="eastAsia" w:ascii="仿宋_GB2312" w:hAnsi="仿宋" w:eastAsia="仿宋_GB2312" w:cs="仿宋_GB2312"/>
          <w:b/>
          <w:bCs/>
          <w:color w:val="auto"/>
          <w:sz w:val="24"/>
          <w:highlight w:val="none"/>
        </w:rPr>
      </w:pPr>
    </w:p>
    <w:p w14:paraId="3C44D23D">
      <w:pPr>
        <w:pStyle w:val="3"/>
        <w:jc w:val="center"/>
        <w:rPr>
          <w:rFonts w:hint="eastAsia" w:ascii="宋体" w:hAnsi="宋体" w:cs="宋体"/>
          <w:color w:val="auto"/>
          <w:highlight w:val="none"/>
        </w:rPr>
      </w:pPr>
      <w:bookmarkStart w:id="31" w:name="_Toc10330"/>
      <w:r>
        <w:rPr>
          <w:rFonts w:hint="eastAsia" w:ascii="宋体" w:hAnsi="宋体"/>
          <w:color w:val="auto"/>
          <w:highlight w:val="none"/>
        </w:rPr>
        <w:t>第四节 报价文件格式</w:t>
      </w:r>
      <w:bookmarkEnd w:id="31"/>
    </w:p>
    <w:p w14:paraId="025C6DCB">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792AEC36">
      <w:pPr>
        <w:snapToGrid w:val="0"/>
        <w:spacing w:before="120" w:beforeLines="50" w:after="50"/>
        <w:rPr>
          <w:rFonts w:hint="eastAsia" w:ascii="宋体" w:hAnsi="宋体"/>
          <w:color w:val="auto"/>
          <w:sz w:val="24"/>
          <w:szCs w:val="20"/>
          <w:highlight w:val="none"/>
        </w:rPr>
      </w:pPr>
    </w:p>
    <w:p w14:paraId="64815F97">
      <w:pPr>
        <w:snapToGrid w:val="0"/>
        <w:spacing w:before="120" w:beforeLines="50" w:after="50"/>
        <w:rPr>
          <w:rFonts w:hint="eastAsia" w:ascii="宋体" w:hAnsi="宋体"/>
          <w:color w:val="auto"/>
          <w:sz w:val="24"/>
          <w:szCs w:val="20"/>
          <w:highlight w:val="none"/>
        </w:rPr>
      </w:pPr>
    </w:p>
    <w:p w14:paraId="544ADEA6">
      <w:pPr>
        <w:snapToGrid w:val="0"/>
        <w:spacing w:before="120" w:beforeLines="50" w:after="50"/>
        <w:rPr>
          <w:rFonts w:hint="eastAsia" w:ascii="宋体" w:hAnsi="宋体"/>
          <w:color w:val="auto"/>
          <w:sz w:val="24"/>
          <w:szCs w:val="20"/>
          <w:highlight w:val="none"/>
        </w:rPr>
      </w:pPr>
    </w:p>
    <w:p w14:paraId="05A44A00">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件（封面）</w:t>
      </w:r>
    </w:p>
    <w:p w14:paraId="72E9B310">
      <w:pPr>
        <w:snapToGrid w:val="0"/>
        <w:spacing w:before="120" w:beforeLines="50" w:after="50"/>
        <w:rPr>
          <w:rFonts w:hint="eastAsia" w:ascii="宋体" w:hAnsi="宋体"/>
          <w:bCs/>
          <w:color w:val="auto"/>
          <w:sz w:val="24"/>
          <w:szCs w:val="20"/>
          <w:highlight w:val="none"/>
        </w:rPr>
      </w:pPr>
    </w:p>
    <w:p w14:paraId="2A65A041">
      <w:pPr>
        <w:snapToGrid w:val="0"/>
        <w:spacing w:before="120" w:beforeLines="50" w:after="50"/>
        <w:rPr>
          <w:rFonts w:hint="eastAsia" w:ascii="宋体" w:hAnsi="宋体"/>
          <w:bCs/>
          <w:color w:val="auto"/>
          <w:sz w:val="24"/>
          <w:szCs w:val="20"/>
          <w:highlight w:val="none"/>
        </w:rPr>
      </w:pPr>
    </w:p>
    <w:p w14:paraId="59488CF6">
      <w:pPr>
        <w:snapToGrid w:val="0"/>
        <w:spacing w:before="120" w:beforeLines="50" w:after="50"/>
        <w:rPr>
          <w:rFonts w:hint="eastAsia" w:ascii="宋体" w:hAnsi="宋体"/>
          <w:bCs/>
          <w:color w:val="auto"/>
          <w:sz w:val="24"/>
          <w:szCs w:val="20"/>
          <w:highlight w:val="none"/>
        </w:rPr>
      </w:pPr>
    </w:p>
    <w:p w14:paraId="04851307">
      <w:pPr>
        <w:snapToGrid w:val="0"/>
        <w:spacing w:before="120" w:beforeLines="50" w:after="50"/>
        <w:rPr>
          <w:rFonts w:hint="eastAsia" w:ascii="宋体" w:hAnsi="宋体"/>
          <w:bCs/>
          <w:color w:val="auto"/>
          <w:sz w:val="24"/>
          <w:szCs w:val="20"/>
          <w:highlight w:val="none"/>
        </w:rPr>
      </w:pPr>
    </w:p>
    <w:p w14:paraId="378C51FF">
      <w:pPr>
        <w:snapToGrid w:val="0"/>
        <w:spacing w:before="120" w:beforeLines="50" w:after="50"/>
        <w:rPr>
          <w:rFonts w:hint="eastAsia" w:ascii="宋体" w:hAnsi="宋体"/>
          <w:bCs/>
          <w:color w:val="auto"/>
          <w:sz w:val="24"/>
          <w:szCs w:val="20"/>
          <w:highlight w:val="none"/>
        </w:rPr>
      </w:pPr>
    </w:p>
    <w:p w14:paraId="53BF9C62">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项目名称：</w:t>
      </w:r>
      <w:r>
        <w:rPr>
          <w:rFonts w:hint="eastAsia" w:ascii="宋体" w:hAnsi="宋体" w:cs="仿宋_GB2312"/>
          <w:bCs/>
          <w:color w:val="auto"/>
          <w:sz w:val="32"/>
          <w:szCs w:val="32"/>
          <w:highlight w:val="none"/>
          <w:lang w:eastAsia="zh-CN"/>
        </w:rPr>
        <w:t>南宁市五化灌区总干渠水毁应急抢险工程</w:t>
      </w:r>
    </w:p>
    <w:p w14:paraId="3F6A155F">
      <w:pPr>
        <w:snapToGrid w:val="0"/>
        <w:spacing w:before="120" w:beforeLines="50" w:after="50"/>
        <w:ind w:firstLine="720" w:firstLineChars="225"/>
        <w:rPr>
          <w:rFonts w:hint="eastAsia" w:ascii="宋体" w:hAnsi="宋体" w:cs="仿宋_GB2312"/>
          <w:bCs/>
          <w:color w:val="auto"/>
          <w:sz w:val="32"/>
          <w:szCs w:val="32"/>
          <w:highlight w:val="none"/>
        </w:rPr>
      </w:pPr>
    </w:p>
    <w:p w14:paraId="5C7269C4">
      <w:pPr>
        <w:snapToGrid w:val="0"/>
        <w:spacing w:before="120" w:beforeLines="50" w:after="50"/>
        <w:ind w:firstLine="640" w:firstLineChars="20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rPr>
        <w:t>项目编号：</w:t>
      </w:r>
      <w:r>
        <w:rPr>
          <w:rFonts w:hint="eastAsia" w:ascii="宋体" w:hAnsi="宋体" w:cs="仿宋_GB2312"/>
          <w:bCs/>
          <w:color w:val="auto"/>
          <w:sz w:val="32"/>
          <w:szCs w:val="32"/>
          <w:highlight w:val="none"/>
          <w:lang w:val="en-US" w:eastAsia="zh-CN"/>
        </w:rPr>
        <w:t>NNZC2026-C2-990977-GXXB</w:t>
      </w:r>
    </w:p>
    <w:p w14:paraId="20DA234C">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AF37E2E">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02A56AFF">
      <w:pPr>
        <w:snapToGrid w:val="0"/>
        <w:spacing w:before="120" w:beforeLines="50" w:after="50"/>
        <w:ind w:firstLine="720" w:firstLineChars="225"/>
        <w:rPr>
          <w:rFonts w:hint="eastAsia" w:ascii="宋体" w:hAnsi="宋体" w:cs="仿宋_GB2312"/>
          <w:bCs/>
          <w:color w:val="auto"/>
          <w:sz w:val="32"/>
          <w:szCs w:val="32"/>
          <w:highlight w:val="none"/>
        </w:rPr>
      </w:pPr>
    </w:p>
    <w:p w14:paraId="5386FB47">
      <w:pPr>
        <w:pStyle w:val="6"/>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3026206">
      <w:pPr>
        <w:pStyle w:val="6"/>
        <w:snapToGrid w:val="0"/>
        <w:spacing w:before="50" w:after="50"/>
        <w:ind w:firstLine="720" w:firstLineChars="225"/>
        <w:rPr>
          <w:rFonts w:hint="eastAsia" w:ascii="宋体" w:hAnsi="宋体" w:cs="仿宋_GB2312"/>
          <w:bCs/>
          <w:color w:val="auto"/>
          <w:sz w:val="32"/>
          <w:szCs w:val="32"/>
          <w:highlight w:val="none"/>
        </w:rPr>
      </w:pPr>
    </w:p>
    <w:p w14:paraId="5B0C0E5E">
      <w:pPr>
        <w:pStyle w:val="6"/>
        <w:snapToGrid w:val="0"/>
        <w:spacing w:before="50" w:after="50"/>
        <w:ind w:firstLine="720" w:firstLineChars="225"/>
        <w:rPr>
          <w:rFonts w:hint="eastAsia" w:ascii="宋体" w:hAnsi="宋体" w:cs="仿宋_GB2312"/>
          <w:bCs/>
          <w:color w:val="auto"/>
          <w:sz w:val="32"/>
          <w:szCs w:val="32"/>
          <w:highlight w:val="none"/>
        </w:rPr>
      </w:pPr>
    </w:p>
    <w:p w14:paraId="0F886C6B">
      <w:pPr>
        <w:pStyle w:val="6"/>
        <w:snapToGrid w:val="0"/>
        <w:spacing w:before="50" w:after="50"/>
        <w:ind w:firstLine="1280" w:firstLineChars="400"/>
        <w:rPr>
          <w:rFonts w:hint="eastAsia" w:ascii="宋体" w:hAnsi="宋体" w:cs="仿宋_GB2312"/>
          <w:bCs/>
          <w:color w:val="auto"/>
          <w:sz w:val="32"/>
          <w:szCs w:val="32"/>
          <w:highlight w:val="none"/>
        </w:rPr>
      </w:pPr>
    </w:p>
    <w:p w14:paraId="1602C711">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435AD53B">
      <w:pPr>
        <w:snapToGrid w:val="0"/>
        <w:spacing w:before="120" w:beforeLines="50" w:after="50" w:line="400" w:lineRule="exact"/>
        <w:jc w:val="center"/>
        <w:rPr>
          <w:rFonts w:hint="eastAsia" w:ascii="宋体" w:hAnsi="宋体"/>
          <w:b/>
          <w:bCs/>
          <w:color w:val="auto"/>
          <w:sz w:val="32"/>
          <w:szCs w:val="32"/>
          <w:highlight w:val="none"/>
        </w:rPr>
      </w:pPr>
      <w:r>
        <w:rPr>
          <w:rFonts w:hint="eastAsia" w:ascii="宋体" w:hAnsi="宋体"/>
          <w:color w:val="auto"/>
          <w:sz w:val="24"/>
          <w:highlight w:val="none"/>
        </w:rPr>
        <w:br w:type="page"/>
      </w:r>
      <w:r>
        <w:rPr>
          <w:rFonts w:hint="eastAsia" w:ascii="宋体" w:hAnsi="宋体"/>
          <w:b/>
          <w:bCs/>
          <w:color w:val="auto"/>
          <w:sz w:val="32"/>
          <w:szCs w:val="32"/>
          <w:highlight w:val="none"/>
        </w:rPr>
        <w:t>报价文件目录</w:t>
      </w:r>
    </w:p>
    <w:p w14:paraId="7F91AED1">
      <w:pPr>
        <w:rPr>
          <w:rFonts w:hint="eastAsia" w:ascii="仿宋_GB2312" w:hAnsi="仿宋" w:eastAsia="仿宋_GB2312" w:cs="仿宋_GB2312"/>
          <w:color w:val="auto"/>
          <w:kern w:val="0"/>
          <w:sz w:val="24"/>
          <w:highlight w:val="none"/>
        </w:rPr>
      </w:pPr>
    </w:p>
    <w:p w14:paraId="30F7FD71">
      <w:pPr>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一、响应函………………………………………………………（页码）</w:t>
      </w:r>
    </w:p>
    <w:p w14:paraId="477657D4">
      <w:pPr>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二、响应报价表…………………………………………………（页码）</w:t>
      </w:r>
    </w:p>
    <w:p w14:paraId="64079DD7">
      <w:pPr>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eastAsia="zh-CN"/>
        </w:rPr>
        <w:t>三</w:t>
      </w:r>
      <w:r>
        <w:rPr>
          <w:rFonts w:hint="eastAsia" w:ascii="仿宋_GB2312" w:hAnsi="仿宋" w:eastAsia="仿宋_GB2312" w:cs="仿宋_GB2312"/>
          <w:color w:val="auto"/>
          <w:kern w:val="0"/>
          <w:sz w:val="24"/>
          <w:highlight w:val="none"/>
        </w:rPr>
        <w:t>、已标价工程量清单…………………………………………（页码）</w:t>
      </w:r>
    </w:p>
    <w:p w14:paraId="59A8FA67">
      <w:pPr>
        <w:rPr>
          <w:rFonts w:hint="default" w:ascii="仿宋_GB2312" w:hAnsi="仿宋" w:eastAsia="仿宋_GB2312" w:cs="仿宋_GB2312"/>
          <w:b w:val="0"/>
          <w:color w:val="auto"/>
          <w:kern w:val="0"/>
          <w:sz w:val="24"/>
          <w:szCs w:val="24"/>
          <w:highlight w:val="none"/>
          <w:lang w:val="en-US" w:eastAsia="zh-CN" w:bidi="ar-SA"/>
        </w:rPr>
      </w:pPr>
      <w:r>
        <w:rPr>
          <w:rFonts w:hint="eastAsia" w:ascii="仿宋_GB2312" w:hAnsi="仿宋" w:eastAsia="仿宋_GB2312" w:cs="仿宋_GB2312"/>
          <w:color w:val="auto"/>
          <w:kern w:val="0"/>
          <w:sz w:val="24"/>
          <w:highlight w:val="none"/>
          <w:lang w:val="en-US" w:eastAsia="zh-CN"/>
        </w:rPr>
        <w:t>四、承诺书……</w:t>
      </w:r>
      <w:r>
        <w:rPr>
          <w:rFonts w:hint="eastAsia" w:ascii="仿宋_GB2312" w:hAnsi="仿宋" w:eastAsia="仿宋_GB2312" w:cs="仿宋_GB2312"/>
          <w:b w:val="0"/>
          <w:color w:val="auto"/>
          <w:kern w:val="0"/>
          <w:sz w:val="24"/>
          <w:szCs w:val="24"/>
          <w:highlight w:val="none"/>
          <w:lang w:val="en-US" w:eastAsia="zh-CN" w:bidi="ar-SA"/>
        </w:rPr>
        <w:t>……………………………………………………（页码）</w:t>
      </w:r>
    </w:p>
    <w:p w14:paraId="7986320F">
      <w:pPr>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lang w:val="en-US" w:eastAsia="zh-CN"/>
        </w:rPr>
        <w:t>五</w:t>
      </w:r>
      <w:r>
        <w:rPr>
          <w:rFonts w:hint="eastAsia" w:ascii="仿宋_GB2312" w:hAnsi="仿宋" w:eastAsia="仿宋_GB2312" w:cs="仿宋_GB2312"/>
          <w:color w:val="auto"/>
          <w:kern w:val="0"/>
          <w:sz w:val="24"/>
          <w:highlight w:val="none"/>
        </w:rPr>
        <w:t>、中小企业声明函……………………………………………（页码）</w:t>
      </w:r>
    </w:p>
    <w:p w14:paraId="603FA4E8">
      <w:pPr>
        <w:snapToGrid w:val="0"/>
        <w:spacing w:before="120" w:beforeLines="50" w:after="50" w:line="360" w:lineRule="auto"/>
        <w:ind w:left="142" w:firstLine="640" w:firstLineChars="200"/>
        <w:jc w:val="left"/>
        <w:rPr>
          <w:rFonts w:hint="eastAsia" w:ascii="仿宋_GB2312" w:hAnsi="仿宋_GB2312" w:eastAsia="仿宋_GB2312" w:cs="仿宋_GB2312"/>
          <w:color w:val="auto"/>
          <w:sz w:val="32"/>
          <w:szCs w:val="32"/>
          <w:highlight w:val="none"/>
        </w:rPr>
      </w:pPr>
    </w:p>
    <w:p w14:paraId="7CCD0BB2">
      <w:pPr>
        <w:snapToGrid w:val="0"/>
        <w:spacing w:before="120" w:beforeLines="50" w:after="50" w:line="360" w:lineRule="auto"/>
        <w:ind w:left="142" w:firstLine="480" w:firstLineChars="200"/>
        <w:jc w:val="left"/>
        <w:rPr>
          <w:rFonts w:hint="eastAsia" w:hAnsi="宋体" w:cs="仿宋_GB2312"/>
          <w:color w:val="auto"/>
          <w:sz w:val="24"/>
          <w:highlight w:val="none"/>
        </w:rPr>
      </w:pPr>
      <w:r>
        <w:rPr>
          <w:rFonts w:hAnsi="宋体" w:cs="仿宋_GB2312"/>
          <w:color w:val="auto"/>
          <w:sz w:val="24"/>
          <w:highlight w:val="none"/>
        </w:rPr>
        <w:br w:type="page"/>
      </w:r>
      <w:r>
        <w:rPr>
          <w:rFonts w:hint="eastAsia" w:hAnsi="宋体"/>
          <w:b/>
          <w:bCs/>
          <w:color w:val="auto"/>
          <w:sz w:val="32"/>
          <w:szCs w:val="32"/>
          <w:highlight w:val="none"/>
        </w:rPr>
        <w:t>一、响应函</w:t>
      </w:r>
    </w:p>
    <w:p w14:paraId="1770B8E6">
      <w:pPr>
        <w:pStyle w:val="14"/>
        <w:spacing w:line="500" w:lineRule="exact"/>
        <w:jc w:val="center"/>
        <w:rPr>
          <w:rFonts w:ascii="Times New Roman" w:hAnsi="Times New Roman"/>
          <w:b/>
          <w:bCs/>
          <w:color w:val="auto"/>
          <w:sz w:val="30"/>
          <w:szCs w:val="30"/>
          <w:highlight w:val="none"/>
        </w:rPr>
      </w:pPr>
      <w:r>
        <w:rPr>
          <w:rFonts w:hint="eastAsia" w:ascii="Times New Roman" w:hAnsi="Times New Roman"/>
          <w:b/>
          <w:bCs/>
          <w:color w:val="auto"/>
          <w:sz w:val="30"/>
          <w:szCs w:val="30"/>
          <w:highlight w:val="none"/>
        </w:rPr>
        <w:t>响应函</w:t>
      </w:r>
    </w:p>
    <w:p w14:paraId="0C0AF402">
      <w:pPr>
        <w:pStyle w:val="14"/>
        <w:spacing w:line="360" w:lineRule="auto"/>
        <w:rPr>
          <w:rFonts w:ascii="Times New Roman" w:hAnsi="Times New Roman"/>
          <w:color w:val="auto"/>
          <w:szCs w:val="20"/>
          <w:highlight w:val="none"/>
        </w:rPr>
      </w:pPr>
      <w:r>
        <w:rPr>
          <w:rFonts w:hint="eastAsia" w:ascii="Times New Roman" w:hAnsi="Times New Roman"/>
          <w:color w:val="auto"/>
          <w:szCs w:val="20"/>
          <w:highlight w:val="none"/>
        </w:rPr>
        <w:t>致：</w:t>
      </w:r>
      <w:r>
        <w:rPr>
          <w:rFonts w:hint="eastAsia" w:ascii="Times New Roman" w:hAnsi="Times New Roman"/>
          <w:color w:val="auto"/>
          <w:szCs w:val="20"/>
          <w:highlight w:val="none"/>
          <w:u w:val="single"/>
          <w:lang w:val="en-US" w:eastAsia="zh-CN"/>
        </w:rPr>
        <w:t xml:space="preserve">                  </w:t>
      </w:r>
      <w:r>
        <w:rPr>
          <w:rFonts w:ascii="Times New Roman" w:hAnsi="Times New Roman"/>
          <w:color w:val="auto"/>
          <w:szCs w:val="20"/>
          <w:highlight w:val="none"/>
          <w:u w:val="single"/>
        </w:rPr>
        <w:t xml:space="preserve"> </w:t>
      </w:r>
    </w:p>
    <w:p w14:paraId="17F0348A">
      <w:pPr>
        <w:pStyle w:val="14"/>
        <w:spacing w:line="360" w:lineRule="auto"/>
        <w:ind w:firstLine="400" w:firstLineChars="200"/>
        <w:rPr>
          <w:rFonts w:ascii="Times New Roman" w:hAnsi="Times New Roman"/>
          <w:color w:val="auto"/>
          <w:szCs w:val="20"/>
          <w:highlight w:val="none"/>
        </w:rPr>
      </w:pPr>
      <w:r>
        <w:rPr>
          <w:rFonts w:hint="eastAsia"/>
          <w:color w:val="auto"/>
          <w:szCs w:val="20"/>
          <w:highlight w:val="none"/>
        </w:rPr>
        <w:t>我方已仔细阅读了贵方组织的</w:t>
      </w:r>
      <w:r>
        <w:rPr>
          <w:rFonts w:hint="eastAsia"/>
          <w:color w:val="auto"/>
          <w:szCs w:val="20"/>
          <w:highlight w:val="none"/>
          <w:u w:val="single"/>
        </w:rPr>
        <w:t xml:space="preserve"> </w:t>
      </w:r>
      <w:r>
        <w:rPr>
          <w:rFonts w:hint="eastAsia"/>
          <w:color w:val="auto"/>
          <w:szCs w:val="20"/>
          <w:highlight w:val="none"/>
          <w:u w:val="single"/>
          <w:lang w:val="en-US" w:eastAsia="zh-CN"/>
        </w:rPr>
        <w:t xml:space="preserve">           </w:t>
      </w:r>
      <w:r>
        <w:rPr>
          <w:rFonts w:hint="eastAsia"/>
          <w:color w:val="auto"/>
          <w:szCs w:val="20"/>
          <w:highlight w:val="none"/>
          <w:u w:val="single"/>
        </w:rPr>
        <w:t xml:space="preserve">  </w:t>
      </w:r>
      <w:r>
        <w:rPr>
          <w:rFonts w:hint="eastAsia"/>
          <w:color w:val="auto"/>
          <w:szCs w:val="20"/>
          <w:highlight w:val="none"/>
        </w:rPr>
        <w:t>项目（项目编号：</w:t>
      </w:r>
      <w:r>
        <w:rPr>
          <w:rFonts w:hint="eastAsia" w:hAnsi="宋体"/>
          <w:color w:val="auto"/>
          <w:szCs w:val="20"/>
          <w:highlight w:val="none"/>
          <w:u w:val="single"/>
        </w:rPr>
        <w:t xml:space="preserve">  </w:t>
      </w:r>
      <w:r>
        <w:rPr>
          <w:rFonts w:hint="eastAsia" w:hAnsi="宋体"/>
          <w:color w:val="auto"/>
          <w:szCs w:val="20"/>
          <w:highlight w:val="none"/>
          <w:u w:val="single"/>
          <w:lang w:val="en-US" w:eastAsia="zh-CN"/>
        </w:rPr>
        <w:t xml:space="preserve">               </w:t>
      </w:r>
      <w:r>
        <w:rPr>
          <w:rFonts w:hint="eastAsia" w:hAnsi="宋体"/>
          <w:color w:val="auto"/>
          <w:szCs w:val="20"/>
          <w:highlight w:val="none"/>
          <w:u w:val="single"/>
        </w:rPr>
        <w:t xml:space="preserve"> </w:t>
      </w:r>
      <w:r>
        <w:rPr>
          <w:rFonts w:hint="eastAsia"/>
          <w:color w:val="auto"/>
          <w:szCs w:val="20"/>
          <w:highlight w:val="none"/>
        </w:rPr>
        <w:t xml:space="preserve">）的竞争性磋商采购文件的全部内容，现正式递交下述文件参加贵方组织的本次政府采购活动： </w:t>
      </w:r>
    </w:p>
    <w:p w14:paraId="51BA2F91">
      <w:pPr>
        <w:pStyle w:val="14"/>
        <w:spacing w:line="360" w:lineRule="auto"/>
        <w:ind w:firstLine="400" w:firstLineChars="200"/>
        <w:rPr>
          <w:rFonts w:ascii="Times New Roman" w:hAnsi="Times New Roman"/>
          <w:color w:val="auto"/>
          <w:szCs w:val="20"/>
          <w:highlight w:val="none"/>
        </w:rPr>
      </w:pPr>
      <w:r>
        <w:rPr>
          <w:rFonts w:hint="eastAsia"/>
          <w:color w:val="auto"/>
          <w:szCs w:val="20"/>
          <w:highlight w:val="none"/>
        </w:rPr>
        <w:t>一、首次报价文件电子版</w:t>
      </w:r>
      <w:r>
        <w:rPr>
          <w:rFonts w:hint="eastAsia"/>
          <w:color w:val="auto"/>
          <w:szCs w:val="20"/>
          <w:highlight w:val="none"/>
          <w:u w:val="single"/>
        </w:rPr>
        <w:t xml:space="preserve">   </w:t>
      </w:r>
      <w:r>
        <w:rPr>
          <w:rFonts w:hint="eastAsia"/>
          <w:color w:val="auto"/>
          <w:szCs w:val="20"/>
          <w:highlight w:val="none"/>
        </w:rPr>
        <w:t>份（包含按“第三章 供应商须知”提交的全部文件）；</w:t>
      </w:r>
    </w:p>
    <w:p w14:paraId="24E466FF">
      <w:pPr>
        <w:pStyle w:val="14"/>
        <w:spacing w:line="360" w:lineRule="auto"/>
        <w:ind w:firstLine="400" w:firstLineChars="200"/>
        <w:rPr>
          <w:rFonts w:hint="eastAsia"/>
          <w:color w:val="auto"/>
          <w:szCs w:val="20"/>
          <w:highlight w:val="none"/>
        </w:rPr>
      </w:pPr>
      <w:r>
        <w:rPr>
          <w:rFonts w:hint="eastAsia"/>
          <w:color w:val="auto"/>
          <w:szCs w:val="20"/>
          <w:highlight w:val="none"/>
        </w:rPr>
        <w:t>二、</w:t>
      </w:r>
      <w:r>
        <w:rPr>
          <w:rFonts w:hint="eastAsia" w:hAnsi="宋体"/>
          <w:color w:val="auto"/>
          <w:szCs w:val="20"/>
          <w:highlight w:val="none"/>
        </w:rPr>
        <w:t>技术</w:t>
      </w:r>
      <w:r>
        <w:rPr>
          <w:rFonts w:hint="eastAsia"/>
          <w:color w:val="auto"/>
          <w:szCs w:val="20"/>
          <w:highlight w:val="none"/>
        </w:rPr>
        <w:t>文件电子版</w:t>
      </w:r>
      <w:r>
        <w:rPr>
          <w:rFonts w:hint="eastAsia"/>
          <w:color w:val="auto"/>
          <w:szCs w:val="20"/>
          <w:highlight w:val="none"/>
          <w:u w:val="single"/>
        </w:rPr>
        <w:t xml:space="preserve">   </w:t>
      </w:r>
      <w:r>
        <w:rPr>
          <w:rFonts w:hint="eastAsia"/>
          <w:color w:val="auto"/>
          <w:szCs w:val="20"/>
          <w:highlight w:val="none"/>
        </w:rPr>
        <w:t>份（包含按“第三章 供应商须知”提交的全部文件）；商务</w:t>
      </w:r>
      <w:r>
        <w:rPr>
          <w:rFonts w:hint="eastAsia" w:hAnsi="宋体"/>
          <w:color w:val="auto"/>
          <w:szCs w:val="20"/>
          <w:highlight w:val="none"/>
        </w:rPr>
        <w:t>文件</w:t>
      </w:r>
      <w:r>
        <w:rPr>
          <w:rFonts w:hint="eastAsia"/>
          <w:color w:val="auto"/>
          <w:szCs w:val="20"/>
          <w:highlight w:val="none"/>
        </w:rPr>
        <w:t>电子版</w:t>
      </w:r>
      <w:r>
        <w:rPr>
          <w:rFonts w:hint="eastAsia"/>
          <w:color w:val="auto"/>
          <w:szCs w:val="20"/>
          <w:highlight w:val="none"/>
          <w:u w:val="single"/>
        </w:rPr>
        <w:t xml:space="preserve">   </w:t>
      </w:r>
      <w:r>
        <w:rPr>
          <w:rFonts w:hint="eastAsia"/>
          <w:color w:val="auto"/>
          <w:szCs w:val="20"/>
          <w:highlight w:val="none"/>
        </w:rPr>
        <w:t>份（包含按“第三章 供应商须知”提交的全部文件）；（商务技术文件已合并装订成册）；</w:t>
      </w:r>
    </w:p>
    <w:p w14:paraId="562F803D">
      <w:pPr>
        <w:pStyle w:val="14"/>
        <w:spacing w:line="360" w:lineRule="auto"/>
        <w:ind w:firstLine="400" w:firstLineChars="200"/>
        <w:rPr>
          <w:rFonts w:hint="eastAsia"/>
          <w:color w:val="auto"/>
          <w:szCs w:val="20"/>
          <w:highlight w:val="none"/>
        </w:rPr>
      </w:pPr>
      <w:r>
        <w:rPr>
          <w:rFonts w:hint="eastAsia"/>
          <w:color w:val="auto"/>
          <w:szCs w:val="20"/>
          <w:highlight w:val="none"/>
        </w:rPr>
        <w:t>三、资格证明文件电子版（包含按“第三章供应商须知”提交的全部文件）；</w:t>
      </w:r>
    </w:p>
    <w:p w14:paraId="4677F93C">
      <w:pPr>
        <w:pStyle w:val="14"/>
        <w:spacing w:line="360" w:lineRule="auto"/>
        <w:ind w:firstLine="400" w:firstLineChars="200"/>
        <w:rPr>
          <w:rFonts w:ascii="Times New Roman" w:hAnsi="Times New Roman"/>
          <w:color w:val="auto"/>
          <w:szCs w:val="20"/>
          <w:highlight w:val="none"/>
        </w:rPr>
      </w:pPr>
      <w:r>
        <w:rPr>
          <w:rFonts w:hint="eastAsia"/>
          <w:color w:val="auto"/>
          <w:szCs w:val="20"/>
          <w:highlight w:val="none"/>
        </w:rPr>
        <w:t>据此函，签字人兹宣布：</w:t>
      </w:r>
    </w:p>
    <w:p w14:paraId="5D52AA34">
      <w:pPr>
        <w:pStyle w:val="14"/>
        <w:spacing w:line="360" w:lineRule="auto"/>
        <w:ind w:firstLine="482"/>
        <w:rPr>
          <w:rFonts w:ascii="Times New Roman" w:hAnsi="Times New Roman"/>
          <w:color w:val="auto"/>
          <w:szCs w:val="20"/>
          <w:highlight w:val="none"/>
        </w:rPr>
      </w:pPr>
      <w:r>
        <w:rPr>
          <w:rFonts w:hint="eastAsia"/>
          <w:color w:val="auto"/>
          <w:szCs w:val="20"/>
          <w:highlight w:val="none"/>
        </w:rPr>
        <w:t>1、我方愿意以（大写）人民币</w:t>
      </w:r>
      <w:r>
        <w:rPr>
          <w:rFonts w:hint="eastAsia"/>
          <w:color w:val="auto"/>
          <w:szCs w:val="20"/>
          <w:highlight w:val="none"/>
          <w:u w:val="single"/>
        </w:rPr>
        <w:t xml:space="preserve">              </w:t>
      </w:r>
      <w:r>
        <w:rPr>
          <w:rFonts w:hint="eastAsia"/>
          <w:color w:val="auto"/>
          <w:szCs w:val="20"/>
          <w:highlight w:val="none"/>
        </w:rPr>
        <w:t>（￥</w:t>
      </w:r>
      <w:r>
        <w:rPr>
          <w:rFonts w:hint="eastAsia"/>
          <w:color w:val="auto"/>
          <w:szCs w:val="20"/>
          <w:highlight w:val="none"/>
          <w:u w:val="single"/>
        </w:rPr>
        <w:t xml:space="preserve">          </w:t>
      </w:r>
      <w:r>
        <w:rPr>
          <w:rFonts w:hint="eastAsia"/>
          <w:color w:val="auto"/>
          <w:szCs w:val="20"/>
          <w:highlight w:val="none"/>
        </w:rPr>
        <w:t>元)的竞标总报价，合同履行期（工期）（无分标时填写）：</w:t>
      </w:r>
      <w:r>
        <w:rPr>
          <w:rFonts w:hint="eastAsia"/>
          <w:color w:val="auto"/>
          <w:szCs w:val="20"/>
          <w:highlight w:val="none"/>
          <w:u w:val="single"/>
        </w:rPr>
        <w:t xml:space="preserve">            </w:t>
      </w:r>
      <w:r>
        <w:rPr>
          <w:rFonts w:hint="eastAsia"/>
          <w:color w:val="auto"/>
          <w:szCs w:val="20"/>
          <w:highlight w:val="none"/>
        </w:rPr>
        <w:t>，提供本项目竞争性磋商采购文件第二章“采购需求一览表”中相应的采购内容。</w:t>
      </w:r>
    </w:p>
    <w:p w14:paraId="489AB96F">
      <w:pPr>
        <w:pStyle w:val="14"/>
        <w:spacing w:line="360" w:lineRule="auto"/>
        <w:ind w:firstLine="482"/>
        <w:rPr>
          <w:rFonts w:ascii="Times New Roman" w:hAnsi="Times New Roman"/>
          <w:color w:val="auto"/>
          <w:szCs w:val="20"/>
          <w:highlight w:val="none"/>
        </w:rPr>
      </w:pPr>
      <w:r>
        <w:rPr>
          <w:rFonts w:hint="eastAsia"/>
          <w:color w:val="auto"/>
          <w:szCs w:val="20"/>
          <w:highlight w:val="none"/>
        </w:rPr>
        <w:t>其中（有分标时填写）：</w:t>
      </w:r>
    </w:p>
    <w:p w14:paraId="12171D9D">
      <w:pPr>
        <w:pStyle w:val="14"/>
        <w:spacing w:line="360" w:lineRule="auto"/>
        <w:ind w:firstLine="482"/>
        <w:rPr>
          <w:rFonts w:ascii="Times New Roman" w:hAnsi="Times New Roman"/>
          <w:color w:val="auto"/>
          <w:szCs w:val="20"/>
          <w:highlight w:val="none"/>
        </w:rPr>
      </w:pPr>
      <w:r>
        <w:rPr>
          <w:rFonts w:hint="eastAsia"/>
          <w:color w:val="auto"/>
          <w:szCs w:val="20"/>
          <w:highlight w:val="none"/>
          <w:u w:val="single"/>
        </w:rPr>
        <w:t xml:space="preserve">    </w:t>
      </w:r>
      <w:r>
        <w:rPr>
          <w:rFonts w:hint="eastAsia"/>
          <w:color w:val="auto"/>
          <w:szCs w:val="20"/>
          <w:highlight w:val="none"/>
        </w:rPr>
        <w:t>分标报价为（大写）人民币</w:t>
      </w:r>
      <w:r>
        <w:rPr>
          <w:rFonts w:hint="eastAsia"/>
          <w:color w:val="auto"/>
          <w:szCs w:val="20"/>
          <w:highlight w:val="none"/>
          <w:u w:val="single"/>
        </w:rPr>
        <w:t xml:space="preserve">               </w:t>
      </w:r>
      <w:r>
        <w:rPr>
          <w:rFonts w:hint="eastAsia"/>
          <w:color w:val="auto"/>
          <w:szCs w:val="20"/>
          <w:highlight w:val="none"/>
        </w:rPr>
        <w:t xml:space="preserve"> (￥</w:t>
      </w:r>
      <w:r>
        <w:rPr>
          <w:rFonts w:hint="eastAsia"/>
          <w:color w:val="auto"/>
          <w:szCs w:val="20"/>
          <w:highlight w:val="none"/>
          <w:u w:val="single"/>
        </w:rPr>
        <w:t xml:space="preserve">           </w:t>
      </w:r>
      <w:r>
        <w:rPr>
          <w:rFonts w:hint="eastAsia"/>
          <w:color w:val="auto"/>
          <w:szCs w:val="20"/>
          <w:highlight w:val="none"/>
        </w:rPr>
        <w:t>元)，合同履行期（工期）：</w:t>
      </w:r>
      <w:r>
        <w:rPr>
          <w:rFonts w:hint="eastAsia"/>
          <w:color w:val="auto"/>
          <w:szCs w:val="20"/>
          <w:highlight w:val="none"/>
          <w:u w:val="single"/>
        </w:rPr>
        <w:t xml:space="preserve">          </w:t>
      </w:r>
      <w:r>
        <w:rPr>
          <w:rFonts w:hint="eastAsia"/>
          <w:color w:val="auto"/>
          <w:szCs w:val="20"/>
          <w:highlight w:val="none"/>
        </w:rPr>
        <w:t>；</w:t>
      </w:r>
    </w:p>
    <w:p w14:paraId="47CCB4A4">
      <w:pPr>
        <w:pStyle w:val="14"/>
        <w:spacing w:line="360" w:lineRule="auto"/>
        <w:ind w:firstLine="482"/>
        <w:rPr>
          <w:rFonts w:ascii="Times New Roman" w:hAnsi="Times New Roman"/>
          <w:color w:val="auto"/>
          <w:szCs w:val="20"/>
          <w:highlight w:val="none"/>
        </w:rPr>
      </w:pPr>
      <w:r>
        <w:rPr>
          <w:rFonts w:hint="eastAsia"/>
          <w:color w:val="auto"/>
          <w:szCs w:val="20"/>
          <w:highlight w:val="none"/>
          <w:u w:val="single"/>
        </w:rPr>
        <w:t xml:space="preserve">    </w:t>
      </w:r>
      <w:r>
        <w:rPr>
          <w:rFonts w:hint="eastAsia"/>
          <w:color w:val="auto"/>
          <w:szCs w:val="20"/>
          <w:highlight w:val="none"/>
        </w:rPr>
        <w:t>分标报价为（大写）人民币</w:t>
      </w:r>
      <w:r>
        <w:rPr>
          <w:rFonts w:hint="eastAsia"/>
          <w:color w:val="auto"/>
          <w:szCs w:val="20"/>
          <w:highlight w:val="none"/>
          <w:u w:val="single"/>
        </w:rPr>
        <w:t xml:space="preserve">               </w:t>
      </w:r>
      <w:r>
        <w:rPr>
          <w:rFonts w:hint="eastAsia"/>
          <w:color w:val="auto"/>
          <w:szCs w:val="20"/>
          <w:highlight w:val="none"/>
        </w:rPr>
        <w:t xml:space="preserve"> (￥</w:t>
      </w:r>
      <w:r>
        <w:rPr>
          <w:rFonts w:hint="eastAsia"/>
          <w:color w:val="auto"/>
          <w:szCs w:val="20"/>
          <w:highlight w:val="none"/>
          <w:u w:val="single"/>
        </w:rPr>
        <w:t xml:space="preserve">           </w:t>
      </w:r>
      <w:r>
        <w:rPr>
          <w:rFonts w:hint="eastAsia"/>
          <w:color w:val="auto"/>
          <w:szCs w:val="20"/>
          <w:highlight w:val="none"/>
        </w:rPr>
        <w:t>元)，合同履行期（工期）：</w:t>
      </w:r>
      <w:r>
        <w:rPr>
          <w:rFonts w:hint="eastAsia"/>
          <w:color w:val="auto"/>
          <w:szCs w:val="20"/>
          <w:highlight w:val="none"/>
          <w:u w:val="single"/>
        </w:rPr>
        <w:t xml:space="preserve">          </w:t>
      </w:r>
      <w:r>
        <w:rPr>
          <w:rFonts w:hint="eastAsia"/>
          <w:color w:val="auto"/>
          <w:szCs w:val="20"/>
          <w:highlight w:val="none"/>
        </w:rPr>
        <w:t>；</w:t>
      </w:r>
    </w:p>
    <w:p w14:paraId="790341A6">
      <w:pPr>
        <w:pStyle w:val="14"/>
        <w:spacing w:line="360" w:lineRule="auto"/>
        <w:ind w:firstLine="482"/>
        <w:rPr>
          <w:rFonts w:ascii="Times New Roman" w:hAnsi="Times New Roman"/>
          <w:color w:val="auto"/>
          <w:szCs w:val="20"/>
          <w:highlight w:val="none"/>
        </w:rPr>
      </w:pPr>
      <w:r>
        <w:rPr>
          <w:rFonts w:hint="eastAsia"/>
          <w:color w:val="auto"/>
          <w:szCs w:val="20"/>
          <w:highlight w:val="none"/>
        </w:rPr>
        <w:t>......</w:t>
      </w:r>
    </w:p>
    <w:p w14:paraId="0DE6A41C">
      <w:pPr>
        <w:pStyle w:val="14"/>
        <w:spacing w:line="360" w:lineRule="auto"/>
        <w:ind w:firstLine="482"/>
        <w:rPr>
          <w:color w:val="auto"/>
          <w:szCs w:val="20"/>
          <w:highlight w:val="none"/>
        </w:rPr>
      </w:pPr>
      <w:r>
        <w:rPr>
          <w:rFonts w:hint="eastAsia"/>
          <w:color w:val="auto"/>
          <w:szCs w:val="20"/>
          <w:highlight w:val="none"/>
        </w:rPr>
        <w:t>2、我方同意自本项目竞争性磋商采购文件采购公告规定的递交响应文件截止时间起遵循</w:t>
      </w:r>
      <w:r>
        <w:rPr>
          <w:rFonts w:hint="eastAsia" w:hAnsi="宋体"/>
          <w:color w:val="auto"/>
          <w:szCs w:val="20"/>
          <w:highlight w:val="none"/>
        </w:rPr>
        <w:t>本响应函</w:t>
      </w:r>
      <w:r>
        <w:rPr>
          <w:rFonts w:hint="eastAsia"/>
          <w:color w:val="auto"/>
          <w:szCs w:val="20"/>
          <w:highlight w:val="none"/>
        </w:rPr>
        <w:t>，并承诺在“第三章 供应商须知”规定的响应有效期内不修改、撤销响应文件。</w:t>
      </w:r>
    </w:p>
    <w:p w14:paraId="453D7C3E">
      <w:pPr>
        <w:pStyle w:val="14"/>
        <w:spacing w:line="360" w:lineRule="auto"/>
        <w:ind w:firstLine="482"/>
        <w:rPr>
          <w:rFonts w:hint="eastAsia"/>
          <w:color w:val="auto"/>
          <w:szCs w:val="20"/>
          <w:highlight w:val="none"/>
        </w:rPr>
      </w:pPr>
      <w:r>
        <w:rPr>
          <w:rFonts w:hint="eastAsia"/>
          <w:color w:val="auto"/>
          <w:szCs w:val="20"/>
          <w:highlight w:val="none"/>
        </w:rPr>
        <w:t>3、我方在此声明，所递交的响应文件及有关资料内容完整、真实和准确。</w:t>
      </w:r>
    </w:p>
    <w:p w14:paraId="7FFB70A6">
      <w:pPr>
        <w:pStyle w:val="14"/>
        <w:spacing w:line="360" w:lineRule="auto"/>
        <w:ind w:firstLine="482"/>
        <w:rPr>
          <w:rFonts w:hint="eastAsia"/>
          <w:color w:val="auto"/>
          <w:szCs w:val="20"/>
          <w:highlight w:val="none"/>
        </w:rPr>
      </w:pPr>
      <w:r>
        <w:rPr>
          <w:rFonts w:hint="eastAsia"/>
          <w:color w:val="auto"/>
          <w:szCs w:val="20"/>
          <w:highlight w:val="none"/>
        </w:rPr>
        <w:t>4、如本项目采购内容涉及须符合国家强制规定的，我方承诺我方本次竞标均符合国家有关强制规定。</w:t>
      </w:r>
    </w:p>
    <w:p w14:paraId="1132CEB2">
      <w:pPr>
        <w:pStyle w:val="14"/>
        <w:spacing w:line="360" w:lineRule="auto"/>
        <w:ind w:firstLine="482"/>
        <w:rPr>
          <w:rFonts w:hint="eastAsia"/>
          <w:color w:val="auto"/>
          <w:szCs w:val="20"/>
          <w:highlight w:val="none"/>
        </w:rPr>
      </w:pPr>
      <w:r>
        <w:rPr>
          <w:rFonts w:hint="eastAsia"/>
          <w:color w:val="auto"/>
          <w:szCs w:val="20"/>
          <w:highlight w:val="none"/>
        </w:rPr>
        <w:t>5、如我方成交，我方承诺在收到成交通知书后，在成交通知书规定的期限内，</w:t>
      </w:r>
      <w:r>
        <w:rPr>
          <w:rFonts w:hint="eastAsia" w:hAnsi="宋体"/>
          <w:color w:val="auto"/>
          <w:szCs w:val="20"/>
          <w:highlight w:val="none"/>
        </w:rPr>
        <w:t>根据竞争性磋商采购文件、我方的响应文件及有关澄清承诺书的要求按第六章“合同文本”与采购人订立书面合同，并按照合同约定</w:t>
      </w:r>
      <w:r>
        <w:rPr>
          <w:rFonts w:hint="eastAsia"/>
          <w:color w:val="auto"/>
          <w:szCs w:val="20"/>
          <w:highlight w:val="none"/>
        </w:rPr>
        <w:t>承担完成合同的责任和义务。</w:t>
      </w:r>
    </w:p>
    <w:p w14:paraId="054E5E98">
      <w:pPr>
        <w:pStyle w:val="14"/>
        <w:spacing w:line="360" w:lineRule="auto"/>
        <w:ind w:firstLine="482"/>
        <w:rPr>
          <w:rFonts w:hint="eastAsia"/>
          <w:color w:val="auto"/>
          <w:szCs w:val="20"/>
          <w:highlight w:val="none"/>
        </w:rPr>
      </w:pPr>
      <w:r>
        <w:rPr>
          <w:rFonts w:hint="eastAsia"/>
          <w:color w:val="auto"/>
          <w:szCs w:val="20"/>
          <w:highlight w:val="none"/>
        </w:rPr>
        <w:t>6、我方已详细审核竞争性磋商采购文件，我方知道必须放弃提出含糊不清或误解问题的权利。</w:t>
      </w:r>
    </w:p>
    <w:p w14:paraId="33E970DC">
      <w:pPr>
        <w:pStyle w:val="14"/>
        <w:spacing w:line="360" w:lineRule="auto"/>
        <w:ind w:firstLine="482"/>
        <w:rPr>
          <w:rFonts w:hint="eastAsia"/>
          <w:color w:val="auto"/>
          <w:szCs w:val="20"/>
          <w:highlight w:val="none"/>
        </w:rPr>
      </w:pPr>
      <w:r>
        <w:rPr>
          <w:rFonts w:hint="eastAsia"/>
          <w:color w:val="auto"/>
          <w:szCs w:val="20"/>
          <w:highlight w:val="none"/>
        </w:rPr>
        <w:t>7、我方承诺满足竞争性磋商采购文件</w:t>
      </w:r>
      <w:r>
        <w:rPr>
          <w:rFonts w:hint="eastAsia" w:hAnsi="宋体"/>
          <w:color w:val="auto"/>
          <w:szCs w:val="20"/>
          <w:highlight w:val="none"/>
        </w:rPr>
        <w:t>第六章“合同文本”</w:t>
      </w:r>
      <w:r>
        <w:rPr>
          <w:rFonts w:hint="eastAsia"/>
          <w:color w:val="auto"/>
          <w:szCs w:val="20"/>
          <w:highlight w:val="none"/>
        </w:rPr>
        <w:t>的条款，承担完成合同的责任和义务。</w:t>
      </w:r>
    </w:p>
    <w:p w14:paraId="28731D09">
      <w:pPr>
        <w:pStyle w:val="14"/>
        <w:spacing w:line="360" w:lineRule="auto"/>
        <w:ind w:firstLine="482"/>
        <w:rPr>
          <w:rFonts w:hint="eastAsia"/>
          <w:color w:val="auto"/>
          <w:szCs w:val="20"/>
          <w:highlight w:val="none"/>
        </w:rPr>
      </w:pPr>
      <w:r>
        <w:rPr>
          <w:rFonts w:hint="eastAsia"/>
          <w:color w:val="auto"/>
          <w:szCs w:val="20"/>
          <w:highlight w:val="none"/>
        </w:rPr>
        <w:t>8、我方同意应贵方要求提供与本竞标有关的任何数据或资料。若贵方需要，我方愿意提供我方作出的一切承诺的证明材料。</w:t>
      </w:r>
    </w:p>
    <w:p w14:paraId="3DCC038F">
      <w:pPr>
        <w:pStyle w:val="14"/>
        <w:spacing w:line="360" w:lineRule="auto"/>
        <w:ind w:firstLine="482"/>
        <w:rPr>
          <w:rFonts w:hint="eastAsia"/>
          <w:color w:val="auto"/>
          <w:szCs w:val="20"/>
          <w:highlight w:val="none"/>
        </w:rPr>
      </w:pPr>
      <w:r>
        <w:rPr>
          <w:rFonts w:hint="eastAsia"/>
          <w:color w:val="auto"/>
          <w:szCs w:val="20"/>
          <w:highlight w:val="none"/>
        </w:rPr>
        <w:t>9、我方完全理解贵方不一定接受响应报价最低的竞标人为成交供应商的行为。</w:t>
      </w:r>
    </w:p>
    <w:p w14:paraId="31F530A1">
      <w:pPr>
        <w:pStyle w:val="14"/>
        <w:spacing w:line="360" w:lineRule="auto"/>
        <w:ind w:firstLine="482"/>
        <w:rPr>
          <w:rFonts w:hint="eastAsia"/>
          <w:color w:val="auto"/>
          <w:szCs w:val="20"/>
          <w:highlight w:val="none"/>
        </w:rPr>
      </w:pPr>
      <w:r>
        <w:rPr>
          <w:rFonts w:hint="eastAsia"/>
          <w:color w:val="auto"/>
          <w:szCs w:val="20"/>
          <w:highlight w:val="none"/>
        </w:rPr>
        <w:t>10、我方将严格遵守《中华人民共和国政府采购法》第七十七条的规定，即供应商有下列情形之一的，处以采购金额千分之五以上千分之十</w:t>
      </w:r>
      <w:r>
        <w:rPr>
          <w:rFonts w:hint="eastAsia" w:hAnsi="宋体"/>
          <w:color w:val="auto"/>
          <w:szCs w:val="20"/>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5FE2C247">
      <w:pPr>
        <w:pStyle w:val="14"/>
        <w:numPr>
          <w:ilvl w:val="0"/>
          <w:numId w:val="3"/>
        </w:numPr>
        <w:tabs>
          <w:tab w:val="left" w:pos="945"/>
        </w:tabs>
        <w:spacing w:line="360" w:lineRule="auto"/>
        <w:rPr>
          <w:rFonts w:hint="eastAsia" w:hAnsi="宋体"/>
          <w:color w:val="auto"/>
          <w:szCs w:val="20"/>
          <w:highlight w:val="none"/>
        </w:rPr>
      </w:pPr>
      <w:r>
        <w:rPr>
          <w:rFonts w:hint="eastAsia" w:hAnsi="宋体"/>
          <w:color w:val="auto"/>
          <w:szCs w:val="20"/>
          <w:highlight w:val="none"/>
        </w:rPr>
        <w:t>提供虚假材料谋取中标、成交的；</w:t>
      </w:r>
    </w:p>
    <w:p w14:paraId="19A564F0">
      <w:pPr>
        <w:pStyle w:val="14"/>
        <w:numPr>
          <w:ilvl w:val="0"/>
          <w:numId w:val="3"/>
        </w:numPr>
        <w:tabs>
          <w:tab w:val="left" w:pos="945"/>
        </w:tabs>
        <w:spacing w:line="360" w:lineRule="auto"/>
        <w:rPr>
          <w:rFonts w:hint="eastAsia" w:hAnsi="宋体"/>
          <w:color w:val="auto"/>
          <w:szCs w:val="20"/>
          <w:highlight w:val="none"/>
        </w:rPr>
      </w:pPr>
      <w:r>
        <w:rPr>
          <w:rFonts w:hint="eastAsia" w:hAnsi="宋体"/>
          <w:color w:val="auto"/>
          <w:szCs w:val="20"/>
          <w:highlight w:val="none"/>
        </w:rPr>
        <w:t>采取不正当手段诋毁、排挤其他供应商的；</w:t>
      </w:r>
    </w:p>
    <w:p w14:paraId="76543C14">
      <w:pPr>
        <w:pStyle w:val="14"/>
        <w:numPr>
          <w:ilvl w:val="0"/>
          <w:numId w:val="3"/>
        </w:numPr>
        <w:tabs>
          <w:tab w:val="left" w:pos="945"/>
        </w:tabs>
        <w:spacing w:line="360" w:lineRule="auto"/>
        <w:rPr>
          <w:rFonts w:hint="eastAsia"/>
          <w:color w:val="auto"/>
          <w:szCs w:val="20"/>
          <w:highlight w:val="none"/>
        </w:rPr>
      </w:pPr>
      <w:r>
        <w:rPr>
          <w:rFonts w:hint="eastAsia" w:hAnsi="宋体"/>
          <w:color w:val="auto"/>
          <w:szCs w:val="20"/>
          <w:highlight w:val="none"/>
        </w:rPr>
        <w:t>与采购人、其他供应商或者采购代理机构恶意串通的；</w:t>
      </w:r>
    </w:p>
    <w:p w14:paraId="006B0804">
      <w:pPr>
        <w:pStyle w:val="14"/>
        <w:numPr>
          <w:ilvl w:val="0"/>
          <w:numId w:val="3"/>
        </w:numPr>
        <w:tabs>
          <w:tab w:val="left" w:pos="945"/>
        </w:tabs>
        <w:spacing w:line="360" w:lineRule="auto"/>
        <w:rPr>
          <w:rFonts w:hint="eastAsia"/>
          <w:color w:val="auto"/>
          <w:szCs w:val="20"/>
          <w:highlight w:val="none"/>
        </w:rPr>
      </w:pPr>
      <w:r>
        <w:rPr>
          <w:rFonts w:hint="eastAsia" w:hAnsi="宋体"/>
          <w:color w:val="auto"/>
          <w:szCs w:val="20"/>
          <w:highlight w:val="none"/>
        </w:rPr>
        <w:t>向采购人、采购代理机构行贿或者提供其他不正当利益的；</w:t>
      </w:r>
    </w:p>
    <w:p w14:paraId="085740F7">
      <w:pPr>
        <w:pStyle w:val="14"/>
        <w:numPr>
          <w:ilvl w:val="0"/>
          <w:numId w:val="3"/>
        </w:numPr>
        <w:tabs>
          <w:tab w:val="left" w:pos="945"/>
        </w:tabs>
        <w:spacing w:line="360" w:lineRule="auto"/>
        <w:rPr>
          <w:rFonts w:hint="eastAsia"/>
          <w:color w:val="auto"/>
          <w:szCs w:val="20"/>
          <w:highlight w:val="none"/>
        </w:rPr>
      </w:pPr>
      <w:r>
        <w:rPr>
          <w:rFonts w:hint="eastAsia" w:hAnsi="宋体"/>
          <w:color w:val="auto"/>
          <w:szCs w:val="20"/>
          <w:highlight w:val="none"/>
        </w:rPr>
        <w:t>在采购过程中与采购人进行协商谈判的；</w:t>
      </w:r>
    </w:p>
    <w:p w14:paraId="19FE21F0">
      <w:pPr>
        <w:pStyle w:val="14"/>
        <w:numPr>
          <w:ilvl w:val="0"/>
          <w:numId w:val="3"/>
        </w:numPr>
        <w:tabs>
          <w:tab w:val="left" w:pos="945"/>
        </w:tabs>
        <w:spacing w:line="360" w:lineRule="auto"/>
        <w:rPr>
          <w:rFonts w:hint="eastAsia"/>
          <w:color w:val="auto"/>
          <w:szCs w:val="20"/>
          <w:highlight w:val="none"/>
        </w:rPr>
      </w:pPr>
      <w:r>
        <w:rPr>
          <w:rFonts w:hint="eastAsia" w:hAnsi="宋体"/>
          <w:color w:val="auto"/>
          <w:szCs w:val="20"/>
          <w:highlight w:val="none"/>
        </w:rPr>
        <w:t>拒绝有关部门监督检查或提供虚假情况的。</w:t>
      </w:r>
    </w:p>
    <w:p w14:paraId="569839C0">
      <w:pPr>
        <w:pStyle w:val="14"/>
        <w:spacing w:line="360" w:lineRule="auto"/>
        <w:ind w:firstLine="420"/>
        <w:rPr>
          <w:rFonts w:hint="eastAsia"/>
          <w:color w:val="auto"/>
          <w:szCs w:val="20"/>
          <w:highlight w:val="none"/>
        </w:rPr>
      </w:pPr>
      <w:r>
        <w:rPr>
          <w:rFonts w:hint="eastAsia" w:hAnsi="宋体" w:cs="宋体"/>
          <w:color w:val="auto"/>
          <w:szCs w:val="20"/>
          <w:highlight w:val="none"/>
        </w:rPr>
        <w:t>11.与本磋商有关的一切正式往来信函请寄</w:t>
      </w:r>
      <w:r>
        <w:rPr>
          <w:rFonts w:hint="eastAsia"/>
          <w:color w:val="auto"/>
          <w:szCs w:val="20"/>
          <w:highlight w:val="none"/>
        </w:rPr>
        <w:t>：</w:t>
      </w:r>
    </w:p>
    <w:p w14:paraId="439D89A0">
      <w:pPr>
        <w:pStyle w:val="14"/>
        <w:spacing w:line="360" w:lineRule="auto"/>
        <w:ind w:firstLine="420"/>
        <w:rPr>
          <w:rFonts w:hint="eastAsia"/>
          <w:color w:val="auto"/>
          <w:szCs w:val="20"/>
          <w:highlight w:val="none"/>
        </w:rPr>
      </w:pPr>
      <w:r>
        <w:rPr>
          <w:rFonts w:hint="eastAsia"/>
          <w:color w:val="auto"/>
          <w:szCs w:val="20"/>
          <w:highlight w:val="none"/>
        </w:rPr>
        <w:t>地址：</w:t>
      </w:r>
      <w:r>
        <w:rPr>
          <w:rFonts w:hint="eastAsia"/>
          <w:color w:val="auto"/>
          <w:szCs w:val="20"/>
          <w:highlight w:val="none"/>
          <w:u w:val="single"/>
        </w:rPr>
        <w:t xml:space="preserve">                                                        </w:t>
      </w:r>
      <w:r>
        <w:rPr>
          <w:rFonts w:hint="eastAsia"/>
          <w:color w:val="auto"/>
          <w:szCs w:val="20"/>
          <w:highlight w:val="none"/>
        </w:rPr>
        <w:t xml:space="preserve"> </w:t>
      </w:r>
    </w:p>
    <w:p w14:paraId="48F36CC7">
      <w:pPr>
        <w:pStyle w:val="14"/>
        <w:spacing w:line="360" w:lineRule="auto"/>
        <w:ind w:firstLine="420"/>
        <w:rPr>
          <w:rFonts w:hint="eastAsia"/>
          <w:color w:val="auto"/>
          <w:szCs w:val="20"/>
          <w:highlight w:val="none"/>
          <w:u w:val="single"/>
        </w:rPr>
      </w:pPr>
      <w:r>
        <w:rPr>
          <w:rFonts w:hint="eastAsia"/>
          <w:color w:val="auto"/>
          <w:szCs w:val="20"/>
          <w:highlight w:val="none"/>
        </w:rPr>
        <w:t>电话：</w:t>
      </w:r>
      <w:r>
        <w:rPr>
          <w:rFonts w:hint="eastAsia"/>
          <w:color w:val="auto"/>
          <w:szCs w:val="20"/>
          <w:highlight w:val="none"/>
          <w:u w:val="single"/>
        </w:rPr>
        <w:t xml:space="preserve">                                      　　　　　　　　　</w:t>
      </w:r>
    </w:p>
    <w:p w14:paraId="01B6A62E">
      <w:pPr>
        <w:pStyle w:val="14"/>
        <w:spacing w:line="360" w:lineRule="auto"/>
        <w:ind w:firstLine="420"/>
        <w:rPr>
          <w:rFonts w:hint="eastAsia"/>
          <w:color w:val="auto"/>
          <w:szCs w:val="20"/>
          <w:highlight w:val="none"/>
        </w:rPr>
      </w:pPr>
      <w:r>
        <w:rPr>
          <w:rFonts w:hint="eastAsia"/>
          <w:color w:val="auto"/>
          <w:szCs w:val="20"/>
          <w:highlight w:val="none"/>
        </w:rPr>
        <w:t>传真：</w:t>
      </w:r>
      <w:r>
        <w:rPr>
          <w:rFonts w:hint="eastAsia"/>
          <w:color w:val="auto"/>
          <w:szCs w:val="20"/>
          <w:highlight w:val="none"/>
          <w:u w:val="single"/>
        </w:rPr>
        <w:t>　　　　　　　　　　　　　　　　　　　　　　　　　　　　</w:t>
      </w:r>
    </w:p>
    <w:p w14:paraId="3F4FD5FC">
      <w:pPr>
        <w:pStyle w:val="14"/>
        <w:spacing w:line="360" w:lineRule="auto"/>
        <w:ind w:firstLine="420"/>
        <w:rPr>
          <w:rFonts w:hint="eastAsia"/>
          <w:color w:val="auto"/>
          <w:szCs w:val="20"/>
          <w:highlight w:val="none"/>
          <w:u w:val="single"/>
        </w:rPr>
      </w:pPr>
      <w:r>
        <w:rPr>
          <w:rFonts w:hint="eastAsia"/>
          <w:color w:val="auto"/>
          <w:szCs w:val="20"/>
          <w:highlight w:val="none"/>
        </w:rPr>
        <w:t>邮政编码：</w:t>
      </w:r>
      <w:r>
        <w:rPr>
          <w:rFonts w:hint="eastAsia"/>
          <w:color w:val="auto"/>
          <w:szCs w:val="20"/>
          <w:highlight w:val="none"/>
          <w:u w:val="single"/>
        </w:rPr>
        <w:t xml:space="preserve">                                                    </w:t>
      </w:r>
    </w:p>
    <w:p w14:paraId="2EAE05AA">
      <w:pPr>
        <w:pStyle w:val="14"/>
        <w:spacing w:line="360" w:lineRule="auto"/>
        <w:ind w:firstLine="420"/>
        <w:rPr>
          <w:rFonts w:hint="eastAsia"/>
          <w:color w:val="auto"/>
          <w:szCs w:val="20"/>
          <w:highlight w:val="none"/>
          <w:u w:val="single"/>
        </w:rPr>
      </w:pPr>
      <w:r>
        <w:rPr>
          <w:rFonts w:hint="eastAsia"/>
          <w:color w:val="auto"/>
          <w:szCs w:val="20"/>
          <w:highlight w:val="none"/>
        </w:rPr>
        <w:t>开户名称：</w:t>
      </w:r>
      <w:r>
        <w:rPr>
          <w:rFonts w:hint="eastAsia"/>
          <w:color w:val="auto"/>
          <w:szCs w:val="20"/>
          <w:highlight w:val="none"/>
          <w:u w:val="single"/>
        </w:rPr>
        <w:t xml:space="preserve">                                                    </w:t>
      </w:r>
    </w:p>
    <w:p w14:paraId="2809014A">
      <w:pPr>
        <w:pStyle w:val="14"/>
        <w:spacing w:line="360" w:lineRule="auto"/>
        <w:ind w:firstLine="420"/>
        <w:rPr>
          <w:rFonts w:hint="eastAsia"/>
          <w:color w:val="auto"/>
          <w:szCs w:val="20"/>
          <w:highlight w:val="none"/>
          <w:u w:val="single"/>
        </w:rPr>
      </w:pPr>
      <w:r>
        <w:rPr>
          <w:rFonts w:hint="eastAsia"/>
          <w:color w:val="auto"/>
          <w:szCs w:val="20"/>
          <w:highlight w:val="none"/>
        </w:rPr>
        <w:t>开户银行：</w:t>
      </w:r>
      <w:r>
        <w:rPr>
          <w:rFonts w:hint="eastAsia"/>
          <w:color w:val="auto"/>
          <w:szCs w:val="20"/>
          <w:highlight w:val="none"/>
          <w:u w:val="single"/>
        </w:rPr>
        <w:t xml:space="preserve">                                                    </w:t>
      </w:r>
    </w:p>
    <w:p w14:paraId="03072081">
      <w:pPr>
        <w:pStyle w:val="14"/>
        <w:spacing w:line="360" w:lineRule="auto"/>
        <w:ind w:firstLine="420"/>
        <w:rPr>
          <w:rFonts w:hint="eastAsia"/>
          <w:color w:val="auto"/>
          <w:szCs w:val="20"/>
          <w:highlight w:val="none"/>
          <w:u w:val="single"/>
        </w:rPr>
      </w:pPr>
      <w:r>
        <w:rPr>
          <w:rFonts w:hint="eastAsia"/>
          <w:color w:val="auto"/>
          <w:szCs w:val="20"/>
          <w:highlight w:val="none"/>
        </w:rPr>
        <w:t>银行账号：</w:t>
      </w:r>
      <w:r>
        <w:rPr>
          <w:rFonts w:hint="eastAsia"/>
          <w:color w:val="auto"/>
          <w:szCs w:val="20"/>
          <w:highlight w:val="none"/>
          <w:u w:val="single"/>
        </w:rPr>
        <w:t xml:space="preserve">                                                    </w:t>
      </w:r>
    </w:p>
    <w:p w14:paraId="557BA7D3">
      <w:pPr>
        <w:pStyle w:val="12"/>
        <w:tabs>
          <w:tab w:val="left" w:pos="939"/>
        </w:tabs>
        <w:spacing w:line="360" w:lineRule="auto"/>
        <w:ind w:left="141" w:leftChars="67" w:firstLine="300" w:firstLineChars="150"/>
        <w:rPr>
          <w:rFonts w:hint="eastAsia" w:ascii="宋体" w:hAnsi="宋体" w:cs="宋体"/>
          <w:color w:val="auto"/>
          <w:sz w:val="20"/>
          <w:szCs w:val="20"/>
          <w:highlight w:val="none"/>
        </w:rPr>
      </w:pPr>
      <w:r>
        <w:rPr>
          <w:rFonts w:hint="eastAsia" w:ascii="宋体" w:hAnsi="宋体" w:cs="宋体"/>
          <w:color w:val="auto"/>
          <w:sz w:val="20"/>
          <w:szCs w:val="20"/>
          <w:highlight w:val="none"/>
        </w:rPr>
        <w:t>特此承诺。</w:t>
      </w:r>
    </w:p>
    <w:p w14:paraId="68FD9850">
      <w:pPr>
        <w:spacing w:line="360" w:lineRule="auto"/>
        <w:jc w:val="left"/>
        <w:rPr>
          <w:rFonts w:hint="eastAsia" w:ascii="宋体" w:hAnsi="宋体" w:cs="宋体"/>
          <w:color w:val="auto"/>
          <w:szCs w:val="21"/>
          <w:highlight w:val="none"/>
        </w:rPr>
      </w:pPr>
    </w:p>
    <w:p w14:paraId="5076AA04">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A079084">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sectPr>
          <w:pgSz w:w="11905" w:h="16838"/>
          <w:pgMar w:top="958" w:right="1440" w:bottom="958" w:left="1587" w:header="850" w:footer="992" w:gutter="0"/>
          <w:pgNumType w:fmt="decimal"/>
          <w:cols w:space="720" w:num="1"/>
          <w:rtlGutter w:val="0"/>
          <w:docGrid w:type="lines" w:linePitch="317" w:charSpace="0"/>
        </w:sectPr>
      </w:pPr>
      <w:r>
        <w:rPr>
          <w:rFonts w:hint="eastAsia" w:ascii="仿宋_GB2312" w:hAnsi="仿宋" w:eastAsia="仿宋_GB2312" w:cs="仿宋_GB2312"/>
          <w:color w:val="auto"/>
          <w:kern w:val="0"/>
          <w:sz w:val="24"/>
          <w:highlight w:val="none"/>
          <w:lang w:val="zh-CN"/>
        </w:rPr>
        <w:t>日期：  年  月   日</w:t>
      </w:r>
    </w:p>
    <w:p w14:paraId="79BC47F2">
      <w:pPr>
        <w:spacing w:line="520" w:lineRule="exact"/>
        <w:rPr>
          <w:rFonts w:hint="eastAsia" w:ascii="宋体" w:hAnsi="宋体"/>
          <w:b/>
          <w:bCs/>
          <w:color w:val="auto"/>
          <w:sz w:val="32"/>
          <w:szCs w:val="32"/>
          <w:highlight w:val="none"/>
        </w:rPr>
      </w:pPr>
      <w:r>
        <w:rPr>
          <w:rFonts w:hint="eastAsia" w:ascii="宋体" w:hAnsi="宋体"/>
          <w:b/>
          <w:bCs/>
          <w:color w:val="auto"/>
          <w:sz w:val="32"/>
          <w:szCs w:val="32"/>
          <w:highlight w:val="none"/>
        </w:rPr>
        <w:t>二、响应报价表</w:t>
      </w:r>
    </w:p>
    <w:p w14:paraId="194ED317">
      <w:pPr>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项目编号：</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分标：</w:t>
      </w:r>
      <w:r>
        <w:rPr>
          <w:rFonts w:hint="eastAsia" w:ascii="宋体" w:hAnsi="宋体"/>
          <w:color w:val="auto"/>
          <w:sz w:val="24"/>
          <w:highlight w:val="none"/>
          <w:u w:val="single"/>
        </w:rPr>
        <w:t xml:space="preserve">           </w:t>
      </w:r>
    </w:p>
    <w:p w14:paraId="28C537BD">
      <w:pPr>
        <w:snapToGrid w:val="0"/>
        <w:spacing w:before="50" w:after="50" w:line="360" w:lineRule="auto"/>
        <w:rPr>
          <w:rFonts w:hint="eastAsia" w:ascii="宋体" w:hAnsi="宋体"/>
          <w:color w:val="auto"/>
          <w:sz w:val="24"/>
          <w:highlight w:val="none"/>
          <w:u w:val="single"/>
        </w:rPr>
      </w:pPr>
      <w:r>
        <w:rPr>
          <w:rFonts w:hint="eastAsia" w:hAnsi="宋体"/>
          <w:color w:val="auto"/>
          <w:sz w:val="24"/>
          <w:highlight w:val="none"/>
        </w:rPr>
        <w:t>供应商名称：</w:t>
      </w:r>
      <w:r>
        <w:rPr>
          <w:rFonts w:hAnsi="宋体"/>
          <w:color w:val="auto"/>
          <w:sz w:val="24"/>
          <w:highlight w:val="none"/>
          <w:u w:val="single"/>
        </w:rPr>
        <w:t xml:space="preserve">                     </w:t>
      </w:r>
      <w:r>
        <w:rPr>
          <w:rFonts w:hAnsi="宋体"/>
          <w:color w:val="auto"/>
          <w:sz w:val="24"/>
          <w:highlight w:val="none"/>
        </w:rPr>
        <w:t xml:space="preserve">  </w:t>
      </w:r>
      <w:r>
        <w:rPr>
          <w:rFonts w:hint="eastAsia" w:ascii="宋体" w:hAnsi="宋体" w:cs="仿宋_GB2312"/>
          <w:color w:val="auto"/>
          <w:sz w:val="24"/>
          <w:highlight w:val="non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9"/>
        <w:gridCol w:w="2063"/>
        <w:gridCol w:w="1080"/>
        <w:gridCol w:w="1260"/>
        <w:gridCol w:w="1516"/>
        <w:gridCol w:w="957"/>
        <w:gridCol w:w="957"/>
      </w:tblGrid>
      <w:tr w14:paraId="24DC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75A6DEFE">
            <w:pPr>
              <w:rPr>
                <w:rFonts w:hint="eastAsia" w:ascii="宋体" w:hAnsi="宋体"/>
                <w:color w:val="auto"/>
                <w:szCs w:val="22"/>
                <w:highlight w:val="none"/>
              </w:rPr>
            </w:pPr>
            <w:r>
              <w:rPr>
                <w:rFonts w:hint="eastAsia" w:ascii="宋体" w:hAnsi="宋体"/>
                <w:color w:val="auto"/>
                <w:szCs w:val="22"/>
                <w:highlight w:val="none"/>
              </w:rPr>
              <w:t>序号</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7E4596EA">
            <w:pPr>
              <w:rPr>
                <w:rFonts w:hint="eastAsia" w:ascii="宋体" w:hAnsi="宋体"/>
                <w:color w:val="auto"/>
                <w:szCs w:val="22"/>
                <w:highlight w:val="none"/>
              </w:rPr>
            </w:pPr>
            <w:r>
              <w:rPr>
                <w:rFonts w:hint="eastAsia" w:ascii="宋体" w:hAnsi="宋体"/>
                <w:color w:val="auto"/>
                <w:szCs w:val="22"/>
                <w:highlight w:val="none"/>
              </w:rPr>
              <w:t>项目名称</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3FA04C8A">
            <w:pPr>
              <w:jc w:val="center"/>
              <w:rPr>
                <w:rFonts w:hint="eastAsia" w:ascii="宋体" w:hAnsi="宋体"/>
                <w:color w:val="auto"/>
                <w:szCs w:val="22"/>
                <w:highlight w:val="none"/>
              </w:rPr>
            </w:pPr>
            <w:r>
              <w:rPr>
                <w:rFonts w:hint="eastAsia" w:ascii="宋体" w:hAnsi="宋体"/>
                <w:color w:val="auto"/>
                <w:szCs w:val="22"/>
                <w:highlight w:val="none"/>
              </w:rPr>
              <w:t>具体项目内容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301F0D">
            <w:pPr>
              <w:jc w:val="center"/>
              <w:rPr>
                <w:rFonts w:hint="eastAsia" w:ascii="宋体" w:hAnsi="宋体"/>
                <w:color w:val="auto"/>
                <w:szCs w:val="22"/>
                <w:highlight w:val="none"/>
              </w:rPr>
            </w:pPr>
            <w:r>
              <w:rPr>
                <w:rFonts w:hint="eastAsia" w:ascii="宋体" w:hAnsi="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1C6CE14">
            <w:pPr>
              <w:rPr>
                <w:rFonts w:hint="eastAsia" w:ascii="宋体" w:hAnsi="宋体"/>
                <w:color w:val="auto"/>
                <w:szCs w:val="22"/>
                <w:highlight w:val="none"/>
              </w:rPr>
            </w:pPr>
            <w:r>
              <w:rPr>
                <w:rFonts w:hint="eastAsia" w:ascii="宋体" w:hAnsi="宋体"/>
                <w:color w:val="auto"/>
                <w:szCs w:val="22"/>
                <w:highlight w:val="none"/>
              </w:rPr>
              <w:t>单价(元)②</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54EA195">
            <w:pPr>
              <w:rPr>
                <w:rFonts w:hint="eastAsia" w:ascii="宋体" w:hAnsi="宋体"/>
                <w:color w:val="auto"/>
                <w:szCs w:val="22"/>
                <w:highlight w:val="none"/>
              </w:rPr>
            </w:pPr>
            <w:r>
              <w:rPr>
                <w:rFonts w:hint="eastAsia" w:ascii="宋体" w:hAnsi="宋体"/>
                <w:color w:val="auto"/>
                <w:szCs w:val="22"/>
                <w:highlight w:val="none"/>
              </w:rPr>
              <w:t>单项合价（元）</w:t>
            </w:r>
          </w:p>
          <w:p w14:paraId="50F40BC6">
            <w:pPr>
              <w:rPr>
                <w:rFonts w:hint="eastAsia" w:ascii="宋体" w:hAnsi="宋体"/>
                <w:color w:val="auto"/>
                <w:szCs w:val="22"/>
                <w:highlight w:val="none"/>
              </w:rPr>
            </w:pPr>
            <w:r>
              <w:rPr>
                <w:rFonts w:hint="eastAsia" w:ascii="宋体" w:hAnsi="宋体"/>
                <w:color w:val="auto"/>
                <w:szCs w:val="22"/>
                <w:highlight w:val="none"/>
              </w:rPr>
              <w:t>③＝①×②</w:t>
            </w:r>
          </w:p>
        </w:tc>
        <w:tc>
          <w:tcPr>
            <w:tcW w:w="957" w:type="dxa"/>
            <w:tcBorders>
              <w:top w:val="single" w:color="auto" w:sz="4" w:space="0"/>
              <w:left w:val="single" w:color="auto" w:sz="4" w:space="0"/>
              <w:bottom w:val="single" w:color="auto" w:sz="4" w:space="0"/>
              <w:right w:val="single" w:color="auto" w:sz="4" w:space="0"/>
            </w:tcBorders>
            <w:noWrap w:val="0"/>
            <w:vAlign w:val="top"/>
          </w:tcPr>
          <w:p w14:paraId="5BADDE4D">
            <w:pPr>
              <w:spacing w:line="360" w:lineRule="auto"/>
              <w:jc w:val="center"/>
              <w:rPr>
                <w:rFonts w:hint="eastAsia" w:ascii="宋体" w:hAnsi="宋体"/>
                <w:color w:val="auto"/>
                <w:szCs w:val="22"/>
                <w:highlight w:val="none"/>
              </w:rPr>
            </w:pPr>
            <w:r>
              <w:rPr>
                <w:rFonts w:hint="eastAsia" w:ascii="宋体" w:hAnsi="宋体"/>
                <w:color w:val="auto"/>
                <w:szCs w:val="22"/>
                <w:highlight w:val="none"/>
              </w:rPr>
              <w:t>工期要求（年限）</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213F9B14">
            <w:pPr>
              <w:rPr>
                <w:rFonts w:hint="eastAsia" w:ascii="宋体" w:hAnsi="宋体"/>
                <w:color w:val="auto"/>
                <w:szCs w:val="22"/>
                <w:highlight w:val="none"/>
              </w:rPr>
            </w:pPr>
            <w:r>
              <w:rPr>
                <w:rFonts w:hint="eastAsia" w:ascii="宋体" w:hAnsi="宋体"/>
                <w:color w:val="auto"/>
                <w:szCs w:val="22"/>
                <w:highlight w:val="none"/>
              </w:rPr>
              <w:t>备注</w:t>
            </w:r>
          </w:p>
        </w:tc>
      </w:tr>
      <w:tr w14:paraId="6562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5EDD86CC">
            <w:pPr>
              <w:rPr>
                <w:rFonts w:hint="eastAsia" w:ascii="宋体" w:hAnsi="宋体"/>
                <w:color w:val="auto"/>
                <w:szCs w:val="22"/>
                <w:highlight w:val="none"/>
              </w:rPr>
            </w:pPr>
            <w:r>
              <w:rPr>
                <w:rFonts w:hint="eastAsia" w:ascii="宋体" w:hAnsi="宋体"/>
                <w:color w:val="auto"/>
                <w:szCs w:val="22"/>
                <w:highlight w:val="none"/>
              </w:rPr>
              <w:t>1</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487A3C96">
            <w:pPr>
              <w:rPr>
                <w:rFonts w:hint="eastAsia" w:ascii="宋体" w:hAnsi="宋体"/>
                <w:color w:val="auto"/>
                <w:szCs w:val="22"/>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center"/>
          </w:tcPr>
          <w:p w14:paraId="72270A9C">
            <w:pPr>
              <w:rPr>
                <w:rFonts w:hint="eastAsia" w:ascii="宋体" w:hAnsi="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1EF7AEE">
            <w:pPr>
              <w:rPr>
                <w:rFonts w:hint="eastAsia" w:ascii="宋体" w:hAnsi="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81EED5F">
            <w:pPr>
              <w:rPr>
                <w:rFonts w:hint="eastAsia" w:ascii="宋体" w:hAnsi="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6D764764">
            <w:pPr>
              <w:rPr>
                <w:rFonts w:hint="eastAsia" w:ascii="宋体" w:hAnsi="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4048B3B8">
            <w:pPr>
              <w:rPr>
                <w:rFonts w:hint="eastAsia" w:ascii="宋体" w:hAnsi="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25FF437C">
            <w:pPr>
              <w:rPr>
                <w:rFonts w:hint="eastAsia" w:ascii="宋体" w:hAnsi="宋体"/>
                <w:color w:val="auto"/>
                <w:szCs w:val="22"/>
                <w:highlight w:val="none"/>
              </w:rPr>
            </w:pPr>
          </w:p>
        </w:tc>
      </w:tr>
      <w:tr w14:paraId="6BB9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41A829F8">
            <w:pPr>
              <w:rPr>
                <w:rFonts w:hint="eastAsia" w:ascii="宋体" w:hAnsi="宋体"/>
                <w:color w:val="auto"/>
                <w:szCs w:val="22"/>
                <w:highlight w:val="none"/>
              </w:rPr>
            </w:pPr>
            <w:r>
              <w:rPr>
                <w:rFonts w:hint="eastAsia" w:ascii="宋体" w:hAnsi="宋体"/>
                <w:color w:val="auto"/>
                <w:szCs w:val="22"/>
                <w:highlight w:val="none"/>
              </w:rPr>
              <w:t>2</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6DEFE958">
            <w:pPr>
              <w:rPr>
                <w:rFonts w:hint="eastAsia" w:ascii="宋体" w:hAnsi="宋体"/>
                <w:color w:val="auto"/>
                <w:szCs w:val="22"/>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center"/>
          </w:tcPr>
          <w:p w14:paraId="1C5A3EDD">
            <w:pPr>
              <w:rPr>
                <w:rFonts w:hint="eastAsia" w:ascii="宋体" w:hAnsi="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6B2F232">
            <w:pPr>
              <w:rPr>
                <w:rFonts w:hint="eastAsia" w:ascii="宋体" w:hAnsi="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F5FF446">
            <w:pPr>
              <w:rPr>
                <w:rFonts w:hint="eastAsia" w:ascii="宋体" w:hAnsi="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6D733F07">
            <w:pPr>
              <w:rPr>
                <w:rFonts w:hint="eastAsia" w:ascii="宋体" w:hAnsi="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5DD56663">
            <w:pPr>
              <w:rPr>
                <w:rFonts w:hint="eastAsia" w:ascii="宋体" w:hAnsi="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199EFC73">
            <w:pPr>
              <w:rPr>
                <w:rFonts w:hint="eastAsia" w:ascii="宋体" w:hAnsi="宋体"/>
                <w:color w:val="auto"/>
                <w:szCs w:val="22"/>
                <w:highlight w:val="none"/>
              </w:rPr>
            </w:pPr>
          </w:p>
        </w:tc>
      </w:tr>
      <w:tr w14:paraId="5053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2530E976">
            <w:pPr>
              <w:rPr>
                <w:rFonts w:hint="eastAsia" w:ascii="宋体" w:hAnsi="宋体"/>
                <w:color w:val="auto"/>
                <w:szCs w:val="22"/>
                <w:highlight w:val="none"/>
              </w:rPr>
            </w:pPr>
            <w:r>
              <w:rPr>
                <w:rFonts w:hint="eastAsia" w:ascii="宋体" w:hAnsi="宋体"/>
                <w:color w:val="auto"/>
                <w:szCs w:val="22"/>
                <w:highlight w:val="none"/>
              </w:rPr>
              <w:t>...</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15DDF152">
            <w:pPr>
              <w:rPr>
                <w:rFonts w:hint="eastAsia" w:ascii="宋体" w:hAnsi="宋体"/>
                <w:color w:val="auto"/>
                <w:szCs w:val="22"/>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2AEF0BC">
            <w:pPr>
              <w:rPr>
                <w:rFonts w:hint="eastAsia" w:ascii="宋体" w:hAnsi="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C5B592">
            <w:pPr>
              <w:rPr>
                <w:rFonts w:hint="eastAsia" w:ascii="宋体" w:hAnsi="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8294E6D">
            <w:pPr>
              <w:rPr>
                <w:rFonts w:hint="eastAsia" w:ascii="宋体" w:hAnsi="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62E1625">
            <w:pPr>
              <w:rPr>
                <w:rFonts w:hint="eastAsia" w:ascii="宋体" w:hAnsi="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16ACA033">
            <w:pPr>
              <w:rPr>
                <w:rFonts w:hint="eastAsia" w:ascii="宋体" w:hAnsi="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464EFC14">
            <w:pPr>
              <w:rPr>
                <w:rFonts w:hint="eastAsia" w:ascii="宋体" w:hAnsi="宋体"/>
                <w:color w:val="auto"/>
                <w:szCs w:val="22"/>
                <w:highlight w:val="none"/>
              </w:rPr>
            </w:pPr>
          </w:p>
        </w:tc>
      </w:tr>
      <w:tr w14:paraId="0B36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7E70AE4C">
            <w:pPr>
              <w:rPr>
                <w:rFonts w:hint="eastAsia" w:ascii="宋体" w:hAnsi="宋体"/>
                <w:color w:val="auto"/>
                <w:szCs w:val="22"/>
                <w:highlight w:val="none"/>
              </w:rPr>
            </w:pPr>
            <w:r>
              <w:rPr>
                <w:rFonts w:hint="eastAsia" w:ascii="宋体" w:hAnsi="宋体"/>
                <w:color w:val="auto"/>
                <w:szCs w:val="22"/>
                <w:highlight w:val="none"/>
              </w:rPr>
              <w:t>报价合计（包含税费等所有费用）：（大写）人民币                                       （￥                元）</w:t>
            </w:r>
          </w:p>
        </w:tc>
      </w:tr>
      <w:tr w14:paraId="26A9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02FDC7BE">
            <w:pPr>
              <w:rPr>
                <w:rFonts w:hint="eastAsia" w:ascii="宋体" w:hAnsi="宋体"/>
                <w:color w:val="auto"/>
                <w:szCs w:val="22"/>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r w14:paraId="206E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0B083711">
            <w:pPr>
              <w:rPr>
                <w:rFonts w:hint="eastAsia" w:ascii="宋体" w:hAnsi="宋体"/>
                <w:color w:val="auto"/>
                <w:szCs w:val="22"/>
                <w:highlight w:val="none"/>
              </w:rPr>
            </w:pPr>
            <w:r>
              <w:rPr>
                <w:rFonts w:hint="eastAsia" w:ascii="宋体" w:hAnsi="宋体"/>
                <w:color w:val="auto"/>
                <w:szCs w:val="22"/>
                <w:highlight w:val="none"/>
              </w:rPr>
              <w:t>验收标准：</w:t>
            </w:r>
          </w:p>
        </w:tc>
      </w:tr>
      <w:tr w14:paraId="2920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56C5EE4A">
            <w:pPr>
              <w:rPr>
                <w:rFonts w:hint="eastAsia" w:ascii="宋体" w:hAnsi="宋体"/>
                <w:color w:val="auto"/>
                <w:szCs w:val="22"/>
                <w:highlight w:val="none"/>
              </w:rPr>
            </w:pPr>
            <w:r>
              <w:rPr>
                <w:rFonts w:hint="eastAsia" w:ascii="宋体" w:hAnsi="宋体"/>
                <w:color w:val="auto"/>
                <w:szCs w:val="22"/>
                <w:highlight w:val="none"/>
              </w:rPr>
              <w:t>合同履行期限（工期）：</w:t>
            </w:r>
          </w:p>
        </w:tc>
      </w:tr>
      <w:tr w14:paraId="370B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0A92028E">
            <w:pPr>
              <w:rPr>
                <w:rFonts w:hint="eastAsia" w:ascii="宋体" w:hAnsi="宋体"/>
                <w:color w:val="auto"/>
                <w:szCs w:val="22"/>
                <w:highlight w:val="none"/>
              </w:rPr>
            </w:pPr>
            <w:r>
              <w:rPr>
                <w:rFonts w:hint="eastAsia" w:ascii="宋体" w:hAnsi="宋体"/>
                <w:color w:val="auto"/>
                <w:szCs w:val="22"/>
                <w:highlight w:val="none"/>
              </w:rPr>
              <w:t>工程质量保修期：</w:t>
            </w:r>
          </w:p>
        </w:tc>
      </w:tr>
    </w:tbl>
    <w:p w14:paraId="713E13C7">
      <w:pPr>
        <w:snapToGrid w:val="0"/>
        <w:spacing w:before="50" w:after="50"/>
        <w:ind w:firstLine="480" w:firstLineChars="200"/>
        <w:jc w:val="left"/>
        <w:rPr>
          <w:rFonts w:hint="eastAsia" w:ascii="仿宋_GB2312" w:hAnsi="仿宋" w:eastAsia="仿宋_GB2312" w:cs="仿宋_GB2312"/>
          <w:color w:val="auto"/>
          <w:kern w:val="0"/>
          <w:sz w:val="24"/>
          <w:highlight w:val="none"/>
          <w:lang w:val="zh-CN"/>
        </w:rPr>
      </w:pPr>
    </w:p>
    <w:p w14:paraId="200421E2">
      <w:pPr>
        <w:snapToGrid w:val="0"/>
        <w:spacing w:before="50" w:after="50"/>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 xml:space="preserve">注： </w:t>
      </w:r>
    </w:p>
    <w:p w14:paraId="232A86B4">
      <w:pPr>
        <w:snapToGrid w:val="0"/>
        <w:spacing w:before="50" w:after="50"/>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1、 供应商需按本表格式填写，不得自行更改，也不得留空, 如有多分标，按分标分别提供响应报价表</w:t>
      </w:r>
      <w:r>
        <w:rPr>
          <w:rFonts w:hint="eastAsia" w:ascii="仿宋_GB2312" w:hAnsi="仿宋" w:eastAsia="仿宋_GB2312" w:cs="仿宋_GB2312"/>
          <w:b/>
          <w:color w:val="auto"/>
          <w:kern w:val="0"/>
          <w:sz w:val="24"/>
          <w:highlight w:val="none"/>
          <w:lang w:val="zh-CN"/>
        </w:rPr>
        <w:t>。</w:t>
      </w:r>
    </w:p>
    <w:p w14:paraId="75156E52">
      <w:pPr>
        <w:snapToGrid w:val="0"/>
        <w:spacing w:before="50" w:after="50"/>
        <w:ind w:firstLine="480" w:firstLineChars="200"/>
        <w:jc w:val="left"/>
        <w:rPr>
          <w:rFonts w:hint="eastAsia"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color w:val="auto"/>
          <w:kern w:val="0"/>
          <w:sz w:val="24"/>
          <w:highlight w:val="none"/>
          <w:lang w:val="zh-CN"/>
        </w:rPr>
        <w:t>否则其响应作无效响应处理。</w:t>
      </w:r>
    </w:p>
    <w:p w14:paraId="48E249D9">
      <w:pPr>
        <w:snapToGrid w:val="0"/>
        <w:spacing w:before="50" w:after="50"/>
        <w:ind w:firstLine="480" w:firstLineChars="200"/>
        <w:jc w:val="left"/>
        <w:rPr>
          <w:rFonts w:hint="eastAsia" w:ascii="仿宋_GB2312" w:hAnsi="仿宋" w:eastAsia="仿宋_GB2312" w:cs="仿宋_GB2312"/>
          <w:b/>
          <w:color w:val="auto"/>
          <w:kern w:val="0"/>
          <w:sz w:val="24"/>
          <w:highlight w:val="none"/>
          <w:lang w:val="zh-CN"/>
        </w:rPr>
      </w:pPr>
      <w:r>
        <w:rPr>
          <w:rFonts w:hint="eastAsia" w:ascii="仿宋_GB2312" w:hAnsi="仿宋" w:eastAsia="仿宋_GB2312" w:cs="仿宋_GB2312"/>
          <w:color w:val="auto"/>
          <w:kern w:val="0"/>
          <w:sz w:val="24"/>
          <w:highlight w:val="none"/>
          <w:lang w:val="zh-CN"/>
        </w:rPr>
        <w:t>3、以上表格要求细分项目及报价，在“具体服务内容”一栏中，填写具体服务范围、服务时间、服务标准，</w:t>
      </w:r>
      <w:r>
        <w:rPr>
          <w:rFonts w:hint="eastAsia" w:ascii="仿宋_GB2312" w:hAnsi="仿宋" w:eastAsia="仿宋_GB2312" w:cs="仿宋_GB2312"/>
          <w:b/>
          <w:color w:val="auto"/>
          <w:kern w:val="0"/>
          <w:sz w:val="24"/>
          <w:highlight w:val="none"/>
          <w:lang w:val="zh-CN"/>
        </w:rPr>
        <w:t>否则其响应作无效响应处理。</w:t>
      </w:r>
    </w:p>
    <w:p w14:paraId="13AFEC31">
      <w:pPr>
        <w:snapToGrid w:val="0"/>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4、特别提示：采购机构将对项目名称和项目编号，成交供应商名称、地址和成交金额，主要成交标的的名称、服务范围、服务要求、服务时间、服务标准等予以公示。</w:t>
      </w:r>
    </w:p>
    <w:p w14:paraId="704F7BCD">
      <w:pPr>
        <w:snapToGrid w:val="0"/>
        <w:ind w:firstLine="480" w:firstLineChars="200"/>
        <w:jc w:val="left"/>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szCs w:val="22"/>
          <w:highlight w:val="none"/>
          <w:lang w:val="zh-CN"/>
        </w:rPr>
        <w:t>5、</w:t>
      </w:r>
      <w:r>
        <w:rPr>
          <w:rFonts w:hint="eastAsia" w:ascii="仿宋_GB2312" w:hAnsi="仿宋" w:eastAsia="仿宋_GB2312" w:cs="仿宋_GB2312"/>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43E042FB">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p>
    <w:p w14:paraId="610C8D0D">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1FD984E">
      <w:pPr>
        <w:pStyle w:val="14"/>
        <w:spacing w:line="500" w:lineRule="exact"/>
        <w:ind w:firstLine="6360" w:firstLineChars="2650"/>
        <w:rPr>
          <w:rFonts w:hint="eastAsia" w:ascii="仿宋_GB2312" w:hAnsi="仿宋" w:eastAsia="仿宋_GB2312" w:cs="仿宋_GB2312"/>
          <w:color w:val="auto"/>
          <w:sz w:val="24"/>
          <w:highlight w:val="none"/>
          <w:lang w:val="zh-CN"/>
        </w:rPr>
      </w:pPr>
      <w:r>
        <w:rPr>
          <w:rFonts w:hint="eastAsia" w:ascii="仿宋_GB2312" w:hAnsi="仿宋" w:eastAsia="仿宋_GB2312" w:cs="仿宋_GB2312"/>
          <w:color w:val="auto"/>
          <w:sz w:val="24"/>
          <w:highlight w:val="none"/>
          <w:lang w:val="zh-CN"/>
        </w:rPr>
        <w:t>日期：  年  月   日</w:t>
      </w:r>
    </w:p>
    <w:p w14:paraId="03F4B397">
      <w:pPr>
        <w:widowControl/>
        <w:jc w:val="left"/>
        <w:rPr>
          <w:rFonts w:ascii="仿宋_GB2312" w:hAnsi="仿宋" w:eastAsia="仿宋_GB2312" w:cs="仿宋_GB2312"/>
          <w:color w:val="auto"/>
          <w:kern w:val="0"/>
          <w:sz w:val="24"/>
          <w:szCs w:val="21"/>
          <w:highlight w:val="none"/>
          <w:lang w:val="zh-CN"/>
        </w:rPr>
        <w:sectPr>
          <w:pgSz w:w="11905" w:h="16838"/>
          <w:pgMar w:top="958" w:right="1440" w:bottom="958" w:left="1587" w:header="850" w:footer="992" w:gutter="0"/>
          <w:pgNumType w:fmt="decimal"/>
          <w:cols w:space="720" w:num="1"/>
          <w:rtlGutter w:val="0"/>
          <w:docGrid w:type="lines" w:linePitch="317" w:charSpace="0"/>
        </w:sectPr>
      </w:pPr>
    </w:p>
    <w:p w14:paraId="0BF80D15">
      <w:pPr>
        <w:widowControl/>
        <w:jc w:val="left"/>
        <w:rPr>
          <w:rFonts w:hint="eastAsia" w:ascii="宋体" w:hAnsi="宋体" w:cs="宋体"/>
          <w:b/>
          <w:bCs/>
          <w:color w:val="auto"/>
          <w:kern w:val="0"/>
          <w:sz w:val="30"/>
          <w:szCs w:val="30"/>
          <w:highlight w:val="none"/>
          <w:lang w:bidi="ar"/>
        </w:rPr>
      </w:pPr>
    </w:p>
    <w:p w14:paraId="63232EBF">
      <w:pPr>
        <w:widowControl/>
        <w:jc w:val="left"/>
        <w:rPr>
          <w:rFonts w:hint="eastAsia" w:ascii="宋体" w:hAnsi="宋体" w:cs="宋体"/>
          <w:b/>
          <w:bCs/>
          <w:color w:val="auto"/>
          <w:kern w:val="0"/>
          <w:sz w:val="30"/>
          <w:szCs w:val="30"/>
          <w:highlight w:val="none"/>
          <w:lang w:bidi="ar"/>
        </w:rPr>
      </w:pPr>
      <w:r>
        <w:rPr>
          <w:rFonts w:hint="eastAsia" w:ascii="宋体" w:hAnsi="宋体" w:cs="宋体"/>
          <w:b/>
          <w:bCs/>
          <w:color w:val="auto"/>
          <w:kern w:val="0"/>
          <w:sz w:val="30"/>
          <w:szCs w:val="30"/>
          <w:highlight w:val="none"/>
          <w:lang w:eastAsia="zh-CN" w:bidi="ar"/>
        </w:rPr>
        <w:t>三</w:t>
      </w:r>
      <w:r>
        <w:rPr>
          <w:rFonts w:hint="eastAsia" w:ascii="宋体" w:hAnsi="宋体" w:cs="宋体"/>
          <w:b/>
          <w:bCs/>
          <w:color w:val="auto"/>
          <w:kern w:val="0"/>
          <w:sz w:val="30"/>
          <w:szCs w:val="30"/>
          <w:highlight w:val="none"/>
          <w:lang w:bidi="ar"/>
        </w:rPr>
        <w:t>、已标价工程量清单（格式自拟）</w:t>
      </w:r>
    </w:p>
    <w:p w14:paraId="1B98099A">
      <w:pPr>
        <w:widowControl/>
        <w:jc w:val="center"/>
        <w:rPr>
          <w:rFonts w:hint="eastAsia" w:ascii="宋体" w:hAnsi="宋体" w:cs="宋体"/>
          <w:b/>
          <w:bCs/>
          <w:color w:val="auto"/>
          <w:kern w:val="0"/>
          <w:sz w:val="30"/>
          <w:szCs w:val="30"/>
          <w:highlight w:val="none"/>
          <w:lang w:bidi="ar"/>
        </w:rPr>
      </w:pPr>
      <w:r>
        <w:rPr>
          <w:rFonts w:hint="eastAsia" w:ascii="仿宋_GB2312" w:hAnsi="仿宋" w:eastAsia="仿宋_GB2312" w:cs="仿宋_GB2312"/>
          <w:color w:val="auto"/>
          <w:sz w:val="24"/>
          <w:highlight w:val="none"/>
        </w:rPr>
        <w:t>（由供应商根据采购需求编制）</w:t>
      </w:r>
    </w:p>
    <w:p w14:paraId="43F863D4">
      <w:pPr>
        <w:widowControl/>
        <w:jc w:val="left"/>
        <w:rPr>
          <w:rFonts w:hint="eastAsia" w:ascii="宋体" w:hAnsi="宋体" w:cs="宋体"/>
          <w:b/>
          <w:bCs/>
          <w:color w:val="auto"/>
          <w:kern w:val="0"/>
          <w:sz w:val="30"/>
          <w:szCs w:val="30"/>
          <w:highlight w:val="none"/>
          <w:lang w:bidi="ar"/>
        </w:rPr>
      </w:pPr>
      <w:r>
        <w:rPr>
          <w:rFonts w:hint="eastAsia" w:ascii="仿宋_GB2312" w:hAnsi="仿宋" w:eastAsia="仿宋_GB2312" w:cs="仿宋_GB2312"/>
          <w:color w:val="auto"/>
          <w:sz w:val="24"/>
          <w:highlight w:val="none"/>
          <w:lang w:val="en-US" w:eastAsia="zh-CN"/>
        </w:rPr>
        <w:t xml:space="preserve">  本项目招标控制价中已包含安全文明施工措施费。根据《南宁市水利局关于印发南宁市水利工程安全文明施工措施费使用管理办法的通知（南水规〔2024〕1号），安全文明施工措施费作为不可竞争费，已按要求列明安全文明施工措施费项目清单及费用数额（工程量清单中的施工安全生产费70900.00元），供应商报价时不可更改此费用，并在响应时对此项费用数额作出响应承诺（承诺书格式详见响应文件格式）；项目实施过程中所发生的此项费用以合同约定和实际为准。</w:t>
      </w:r>
    </w:p>
    <w:p w14:paraId="4F8878CF">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BBF0E0E">
      <w:pPr>
        <w:autoSpaceDE w:val="0"/>
        <w:autoSpaceDN w:val="0"/>
        <w:spacing w:line="360" w:lineRule="auto"/>
        <w:ind w:firstLine="6480" w:firstLineChars="270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456EF76C">
      <w:pPr>
        <w:widowControl/>
        <w:jc w:val="left"/>
        <w:rPr>
          <w:rFonts w:hint="eastAsia" w:ascii="宋体" w:hAnsi="宋体" w:cs="宋体"/>
          <w:b/>
          <w:bCs/>
          <w:color w:val="auto"/>
          <w:kern w:val="0"/>
          <w:sz w:val="30"/>
          <w:szCs w:val="30"/>
          <w:highlight w:val="none"/>
          <w:lang w:bidi="ar"/>
        </w:rPr>
      </w:pPr>
      <w:r>
        <w:rPr>
          <w:rFonts w:hint="eastAsia" w:ascii="宋体" w:hAnsi="宋体" w:cs="宋体"/>
          <w:b/>
          <w:bCs/>
          <w:color w:val="auto"/>
          <w:kern w:val="0"/>
          <w:sz w:val="30"/>
          <w:szCs w:val="30"/>
          <w:highlight w:val="none"/>
          <w:lang w:val="en-US" w:eastAsia="zh-CN" w:bidi="ar"/>
        </w:rPr>
        <w:t>四、</w:t>
      </w:r>
      <w:r>
        <w:rPr>
          <w:rFonts w:hint="eastAsia" w:ascii="宋体" w:hAnsi="宋体" w:cs="宋体"/>
          <w:b/>
          <w:bCs/>
          <w:color w:val="auto"/>
          <w:kern w:val="0"/>
          <w:sz w:val="30"/>
          <w:szCs w:val="30"/>
          <w:highlight w:val="none"/>
          <w:lang w:bidi="ar"/>
        </w:rPr>
        <w:t>承诺书</w:t>
      </w:r>
      <w:bookmarkStart w:id="133" w:name="_GoBack"/>
      <w:bookmarkEnd w:id="133"/>
    </w:p>
    <w:p w14:paraId="26B019E8">
      <w:pPr>
        <w:widowControl/>
        <w:rPr>
          <w:rFonts w:hint="eastAsia" w:ascii="宋体" w:hAnsi="宋体" w:cs="宋体"/>
          <w:b/>
          <w:bCs/>
          <w:color w:val="auto"/>
          <w:kern w:val="0"/>
          <w:sz w:val="31"/>
          <w:szCs w:val="31"/>
          <w:highlight w:val="none"/>
          <w:lang w:bidi="ar"/>
        </w:rPr>
      </w:pPr>
    </w:p>
    <w:p w14:paraId="2E45369B">
      <w:pPr>
        <w:widowControl/>
        <w:jc w:val="center"/>
        <w:rPr>
          <w:rFonts w:hint="eastAsia" w:ascii="宋体" w:hAnsi="宋体" w:eastAsia="宋体" w:cs="宋体"/>
          <w:color w:val="auto"/>
          <w:kern w:val="0"/>
          <w:sz w:val="32"/>
          <w:szCs w:val="32"/>
          <w:highlight w:val="none"/>
          <w:u w:val="none"/>
          <w:lang w:val="en-US" w:eastAsia="zh-CN" w:bidi="ar"/>
        </w:rPr>
      </w:pPr>
      <w:r>
        <w:rPr>
          <w:rFonts w:hint="eastAsia" w:ascii="宋体" w:hAnsi="宋体" w:cs="宋体"/>
          <w:color w:val="auto"/>
          <w:kern w:val="0"/>
          <w:sz w:val="32"/>
          <w:szCs w:val="32"/>
          <w:highlight w:val="none"/>
          <w:u w:val="none"/>
          <w:lang w:val="en-US" w:eastAsia="zh-CN" w:bidi="ar"/>
        </w:rPr>
        <w:t>承诺书</w:t>
      </w:r>
    </w:p>
    <w:p w14:paraId="5E993B43">
      <w:pPr>
        <w:widowControl/>
        <w:jc w:val="left"/>
        <w:rPr>
          <w:rFonts w:hint="eastAsia" w:ascii="宋体" w:hAnsi="宋体" w:cs="宋体"/>
          <w:color w:val="auto"/>
          <w:kern w:val="0"/>
          <w:sz w:val="24"/>
          <w:highlight w:val="none"/>
          <w:u w:val="single"/>
          <w:lang w:bidi="ar"/>
        </w:rPr>
      </w:pPr>
    </w:p>
    <w:p w14:paraId="1136EAAC">
      <w:pPr>
        <w:widowControl/>
        <w:jc w:val="left"/>
        <w:rPr>
          <w:rFonts w:hint="eastAsia" w:ascii="宋体" w:hAnsi="宋体" w:cs="宋体"/>
          <w:color w:val="auto"/>
          <w:kern w:val="0"/>
          <w:sz w:val="24"/>
          <w:highlight w:val="none"/>
          <w:u w:val="single"/>
          <w:lang w:bidi="ar"/>
        </w:rPr>
      </w:pPr>
    </w:p>
    <w:p w14:paraId="02DED331">
      <w:pPr>
        <w:widowControl/>
        <w:jc w:val="left"/>
        <w:rPr>
          <w:rFonts w:hint="eastAsia" w:ascii="宋体" w:hAnsi="宋体" w:cs="宋体"/>
          <w:color w:val="auto"/>
          <w:kern w:val="0"/>
          <w:sz w:val="31"/>
          <w:szCs w:val="31"/>
          <w:highlight w:val="none"/>
          <w:lang w:bidi="ar"/>
        </w:rPr>
      </w:pPr>
      <w:r>
        <w:rPr>
          <w:rFonts w:hint="eastAsia" w:ascii="宋体" w:hAnsi="宋体" w:cs="宋体"/>
          <w:color w:val="auto"/>
          <w:kern w:val="0"/>
          <w:sz w:val="24"/>
          <w:highlight w:val="none"/>
          <w:u w:val="single"/>
          <w:lang w:bidi="ar"/>
        </w:rPr>
        <w:t xml:space="preserve">致：    （采购人）  </w:t>
      </w:r>
      <w:r>
        <w:rPr>
          <w:rFonts w:hint="eastAsia" w:ascii="宋体" w:hAnsi="宋体" w:cs="宋体"/>
          <w:color w:val="auto"/>
          <w:kern w:val="0"/>
          <w:sz w:val="31"/>
          <w:szCs w:val="31"/>
          <w:highlight w:val="none"/>
          <w:lang w:bidi="ar"/>
        </w:rPr>
        <w:t xml:space="preserve"> </w:t>
      </w:r>
    </w:p>
    <w:p w14:paraId="0D12975C">
      <w:pPr>
        <w:widowControl/>
        <w:jc w:val="left"/>
        <w:rPr>
          <w:rFonts w:hint="eastAsia" w:ascii="宋体" w:hAnsi="宋体" w:cs="宋体"/>
          <w:color w:val="auto"/>
          <w:kern w:val="0"/>
          <w:sz w:val="31"/>
          <w:szCs w:val="31"/>
          <w:highlight w:val="none"/>
          <w:lang w:bidi="ar"/>
        </w:rPr>
      </w:pPr>
    </w:p>
    <w:p w14:paraId="31C59939">
      <w:pPr>
        <w:widowControl/>
        <w:spacing w:line="600" w:lineRule="exact"/>
        <w:ind w:firstLine="480" w:firstLineChars="200"/>
        <w:jc w:val="left"/>
        <w:rPr>
          <w:rFonts w:hint="eastAsia" w:ascii="宋体" w:hAnsi="宋体" w:cs="宋体"/>
          <w:color w:val="auto"/>
          <w:kern w:val="0"/>
          <w:sz w:val="31"/>
          <w:szCs w:val="31"/>
          <w:highlight w:val="none"/>
          <w:lang w:bidi="ar"/>
        </w:rPr>
      </w:pPr>
      <w:r>
        <w:rPr>
          <w:rFonts w:hint="eastAsia" w:ascii="宋体" w:hAnsi="宋体" w:cs="宋体"/>
          <w:color w:val="auto"/>
          <w:kern w:val="0"/>
          <w:sz w:val="24"/>
          <w:highlight w:val="none"/>
          <w:lang w:bidi="ar"/>
        </w:rPr>
        <w:t>现承诺我单位在本项目的</w:t>
      </w:r>
      <w:r>
        <w:rPr>
          <w:rFonts w:hint="eastAsia" w:ascii="宋体" w:hAnsi="宋体" w:cs="宋体"/>
          <w:color w:val="auto"/>
          <w:kern w:val="0"/>
          <w:sz w:val="24"/>
          <w:highlight w:val="none"/>
          <w:lang w:val="en-US" w:eastAsia="zh-CN" w:bidi="ar"/>
        </w:rPr>
        <w:t>竞标</w:t>
      </w:r>
      <w:r>
        <w:rPr>
          <w:rFonts w:hint="eastAsia" w:ascii="宋体" w:hAnsi="宋体" w:cs="宋体"/>
          <w:color w:val="auto"/>
          <w:kern w:val="0"/>
          <w:sz w:val="24"/>
          <w:highlight w:val="none"/>
          <w:lang w:bidi="ar"/>
        </w:rPr>
        <w:t>中，遵循</w:t>
      </w:r>
      <w:r>
        <w:rPr>
          <w:rFonts w:hint="eastAsia" w:ascii="宋体" w:hAnsi="宋体" w:cs="宋体"/>
          <w:color w:val="auto"/>
          <w:kern w:val="0"/>
          <w:sz w:val="24"/>
          <w:highlight w:val="none"/>
          <w:lang w:val="en-US" w:eastAsia="zh-CN" w:bidi="ar"/>
        </w:rPr>
        <w:t>《南宁市水利局关于印发南宁市水利工程安全文明施工措施费使用管理办法的通知（南水规〔2024〕1号）</w:t>
      </w:r>
      <w:r>
        <w:rPr>
          <w:rFonts w:hint="eastAsia" w:ascii="宋体" w:hAnsi="宋体" w:cs="宋体"/>
          <w:color w:val="auto"/>
          <w:kern w:val="0"/>
          <w:sz w:val="24"/>
          <w:highlight w:val="none"/>
          <w:lang w:bidi="ar"/>
        </w:rPr>
        <w:t>的规定，对本项目列举的安全文明施工措施费总价及项目清单进行响应，如中标后按合同约定和实际为准。</w:t>
      </w:r>
      <w:r>
        <w:rPr>
          <w:rFonts w:hint="eastAsia" w:ascii="宋体" w:hAnsi="宋体" w:cs="宋体"/>
          <w:color w:val="auto"/>
          <w:kern w:val="0"/>
          <w:sz w:val="31"/>
          <w:szCs w:val="31"/>
          <w:highlight w:val="none"/>
          <w:lang w:bidi="ar"/>
        </w:rPr>
        <w:t xml:space="preserve"> </w:t>
      </w:r>
    </w:p>
    <w:p w14:paraId="2FA9C836">
      <w:pPr>
        <w:widowControl/>
        <w:ind w:firstLine="310" w:firstLineChars="100"/>
        <w:jc w:val="left"/>
        <w:rPr>
          <w:rFonts w:hint="eastAsia" w:ascii="宋体" w:hAnsi="宋体" w:cs="宋体"/>
          <w:color w:val="auto"/>
          <w:kern w:val="0"/>
          <w:sz w:val="31"/>
          <w:szCs w:val="31"/>
          <w:highlight w:val="none"/>
          <w:lang w:bidi="ar"/>
        </w:rPr>
      </w:pPr>
    </w:p>
    <w:p w14:paraId="0BE3E1E2">
      <w:pPr>
        <w:widowControl/>
        <w:spacing w:line="600" w:lineRule="exact"/>
        <w:ind w:firstLine="480" w:firstLineChars="200"/>
        <w:jc w:val="center"/>
        <w:rPr>
          <w:rFonts w:hint="eastAsia" w:ascii="宋体" w:hAnsi="宋体" w:cs="宋体"/>
          <w:color w:val="auto"/>
          <w:kern w:val="0"/>
          <w:sz w:val="24"/>
          <w:highlight w:val="none"/>
          <w:lang w:bidi="ar"/>
        </w:rPr>
      </w:pPr>
      <w:r>
        <w:rPr>
          <w:rFonts w:hint="eastAsia" w:ascii="宋体" w:hAnsi="宋体" w:cs="宋体"/>
          <w:color w:val="auto"/>
          <w:kern w:val="0"/>
          <w:sz w:val="24"/>
          <w:highlight w:val="none"/>
          <w:lang w:val="en-US" w:eastAsia="zh-CN" w:bidi="ar"/>
        </w:rPr>
        <w:t xml:space="preserve">          </w:t>
      </w:r>
      <w:r>
        <w:rPr>
          <w:rFonts w:hint="eastAsia" w:ascii="宋体" w:hAnsi="宋体" w:cs="宋体"/>
          <w:color w:val="auto"/>
          <w:kern w:val="0"/>
          <w:sz w:val="24"/>
          <w:highlight w:val="none"/>
          <w:lang w:bidi="ar"/>
        </w:rPr>
        <w:t xml:space="preserve">供应商名称（电子签章）： </w:t>
      </w:r>
    </w:p>
    <w:p w14:paraId="0F4F37C7">
      <w:pPr>
        <w:widowControl/>
        <w:spacing w:line="360" w:lineRule="auto"/>
        <w:jc w:val="center"/>
        <w:rPr>
          <w:rFonts w:hint="eastAsia" w:ascii="宋体" w:hAnsi="宋体" w:cs="宋体"/>
          <w:color w:val="auto"/>
          <w:kern w:val="0"/>
          <w:sz w:val="24"/>
          <w:highlight w:val="none"/>
          <w:lang w:val="en-US" w:eastAsia="zh-CN" w:bidi="ar"/>
        </w:rPr>
      </w:pPr>
      <w:r>
        <w:rPr>
          <w:rFonts w:hint="eastAsia" w:ascii="宋体" w:hAnsi="宋体" w:cs="宋体"/>
          <w:color w:val="auto"/>
          <w:kern w:val="0"/>
          <w:sz w:val="24"/>
          <w:highlight w:val="none"/>
          <w:lang w:val="en-US" w:eastAsia="zh-CN" w:bidi="ar"/>
        </w:rPr>
        <w:t xml:space="preserve">                                 </w:t>
      </w:r>
    </w:p>
    <w:p w14:paraId="3870EB70">
      <w:pPr>
        <w:widowControl/>
        <w:spacing w:line="360" w:lineRule="auto"/>
        <w:jc w:val="center"/>
        <w:rPr>
          <w:rFonts w:ascii="宋体" w:hAnsi="宋体"/>
          <w:b/>
          <w:bCs/>
          <w:color w:val="auto"/>
          <w:sz w:val="32"/>
          <w:szCs w:val="32"/>
          <w:highlight w:val="none"/>
        </w:rPr>
        <w:sectPr>
          <w:pgSz w:w="11910" w:h="16840"/>
          <w:pgMar w:top="1340" w:right="1500" w:bottom="280" w:left="1680" w:header="720" w:footer="720" w:gutter="0"/>
          <w:pgNumType w:fmt="decimal"/>
          <w:cols w:space="720" w:num="1"/>
        </w:sectPr>
      </w:pPr>
      <w:r>
        <w:rPr>
          <w:rFonts w:hint="eastAsia" w:ascii="宋体" w:hAnsi="宋体" w:cs="宋体"/>
          <w:color w:val="auto"/>
          <w:kern w:val="0"/>
          <w:sz w:val="24"/>
          <w:highlight w:val="none"/>
          <w:lang w:val="en-US" w:eastAsia="zh-CN" w:bidi="ar"/>
        </w:rPr>
        <w:t xml:space="preserve">                                             </w:t>
      </w:r>
      <w:r>
        <w:rPr>
          <w:rFonts w:hint="eastAsia" w:ascii="宋体" w:hAnsi="宋体" w:cs="宋体"/>
          <w:color w:val="auto"/>
          <w:kern w:val="0"/>
          <w:sz w:val="24"/>
          <w:highlight w:val="none"/>
          <w:lang w:bidi="ar"/>
        </w:rPr>
        <w:t>日期：  年  月  日</w:t>
      </w:r>
    </w:p>
    <w:p w14:paraId="16E1A47E">
      <w:pPr>
        <w:pStyle w:val="14"/>
        <w:spacing w:line="500" w:lineRule="exact"/>
        <w:ind w:firstLine="602" w:firstLineChars="200"/>
        <w:rPr>
          <w:rFonts w:hint="eastAsia" w:ascii="仿宋" w:hAnsi="仿宋" w:eastAsia="仿宋" w:cs="仿宋_GB2312"/>
          <w:b/>
          <w:color w:val="auto"/>
          <w:kern w:val="2"/>
          <w:sz w:val="30"/>
          <w:szCs w:val="30"/>
          <w:highlight w:val="none"/>
        </w:rPr>
      </w:pPr>
      <w:r>
        <w:rPr>
          <w:rFonts w:hint="eastAsia" w:ascii="仿宋" w:hAnsi="仿宋" w:eastAsia="仿宋" w:cs="仿宋_GB2312"/>
          <w:b/>
          <w:color w:val="auto"/>
          <w:kern w:val="2"/>
          <w:sz w:val="30"/>
          <w:szCs w:val="30"/>
          <w:highlight w:val="none"/>
          <w:lang w:val="en-US" w:eastAsia="zh-CN"/>
        </w:rPr>
        <w:t>五</w:t>
      </w:r>
      <w:r>
        <w:rPr>
          <w:rFonts w:hint="eastAsia" w:ascii="仿宋" w:hAnsi="仿宋" w:eastAsia="仿宋" w:cs="仿宋_GB2312"/>
          <w:b/>
          <w:color w:val="auto"/>
          <w:kern w:val="2"/>
          <w:sz w:val="30"/>
          <w:szCs w:val="30"/>
          <w:highlight w:val="none"/>
        </w:rPr>
        <w:t>、中小企业声明函</w:t>
      </w:r>
    </w:p>
    <w:p w14:paraId="13DD2335">
      <w:pPr>
        <w:spacing w:line="300" w:lineRule="auto"/>
        <w:ind w:firstLine="2200" w:firstLineChars="50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中小企业声明函（工程）</w:t>
      </w:r>
    </w:p>
    <w:p w14:paraId="22395ED5">
      <w:pPr>
        <w:pStyle w:val="9"/>
        <w:spacing w:after="0" w:line="360" w:lineRule="auto"/>
        <w:ind w:left="-426" w:right="142" w:firstLine="640"/>
        <w:contextualSpacing/>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本公司（联合体）郑重声明，根据《政府采购促进中小企业发展管理办法》（财库</w:t>
      </w:r>
      <w:r>
        <w:rPr>
          <w:rFonts w:hint="eastAsia" w:ascii="仿宋_GB2312" w:hAnsi="宋体"/>
          <w:color w:val="auto"/>
          <w:sz w:val="24"/>
          <w:highlight w:val="none"/>
        </w:rPr>
        <w:t>﹝</w:t>
      </w:r>
      <w:r>
        <w:rPr>
          <w:rFonts w:hint="eastAsia" w:ascii="仿宋_GB2312" w:hAnsi="宋体" w:eastAsia="仿宋_GB2312"/>
          <w:color w:val="auto"/>
          <w:sz w:val="24"/>
          <w:highlight w:val="none"/>
        </w:rPr>
        <w:t>2020</w:t>
      </w:r>
      <w:r>
        <w:rPr>
          <w:rFonts w:hint="eastAsia" w:ascii="仿宋_GB2312" w:hAnsi="宋体"/>
          <w:color w:val="auto"/>
          <w:sz w:val="24"/>
          <w:highlight w:val="none"/>
        </w:rPr>
        <w:t>﹞</w:t>
      </w:r>
      <w:r>
        <w:rPr>
          <w:rFonts w:hint="eastAsia" w:ascii="仿宋_GB2312" w:hAnsi="宋体" w:eastAsia="仿宋_GB2312"/>
          <w:color w:val="auto"/>
          <w:sz w:val="24"/>
          <w:highlight w:val="none"/>
        </w:rPr>
        <w:t>46号）的规定，本公司（联合体）参加</w:t>
      </w:r>
      <w:r>
        <w:rPr>
          <w:rFonts w:hint="eastAsia" w:ascii="仿宋_GB2312" w:hAnsi="宋体" w:eastAsia="仿宋_GB2312"/>
          <w:color w:val="auto"/>
          <w:sz w:val="24"/>
          <w:highlight w:val="none"/>
          <w:u w:val="single"/>
          <w:lang w:val="en-US" w:eastAsia="zh-CN"/>
        </w:rPr>
        <w:t xml:space="preserve">       </w:t>
      </w:r>
      <w:r>
        <w:rPr>
          <w:rFonts w:hint="eastAsia" w:ascii="仿宋_GB2312" w:hAnsi="宋体" w:eastAsia="仿宋_GB2312"/>
          <w:color w:val="auto"/>
          <w:sz w:val="24"/>
          <w:highlight w:val="none"/>
        </w:rPr>
        <w:t>的</w:t>
      </w:r>
      <w:r>
        <w:rPr>
          <w:rFonts w:hint="eastAsia" w:ascii="仿宋_GB2312" w:hAnsi="宋体" w:eastAsia="仿宋_GB2312"/>
          <w:color w:val="auto"/>
          <w:sz w:val="24"/>
          <w:highlight w:val="none"/>
          <w:u w:val="single"/>
          <w:lang w:val="en-US" w:eastAsia="zh-CN"/>
        </w:rPr>
        <w:t xml:space="preserve">    </w:t>
      </w:r>
      <w:r>
        <w:rPr>
          <w:rFonts w:hint="eastAsia" w:ascii="仿宋_GB2312" w:hAnsi="宋体" w:eastAsia="仿宋_GB2312"/>
          <w:color w:val="auto"/>
          <w:sz w:val="24"/>
          <w:highlight w:val="none"/>
        </w:rPr>
        <w:t>采购活动，提供的服务全部由符合政策要求的中小企业制造。相关企业（含联合体中的中小企业、签订分包意向协议的中小企业）的具体情况如下：</w:t>
      </w:r>
    </w:p>
    <w:p w14:paraId="3E081E1A">
      <w:pPr>
        <w:tabs>
          <w:tab w:val="left" w:pos="1384"/>
          <w:tab w:val="left" w:pos="4562"/>
          <w:tab w:val="left" w:pos="6803"/>
        </w:tabs>
        <w:spacing w:line="360" w:lineRule="auto"/>
        <w:ind w:left="-426" w:right="-58" w:firstLine="655"/>
        <w:contextualSpacing/>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1.</w:t>
      </w:r>
      <w:r>
        <w:rPr>
          <w:rFonts w:hint="eastAsia" w:ascii="仿宋_GB2312" w:hAnsi="宋体" w:eastAsia="仿宋_GB2312"/>
          <w:color w:val="auto"/>
          <w:sz w:val="24"/>
          <w:highlight w:val="none"/>
          <w:u w:val="single"/>
        </w:rPr>
        <w:t>（标的名称）</w:t>
      </w:r>
      <w:r>
        <w:rPr>
          <w:rFonts w:hint="eastAsia" w:ascii="仿宋_GB2312" w:hAnsi="宋体" w:eastAsia="仿宋_GB2312"/>
          <w:color w:val="auto"/>
          <w:sz w:val="24"/>
          <w:highlight w:val="none"/>
        </w:rPr>
        <w:t>，属于</w:t>
      </w:r>
      <w:r>
        <w:rPr>
          <w:rFonts w:hint="eastAsia" w:ascii="仿宋_GB2312" w:hAnsi="宋体" w:eastAsia="仿宋_GB2312"/>
          <w:color w:val="auto"/>
          <w:sz w:val="24"/>
          <w:highlight w:val="none"/>
          <w:u w:val="single"/>
        </w:rPr>
        <w:t>（采购文件中明确的所属行业）</w:t>
      </w:r>
      <w:r>
        <w:rPr>
          <w:rFonts w:hint="eastAsia" w:ascii="仿宋_GB2312" w:hAnsi="宋体" w:eastAsia="仿宋_GB2312"/>
          <w:color w:val="auto"/>
          <w:sz w:val="24"/>
          <w:highlight w:val="none"/>
        </w:rPr>
        <w:t>行业；承接（承建）企业为</w:t>
      </w:r>
      <w:r>
        <w:rPr>
          <w:rFonts w:hint="eastAsia" w:ascii="仿宋_GB2312" w:hAnsi="宋体" w:eastAsia="仿宋_GB2312"/>
          <w:color w:val="auto"/>
          <w:sz w:val="24"/>
          <w:highlight w:val="none"/>
          <w:u w:val="single"/>
        </w:rPr>
        <w:t>（企业名称）</w:t>
      </w:r>
      <w:r>
        <w:rPr>
          <w:rFonts w:hint="eastAsia" w:ascii="仿宋_GB2312" w:hAnsi="宋体" w:eastAsia="仿宋_GB2312"/>
          <w:color w:val="auto"/>
          <w:sz w:val="24"/>
          <w:highlight w:val="none"/>
        </w:rPr>
        <w:t>，从业人员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人，营业收入为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万元，资产总额为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万元，属于</w:t>
      </w:r>
      <w:r>
        <w:rPr>
          <w:rFonts w:hint="eastAsia" w:ascii="仿宋_GB2312" w:hAnsi="宋体" w:eastAsia="仿宋_GB2312"/>
          <w:color w:val="auto"/>
          <w:sz w:val="24"/>
          <w:highlight w:val="none"/>
          <w:u w:val="single"/>
        </w:rPr>
        <w:t>（中型企业、小型企业、微型企业）</w:t>
      </w:r>
      <w:r>
        <w:rPr>
          <w:rFonts w:hint="eastAsia" w:ascii="仿宋_GB2312" w:hAnsi="宋体" w:eastAsia="仿宋_GB2312"/>
          <w:color w:val="auto"/>
          <w:sz w:val="24"/>
          <w:highlight w:val="none"/>
        </w:rPr>
        <w:t>；</w:t>
      </w:r>
    </w:p>
    <w:p w14:paraId="7035428F">
      <w:pPr>
        <w:tabs>
          <w:tab w:val="left" w:pos="1065"/>
          <w:tab w:val="left" w:pos="6477"/>
        </w:tabs>
        <w:spacing w:line="360" w:lineRule="auto"/>
        <w:ind w:left="-426" w:right="-58" w:firstLine="655"/>
        <w:contextualSpacing/>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2.</w:t>
      </w:r>
      <w:r>
        <w:rPr>
          <w:rFonts w:hint="eastAsia" w:ascii="仿宋_GB2312" w:hAnsi="宋体" w:eastAsia="仿宋_GB2312"/>
          <w:color w:val="auto"/>
          <w:sz w:val="24"/>
          <w:highlight w:val="none"/>
          <w:u w:val="single"/>
        </w:rPr>
        <w:t>（标的名称）</w:t>
      </w:r>
      <w:r>
        <w:rPr>
          <w:rFonts w:hint="eastAsia" w:ascii="仿宋_GB2312" w:hAnsi="宋体" w:eastAsia="仿宋_GB2312"/>
          <w:color w:val="auto"/>
          <w:sz w:val="24"/>
          <w:highlight w:val="none"/>
        </w:rPr>
        <w:t>，属于</w:t>
      </w:r>
      <w:r>
        <w:rPr>
          <w:rFonts w:hint="eastAsia" w:ascii="仿宋_GB2312" w:hAnsi="宋体" w:eastAsia="仿宋_GB2312"/>
          <w:color w:val="auto"/>
          <w:sz w:val="24"/>
          <w:highlight w:val="none"/>
          <w:u w:val="single"/>
        </w:rPr>
        <w:t>（采购文件中明确的所属行业）</w:t>
      </w:r>
      <w:r>
        <w:rPr>
          <w:rFonts w:hint="eastAsia" w:ascii="仿宋_GB2312" w:hAnsi="宋体" w:eastAsia="仿宋_GB2312"/>
          <w:color w:val="auto"/>
          <w:sz w:val="24"/>
          <w:highlight w:val="none"/>
        </w:rPr>
        <w:t>行业；承接（承建）企业为</w:t>
      </w:r>
      <w:r>
        <w:rPr>
          <w:rFonts w:hint="eastAsia" w:ascii="仿宋_GB2312" w:hAnsi="宋体" w:eastAsia="仿宋_GB2312"/>
          <w:color w:val="auto"/>
          <w:sz w:val="24"/>
          <w:highlight w:val="none"/>
          <w:u w:val="single"/>
        </w:rPr>
        <w:t>（企业名称）</w:t>
      </w:r>
      <w:r>
        <w:rPr>
          <w:rFonts w:hint="eastAsia" w:ascii="仿宋_GB2312" w:hAnsi="宋体" w:eastAsia="仿宋_GB2312"/>
          <w:color w:val="auto"/>
          <w:sz w:val="24"/>
          <w:highlight w:val="none"/>
        </w:rPr>
        <w:t>，从业人员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人，营业收入为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万元，资产总额为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万元，属于</w:t>
      </w:r>
      <w:r>
        <w:rPr>
          <w:rFonts w:hint="eastAsia" w:ascii="仿宋_GB2312" w:hAnsi="宋体" w:eastAsia="仿宋_GB2312"/>
          <w:color w:val="auto"/>
          <w:sz w:val="24"/>
          <w:highlight w:val="none"/>
          <w:u w:val="single"/>
        </w:rPr>
        <w:t>（中型企业、小型企业、微型企业）</w:t>
      </w:r>
      <w:r>
        <w:rPr>
          <w:rFonts w:hint="eastAsia" w:ascii="仿宋_GB2312" w:hAnsi="宋体" w:eastAsia="仿宋_GB2312"/>
          <w:color w:val="auto"/>
          <w:sz w:val="24"/>
          <w:highlight w:val="none"/>
        </w:rPr>
        <w:t>；</w:t>
      </w:r>
    </w:p>
    <w:p w14:paraId="6543EB51">
      <w:pPr>
        <w:pStyle w:val="9"/>
        <w:spacing w:after="0" w:line="360" w:lineRule="auto"/>
        <w:ind w:left="142" w:right="142"/>
        <w:contextualSpacing/>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 xml:space="preserve">…… </w:t>
      </w:r>
    </w:p>
    <w:p w14:paraId="5DC66837">
      <w:pPr>
        <w:pStyle w:val="9"/>
        <w:spacing w:after="0" w:line="360" w:lineRule="auto"/>
        <w:ind w:left="-405" w:leftChars="-193" w:right="142" w:firstLine="453" w:firstLineChars="189"/>
        <w:contextualSpacing/>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以上企业，不属于大企业的分支机构，不存在控股股东为大企业的情形，也不存在与大企业的负责人为同一人的情形。</w:t>
      </w:r>
    </w:p>
    <w:p w14:paraId="2DD3C203">
      <w:pPr>
        <w:pStyle w:val="9"/>
        <w:spacing w:after="0" w:line="360" w:lineRule="auto"/>
        <w:ind w:left="-426" w:right="142" w:firstLine="567"/>
        <w:contextualSpacing/>
        <w:rPr>
          <w:rFonts w:hint="eastAsia" w:ascii="仿宋_GB2312" w:hAnsi="宋体" w:eastAsia="仿宋_GB2312"/>
          <w:color w:val="auto"/>
          <w:sz w:val="24"/>
          <w:highlight w:val="none"/>
        </w:rPr>
      </w:pPr>
      <w:r>
        <w:rPr>
          <w:rFonts w:hint="eastAsia" w:ascii="仿宋_GB2312" w:hAnsi="宋体" w:eastAsia="仿宋_GB2312"/>
          <w:color w:val="auto"/>
          <w:sz w:val="24"/>
          <w:highlight w:val="none"/>
        </w:rPr>
        <w:t>本企业对上述声明内容的真实性负责。如有虚假，将依法承担相应责任。</w:t>
      </w:r>
    </w:p>
    <w:p w14:paraId="0E9FA93B">
      <w:pPr>
        <w:pStyle w:val="9"/>
        <w:spacing w:after="0" w:line="360" w:lineRule="auto"/>
        <w:ind w:left="3960" w:right="1808"/>
        <w:contextualSpacing/>
        <w:rPr>
          <w:rFonts w:hint="eastAsia" w:ascii="宋体" w:hAnsi="宋体"/>
          <w:color w:val="auto"/>
          <w:sz w:val="24"/>
          <w:highlight w:val="none"/>
        </w:rPr>
      </w:pPr>
    </w:p>
    <w:p w14:paraId="70159B3A">
      <w:pPr>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6A50F3BF">
      <w:pPr>
        <w:autoSpaceDE w:val="0"/>
        <w:autoSpaceDN w:val="0"/>
        <w:spacing w:line="360" w:lineRule="auto"/>
        <w:ind w:firstLine="6480" w:firstLineChars="270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16169ACC">
      <w:pPr>
        <w:pStyle w:val="9"/>
        <w:spacing w:after="0" w:line="360" w:lineRule="auto"/>
        <w:ind w:left="3960" w:right="1808"/>
        <w:contextualSpacing/>
        <w:rPr>
          <w:rFonts w:hint="eastAsia"/>
          <w:color w:val="auto"/>
          <w:highlight w:val="none"/>
        </w:rPr>
      </w:pPr>
    </w:p>
    <w:p w14:paraId="01976AC8">
      <w:pPr>
        <w:spacing w:line="360" w:lineRule="auto"/>
        <w:jc w:val="left"/>
        <w:rPr>
          <w:rFonts w:ascii="仿宋_GB2312" w:hAnsi="仿宋" w:eastAsia="仿宋_GB2312" w:cs="仿宋_GB2312"/>
          <w:color w:val="auto"/>
          <w:kern w:val="0"/>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CF9A9C2">
      <w:pPr>
        <w:widowControl/>
        <w:spacing w:line="360" w:lineRule="auto"/>
        <w:jc w:val="left"/>
        <w:rPr>
          <w:rFonts w:ascii="宋体" w:hAnsi="宋体"/>
          <w:b/>
          <w:bCs/>
          <w:color w:val="auto"/>
          <w:sz w:val="32"/>
          <w:szCs w:val="32"/>
          <w:highlight w:val="none"/>
        </w:rPr>
        <w:sectPr>
          <w:pgSz w:w="11905" w:h="16838"/>
          <w:pgMar w:top="958" w:right="1440" w:bottom="958" w:left="1587" w:header="850" w:footer="992" w:gutter="0"/>
          <w:pgNumType w:fmt="decimal"/>
          <w:cols w:space="720" w:num="1"/>
          <w:rtlGutter w:val="0"/>
          <w:docGrid w:type="lines" w:linePitch="317" w:charSpace="0"/>
        </w:sectPr>
      </w:pPr>
    </w:p>
    <w:p w14:paraId="38311670">
      <w:pPr>
        <w:pStyle w:val="3"/>
        <w:jc w:val="center"/>
        <w:rPr>
          <w:rFonts w:hint="eastAsia" w:ascii="宋体" w:hAnsi="宋体" w:cs="宋体"/>
          <w:b w:val="0"/>
          <w:color w:val="auto"/>
          <w:highlight w:val="none"/>
        </w:rPr>
      </w:pPr>
      <w:bookmarkStart w:id="32" w:name="_Toc8309"/>
      <w:r>
        <w:rPr>
          <w:rFonts w:hint="eastAsia" w:ascii="宋体" w:hAnsi="宋体"/>
          <w:color w:val="auto"/>
          <w:highlight w:val="none"/>
        </w:rPr>
        <w:t>第五节 其他文书、文件格式</w:t>
      </w:r>
      <w:bookmarkEnd w:id="32"/>
    </w:p>
    <w:p w14:paraId="23E72FA3">
      <w:pPr>
        <w:jc w:val="center"/>
        <w:rPr>
          <w:rFonts w:hint="eastAsia" w:ascii="宋体" w:hAnsi="宋体" w:cs="宋体"/>
          <w:b/>
          <w:bCs/>
          <w:color w:val="auto"/>
          <w:sz w:val="32"/>
          <w:szCs w:val="32"/>
          <w:highlight w:val="none"/>
          <w:lang w:val="en"/>
        </w:rPr>
      </w:pPr>
    </w:p>
    <w:p w14:paraId="617CE2C2">
      <w:pPr>
        <w:jc w:val="center"/>
        <w:rPr>
          <w:rFonts w:hint="eastAsia"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3CE7B1B4">
      <w:pP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 xml:space="preserve">    </w:t>
      </w:r>
    </w:p>
    <w:p w14:paraId="351F9559">
      <w:pPr>
        <w:rPr>
          <w:rFonts w:hint="eastAsia" w:ascii="仿宋_GB2312" w:hAnsi="仿宋_GB2312" w:eastAsia="仿宋_GB2312" w:cs="仿宋_GB2312"/>
          <w:color w:val="auto"/>
          <w:sz w:val="30"/>
          <w:szCs w:val="30"/>
          <w:highlight w:val="none"/>
          <w:lang w:val="en"/>
        </w:rPr>
      </w:pPr>
      <w:r>
        <w:rPr>
          <w:rFonts w:hint="eastAsia" w:ascii="仿宋_GB2312" w:hAnsi="仿宋_GB2312" w:eastAsia="仿宋_GB2312" w:cs="仿宋_GB2312"/>
          <w:color w:val="auto"/>
          <w:sz w:val="30"/>
          <w:szCs w:val="30"/>
          <w:highlight w:val="none"/>
        </w:rPr>
        <w:t xml:space="preserve">    本</w:t>
      </w:r>
      <w:r>
        <w:rPr>
          <w:rFonts w:hint="eastAsia" w:ascii="仿宋_GB2312" w:hAnsi="仿宋_GB2312" w:eastAsia="仿宋_GB2312" w:cs="仿宋_GB2312"/>
          <w:color w:val="auto"/>
          <w:sz w:val="30"/>
          <w:szCs w:val="30"/>
          <w:highlight w:val="none"/>
          <w:lang w:val="en"/>
        </w:rPr>
        <w:t>企业（单位）自愿参与政府投资政府采购的</w:t>
      </w:r>
      <w:r>
        <w:rPr>
          <w:rFonts w:hint="eastAsia" w:ascii="仿宋_GB2312" w:hAnsi="仿宋_GB2312" w:eastAsia="仿宋_GB2312" w:cs="仿宋_GB2312"/>
          <w:color w:val="auto"/>
          <w:sz w:val="30"/>
          <w:szCs w:val="30"/>
          <w:highlight w:val="none"/>
          <w:u w:val="single"/>
          <w:lang w:val="en-US" w:eastAsia="zh-CN"/>
        </w:rPr>
        <w:t xml:space="preserve">        </w:t>
      </w:r>
      <w:r>
        <w:rPr>
          <w:rFonts w:hint="eastAsia" w:ascii="仿宋_GB2312" w:hAnsi="仿宋_GB2312" w:eastAsia="仿宋_GB2312" w:cs="仿宋_GB2312"/>
          <w:color w:val="auto"/>
          <w:sz w:val="30"/>
          <w:szCs w:val="30"/>
          <w:highlight w:val="none"/>
          <w:lang w:val="en"/>
        </w:rPr>
        <w:t>项目，</w:t>
      </w:r>
      <w:r>
        <w:rPr>
          <w:rFonts w:hint="eastAsia" w:ascii="仿宋_GB2312" w:hAnsi="仿宋_GB2312" w:eastAsia="仿宋_GB2312" w:cs="仿宋_GB2312"/>
          <w:b/>
          <w:bCs/>
          <w:color w:val="auto"/>
          <w:sz w:val="30"/>
          <w:szCs w:val="30"/>
          <w:highlight w:val="none"/>
          <w:lang w:val="en"/>
        </w:rPr>
        <w:t>在此郑重承诺：</w:t>
      </w:r>
      <w:r>
        <w:rPr>
          <w:rFonts w:hint="eastAsia" w:ascii="仿宋_GB2312" w:hAnsi="仿宋_GB2312" w:eastAsia="仿宋_GB2312" w:cs="仿宋_GB2312"/>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仿宋_GB2312" w:hAnsi="仿宋_GB2312" w:eastAsia="仿宋_GB2312" w:cs="仿宋_GB2312"/>
          <w:color w:val="auto"/>
          <w:sz w:val="30"/>
          <w:szCs w:val="30"/>
          <w:highlight w:val="none"/>
        </w:rPr>
        <w:t>单位</w:t>
      </w:r>
      <w:r>
        <w:rPr>
          <w:rFonts w:hint="eastAsia" w:ascii="仿宋_GB2312" w:hAnsi="仿宋_GB2312" w:eastAsia="仿宋_GB2312" w:cs="仿宋_GB2312"/>
          <w:color w:val="auto"/>
          <w:sz w:val="30"/>
          <w:szCs w:val="30"/>
          <w:highlight w:val="none"/>
          <w:lang w:val="en"/>
        </w:rPr>
        <w:t>）将承担由此产生的全部责任。</w:t>
      </w:r>
    </w:p>
    <w:p w14:paraId="41C2D696">
      <w:pPr>
        <w:snapToGrid w:val="0"/>
        <w:spacing w:line="360" w:lineRule="auto"/>
        <w:ind w:left="5137" w:leftChars="1736" w:hanging="1491" w:hangingChars="825"/>
        <w:rPr>
          <w:rFonts w:hint="eastAsia"/>
          <w:b/>
          <w:color w:val="auto"/>
          <w:sz w:val="18"/>
          <w:szCs w:val="18"/>
          <w:highlight w:val="none"/>
        </w:rPr>
      </w:pPr>
      <w:r>
        <w:rPr>
          <w:b/>
          <w:color w:val="auto"/>
          <w:sz w:val="18"/>
          <w:szCs w:val="18"/>
          <w:highlight w:val="none"/>
        </w:rPr>
        <w:t xml:space="preserve">           </w:t>
      </w:r>
    </w:p>
    <w:p w14:paraId="7559F17A">
      <w:pPr>
        <w:snapToGrid w:val="0"/>
        <w:spacing w:line="360" w:lineRule="auto"/>
        <w:ind w:left="5137" w:leftChars="1736" w:hanging="1491" w:hangingChars="825"/>
        <w:rPr>
          <w:b/>
          <w:color w:val="auto"/>
          <w:sz w:val="18"/>
          <w:szCs w:val="18"/>
          <w:highlight w:val="none"/>
        </w:rPr>
      </w:pPr>
    </w:p>
    <w:p w14:paraId="1A36DB37">
      <w:pPr>
        <w:snapToGrid w:val="0"/>
        <w:spacing w:line="360" w:lineRule="auto"/>
        <w:ind w:left="5137" w:leftChars="1736" w:hanging="1491" w:hangingChars="825"/>
        <w:rPr>
          <w:b/>
          <w:color w:val="auto"/>
          <w:sz w:val="18"/>
          <w:szCs w:val="18"/>
          <w:highlight w:val="none"/>
        </w:rPr>
      </w:pPr>
    </w:p>
    <w:p w14:paraId="46B62139">
      <w:pPr>
        <w:snapToGrid w:val="0"/>
        <w:spacing w:line="360" w:lineRule="auto"/>
        <w:ind w:left="5137" w:leftChars="1736" w:hanging="1491" w:hangingChars="825"/>
        <w:rPr>
          <w:b/>
          <w:color w:val="auto"/>
          <w:sz w:val="18"/>
          <w:szCs w:val="18"/>
          <w:highlight w:val="none"/>
        </w:rPr>
      </w:pPr>
    </w:p>
    <w:p w14:paraId="2D90FD4F">
      <w:pPr>
        <w:snapToGrid w:val="0"/>
        <w:spacing w:line="360" w:lineRule="auto"/>
        <w:ind w:left="5137" w:leftChars="1736" w:hanging="1491" w:hangingChars="825"/>
        <w:rPr>
          <w:rFonts w:ascii="仿宋_GB2312" w:hAnsi="仿宋" w:eastAsia="仿宋_GB2312" w:cs="仿宋_GB2312"/>
          <w:color w:val="auto"/>
          <w:kern w:val="0"/>
          <w:sz w:val="24"/>
          <w:highlight w:val="none"/>
        </w:rPr>
      </w:pPr>
      <w:r>
        <w:rPr>
          <w:b/>
          <w:color w:val="auto"/>
          <w:sz w:val="18"/>
          <w:szCs w:val="18"/>
          <w:highlight w:val="none"/>
        </w:rPr>
        <w:t xml:space="preserve">      </w:t>
      </w:r>
      <w:r>
        <w:rPr>
          <w:rFonts w:hint="eastAsia" w:ascii="仿宋_GB2312" w:hAnsi="仿宋" w:eastAsia="仿宋_GB2312" w:cs="仿宋_GB2312"/>
          <w:color w:val="auto"/>
          <w:kern w:val="0"/>
          <w:sz w:val="24"/>
          <w:highlight w:val="none"/>
          <w:lang w:val="zh-CN"/>
        </w:rPr>
        <w:t>投标人名称(电子签章)：</w:t>
      </w:r>
    </w:p>
    <w:p w14:paraId="17C337DB">
      <w:pPr>
        <w:snapToGrid w:val="0"/>
        <w:spacing w:line="360" w:lineRule="auto"/>
        <w:ind w:firstLine="5160" w:firstLineChars="21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w:t>
      </w:r>
      <w:r>
        <w:rPr>
          <w:rFonts w:hint="eastAsia" w:ascii="仿宋_GB2312" w:hAnsi="仿宋" w:eastAsia="仿宋_GB2312" w:cs="仿宋_GB2312"/>
          <w:color w:val="auto"/>
          <w:kern w:val="0"/>
          <w:sz w:val="24"/>
          <w:highlight w:val="none"/>
        </w:rPr>
        <w:t xml:space="preserve">：  年  </w:t>
      </w:r>
      <w:r>
        <w:rPr>
          <w:rFonts w:hint="eastAsia" w:ascii="仿宋_GB2312" w:hAnsi="仿宋" w:eastAsia="仿宋_GB2312" w:cs="仿宋_GB2312"/>
          <w:color w:val="auto"/>
          <w:kern w:val="0"/>
          <w:sz w:val="24"/>
          <w:highlight w:val="none"/>
          <w:lang w:val="zh-CN"/>
        </w:rPr>
        <w:t>月</w:t>
      </w:r>
      <w:r>
        <w:rPr>
          <w:rFonts w:hint="eastAsia" w:ascii="仿宋_GB2312" w:hAnsi="仿宋" w:eastAsia="仿宋_GB2312" w:cs="仿宋_GB2312"/>
          <w:color w:val="auto"/>
          <w:kern w:val="0"/>
          <w:sz w:val="24"/>
          <w:highlight w:val="none"/>
        </w:rPr>
        <w:t xml:space="preserve">   </w:t>
      </w:r>
      <w:r>
        <w:rPr>
          <w:rFonts w:hint="eastAsia" w:ascii="仿宋_GB2312" w:hAnsi="仿宋" w:eastAsia="仿宋_GB2312" w:cs="仿宋_GB2312"/>
          <w:color w:val="auto"/>
          <w:kern w:val="0"/>
          <w:sz w:val="24"/>
          <w:highlight w:val="none"/>
          <w:lang w:val="zh-CN"/>
        </w:rPr>
        <w:t>日</w:t>
      </w:r>
    </w:p>
    <w:p w14:paraId="10C48021">
      <w:pPr>
        <w:widowControl/>
        <w:jc w:val="left"/>
        <w:rPr>
          <w:rFonts w:ascii="宋体" w:hAnsi="宋体" w:cs="仿宋_GB2312"/>
          <w:color w:val="auto"/>
          <w:sz w:val="24"/>
          <w:highlight w:val="none"/>
        </w:rPr>
        <w:sectPr>
          <w:pgSz w:w="11905" w:h="16838"/>
          <w:pgMar w:top="958" w:right="1440" w:bottom="958" w:left="1587" w:header="850" w:footer="992" w:gutter="0"/>
          <w:pgNumType w:fmt="decimal"/>
          <w:cols w:space="720" w:num="1"/>
          <w:rtlGutter w:val="0"/>
          <w:docGrid w:type="lines" w:linePitch="317" w:charSpace="0"/>
        </w:sectPr>
      </w:pPr>
    </w:p>
    <w:p w14:paraId="53CBA3D5">
      <w:pPr>
        <w:spacing w:line="520" w:lineRule="exact"/>
        <w:rPr>
          <w:rFonts w:hint="eastAsia" w:ascii="宋体" w:hAnsi="宋体" w:cs="仿宋_GB2312"/>
          <w:color w:val="auto"/>
          <w:sz w:val="24"/>
          <w:highlight w:val="none"/>
        </w:rPr>
      </w:pPr>
    </w:p>
    <w:p w14:paraId="272F42AB">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残疾人福利性单位声明函</w:t>
      </w:r>
    </w:p>
    <w:p w14:paraId="5E618628">
      <w:pPr>
        <w:spacing w:line="520" w:lineRule="exact"/>
        <w:rPr>
          <w:rFonts w:hint="eastAsia" w:ascii="仿宋_GB2312" w:hAnsi="仿宋_GB2312" w:eastAsia="仿宋_GB2312" w:cs="仿宋_GB2312"/>
          <w:color w:val="auto"/>
          <w:sz w:val="32"/>
          <w:szCs w:val="32"/>
          <w:highlight w:val="none"/>
        </w:rPr>
      </w:pPr>
    </w:p>
    <w:p w14:paraId="12234A04">
      <w:pPr>
        <w:spacing w:line="360" w:lineRule="auto"/>
        <w:ind w:firstLine="480" w:firstLineChars="200"/>
        <w:rPr>
          <w:rFonts w:hint="eastAsia"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宋体" w:eastAsia="仿宋_GB2312" w:cs="仿宋_GB2312"/>
          <w:color w:val="auto"/>
          <w:sz w:val="24"/>
          <w:highlight w:val="none"/>
          <w:u w:val="single"/>
        </w:rPr>
        <w:t xml:space="preserve"> </w:t>
      </w:r>
      <w:r>
        <w:rPr>
          <w:rFonts w:hint="eastAsia" w:ascii="仿宋_GB2312" w:hAnsi="宋体" w:eastAsia="仿宋_GB2312" w:cs="仿宋_GB2312"/>
          <w:color w:val="auto"/>
          <w:sz w:val="24"/>
          <w:highlight w:val="none"/>
          <w:u w:val="single"/>
          <w:lang w:val="en-US" w:eastAsia="zh-CN"/>
        </w:rPr>
        <w:t xml:space="preserve">       </w:t>
      </w:r>
      <w:r>
        <w:rPr>
          <w:rFonts w:hint="eastAsia" w:ascii="仿宋_GB2312" w:hAnsi="宋体" w:eastAsia="仿宋_GB2312" w:cs="仿宋_GB2312"/>
          <w:color w:val="auto"/>
          <w:sz w:val="24"/>
          <w:highlight w:val="none"/>
        </w:rPr>
        <w:t>单位的</w:t>
      </w:r>
      <w:r>
        <w:rPr>
          <w:rFonts w:hint="eastAsia" w:ascii="仿宋_GB2312" w:hAnsi="宋体" w:eastAsia="仿宋_GB2312" w:cs="仿宋_GB2312"/>
          <w:color w:val="auto"/>
          <w:sz w:val="24"/>
          <w:highlight w:val="none"/>
          <w:u w:val="single"/>
        </w:rPr>
        <w:t xml:space="preserve"> </w:t>
      </w:r>
      <w:r>
        <w:rPr>
          <w:rFonts w:hint="eastAsia" w:ascii="仿宋_GB2312" w:hAnsi="宋体" w:eastAsia="仿宋_GB2312" w:cs="仿宋_GB2312"/>
          <w:color w:val="auto"/>
          <w:sz w:val="24"/>
          <w:highlight w:val="none"/>
          <w:u w:val="single"/>
          <w:lang w:val="en-US" w:eastAsia="zh-CN"/>
        </w:rPr>
        <w:t xml:space="preserve">         </w:t>
      </w:r>
      <w:r>
        <w:rPr>
          <w:rFonts w:hint="eastAsia" w:ascii="仿宋_GB2312" w:hAnsi="宋体" w:eastAsia="仿宋_GB2312" w:cs="仿宋_GB2312"/>
          <w:color w:val="auto"/>
          <w:sz w:val="24"/>
          <w:highlight w:val="none"/>
        </w:rPr>
        <w:t>项目采购活动由本单位提供服务。</w:t>
      </w:r>
    </w:p>
    <w:p w14:paraId="402CEB5E">
      <w:pPr>
        <w:spacing w:line="360" w:lineRule="auto"/>
        <w:ind w:firstLine="480" w:firstLineChars="200"/>
        <w:rPr>
          <w:rFonts w:hint="eastAsia"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本单位对上述声明的真实性负责。如有虚假，将依法承担相应责任。</w:t>
      </w:r>
    </w:p>
    <w:p w14:paraId="1BD5D487">
      <w:pPr>
        <w:spacing w:line="360" w:lineRule="auto"/>
        <w:rPr>
          <w:rFonts w:hint="eastAsia" w:ascii="宋体" w:hAnsi="宋体" w:cs="仿宋_GB2312"/>
          <w:color w:val="auto"/>
          <w:sz w:val="24"/>
          <w:highlight w:val="none"/>
        </w:rPr>
      </w:pPr>
    </w:p>
    <w:p w14:paraId="5538A3E4">
      <w:pPr>
        <w:spacing w:line="360" w:lineRule="auto"/>
        <w:rPr>
          <w:rFonts w:hint="eastAsia" w:ascii="宋体" w:hAnsi="宋体" w:cs="仿宋_GB2312"/>
          <w:color w:val="auto"/>
          <w:sz w:val="24"/>
          <w:highlight w:val="none"/>
        </w:rPr>
      </w:pPr>
    </w:p>
    <w:p w14:paraId="617B066D">
      <w:pPr>
        <w:spacing w:line="360" w:lineRule="auto"/>
        <w:rPr>
          <w:rFonts w:hint="eastAsia" w:ascii="宋体" w:hAnsi="宋体" w:cs="仿宋_GB2312"/>
          <w:color w:val="auto"/>
          <w:sz w:val="24"/>
          <w:highlight w:val="none"/>
        </w:rPr>
      </w:pPr>
    </w:p>
    <w:p w14:paraId="58781965">
      <w:pPr>
        <w:spacing w:line="360" w:lineRule="auto"/>
        <w:ind w:firstLine="2400" w:firstLineChars="1000"/>
        <w:rPr>
          <w:rFonts w:hint="eastAsia" w:ascii="宋体" w:hAnsi="宋体" w:cs="仿宋_GB2312"/>
          <w:color w:val="auto"/>
          <w:sz w:val="24"/>
          <w:highlight w:val="none"/>
        </w:rPr>
      </w:pPr>
      <w:r>
        <w:rPr>
          <w:rFonts w:hint="eastAsia" w:ascii="宋体" w:hAnsi="宋体" w:cs="仿宋_GB2312"/>
          <w:color w:val="auto"/>
          <w:sz w:val="24"/>
          <w:highlight w:val="none"/>
        </w:rPr>
        <w:t>供应商名称（电子签章）：</w:t>
      </w:r>
    </w:p>
    <w:p w14:paraId="3BCC25FF">
      <w:pPr>
        <w:spacing w:line="360" w:lineRule="auto"/>
        <w:ind w:firstLine="4320" w:firstLineChars="1800"/>
        <w:rPr>
          <w:rFonts w:hint="eastAsia" w:ascii="宋体" w:hAnsi="宋体" w:cs="仿宋_GB2312"/>
          <w:color w:val="auto"/>
          <w:sz w:val="24"/>
          <w:highlight w:val="none"/>
        </w:rPr>
      </w:pPr>
      <w:r>
        <w:rPr>
          <w:rFonts w:hint="eastAsia" w:ascii="宋体" w:hAnsi="宋体" w:cs="仿宋_GB2312"/>
          <w:color w:val="auto"/>
          <w:sz w:val="24"/>
          <w:highlight w:val="none"/>
        </w:rPr>
        <w:t>日  期：     年   月   日</w:t>
      </w:r>
    </w:p>
    <w:p w14:paraId="25821ACD">
      <w:pPr>
        <w:spacing w:line="360" w:lineRule="auto"/>
        <w:rPr>
          <w:rFonts w:hint="eastAsia" w:ascii="宋体" w:hAnsi="宋体" w:cs="仿宋_GB2312"/>
          <w:color w:val="auto"/>
          <w:sz w:val="24"/>
          <w:highlight w:val="none"/>
        </w:rPr>
      </w:pPr>
    </w:p>
    <w:p w14:paraId="29F67682">
      <w:pPr>
        <w:spacing w:line="360" w:lineRule="auto"/>
        <w:rPr>
          <w:rFonts w:hint="eastAsia" w:ascii="宋体" w:hAnsi="宋体" w:cs="仿宋_GB2312"/>
          <w:color w:val="auto"/>
          <w:sz w:val="24"/>
          <w:highlight w:val="none"/>
        </w:rPr>
      </w:pPr>
    </w:p>
    <w:p w14:paraId="017BB4BF">
      <w:pPr>
        <w:spacing w:line="360" w:lineRule="auto"/>
        <w:rPr>
          <w:rFonts w:hint="eastAsia" w:ascii="宋体" w:hAnsi="宋体" w:cs="仿宋_GB2312"/>
          <w:color w:val="auto"/>
          <w:sz w:val="24"/>
          <w:highlight w:val="none"/>
        </w:rPr>
      </w:pPr>
    </w:p>
    <w:p w14:paraId="406EBBDC">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2AD84F12">
      <w:pPr>
        <w:spacing w:line="520" w:lineRule="exact"/>
        <w:jc w:val="center"/>
        <w:rPr>
          <w:rFonts w:hint="eastAsia" w:ascii="宋体" w:hAnsi="宋体"/>
          <w:color w:val="auto"/>
          <w:sz w:val="24"/>
          <w:highlight w:val="none"/>
        </w:rPr>
      </w:pPr>
    </w:p>
    <w:p w14:paraId="277D697C">
      <w:pPr>
        <w:spacing w:line="520" w:lineRule="exact"/>
        <w:jc w:val="center"/>
        <w:rPr>
          <w:rFonts w:hint="eastAsia" w:ascii="宋体" w:hAnsi="宋体"/>
          <w:color w:val="auto"/>
          <w:sz w:val="24"/>
          <w:highlight w:val="none"/>
        </w:rPr>
      </w:pPr>
    </w:p>
    <w:p w14:paraId="28E98D1A">
      <w:pPr>
        <w:spacing w:line="520" w:lineRule="exact"/>
        <w:jc w:val="center"/>
        <w:rPr>
          <w:rFonts w:hint="eastAsia" w:ascii="宋体" w:hAnsi="宋体"/>
          <w:color w:val="auto"/>
          <w:sz w:val="24"/>
          <w:highlight w:val="none"/>
        </w:rPr>
      </w:pPr>
    </w:p>
    <w:p w14:paraId="626AF47A">
      <w:pPr>
        <w:spacing w:line="520" w:lineRule="exact"/>
        <w:jc w:val="center"/>
        <w:rPr>
          <w:rFonts w:hint="eastAsia" w:ascii="宋体" w:hAnsi="宋体"/>
          <w:color w:val="auto"/>
          <w:sz w:val="24"/>
          <w:highlight w:val="none"/>
        </w:rPr>
      </w:pPr>
    </w:p>
    <w:p w14:paraId="51FC4392">
      <w:pPr>
        <w:spacing w:line="520" w:lineRule="exact"/>
        <w:jc w:val="center"/>
        <w:rPr>
          <w:rFonts w:hint="eastAsia" w:ascii="宋体" w:hAnsi="宋体"/>
          <w:color w:val="auto"/>
          <w:sz w:val="24"/>
          <w:highlight w:val="none"/>
        </w:rPr>
      </w:pPr>
    </w:p>
    <w:p w14:paraId="55D9E2CA">
      <w:pPr>
        <w:spacing w:line="520" w:lineRule="exact"/>
        <w:jc w:val="center"/>
        <w:rPr>
          <w:rFonts w:hint="eastAsia" w:ascii="宋体" w:hAnsi="宋体"/>
          <w:color w:val="auto"/>
          <w:sz w:val="24"/>
          <w:highlight w:val="none"/>
        </w:rPr>
      </w:pPr>
    </w:p>
    <w:p w14:paraId="79397AA5">
      <w:pPr>
        <w:spacing w:line="520" w:lineRule="exact"/>
        <w:jc w:val="center"/>
        <w:rPr>
          <w:rFonts w:hint="eastAsia" w:ascii="宋体" w:hAnsi="宋体"/>
          <w:color w:val="auto"/>
          <w:sz w:val="24"/>
          <w:highlight w:val="none"/>
        </w:rPr>
      </w:pPr>
    </w:p>
    <w:p w14:paraId="30646A1B">
      <w:pPr>
        <w:spacing w:line="520" w:lineRule="exact"/>
        <w:jc w:val="center"/>
        <w:rPr>
          <w:rFonts w:hint="eastAsia" w:ascii="宋体" w:hAnsi="宋体"/>
          <w:color w:val="auto"/>
          <w:sz w:val="24"/>
          <w:highlight w:val="none"/>
        </w:rPr>
      </w:pPr>
    </w:p>
    <w:p w14:paraId="330FE4C4">
      <w:pPr>
        <w:spacing w:line="520" w:lineRule="exact"/>
        <w:jc w:val="center"/>
        <w:rPr>
          <w:rFonts w:hint="eastAsia" w:ascii="宋体" w:hAnsi="宋体"/>
          <w:color w:val="auto"/>
          <w:sz w:val="24"/>
          <w:highlight w:val="none"/>
        </w:rPr>
      </w:pPr>
    </w:p>
    <w:p w14:paraId="7A67E46B">
      <w:pPr>
        <w:spacing w:line="520" w:lineRule="exact"/>
        <w:jc w:val="center"/>
        <w:rPr>
          <w:rFonts w:hint="eastAsia" w:ascii="宋体" w:hAnsi="宋体"/>
          <w:color w:val="auto"/>
          <w:sz w:val="24"/>
          <w:highlight w:val="none"/>
        </w:rPr>
      </w:pPr>
    </w:p>
    <w:p w14:paraId="074AC35C">
      <w:pPr>
        <w:spacing w:line="520" w:lineRule="exact"/>
        <w:jc w:val="center"/>
        <w:rPr>
          <w:rFonts w:hint="eastAsia" w:ascii="宋体" w:hAnsi="宋体"/>
          <w:color w:val="auto"/>
          <w:sz w:val="24"/>
          <w:highlight w:val="none"/>
        </w:rPr>
      </w:pPr>
    </w:p>
    <w:p w14:paraId="38EA0EE7">
      <w:pPr>
        <w:spacing w:line="520" w:lineRule="exact"/>
        <w:jc w:val="center"/>
        <w:rPr>
          <w:rFonts w:hint="eastAsia" w:ascii="宋体" w:hAnsi="宋体"/>
          <w:color w:val="auto"/>
          <w:sz w:val="24"/>
          <w:highlight w:val="none"/>
        </w:rPr>
      </w:pPr>
    </w:p>
    <w:p w14:paraId="653C21AE">
      <w:pPr>
        <w:spacing w:line="520" w:lineRule="exact"/>
        <w:jc w:val="center"/>
        <w:rPr>
          <w:rFonts w:hint="eastAsia" w:ascii="宋体" w:hAnsi="宋体"/>
          <w:color w:val="auto"/>
          <w:sz w:val="24"/>
          <w:highlight w:val="none"/>
        </w:rPr>
      </w:pPr>
    </w:p>
    <w:p w14:paraId="42A72D82">
      <w:pPr>
        <w:spacing w:line="520" w:lineRule="exact"/>
        <w:jc w:val="center"/>
        <w:rPr>
          <w:rFonts w:hint="eastAsia" w:ascii="宋体" w:hAnsi="宋体"/>
          <w:color w:val="auto"/>
          <w:sz w:val="24"/>
          <w:highlight w:val="none"/>
        </w:rPr>
      </w:pPr>
    </w:p>
    <w:p w14:paraId="283CE269">
      <w:pPr>
        <w:spacing w:line="520" w:lineRule="exact"/>
        <w:jc w:val="center"/>
        <w:rPr>
          <w:rFonts w:hint="eastAsia" w:ascii="宋体" w:hAnsi="宋体"/>
          <w:color w:val="auto"/>
          <w:sz w:val="24"/>
          <w:highlight w:val="none"/>
        </w:rPr>
      </w:pPr>
    </w:p>
    <w:p w14:paraId="2A3DD744">
      <w:pPr>
        <w:pStyle w:val="2"/>
        <w:jc w:val="center"/>
        <w:rPr>
          <w:rFonts w:hint="eastAsia" w:ascii="宋体" w:hAnsi="宋体"/>
          <w:b w:val="0"/>
          <w:bCs w:val="0"/>
          <w:color w:val="auto"/>
          <w:highlight w:val="none"/>
        </w:rPr>
      </w:pPr>
      <w:bookmarkStart w:id="33" w:name="_Toc3545"/>
      <w:r>
        <w:rPr>
          <w:rFonts w:hint="eastAsia" w:ascii="宋体" w:hAnsi="宋体"/>
          <w:b w:val="0"/>
          <w:bCs w:val="0"/>
          <w:color w:val="auto"/>
          <w:highlight w:val="none"/>
        </w:rPr>
        <w:t>第六章  合同文本</w:t>
      </w:r>
      <w:r>
        <w:rPr>
          <w:rFonts w:hint="eastAsia" w:ascii="宋体" w:hAnsi="宋体"/>
          <w:b w:val="0"/>
          <w:bCs w:val="0"/>
          <w:color w:val="auto"/>
          <w:highlight w:val="none"/>
        </w:rPr>
        <w:br w:type="page"/>
      </w:r>
      <w:bookmarkEnd w:id="33"/>
    </w:p>
    <w:p w14:paraId="67F6A80E">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textAlignment w:val="baseline"/>
        <w:rPr>
          <w:rFonts w:hint="eastAsia" w:ascii="宋体" w:hAnsi="宋体" w:eastAsia="宋体" w:cs="宋体"/>
          <w:color w:val="auto"/>
          <w:sz w:val="21"/>
          <w:szCs w:val="21"/>
          <w:highlight w:val="none"/>
          <w:lang w:val="en-US" w:eastAsia="zh-CN"/>
        </w:rPr>
        <w:sectPr>
          <w:pgSz w:w="11900" w:h="16832"/>
          <w:pgMar w:top="975" w:right="1497" w:bottom="975" w:left="1440" w:header="0" w:footer="839" w:gutter="0"/>
          <w:pgNumType w:fmt="decimal"/>
          <w:cols w:space="720" w:num="1"/>
          <w:rtlGutter w:val="0"/>
          <w:docGrid w:linePitch="1" w:charSpace="0"/>
        </w:sectPr>
      </w:pPr>
    </w:p>
    <w:p w14:paraId="508BAB77">
      <w:pPr>
        <w:rPr>
          <w:rFonts w:hint="eastAsia" w:ascii="仿宋_GB2312" w:hAnsi="楷体" w:eastAsia="仿宋_GB2312"/>
          <w:color w:val="auto"/>
          <w:sz w:val="24"/>
          <w:highlight w:val="none"/>
        </w:rPr>
      </w:pPr>
    </w:p>
    <w:p w14:paraId="4428AAE9">
      <w:pPr>
        <w:rPr>
          <w:rFonts w:hint="eastAsia" w:ascii="仿宋_GB2312" w:hAnsi="楷体" w:eastAsia="仿宋_GB2312"/>
          <w:color w:val="auto"/>
          <w:sz w:val="24"/>
          <w:highlight w:val="none"/>
        </w:rPr>
      </w:pPr>
    </w:p>
    <w:p w14:paraId="647A0A87">
      <w:pPr>
        <w:rPr>
          <w:rFonts w:hint="eastAsia" w:ascii="仿宋_GB2312" w:hAnsi="楷体" w:eastAsia="仿宋_GB2312"/>
          <w:color w:val="auto"/>
          <w:sz w:val="24"/>
          <w:highlight w:val="none"/>
        </w:rPr>
      </w:pPr>
    </w:p>
    <w:p w14:paraId="64F437D6">
      <w:pPr>
        <w:rPr>
          <w:rFonts w:hint="eastAsia" w:ascii="宋体" w:hAnsi="宋体"/>
          <w:b/>
          <w:bCs/>
          <w:color w:val="auto"/>
          <w:highlight w:val="none"/>
        </w:rPr>
      </w:pPr>
      <w:r>
        <w:rPr>
          <w:rFonts w:hint="eastAsia" w:ascii="仿宋_GB2312" w:hAnsi="楷体" w:eastAsia="仿宋_GB2312"/>
          <w:color w:val="auto"/>
          <w:sz w:val="24"/>
          <w:highlight w:val="none"/>
        </w:rPr>
        <w:t>合同编号：</w:t>
      </w:r>
    </w:p>
    <w:p w14:paraId="2B74B58F">
      <w:pPr>
        <w:spacing w:line="360" w:lineRule="auto"/>
        <w:jc w:val="center"/>
        <w:rPr>
          <w:rFonts w:hint="eastAsia" w:ascii="宋体"/>
          <w:b/>
          <w:bCs/>
          <w:color w:val="auto"/>
          <w:sz w:val="52"/>
          <w:highlight w:val="none"/>
        </w:rPr>
      </w:pPr>
      <w:r>
        <w:rPr>
          <w:rFonts w:hint="eastAsia" w:ascii="宋体"/>
          <w:b/>
          <w:bCs/>
          <w:color w:val="auto"/>
          <w:sz w:val="52"/>
          <w:highlight w:val="none"/>
        </w:rPr>
        <w:t>南 宁 市 政 府 采 购</w:t>
      </w:r>
    </w:p>
    <w:p w14:paraId="5396A51D">
      <w:pPr>
        <w:spacing w:line="360" w:lineRule="auto"/>
        <w:ind w:firstLine="420" w:firstLineChars="200"/>
        <w:rPr>
          <w:rFonts w:hint="eastAsia" w:ascii="宋体"/>
          <w:color w:val="auto"/>
          <w:highlight w:val="none"/>
        </w:rPr>
      </w:pPr>
    </w:p>
    <w:p w14:paraId="25895ED7">
      <w:pPr>
        <w:spacing w:line="360" w:lineRule="auto"/>
        <w:ind w:firstLine="420" w:firstLineChars="200"/>
        <w:rPr>
          <w:rFonts w:hint="eastAsia" w:ascii="宋体"/>
          <w:color w:val="auto"/>
          <w:highlight w:val="none"/>
        </w:rPr>
      </w:pPr>
      <w:r>
        <w:rPr>
          <w:rFonts w:hint="eastAsia" w:ascii="宋体"/>
          <w:color w:val="auto"/>
          <w:highlight w:val="none"/>
        </w:rPr>
        <w:t xml:space="preserve">                                                 </w:t>
      </w:r>
    </w:p>
    <w:p w14:paraId="6CED9CA1">
      <w:pPr>
        <w:spacing w:line="360" w:lineRule="auto"/>
        <w:jc w:val="center"/>
        <w:rPr>
          <w:rFonts w:hint="eastAsia" w:ascii="宋体"/>
          <w:b/>
          <w:bCs/>
          <w:color w:val="auto"/>
          <w:sz w:val="44"/>
          <w:highlight w:val="none"/>
          <w:u w:val="single"/>
          <w:lang w:val="en-US" w:eastAsia="zh-CN"/>
        </w:rPr>
      </w:pPr>
      <w:r>
        <w:rPr>
          <w:rFonts w:hint="eastAsia" w:ascii="宋体"/>
          <w:b/>
          <w:bCs/>
          <w:color w:val="auto"/>
          <w:sz w:val="44"/>
          <w:highlight w:val="none"/>
          <w:u w:val="single"/>
          <w:lang w:val="en-US" w:eastAsia="zh-CN"/>
        </w:rPr>
        <w:t>南宁市五化灌区总干渠水毁应急抢险工程</w:t>
      </w:r>
    </w:p>
    <w:p w14:paraId="62087F9E">
      <w:pPr>
        <w:spacing w:line="360" w:lineRule="auto"/>
        <w:jc w:val="center"/>
        <w:rPr>
          <w:rFonts w:hint="eastAsia" w:ascii="宋体"/>
          <w:b/>
          <w:bCs/>
          <w:color w:val="auto"/>
          <w:sz w:val="44"/>
          <w:highlight w:val="none"/>
        </w:rPr>
      </w:pPr>
      <w:r>
        <w:rPr>
          <w:rFonts w:hint="eastAsia" w:ascii="宋体"/>
          <w:b/>
          <w:bCs/>
          <w:color w:val="auto"/>
          <w:sz w:val="44"/>
          <w:highlight w:val="none"/>
          <w:lang w:val="en-US" w:eastAsia="zh-CN"/>
        </w:rPr>
        <w:t>施工</w:t>
      </w:r>
      <w:r>
        <w:rPr>
          <w:rFonts w:hint="eastAsia" w:ascii="宋体"/>
          <w:b/>
          <w:bCs/>
          <w:color w:val="auto"/>
          <w:sz w:val="44"/>
          <w:highlight w:val="none"/>
        </w:rPr>
        <w:t>合同</w:t>
      </w:r>
    </w:p>
    <w:p w14:paraId="3D7A6AC1">
      <w:pPr>
        <w:spacing w:line="360" w:lineRule="auto"/>
        <w:ind w:firstLine="3507" w:firstLineChars="794"/>
        <w:rPr>
          <w:rFonts w:hint="eastAsia" w:ascii="宋体"/>
          <w:b/>
          <w:bCs/>
          <w:color w:val="auto"/>
          <w:sz w:val="44"/>
          <w:highlight w:val="none"/>
        </w:rPr>
      </w:pPr>
    </w:p>
    <w:p w14:paraId="5470A47E">
      <w:pPr>
        <w:pStyle w:val="9"/>
        <w:rPr>
          <w:rFonts w:hint="eastAsia"/>
          <w:color w:val="auto"/>
          <w:highlight w:val="none"/>
        </w:rPr>
      </w:pPr>
    </w:p>
    <w:p w14:paraId="3F4FFC77">
      <w:pPr>
        <w:spacing w:line="360" w:lineRule="auto"/>
        <w:ind w:firstLine="3507" w:firstLineChars="794"/>
        <w:rPr>
          <w:rFonts w:hint="eastAsia" w:ascii="宋体"/>
          <w:b/>
          <w:bCs/>
          <w:color w:val="auto"/>
          <w:sz w:val="44"/>
          <w:highlight w:val="none"/>
        </w:rPr>
      </w:pPr>
    </w:p>
    <w:p w14:paraId="0C22D4C6">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宋体" w:hAnsi="宋体"/>
          <w:b/>
          <w:color w:val="auto"/>
          <w:sz w:val="36"/>
          <w:szCs w:val="36"/>
          <w:highlight w:val="none"/>
          <w:lang w:val="en-US"/>
        </w:rPr>
      </w:pPr>
      <w:r>
        <w:rPr>
          <w:rFonts w:hint="eastAsia" w:ascii="宋体" w:hAnsi="宋体"/>
          <w:b/>
          <w:color w:val="auto"/>
          <w:sz w:val="36"/>
          <w:szCs w:val="36"/>
          <w:highlight w:val="none"/>
        </w:rPr>
        <w:t>采购项目编号：</w:t>
      </w:r>
      <w:r>
        <w:rPr>
          <w:rFonts w:hint="eastAsia" w:ascii="宋体" w:hAnsi="宋体"/>
          <w:b/>
          <w:color w:val="auto"/>
          <w:sz w:val="36"/>
          <w:szCs w:val="36"/>
          <w:highlight w:val="none"/>
          <w:u w:val="single"/>
        </w:rPr>
        <w:t xml:space="preserve"> </w:t>
      </w:r>
      <w:r>
        <w:rPr>
          <w:rFonts w:hint="eastAsia" w:ascii="宋体" w:hAnsi="宋体"/>
          <w:b/>
          <w:color w:val="auto"/>
          <w:sz w:val="36"/>
          <w:szCs w:val="36"/>
          <w:highlight w:val="none"/>
          <w:u w:val="single"/>
          <w:lang w:val="en-US" w:eastAsia="zh-CN"/>
        </w:rPr>
        <w:t xml:space="preserve">  NNZC2026-C2-990977-GXXB  </w:t>
      </w:r>
    </w:p>
    <w:p w14:paraId="2CEE65B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b/>
          <w:color w:val="auto"/>
          <w:sz w:val="36"/>
          <w:szCs w:val="36"/>
          <w:highlight w:val="none"/>
          <w:lang w:val="en-US" w:eastAsia="zh-CN"/>
        </w:rPr>
      </w:pPr>
      <w:r>
        <w:rPr>
          <w:rFonts w:hint="eastAsia" w:ascii="宋体" w:hAnsi="宋体"/>
          <w:b/>
          <w:color w:val="auto"/>
          <w:sz w:val="36"/>
          <w:szCs w:val="36"/>
          <w:highlight w:val="none"/>
        </w:rPr>
        <w:t>采购计划编号：</w:t>
      </w:r>
      <w:r>
        <w:rPr>
          <w:rFonts w:hint="eastAsia" w:ascii="宋体" w:hAnsi="宋体"/>
          <w:b/>
          <w:color w:val="auto"/>
          <w:sz w:val="36"/>
          <w:szCs w:val="36"/>
          <w:highlight w:val="none"/>
          <w:u w:val="single"/>
        </w:rPr>
        <w:t xml:space="preserve">   NNZC[2026]6003号 </w:t>
      </w:r>
      <w:r>
        <w:rPr>
          <w:rFonts w:hint="eastAsia" w:ascii="宋体" w:hAnsi="宋体"/>
          <w:b/>
          <w:color w:val="auto"/>
          <w:sz w:val="36"/>
          <w:szCs w:val="36"/>
          <w:highlight w:val="none"/>
          <w:u w:val="single"/>
          <w:lang w:val="en-US" w:eastAsia="zh-CN"/>
        </w:rPr>
        <w:t xml:space="preserve">      </w:t>
      </w:r>
      <w:r>
        <w:rPr>
          <w:rFonts w:hint="eastAsia" w:ascii="宋体" w:hAnsi="宋体"/>
          <w:b/>
          <w:color w:val="auto"/>
          <w:sz w:val="36"/>
          <w:szCs w:val="36"/>
          <w:highlight w:val="none"/>
          <w:u w:val="single"/>
        </w:rPr>
        <w:t xml:space="preserve"> </w:t>
      </w:r>
      <w:r>
        <w:rPr>
          <w:rFonts w:hint="eastAsia" w:ascii="宋体" w:hAnsi="宋体"/>
          <w:b/>
          <w:color w:val="auto"/>
          <w:sz w:val="36"/>
          <w:szCs w:val="36"/>
          <w:highlight w:val="none"/>
          <w:u w:val="single"/>
          <w:lang w:val="en-US" w:eastAsia="zh-CN"/>
        </w:rPr>
        <w:t xml:space="preserve"> </w:t>
      </w:r>
    </w:p>
    <w:p w14:paraId="3766C98C">
      <w:pPr>
        <w:ind w:firstLine="1995" w:firstLineChars="552"/>
        <w:rPr>
          <w:rFonts w:hint="eastAsia" w:ascii="宋体" w:hAnsi="宋体"/>
          <w:b/>
          <w:color w:val="auto"/>
          <w:sz w:val="36"/>
          <w:szCs w:val="36"/>
          <w:highlight w:val="none"/>
          <w:u w:val="single"/>
        </w:rPr>
      </w:pPr>
    </w:p>
    <w:p w14:paraId="58FB8C2B">
      <w:pPr>
        <w:pStyle w:val="9"/>
        <w:rPr>
          <w:rFonts w:hint="eastAsia"/>
          <w:color w:val="auto"/>
          <w:highlight w:val="none"/>
        </w:rPr>
      </w:pPr>
    </w:p>
    <w:p w14:paraId="432708AA">
      <w:pPr>
        <w:ind w:firstLine="1995" w:firstLineChars="552"/>
        <w:rPr>
          <w:rFonts w:hint="eastAsia" w:ascii="宋体" w:hAnsi="宋体"/>
          <w:b/>
          <w:color w:val="auto"/>
          <w:sz w:val="36"/>
          <w:szCs w:val="36"/>
          <w:highlight w:val="none"/>
          <w:u w:val="single"/>
        </w:rPr>
      </w:pPr>
    </w:p>
    <w:p w14:paraId="4DFC97E6">
      <w:pPr>
        <w:tabs>
          <w:tab w:val="left" w:pos="7200"/>
        </w:tabs>
        <w:spacing w:line="360" w:lineRule="auto"/>
        <w:ind w:firstLine="1995" w:firstLineChars="552"/>
        <w:rPr>
          <w:rFonts w:hint="eastAsia" w:ascii="宋体" w:hAnsi="宋体" w:eastAsia="宋体"/>
          <w:b/>
          <w:color w:val="auto"/>
          <w:sz w:val="36"/>
          <w:szCs w:val="36"/>
          <w:highlight w:val="none"/>
          <w:u w:val="single"/>
          <w:lang w:eastAsia="zh-CN"/>
        </w:rPr>
      </w:pPr>
      <w:r>
        <w:rPr>
          <w:rFonts w:hint="eastAsia" w:ascii="宋体" w:hAnsi="宋体"/>
          <w:b/>
          <w:color w:val="auto"/>
          <w:sz w:val="36"/>
          <w:szCs w:val="36"/>
          <w:highlight w:val="none"/>
        </w:rPr>
        <w:t>采购人：</w:t>
      </w:r>
      <w:r>
        <w:rPr>
          <w:rFonts w:hint="eastAsia" w:ascii="宋体" w:hAnsi="宋体"/>
          <w:b/>
          <w:color w:val="auto"/>
          <w:sz w:val="36"/>
          <w:szCs w:val="36"/>
          <w:highlight w:val="none"/>
          <w:u w:val="single"/>
          <w:lang w:eastAsia="zh-CN"/>
        </w:rPr>
        <w:t>南宁市灌区管理中心</w:t>
      </w:r>
    </w:p>
    <w:p w14:paraId="5C4F8A25">
      <w:pPr>
        <w:tabs>
          <w:tab w:val="left" w:pos="7380"/>
        </w:tabs>
        <w:spacing w:line="360" w:lineRule="auto"/>
        <w:ind w:firstLine="1995" w:firstLineChars="552"/>
        <w:rPr>
          <w:rFonts w:hint="eastAsia" w:ascii="宋体"/>
          <w:b/>
          <w:bCs/>
          <w:color w:val="auto"/>
          <w:sz w:val="44"/>
          <w:highlight w:val="none"/>
        </w:rPr>
      </w:pPr>
      <w:r>
        <w:rPr>
          <w:rFonts w:hint="eastAsia" w:ascii="宋体" w:hAnsi="宋体"/>
          <w:b/>
          <w:color w:val="auto"/>
          <w:sz w:val="36"/>
          <w:szCs w:val="36"/>
          <w:highlight w:val="none"/>
          <w:lang w:val="en-US" w:eastAsia="zh-CN"/>
        </w:rPr>
        <w:t>成交</w:t>
      </w:r>
      <w:r>
        <w:rPr>
          <w:rFonts w:hint="eastAsia" w:ascii="宋体" w:hAnsi="宋体"/>
          <w:b/>
          <w:color w:val="auto"/>
          <w:sz w:val="36"/>
          <w:szCs w:val="36"/>
          <w:highlight w:val="none"/>
        </w:rPr>
        <w:t>供应商：</w:t>
      </w:r>
      <w:r>
        <w:rPr>
          <w:rFonts w:hint="eastAsia" w:ascii="宋体" w:hAnsi="宋体"/>
          <w:b/>
          <w:color w:val="auto"/>
          <w:sz w:val="36"/>
          <w:szCs w:val="36"/>
          <w:highlight w:val="none"/>
          <w:u w:val="single"/>
        </w:rPr>
        <w:t xml:space="preserve">                   </w:t>
      </w:r>
    </w:p>
    <w:p w14:paraId="3E591B49">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textAlignment w:val="baseline"/>
        <w:rPr>
          <w:rFonts w:hint="eastAsia" w:ascii="宋体" w:hAnsi="宋体" w:eastAsia="宋体" w:cs="宋体"/>
          <w:color w:val="auto"/>
          <w:sz w:val="21"/>
          <w:szCs w:val="21"/>
          <w:highlight w:val="none"/>
          <w:lang w:val="en-US" w:eastAsia="zh-CN"/>
        </w:rPr>
      </w:pPr>
    </w:p>
    <w:p w14:paraId="26A16427">
      <w:pPr>
        <w:pStyle w:val="9"/>
        <w:rPr>
          <w:rFonts w:hint="eastAsia" w:ascii="宋体" w:hAnsi="宋体" w:eastAsia="宋体" w:cs="宋体"/>
          <w:color w:val="auto"/>
          <w:sz w:val="21"/>
          <w:szCs w:val="21"/>
          <w:highlight w:val="none"/>
          <w:lang w:val="en-US" w:eastAsia="zh-CN"/>
        </w:rPr>
      </w:pPr>
    </w:p>
    <w:p w14:paraId="6D90E63D">
      <w:pPr>
        <w:pStyle w:val="10"/>
        <w:rPr>
          <w:rFonts w:hint="eastAsia"/>
          <w:color w:val="auto"/>
          <w:highlight w:val="none"/>
          <w:lang w:val="en-US" w:eastAsia="zh-CN"/>
        </w:rPr>
      </w:pPr>
    </w:p>
    <w:p w14:paraId="6229B1DD">
      <w:pPr>
        <w:keepNext w:val="0"/>
        <w:keepLines w:val="0"/>
        <w:pageBreakBefore w:val="0"/>
        <w:widowControl/>
        <w:kinsoku w:val="0"/>
        <w:wordWrap/>
        <w:overflowPunct/>
        <w:topLinePunct w:val="0"/>
        <w:autoSpaceDE w:val="0"/>
        <w:autoSpaceDN w:val="0"/>
        <w:bidi w:val="0"/>
        <w:adjustRightInd w:val="0"/>
        <w:snapToGrid w:val="0"/>
        <w:spacing w:line="760" w:lineRule="exact"/>
        <w:ind w:left="0" w:leftChars="0" w:firstLine="1687" w:firstLineChars="60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签订日期：  年  月   日</w:t>
      </w:r>
    </w:p>
    <w:p w14:paraId="107DB451">
      <w:pPr>
        <w:pStyle w:val="10"/>
        <w:rPr>
          <w:rFonts w:hint="eastAsia"/>
          <w:color w:val="auto"/>
          <w:highlight w:val="none"/>
          <w:lang w:val="en-US" w:eastAsia="zh-CN"/>
        </w:rPr>
        <w:sectPr>
          <w:pgSz w:w="11900" w:h="16832"/>
          <w:pgMar w:top="975" w:right="1497" w:bottom="975" w:left="1440" w:header="0" w:footer="839" w:gutter="0"/>
          <w:pgNumType w:fmt="decimal"/>
          <w:cols w:space="720" w:num="1"/>
          <w:rtlGutter w:val="0"/>
          <w:docGrid w:linePitch="1" w:charSpace="0"/>
        </w:sectPr>
      </w:pPr>
    </w:p>
    <w:p w14:paraId="6A3C0F64">
      <w:pPr>
        <w:pStyle w:val="3"/>
        <w:numPr>
          <w:ilvl w:val="0"/>
          <w:numId w:val="0"/>
        </w:numPr>
        <w:bidi w:val="0"/>
        <w:jc w:val="center"/>
        <w:rPr>
          <w:rFonts w:hint="eastAsia"/>
          <w:color w:val="auto"/>
          <w:highlight w:val="none"/>
          <w:lang w:val="en-US" w:eastAsia="zh-CN"/>
        </w:rPr>
      </w:pPr>
      <w:bookmarkStart w:id="34" w:name="_Toc80205944"/>
      <w:bookmarkStart w:id="35" w:name="_Toc5212"/>
      <w:bookmarkStart w:id="36" w:name="_Toc15299"/>
      <w:r>
        <w:rPr>
          <w:rFonts w:hint="eastAsia" w:ascii="Cambria" w:hAnsi="Cambria" w:eastAsia="宋体" w:cs="Times New Roman"/>
          <w:b/>
          <w:bCs/>
          <w:color w:val="auto"/>
          <w:kern w:val="2"/>
          <w:sz w:val="32"/>
          <w:szCs w:val="32"/>
          <w:highlight w:val="none"/>
          <w:lang w:val="en-US" w:eastAsia="zh-CN" w:bidi="ar-SA"/>
        </w:rPr>
        <w:t>第一节</w:t>
      </w:r>
      <w:r>
        <w:rPr>
          <w:rFonts w:hint="eastAsia" w:cs="Times New Roman"/>
          <w:b/>
          <w:bCs/>
          <w:color w:val="auto"/>
          <w:kern w:val="2"/>
          <w:sz w:val="32"/>
          <w:szCs w:val="32"/>
          <w:highlight w:val="none"/>
          <w:lang w:val="en-US" w:eastAsia="zh-CN" w:bidi="ar-SA"/>
        </w:rPr>
        <w:t xml:space="preserve"> </w:t>
      </w:r>
      <w:r>
        <w:rPr>
          <w:rFonts w:hint="eastAsia"/>
          <w:color w:val="auto"/>
          <w:highlight w:val="none"/>
          <w:lang w:val="en-US" w:eastAsia="zh-CN"/>
        </w:rPr>
        <w:t>合同</w:t>
      </w:r>
      <w:bookmarkEnd w:id="34"/>
      <w:r>
        <w:rPr>
          <w:rFonts w:hint="eastAsia"/>
          <w:color w:val="auto"/>
          <w:highlight w:val="none"/>
          <w:lang w:val="en-US" w:eastAsia="zh-CN"/>
        </w:rPr>
        <w:t>协议书</w:t>
      </w:r>
      <w:bookmarkEnd w:id="35"/>
      <w:bookmarkEnd w:id="36"/>
    </w:p>
    <w:p w14:paraId="4A44716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0" w:leftChars="0" w:firstLine="42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u w:val="single"/>
          <w:lang w:val="en-US" w:eastAsia="zh-CN"/>
        </w:rPr>
        <w:t>南宁市灌区管理中心</w:t>
      </w:r>
      <w:r>
        <w:rPr>
          <w:rFonts w:hint="eastAsia" w:ascii="宋体" w:hAnsi="宋体" w:eastAsia="宋体" w:cs="宋体"/>
          <w:color w:val="auto"/>
          <w:sz w:val="21"/>
          <w:szCs w:val="21"/>
          <w:highlight w:val="none"/>
        </w:rPr>
        <w:t>（发包人名称，以下简称“发包人”）为实施</w:t>
      </w:r>
      <w:r>
        <w:rPr>
          <w:rFonts w:hint="eastAsia" w:ascii="宋体" w:hAnsi="宋体" w:eastAsia="宋体" w:cs="宋体"/>
          <w:b/>
          <w:bCs/>
          <w:color w:val="auto"/>
          <w:sz w:val="21"/>
          <w:szCs w:val="21"/>
          <w:highlight w:val="none"/>
          <w:u w:val="single"/>
          <w:lang w:val="en-US" w:eastAsia="zh-CN"/>
        </w:rPr>
        <w:t>（</w:t>
      </w:r>
      <w:r>
        <w:rPr>
          <w:rFonts w:hint="eastAsia" w:ascii="宋体" w:hAnsi="宋体" w:cs="宋体"/>
          <w:b/>
          <w:bCs/>
          <w:color w:val="auto"/>
          <w:sz w:val="21"/>
          <w:szCs w:val="21"/>
          <w:highlight w:val="none"/>
          <w:u w:val="single"/>
          <w:lang w:val="en-US" w:eastAsia="zh-CN"/>
        </w:rPr>
        <w:t>南宁市五化灌区总干渠水毁应急抢险工程</w:t>
      </w:r>
      <w:r>
        <w:rPr>
          <w:rFonts w:hint="eastAsia" w:ascii="宋体" w:hAnsi="宋体" w:eastAsia="宋体" w:cs="宋体"/>
          <w:b/>
          <w:bCs/>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已接受</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single"/>
        </w:rPr>
        <w:t>（承包人名称，以下简称“承包人”）</w:t>
      </w:r>
      <w:r>
        <w:rPr>
          <w:rFonts w:hint="eastAsia" w:ascii="宋体" w:hAnsi="宋体" w:eastAsia="宋体" w:cs="宋体"/>
          <w:color w:val="auto"/>
          <w:sz w:val="21"/>
          <w:szCs w:val="21"/>
          <w:highlight w:val="none"/>
        </w:rPr>
        <w:t>对该项目</w:t>
      </w:r>
      <w:r>
        <w:rPr>
          <w:rFonts w:hint="eastAsia" w:ascii="宋体" w:hAnsi="宋体" w:cs="宋体"/>
          <w:b/>
          <w:bCs/>
          <w:color w:val="auto"/>
          <w:sz w:val="21"/>
          <w:szCs w:val="21"/>
          <w:highlight w:val="none"/>
          <w:u w:val="single"/>
          <w:lang w:val="en-US" w:eastAsia="zh-CN"/>
        </w:rPr>
        <w:t>南宁市五化灌区总干渠水毁应急抢险工程</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竞标</w:t>
      </w:r>
      <w:r>
        <w:rPr>
          <w:rFonts w:hint="eastAsia" w:ascii="宋体" w:hAnsi="宋体" w:eastAsia="宋体" w:cs="宋体"/>
          <w:color w:val="auto"/>
          <w:sz w:val="21"/>
          <w:szCs w:val="21"/>
          <w:highlight w:val="none"/>
        </w:rPr>
        <w:t>，并确定其为</w:t>
      </w:r>
      <w:r>
        <w:rPr>
          <w:rFonts w:hint="eastAsia" w:ascii="宋体" w:hAnsi="宋体" w:cs="宋体"/>
          <w:color w:val="auto"/>
          <w:sz w:val="21"/>
          <w:szCs w:val="21"/>
          <w:highlight w:val="none"/>
          <w:lang w:val="en-US" w:eastAsia="zh-CN"/>
        </w:rPr>
        <w:t>成交</w:t>
      </w:r>
      <w:r>
        <w:rPr>
          <w:rFonts w:hint="eastAsia" w:ascii="宋体" w:hAnsi="宋体" w:eastAsia="宋体" w:cs="宋体"/>
          <w:color w:val="auto"/>
          <w:sz w:val="21"/>
          <w:szCs w:val="21"/>
          <w:highlight w:val="none"/>
        </w:rPr>
        <w:t>人。发包人和承包人共同达成如下协议。</w:t>
      </w:r>
    </w:p>
    <w:p w14:paraId="01113504">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1.本协议书与下列文件一起构成合同文件：</w:t>
      </w:r>
    </w:p>
    <w:p w14:paraId="462B3C92">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（1）中标通知书；</w:t>
      </w:r>
    </w:p>
    <w:p w14:paraId="79B77B6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（2）投标函及投标函附录；</w:t>
      </w:r>
    </w:p>
    <w:p w14:paraId="3CEA093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（3）专用合同条款（含附加条款）；</w:t>
      </w:r>
    </w:p>
    <w:p w14:paraId="5F08821E">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（4）通用合同条款；</w:t>
      </w:r>
    </w:p>
    <w:p w14:paraId="4871ECB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（5）技术标准和要求（合同技术条款）；</w:t>
      </w:r>
    </w:p>
    <w:p w14:paraId="257EB05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（6）图纸；</w:t>
      </w:r>
    </w:p>
    <w:p w14:paraId="7BE289B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（7）已标价工程量清单；</w:t>
      </w:r>
    </w:p>
    <w:p w14:paraId="0D59C20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（8）其他合同文件。</w:t>
      </w:r>
    </w:p>
    <w:p w14:paraId="69D20D6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2.上述文件互相补充和解释，如有不明确或不一致之处，以合同约定次序在先者为准。</w:t>
      </w:r>
    </w:p>
    <w:p w14:paraId="36F677E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227" w:rightChars="-108"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3.签约合同价：人民币（大写）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），其中:安全文明措施费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w:t>
      </w:r>
    </w:p>
    <w:p w14:paraId="15EC881E">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4.承包人项目经理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DB1E9E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5.工程质量符合</w:t>
      </w:r>
      <w:r>
        <w:rPr>
          <w:rFonts w:hint="eastAsia" w:ascii="宋体" w:hAnsi="宋体" w:eastAsia="宋体" w:cs="宋体"/>
          <w:color w:val="auto"/>
          <w:sz w:val="21"/>
          <w:szCs w:val="21"/>
          <w:highlight w:val="none"/>
          <w:lang w:val="en-US" w:eastAsia="zh-CN"/>
        </w:rPr>
        <w:t>合格</w:t>
      </w:r>
      <w:r>
        <w:rPr>
          <w:rFonts w:hint="eastAsia" w:ascii="宋体" w:hAnsi="宋体" w:eastAsia="宋体" w:cs="宋体"/>
          <w:color w:val="auto"/>
          <w:sz w:val="21"/>
          <w:szCs w:val="21"/>
          <w:highlight w:val="none"/>
        </w:rPr>
        <w:t>标准。</w:t>
      </w:r>
    </w:p>
    <w:p w14:paraId="00DF851C">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6.承包人承诺按合同约定承担工程的实施、完成及缺陷修复。</w:t>
      </w:r>
    </w:p>
    <w:p w14:paraId="62347D3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7.发包人承诺按合同约定的条件、时间和方式向承包人支付合同价款。</w:t>
      </w:r>
    </w:p>
    <w:p w14:paraId="5D060D8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8.承包人承诺执行监理人开工通知，计划工期为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天。</w:t>
      </w:r>
    </w:p>
    <w:p w14:paraId="4A01643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9.本协议书一式</w:t>
      </w:r>
      <w:r>
        <w:rPr>
          <w:rFonts w:hint="eastAsia" w:ascii="宋体" w:hAnsi="宋体" w:eastAsia="宋体" w:cs="宋体"/>
          <w:color w:val="auto"/>
          <w:sz w:val="21"/>
          <w:szCs w:val="21"/>
          <w:highlight w:val="none"/>
          <w:lang w:val="en-US" w:eastAsia="zh-CN"/>
        </w:rPr>
        <w:t>捌</w:t>
      </w:r>
      <w:r>
        <w:rPr>
          <w:rFonts w:hint="eastAsia" w:ascii="宋体" w:hAnsi="宋体" w:eastAsia="宋体" w:cs="宋体"/>
          <w:color w:val="auto"/>
          <w:sz w:val="21"/>
          <w:szCs w:val="21"/>
          <w:highlight w:val="none"/>
        </w:rPr>
        <w:t>份，合同双方各执</w:t>
      </w:r>
      <w:r>
        <w:rPr>
          <w:rFonts w:hint="eastAsia" w:ascii="宋体" w:hAnsi="宋体" w:eastAsia="宋体" w:cs="宋体"/>
          <w:color w:val="auto"/>
          <w:sz w:val="21"/>
          <w:szCs w:val="21"/>
          <w:highlight w:val="none"/>
          <w:lang w:val="en-US" w:eastAsia="zh-CN"/>
        </w:rPr>
        <w:t>肆</w:t>
      </w:r>
      <w:r>
        <w:rPr>
          <w:rFonts w:hint="eastAsia" w:ascii="宋体" w:hAnsi="宋体" w:eastAsia="宋体" w:cs="宋体"/>
          <w:color w:val="auto"/>
          <w:sz w:val="21"/>
          <w:szCs w:val="21"/>
          <w:highlight w:val="none"/>
        </w:rPr>
        <w:t>份。</w:t>
      </w:r>
    </w:p>
    <w:p w14:paraId="62C2198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10.合同未尽事宜，双方另行签订补充协议。补充协议是合同的组成部分。</w:t>
      </w:r>
    </w:p>
    <w:p w14:paraId="7A35FE8C">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textAlignment w:val="baseline"/>
        <w:rPr>
          <w:rFonts w:hint="eastAsia" w:ascii="宋体" w:hAnsi="宋体" w:eastAsia="宋体" w:cs="宋体"/>
          <w:color w:val="auto"/>
          <w:sz w:val="21"/>
          <w:szCs w:val="21"/>
          <w:highlight w:val="none"/>
        </w:rPr>
      </w:pPr>
    </w:p>
    <w:p w14:paraId="7DCFA673">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发包人：</w:t>
      </w:r>
      <w:r>
        <w:rPr>
          <w:rFonts w:hint="eastAsia" w:ascii="宋体" w:hAnsi="宋体" w:eastAsia="宋体" w:cs="宋体"/>
          <w:color w:val="auto"/>
          <w:sz w:val="21"/>
          <w:szCs w:val="21"/>
          <w:highlight w:val="none"/>
          <w:lang w:val="en-US" w:eastAsia="zh-CN"/>
        </w:rPr>
        <w:t>南宁市灌区管理中心</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w:t>
      </w:r>
    </w:p>
    <w:p w14:paraId="3F88B8F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1260" w:firstLineChars="6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（盖单位公章）</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（盖单位公章）</w:t>
      </w:r>
    </w:p>
    <w:p w14:paraId="4C890491">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签字</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签字</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p>
    <w:p w14:paraId="48AA5CEE">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组织机构代码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124501007276454169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组织机构代码：</w:t>
      </w:r>
    </w:p>
    <w:p w14:paraId="35DA5C1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地址：南宁市青秀区东葛路20号</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地址：</w:t>
      </w:r>
    </w:p>
    <w:p w14:paraId="07DB0A4C">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邮政编码：530000</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邮政编码：</w:t>
      </w:r>
    </w:p>
    <w:p w14:paraId="2D5D64F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lang w:val="en-US" w:eastAsia="zh-CN"/>
        </w:rPr>
        <w:t>0771-3136976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  话：</w:t>
      </w:r>
    </w:p>
    <w:p w14:paraId="46C01B96">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lang w:val="en-US" w:eastAsia="zh-CN"/>
        </w:rPr>
        <w:t xml:space="preserve"> </w:t>
      </w:r>
    </w:p>
    <w:p w14:paraId="35F0AA0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电子信箱：nanningwuhua@163.com</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lang w:val="en-US" w:eastAsia="zh-CN"/>
        </w:rPr>
        <w:t xml:space="preserve"> </w:t>
      </w:r>
    </w:p>
    <w:p w14:paraId="0CB6F7BC">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开户银行：建行南宁市城北支行</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开户银行：</w:t>
      </w:r>
    </w:p>
    <w:p w14:paraId="5C356FA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  号：45001604759050700216</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p>
    <w:p w14:paraId="20353CF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textAlignment w:val="baseline"/>
        <w:rPr>
          <w:rFonts w:hint="eastAsia" w:ascii="宋体" w:hAnsi="宋体" w:eastAsia="宋体" w:cs="宋体"/>
          <w:color w:val="auto"/>
          <w:sz w:val="21"/>
          <w:szCs w:val="21"/>
          <w:highlight w:val="none"/>
          <w:lang w:eastAsia="zh-CN"/>
        </w:rPr>
        <w:sectPr>
          <w:footerReference r:id="rId5" w:type="default"/>
          <w:pgSz w:w="11900" w:h="16832"/>
          <w:pgMar w:top="975" w:right="1497" w:bottom="975" w:left="1440" w:header="0" w:footer="680" w:gutter="0"/>
          <w:pgNumType w:fmt="decimal"/>
          <w:cols w:space="720" w:num="1"/>
          <w:rtlGutter w:val="0"/>
          <w:docGrid w:linePitch="1" w:charSpace="0"/>
        </w:sectPr>
      </w:pPr>
    </w:p>
    <w:p w14:paraId="43594199">
      <w:pPr>
        <w:pStyle w:val="3"/>
        <w:numPr>
          <w:ilvl w:val="0"/>
          <w:numId w:val="0"/>
        </w:numPr>
        <w:bidi w:val="0"/>
        <w:jc w:val="center"/>
        <w:rPr>
          <w:rFonts w:hint="eastAsia" w:ascii="Cambria" w:hAnsi="Cambria" w:eastAsia="宋体" w:cs="Times New Roman"/>
          <w:b/>
          <w:bCs/>
          <w:color w:val="auto"/>
          <w:kern w:val="2"/>
          <w:sz w:val="32"/>
          <w:szCs w:val="32"/>
          <w:highlight w:val="none"/>
          <w:lang w:val="en-US" w:eastAsia="zh-CN" w:bidi="ar-SA"/>
        </w:rPr>
      </w:pPr>
      <w:bookmarkStart w:id="37" w:name="_Toc10810"/>
      <w:r>
        <w:rPr>
          <w:rFonts w:hint="eastAsia" w:ascii="Cambria" w:hAnsi="Cambria" w:eastAsia="宋体" w:cs="Times New Roman"/>
          <w:b/>
          <w:bCs/>
          <w:color w:val="auto"/>
          <w:kern w:val="2"/>
          <w:sz w:val="32"/>
          <w:szCs w:val="32"/>
          <w:highlight w:val="none"/>
          <w:lang w:val="en-US" w:eastAsia="zh-CN" w:bidi="ar-SA"/>
        </w:rPr>
        <w:t>第二节</w:t>
      </w:r>
      <w:r>
        <w:rPr>
          <w:rFonts w:hint="eastAsia" w:eastAsia="宋体" w:cs="Times New Roman"/>
          <w:b/>
          <w:bCs/>
          <w:color w:val="auto"/>
          <w:kern w:val="2"/>
          <w:sz w:val="32"/>
          <w:szCs w:val="32"/>
          <w:highlight w:val="none"/>
          <w:lang w:val="en-US" w:eastAsia="zh-CN" w:bidi="ar-SA"/>
        </w:rPr>
        <w:t xml:space="preserve"> </w:t>
      </w:r>
      <w:r>
        <w:rPr>
          <w:rFonts w:hint="eastAsia" w:ascii="Cambria" w:hAnsi="Cambria" w:eastAsia="宋体" w:cs="Times New Roman"/>
          <w:b/>
          <w:bCs/>
          <w:color w:val="auto"/>
          <w:kern w:val="2"/>
          <w:sz w:val="32"/>
          <w:szCs w:val="32"/>
          <w:highlight w:val="none"/>
          <w:lang w:val="en-US" w:eastAsia="zh-CN" w:bidi="ar-SA"/>
        </w:rPr>
        <w:t>专用合同条款</w:t>
      </w:r>
      <w:bookmarkEnd w:id="37"/>
    </w:p>
    <w:p w14:paraId="3A5A4F71">
      <w:pPr>
        <w:pStyle w:val="3"/>
        <w:bidi w:val="0"/>
        <w:rPr>
          <w:rFonts w:hint="eastAsia" w:ascii="宋体" w:hAnsi="宋体" w:eastAsia="宋体" w:cs="宋体"/>
          <w:b/>
          <w:bCs/>
          <w:color w:val="auto"/>
          <w:sz w:val="21"/>
          <w:szCs w:val="21"/>
          <w:highlight w:val="none"/>
          <w:lang w:val="en-US" w:eastAsia="zh-CN"/>
        </w:rPr>
      </w:pPr>
      <w:bookmarkStart w:id="38" w:name="_Toc9959"/>
      <w:r>
        <w:rPr>
          <w:rFonts w:hint="eastAsia" w:ascii="宋体" w:hAnsi="宋体" w:eastAsia="宋体" w:cs="宋体"/>
          <w:b/>
          <w:bCs/>
          <w:color w:val="auto"/>
          <w:sz w:val="21"/>
          <w:szCs w:val="21"/>
          <w:highlight w:val="none"/>
          <w:lang w:val="en-US" w:eastAsia="zh-CN"/>
        </w:rPr>
        <w:t>1.一般约定</w:t>
      </w:r>
      <w:bookmarkEnd w:id="38"/>
    </w:p>
    <w:p w14:paraId="7387004D">
      <w:pPr>
        <w:keepNext w:val="0"/>
        <w:keepLines w:val="0"/>
        <w:pageBreakBefore w:val="0"/>
        <w:widowControl/>
        <w:kinsoku w:val="0"/>
        <w:wordWrap/>
        <w:overflowPunct/>
        <w:topLinePunct w:val="0"/>
        <w:autoSpaceDE w:val="0"/>
        <w:autoSpaceDN w:val="0"/>
        <w:bidi w:val="0"/>
        <w:adjustRightInd w:val="0"/>
        <w:snapToGrid w:val="0"/>
        <w:spacing w:line="2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 词语定义</w:t>
      </w:r>
    </w:p>
    <w:p w14:paraId="6E447B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合同当事人和人员</w:t>
      </w:r>
    </w:p>
    <w:p w14:paraId="691B64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"1.1.2.2"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1.1.2.2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发包人：</w:t>
      </w:r>
      <w:r>
        <w:rPr>
          <w:rFonts w:hint="eastAsia" w:ascii="宋体" w:hAnsi="宋体" w:eastAsia="宋体" w:cs="宋体"/>
          <w:b/>
          <w:bCs/>
          <w:color w:val="auto"/>
          <w:sz w:val="21"/>
          <w:szCs w:val="21"/>
          <w:highlight w:val="none"/>
          <w:u w:val="single"/>
        </w:rPr>
        <w:t>南宁市灌区管理中心。</w:t>
      </w:r>
    </w:p>
    <w:p w14:paraId="03AFB1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"1.1.2.3"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1.1.2.3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承包人：</w:t>
      </w:r>
      <w:r>
        <w:rPr>
          <w:rFonts w:hint="eastAsia" w:ascii="宋体" w:hAnsi="宋体" w:eastAsia="宋体" w:cs="宋体"/>
          <w:b/>
          <w:bCs/>
          <w:color w:val="auto"/>
          <w:sz w:val="21"/>
          <w:szCs w:val="21"/>
          <w:highlight w:val="none"/>
          <w:u w:val="single"/>
          <w:lang w:val="en-US" w:eastAsia="zh-CN"/>
        </w:rPr>
        <w:t xml:space="preserve">                     。</w:t>
      </w:r>
    </w:p>
    <w:p w14:paraId="1FBA62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"1.1.2.4"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1.1.2.4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承包人项目负责人、技术负责人和专职安全员：</w:t>
      </w:r>
    </w:p>
    <w:p w14:paraId="67668BB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项目负责人：</w:t>
      </w:r>
      <w:r>
        <w:rPr>
          <w:rFonts w:hint="eastAsia" w:ascii="宋体" w:hAnsi="宋体" w:eastAsia="宋体" w:cs="宋体"/>
          <w:b/>
          <w:bCs/>
          <w:color w:val="auto"/>
          <w:sz w:val="21"/>
          <w:szCs w:val="21"/>
          <w:highlight w:val="none"/>
          <w:u w:val="single"/>
          <w:lang w:val="en-US" w:eastAsia="zh-CN"/>
        </w:rPr>
        <w:t xml:space="preserve">                     。</w:t>
      </w:r>
    </w:p>
    <w:p w14:paraId="494CA0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技术负责人：</w:t>
      </w:r>
      <w:r>
        <w:rPr>
          <w:rFonts w:hint="eastAsia" w:ascii="宋体" w:hAnsi="宋体" w:eastAsia="宋体" w:cs="宋体"/>
          <w:b/>
          <w:bCs/>
          <w:color w:val="auto"/>
          <w:sz w:val="21"/>
          <w:szCs w:val="21"/>
          <w:highlight w:val="none"/>
          <w:u w:val="single"/>
          <w:lang w:val="en-US" w:eastAsia="zh-CN"/>
        </w:rPr>
        <w:t xml:space="preserve">                     。</w:t>
      </w:r>
    </w:p>
    <w:p w14:paraId="564539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专职</w:t>
      </w:r>
      <w:r>
        <w:rPr>
          <w:rFonts w:hint="eastAsia" w:ascii="宋体" w:hAnsi="宋体" w:cs="宋体"/>
          <w:color w:val="auto"/>
          <w:sz w:val="21"/>
          <w:szCs w:val="21"/>
          <w:highlight w:val="none"/>
          <w:lang w:val="en-US" w:eastAsia="zh-CN"/>
        </w:rPr>
        <w:t>质检员</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u w:val="single"/>
          <w:lang w:val="en-US" w:eastAsia="zh-CN"/>
        </w:rPr>
        <w:t xml:space="preserve">                     。</w:t>
      </w:r>
    </w:p>
    <w:p w14:paraId="693E696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（项目负责人、技术负责人和专职安全员的姓名、身份证号号码，项目负责人执业证书号码以及项 目负责人和专职安全员水行政主管部门颁发的安全生产考核合格证书号码）。</w:t>
      </w:r>
    </w:p>
    <w:p w14:paraId="1F2BC3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"1.1.2.5"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1.1.2.5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分包人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本工程不允许分包或转包。</w:t>
      </w:r>
    </w:p>
    <w:p w14:paraId="4E7257E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"1.1.2.6"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1.1.2.6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监理人：</w:t>
      </w:r>
      <w:r>
        <w:rPr>
          <w:rFonts w:hint="eastAsia" w:ascii="宋体" w:hAnsi="宋体" w:eastAsia="宋体" w:cs="宋体"/>
          <w:b/>
          <w:bCs/>
          <w:color w:val="auto"/>
          <w:sz w:val="21"/>
          <w:szCs w:val="21"/>
          <w:highlight w:val="none"/>
          <w:u w:val="single"/>
          <w:lang w:val="en-US" w:eastAsia="zh-CN"/>
        </w:rPr>
        <w:t xml:space="preserve">                 。</w:t>
      </w:r>
    </w:p>
    <w:p w14:paraId="5E1E139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2.7</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总监理工程师</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u w:val="single"/>
          <w:lang w:val="en-US" w:eastAsia="zh-CN"/>
        </w:rPr>
        <w:t xml:space="preserve">                    </w:t>
      </w:r>
    </w:p>
    <w:p w14:paraId="4D6168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1.1.4.5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缺陷责任期(工程质量保修期)</w:t>
      </w:r>
      <w:r>
        <w:rPr>
          <w:rFonts w:hint="eastAsia" w:ascii="宋体" w:hAnsi="宋体" w:eastAsia="宋体" w:cs="宋体"/>
          <w:color w:val="auto"/>
          <w:sz w:val="21"/>
          <w:szCs w:val="21"/>
          <w:highlight w:val="none"/>
          <w:lang w:eastAsia="zh-CN"/>
        </w:rPr>
        <w:t>：</w:t>
      </w:r>
      <w:r>
        <w:rPr>
          <w:rFonts w:hint="eastAsia" w:ascii="宋体" w:hAnsi="宋体"/>
          <w:color w:val="auto"/>
          <w:szCs w:val="21"/>
          <w:highlight w:val="none"/>
          <w:lang w:val="en-US" w:eastAsia="zh-CN"/>
        </w:rPr>
        <w:t>双方约定本项目的质量保修期为保修期的起算日至通过竣工验收后一年。</w:t>
      </w:r>
    </w:p>
    <w:p w14:paraId="3532DAA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 合同文件的优先顺序</w:t>
      </w:r>
    </w:p>
    <w:p w14:paraId="2AD55AE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进入合同的各项文件及其优先顺序如下：</w:t>
      </w:r>
    </w:p>
    <w:p w14:paraId="236243D6">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（1）合同协议书(包括补充协议、合同谈判备忘录)；</w:t>
      </w:r>
    </w:p>
    <w:p w14:paraId="634D795A">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（2）中标通知书；</w:t>
      </w:r>
    </w:p>
    <w:p w14:paraId="772C4D9A">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（3）投标函及投标函附录；</w:t>
      </w:r>
    </w:p>
    <w:p w14:paraId="28FD361B">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（4）专用合同条款(含附加条款)；</w:t>
      </w:r>
    </w:p>
    <w:p w14:paraId="11AC3523">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（5）通用合同条款；</w:t>
      </w:r>
    </w:p>
    <w:p w14:paraId="373DECC2">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（6）技术标准和要求(合同技术条款)；</w:t>
      </w:r>
    </w:p>
    <w:p w14:paraId="583E103B">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（7）图纸；</w:t>
      </w:r>
    </w:p>
    <w:p w14:paraId="4F672BFA">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（8）已标价工程量清单；</w:t>
      </w:r>
    </w:p>
    <w:p w14:paraId="0A0B3177">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（9）投标文件其他内容；</w:t>
      </w:r>
    </w:p>
    <w:p w14:paraId="7828812E">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（10）其他合同文件。</w:t>
      </w:r>
    </w:p>
    <w:p w14:paraId="5ADCD93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 联络</w:t>
      </w:r>
    </w:p>
    <w:p w14:paraId="0E7902D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 来往函件均应按技术标准和要求(合同技术条款)约定的期限送达：1、承包人函件送达项目法人办公地点及监理人驻项目监理部；2、项目法人及监理人函件送达承包人驻工地项目经理部。</w:t>
      </w:r>
    </w:p>
    <w:p w14:paraId="0B5779BB">
      <w:pPr>
        <w:pStyle w:val="3"/>
        <w:bidi w:val="0"/>
        <w:rPr>
          <w:rFonts w:hint="eastAsia"/>
          <w:color w:val="auto"/>
          <w:highlight w:val="none"/>
        </w:rPr>
        <w:sectPr>
          <w:headerReference r:id="rId6" w:type="default"/>
          <w:footerReference r:id="rId7" w:type="default"/>
          <w:pgSz w:w="11905" w:h="16838"/>
          <w:pgMar w:top="958" w:right="1440" w:bottom="958" w:left="1587" w:header="850" w:footer="992" w:gutter="0"/>
          <w:pgNumType w:fmt="decimal"/>
          <w:cols w:space="720" w:num="1"/>
          <w:rtlGutter w:val="0"/>
          <w:docGrid w:type="lines" w:linePitch="317" w:charSpace="0"/>
        </w:sectPr>
      </w:pPr>
      <w:bookmarkStart w:id="39" w:name="_Toc14416"/>
    </w:p>
    <w:p w14:paraId="2C2B7B21">
      <w:pPr>
        <w:pStyle w:val="3"/>
        <w:bidi w:val="0"/>
        <w:rPr>
          <w:rFonts w:hint="eastAsia"/>
          <w:color w:val="auto"/>
          <w:highlight w:val="none"/>
        </w:rPr>
      </w:pPr>
      <w:bookmarkStart w:id="40" w:name="_Toc1686"/>
      <w:r>
        <w:rPr>
          <w:rFonts w:hint="eastAsia"/>
          <w:color w:val="auto"/>
          <w:highlight w:val="none"/>
        </w:rPr>
        <w:t>2. 发包人义务</w:t>
      </w:r>
      <w:bookmarkEnd w:id="39"/>
      <w:bookmarkEnd w:id="40"/>
    </w:p>
    <w:p w14:paraId="1E921F47">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 提供施工场地</w:t>
      </w:r>
    </w:p>
    <w:p w14:paraId="0B12CB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 发包人提供的施工场地范围为：</w:t>
      </w:r>
    </w:p>
    <w:p w14:paraId="2600DF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（1）发包人负责办理项目用地的使用权，完成拆迁补偿工作，并在项目实施过程中继续协助承包人解决以上事项的遗留问题。</w:t>
      </w:r>
    </w:p>
    <w:p w14:paraId="17996AF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原则上发包人指定施工场地范围为用地红线图标示的用地红线范围以内为准。发包人负责办理用地红线范围内的征地、拆迁和移民等有关手续，向承包人提供施工用地；发包人提供永久征地和施工临时用地红线图及坐标，承包人自行测量边界并标示，按文明施工要求对施工场地进行围挡；承包人应无条件接受现场条件并对施工场地进行维护；以上费用由承包人承担，发包人不另行支付。本标段范围内临时设施用地按设计规划总用地指标包干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因承包人原因对超出总体临时用地部分，发包人协助办理（但不承诺做到），相关费用由承包人承担。</w:t>
      </w:r>
    </w:p>
    <w:p w14:paraId="01DF5F5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（3）如果承包人出于任何正当的理由，要求使用额外的临时施工用地，应至少提前30天向监理人提出报告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协助以获得其所需之用地，报告应阐明所需额外用地的理由。发包人将协助承包人获得其所需的用地，但有关的土地补偿、拆迁安置、土地复垦和办理临时占地手续等所有费用都应由承包人负担。发包人不承诺保证获得或提供承包人要求的额外临时用地。</w:t>
      </w:r>
    </w:p>
    <w:p w14:paraId="5CBD903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（4）发包人提供的施工场地三通一平（含施工道路）完成情况按招标现状，承包人应无条件接受现场条件。</w:t>
      </w:r>
    </w:p>
    <w:p w14:paraId="34E8585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2.3.3 项补充约定如下：发包人向承包人提供施工场地内的工程地质图纸和报告、水文以及地下障碍物图纸等施工场地有关资料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承包人有责任对上述资料的真实性、准确性、完整性进行复核，如未进行复核，承包人需承担使用上述资料的风险。发包人不对承包人使用上述资料所做的分析、判断和推论负责。</w:t>
      </w:r>
    </w:p>
    <w:p w14:paraId="75B396E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2.6 支付合同价款</w:t>
      </w:r>
    </w:p>
    <w:p w14:paraId="71A28E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本款补充：发包人向承包人拨付建设工程项目各类款项时，将按照工程合同约定的比例或者承包人提供的人工费用数额，优先将人工费用拨付到农民工工资专用账户。</w:t>
      </w:r>
    </w:p>
    <w:p w14:paraId="695E1B10">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2.8 其它义务</w:t>
      </w:r>
    </w:p>
    <w:p w14:paraId="2D43C1F0">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 施工场地应具备的施工条件及提供的时间：</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p>
    <w:p w14:paraId="382A828E">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2.8.2 施工所需的水、电、电讯等管线接至施工场地的要求、接入地点和提供时间：</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p>
    <w:p w14:paraId="5B3547DE">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2.8.3 施工场地外部道路通行权提供时间和要求：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p>
    <w:p w14:paraId="79205930">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2.8.4 与施工场地周边环境关系的说明资料及相关协作关系合同的提交时间和要求：</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p>
    <w:p w14:paraId="2D162EDF">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2.8.5 协助承包人处理工程项目周边关系及环境保护事宜。</w:t>
      </w:r>
    </w:p>
    <w:p w14:paraId="2E361239">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2.8.6 根据承包人要求，发包人配合承包人在开始施工前办理施工所需的各种证件、批件和有关申请报批手续，并取得必须的许可。</w:t>
      </w:r>
    </w:p>
    <w:p w14:paraId="43B481EF">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2.8.7 建设过程中发包人应协调好参建各方（包括勘察、设计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施工、监理等）的工作交叉等工作联系。</w:t>
      </w:r>
    </w:p>
    <w:p w14:paraId="45F87DA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2.8.8 发包人应当组织勘察、设计等单位在施工招标文件中列出危大工程清单，但承包人进场后应补充完善危大工程清单，明确相应的安全管理措施并承担相应的费用及安全生产责任。</w:t>
      </w:r>
    </w:p>
    <w:p w14:paraId="7F8F5A9C">
      <w:pPr>
        <w:pStyle w:val="3"/>
        <w:bidi w:val="0"/>
        <w:rPr>
          <w:rFonts w:hint="eastAsia"/>
          <w:color w:val="auto"/>
          <w:highlight w:val="none"/>
        </w:rPr>
      </w:pPr>
      <w:bookmarkStart w:id="41" w:name="_Toc7314"/>
      <w:bookmarkStart w:id="42" w:name="_Toc9274"/>
      <w:r>
        <w:rPr>
          <w:rFonts w:hint="eastAsia"/>
          <w:color w:val="auto"/>
          <w:highlight w:val="none"/>
        </w:rPr>
        <w:t>3. 监理人</w:t>
      </w:r>
      <w:bookmarkEnd w:id="41"/>
      <w:bookmarkEnd w:id="42"/>
    </w:p>
    <w:p w14:paraId="6ACCA16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3.1 监理人的职责和权力</w:t>
      </w:r>
    </w:p>
    <w:p w14:paraId="272C6CB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 监理人须根据发包人事先批准的权力范围行使权力，发包人批准的权力范围：按本工程委托监理合同。</w:t>
      </w:r>
    </w:p>
    <w:p w14:paraId="30739D40">
      <w:pPr>
        <w:pStyle w:val="3"/>
        <w:bidi w:val="0"/>
        <w:rPr>
          <w:rFonts w:hint="eastAsia"/>
          <w:color w:val="auto"/>
          <w:highlight w:val="none"/>
        </w:rPr>
      </w:pPr>
      <w:bookmarkStart w:id="43" w:name="_Toc22774"/>
      <w:bookmarkStart w:id="44" w:name="_Toc23277"/>
      <w:r>
        <w:rPr>
          <w:rFonts w:hint="eastAsia"/>
          <w:color w:val="auto"/>
          <w:highlight w:val="none"/>
        </w:rPr>
        <w:t>4. 承包人</w:t>
      </w:r>
      <w:bookmarkEnd w:id="43"/>
      <w:bookmarkEnd w:id="44"/>
    </w:p>
    <w:p w14:paraId="685E16AC">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4.1 承包人的一般义务</w:t>
      </w:r>
    </w:p>
    <w:p w14:paraId="4B023F4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 4.1.3 项补充约定为：承包人应在开工前自行负责将生活和施工所需水、电、电讯、互联网等管网线从施工场地外部，接至生活驻地和施工现场位置，保证生活和施工期间的需要。负责临时设施的设计、建造、运行、维护、管理和拆除，负责施工用水、电、电讯、互联网等的设备购置、接入和使用。上述相关全部费用由承包人承担，并计入相关子目报价中，发包人不另行支付。</w:t>
      </w:r>
    </w:p>
    <w:p w14:paraId="2247910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4.1.10 其他义务</w:t>
      </w:r>
    </w:p>
    <w:p w14:paraId="723796A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（一）办理有关保险。</w:t>
      </w:r>
    </w:p>
    <w:p w14:paraId="396BD86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建筑法》规定，必须在工程开工前，为参加本合同工程现场施工的所有作业人员及管理人员，包括参加工程建设的管理人员、监理人员、施工人员(含民工)办理工伤保险，并缴纳工伤保险费。保险期限自投保之日(工程开工之日)起至工程竣工验收时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时间上涵盖施工全过程的任一时段。按照《建筑法》规定，鼓励为从事危险作业的职工办理意外伤害保险。</w:t>
      </w:r>
    </w:p>
    <w:p w14:paraId="5D1B9D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执行广西壮族自治区解决企业拖欠工资问题联席会议关于保障农民工工资支付的有关规定，确保农民工工资无拖欠。依法与招用的农民工签订并履行劳动合同，建立职工名册，及时办理劳动用工备案。实行农民工工资专用账户管理、银行代发农民工工资制度和农民工工资保证金制度。</w:t>
      </w:r>
    </w:p>
    <w:p w14:paraId="2061B7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承包人按时发放农民工工资，在发包人按时支付工程进度款后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发生拖欠农民工工资的，发包人从农民工工资保证金中先行垫付，并在当月工程款结算时给予扣回，承包人将作为不良信用单位记入该承包人工资支付信用档案。承包人恶意拖欠、克扣农民工工资的，发包人将按投标文件承诺书的相关规定处理。</w:t>
      </w:r>
    </w:p>
    <w:p w14:paraId="51D2E89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因承包人拖欠农民工工资等原因造成农民工到发包人或政府相关部门聚众闹事、追讨工资等事件，按1000元.人/次进行处罚，如达三次以上，没收全部履约保证金，如造成发包人损失的，由承包人负责赔偿。</w:t>
      </w:r>
    </w:p>
    <w:p w14:paraId="59025D1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1、根据《保障农民工工资支付条例》（国务院令第724号）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《人力资源社会保障部住房和城乡建设部交通运输部水利部银保监会铁路局民航局关于印发《工程建设领域农民工工资保证金规定》的通知》(人社部发(2021)65号)等有关规定</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广西壮族自治区工程建设领域农民工工资保证金规定实施办法》。在办理工程项目开工手续前，住所地在广西境内的（或住所地不在广西境内的）承包人必须向其住所地（或工程项目实际用工地的）相关劳动保障部门履行以下义务：</w:t>
      </w:r>
    </w:p>
    <w:p w14:paraId="4A2237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（1）按以下标准在劳动保障部门指定的账户足额存入农民工工资保证金：</w:t>
      </w:r>
    </w:p>
    <w:p w14:paraId="43A4E7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农民工工资保证金缴纳比例为1%（具体缴纳比例及免缴、减缴政策，均依照国家及地方相关法律法规、规范性文件规定执行）。</w:t>
      </w:r>
    </w:p>
    <w:p w14:paraId="02517CE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（2）承包人在投标时，必须在投标文件中作如下承诺：</w:t>
      </w:r>
    </w:p>
    <w:p w14:paraId="7D5F50F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 如实说明其以前所承建的工程项目中工资支付的情况，特别注明是否存在拖欠或克扣农民工工资的行为。</w:t>
      </w:r>
    </w:p>
    <w:p w14:paraId="26E2D2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 承诺中标后及时、足额存入农民工工资保证金。</w:t>
      </w:r>
    </w:p>
    <w:p w14:paraId="27392E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 承诺依法足额支付农民工工资，一旦其承建的工程项目出现拖欠农民工工资情况的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可由劳动保障部门从工资保证金中先予垫支</w:t>
      </w:r>
      <w:r>
        <w:rPr>
          <w:rFonts w:hint="eastAsia" w:ascii="宋体" w:hAnsi="宋体" w:eastAsia="宋体" w:cs="宋体"/>
          <w:color w:val="auto"/>
          <w:sz w:val="21"/>
          <w:szCs w:val="21"/>
          <w:highlight w:val="none"/>
          <w:lang w:eastAsia="zh-CN"/>
        </w:rPr>
        <w:t>。</w:t>
      </w:r>
    </w:p>
    <w:p w14:paraId="65F1721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承包人应当持根据上述作出的承诺和说明、存入农民工工资保证金的银行凭证到劳动保障部门报备。由劳动保障部门出具备案证明后到水利部门办理开工手续。</w:t>
      </w:r>
    </w:p>
    <w:p w14:paraId="78CE1C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（三）工程施工的义务和责任</w:t>
      </w:r>
    </w:p>
    <w:p w14:paraId="45A1B00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（1）承包人应为发包人和监理人免费提供施工现场必要的办公及生活用房，即承包人在开工前利用本项目临建费用对现场发包人现有的管理房或宿舍楼中按照发包人标准要求装修4间(含地板砖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墙面腻子、门窗及水电等)供发包人和监理人办公及生活用房</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负责施工场地内部的水、电等施工管、线路的铺、架设及其费用，并按供电部门规定向供电部门(或发包人)交纳水、电费。发包人提供的接电点在签订合同时明确。另外，施工通讯及设施由承包人负责并承担费用。</w:t>
      </w:r>
    </w:p>
    <w:p w14:paraId="25D3383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（2）除民房外，承包人应按监理人的指示负责拆除、清理已征用土地上的杂物、灌木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树木、树根、杂草等。</w:t>
      </w:r>
    </w:p>
    <w:p w14:paraId="7C06CAC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（3）承包人应充分理解有一些设施(如施工道路、桥梁)可能会有其它人和单位使用通行，在使用过程中发生干扰时，应立即通知监理人并服从监理人的决定。</w:t>
      </w:r>
    </w:p>
    <w:p w14:paraId="6C19EB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（4）承包人应为监理人、发包人现场代表对施工现场的检查监督提供必要的配合，并对这种配合对施工的影响应有充分的考虑。</w:t>
      </w:r>
    </w:p>
    <w:p w14:paraId="408372F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（5）工程竣工后，承包人应按监理人的指示清理施工现场直至监理人、发包人满意为止。</w:t>
      </w:r>
    </w:p>
    <w:p w14:paraId="2ABD6F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（6）对上述(1)～(5)项工作，费用已包括在有关单价和总价中，发包人不再另行支付由此所发生的一切费用。</w:t>
      </w:r>
    </w:p>
    <w:p w14:paraId="2308ECD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132A606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（8）承包人必须文明、安全施工，在施工期间发生的一切人员伤亡和财产损失等责任事故和所发生的一切费用概由承包人承担。</w:t>
      </w:r>
    </w:p>
    <w:p w14:paraId="366B65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（9）按照发包人的要求做好安全文明宣传、监督检查宣传等工作，相关费用由承包人承担。</w:t>
      </w:r>
    </w:p>
    <w:p w14:paraId="1FB80F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（10）承包人应按约定时间和要求，完成以下工作：</w:t>
      </w:r>
    </w:p>
    <w:p w14:paraId="6803140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①按时提交施工组织设计、单位工程的施工方案。</w:t>
      </w:r>
    </w:p>
    <w:p w14:paraId="26EE013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②每月25日向监理人提交当月工程进度报表及下月进度计划。</w:t>
      </w:r>
    </w:p>
    <w:p w14:paraId="72EDB1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③承包人自行负责施工安全保卫工作及夜间施工照明。</w:t>
      </w:r>
    </w:p>
    <w:p w14:paraId="68FA407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④需承包人办理的有关施工场地交通、环卫和施工噪音降尘管理等手续：遵守有关部门对施工现场交通、环卫和施工噪音降尘管理规定，如有发生，费用由承包人承担。</w:t>
      </w:r>
    </w:p>
    <w:p w14:paraId="0B9F66B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⑤已完工程成品保护的特殊要求及费用承担：已完工工程未交付发包人之前，承包人按协议条款约定负责已完成工程的成品保护工作，保护期间发生损坏，承包人自费予以修复。</w:t>
      </w:r>
    </w:p>
    <w:p w14:paraId="54BD14C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⑥承包人有义务对施工场地周围管线(含地上及地下)和邻近建筑物、构筑物(含文物保护建筑)、古树名木等进行探明并负责保护</w:t>
      </w:r>
      <w:r>
        <w:rPr>
          <w:rFonts w:hint="eastAsia" w:ascii="宋体" w:hAnsi="宋体" w:eastAsia="宋体" w:cs="宋体"/>
          <w:color w:val="auto"/>
          <w:sz w:val="21"/>
          <w:szCs w:val="21"/>
          <w:highlight w:val="none"/>
          <w:lang w:eastAsia="zh-CN"/>
        </w:rPr>
        <w:t>。</w:t>
      </w:r>
    </w:p>
    <w:p w14:paraId="082B1EA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⑦施工场地清洁卫生的要求：按城建卫生有关规定执行，由承包人负责，费用由承包人承担。</w:t>
      </w:r>
    </w:p>
    <w:p w14:paraId="01077E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⑧承包人承担施工场地、水电及运输通道的修建和维护、清场等费用。</w:t>
      </w:r>
    </w:p>
    <w:p w14:paraId="549FB82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（11）双方约定承包人应做的其他工作：</w:t>
      </w:r>
    </w:p>
    <w:p w14:paraId="2D90815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①凡属于需要承包人交付给其他承包人的工作面以及与其他承包人交叉作业的工作面，承包人必须服从监理人的决定，按规定的完工日期完成并将清理好的工作面移交给发包人，并取得监理人的同意。</w:t>
      </w:r>
    </w:p>
    <w:p w14:paraId="496BFA1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②工程完工后，承包人应按监理人的指示清理施工现场。并在工程完工后6个月内完成并提交工程竣工资料和工程结算资料。承包人逾期提交，发包人将对承包人的拖延行为视为违约，并按 1000 元/天计算违约金，违约金从承包人应得的工程款中扣除，但其最终的累计总金额与各项逾期完工违约金合计不超过合同价格的 5%。</w:t>
      </w:r>
    </w:p>
    <w:p w14:paraId="3950525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（12）其他未尽事宜待签订施工合同时双方再协商。</w:t>
      </w:r>
    </w:p>
    <w:p w14:paraId="513D317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根据《关于在重点工程项目中大力实施以工代赈促进当地群众就业增收工作方案的通知》（国办函〔2022〕58号）和《水利部办公厅关于印发在农村水利基础设施领域推广以工代赈方式2022年工作要点的通知》（办规计〔2022〕175号）等文件要求，承包人应尽可能通过以工代赈方式吸纳当地群众参与工程建设。鼓励承包人根据工程建设实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吸纳建档立卡贫困劳动力参加工程建设。</w:t>
      </w:r>
    </w:p>
    <w:p w14:paraId="1011BBC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（五）执行自治区关于松材线虫病防控工作的有关规定，工程建设采用的模板、支撑及脚手架以钢模板、钢支撑为主，木质模板及仿材尽量就地采购，避免长途转运。</w:t>
      </w:r>
    </w:p>
    <w:p w14:paraId="3AFE81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4.3 分包</w:t>
      </w:r>
    </w:p>
    <w:p w14:paraId="40C4AA3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4.3 项补充约定如下：</w:t>
      </w:r>
    </w:p>
    <w:p w14:paraId="47970D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严禁任何形式的工程分包，承包人不得将本合同约定的工程内容拆分后转让给第三方实施，也不得将工程主体结构、关键性工作交由第三方完成；若本工程涉及劳务作业，承包人可依法开展劳务分包，但劳务分包对象须具备合法有效的劳务作业资质且未被列入失信被执行人名单或建筑市场黑名单，承包人应在劳务分包合同签订后 7 个工作日内，将劳务分包合同、分包单位资质证书、项目负责人及劳务人员名册（含身份证复印件、岗位证书）等资料提交至发包人备案，后续发生</w:t>
      </w:r>
      <w:r>
        <w:rPr>
          <w:rFonts w:hint="eastAsia" w:ascii="宋体" w:hAnsi="宋体" w:eastAsia="宋体" w:cs="宋体"/>
          <w:color w:val="auto"/>
          <w:sz w:val="21"/>
          <w:szCs w:val="21"/>
          <w:highlight w:val="none"/>
          <w:lang w:val="en-US" w:eastAsia="zh-CN"/>
        </w:rPr>
        <w:t>劳务</w:t>
      </w:r>
      <w:r>
        <w:rPr>
          <w:rFonts w:hint="eastAsia" w:ascii="宋体" w:hAnsi="宋体" w:eastAsia="宋体" w:cs="宋体"/>
          <w:color w:val="auto"/>
          <w:sz w:val="21"/>
          <w:szCs w:val="21"/>
          <w:highlight w:val="none"/>
        </w:rPr>
        <w:t>分包单位变更、人员调整等情况的，需在变更后 3 个工作日内将更新资料补充报送备案，且所提交的劳务分包资料内容须真实、完整；发包人有权对劳务分包单位的资质合规性、劳务人员配置情况进行核查，承包人应予以配合，若发现劳务分包不符合法律法规或本约定要求，承包人须在发包人要求的期限内整改，由此产生的费用及工期延误责任由承包人承担；同时，承包人对劳务分包作业的质量、安全、进度及劳务人员工资支付承担全部责任，不因劳务分包而转移，因劳务分包引发的质量问题、安全事故或工资拖欠纠纷，均由承包人负责处理并承担全部法律责任。</w:t>
      </w:r>
    </w:p>
    <w:p w14:paraId="588EAF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4.3.10 分包人项目管理机构的设立：无。</w:t>
      </w:r>
    </w:p>
    <w:p w14:paraId="7067B1D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4.5 承包人项目经理</w:t>
      </w:r>
    </w:p>
    <w:p w14:paraId="6B96733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4.5.5（1）同一施工项目负责人不能同时在两个及以上的工程项目上担任施工项目负责人</w:t>
      </w:r>
    </w:p>
    <w:p w14:paraId="5247974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（2）承包人应保证项目负责人每月在工地现场的时间不少于22 日，否则将按每人每天人民币  1000 元的标准向发包人支付违约金，违约金自发包人应支付给承包人的进度付款中扣除，由有关行政监督部门处理后报请有关行政监督部门将结果记入市场主体信用档案，公布不良行为记录。上述人员因其他事务需短期离开工地，应向发包人请假，经批准后方可离开，离开期间应委托项目相关负责人负责其外出时的日常工作。</w:t>
      </w:r>
    </w:p>
    <w:p w14:paraId="27794C5F">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4.6 承包人人员的管理</w:t>
      </w:r>
    </w:p>
    <w:p w14:paraId="647658D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4.6.5承包人应保证项目总工（技术负责人）、专职安全员每月在工地现场的时间不少于 22  日，否则将按每人每天人民币 1000 元的标准向发包人支付违约金，违约金自发包人应支付给承包人的进度付款中扣除。上述人员因其他事务需短期离开工地，应向发包人请假，经批准后方可离开，离开期间应委托项目相关负责人负责其外出时的日常工作</w:t>
      </w:r>
      <w:r>
        <w:rPr>
          <w:rFonts w:hint="eastAsia" w:ascii="宋体" w:hAnsi="宋体" w:eastAsia="宋体" w:cs="宋体"/>
          <w:color w:val="auto"/>
          <w:sz w:val="21"/>
          <w:szCs w:val="21"/>
          <w:highlight w:val="none"/>
          <w:lang w:eastAsia="zh-CN"/>
        </w:rPr>
        <w:t>。</w:t>
      </w:r>
    </w:p>
    <w:p w14:paraId="0AEB1E46">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4.7 撤换承包人项目经理和其他人员</w:t>
      </w:r>
    </w:p>
    <w:p w14:paraId="37741E2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4.7.1 中标人根据投标文件的承诺，投入本项目的项目经理、技术负责人、质量管理员、安全管理员等主要管理人员中标后不得更换(除因故去世、调离本单位外)。</w:t>
      </w:r>
    </w:p>
    <w:p w14:paraId="5508EB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☑4.7.1 投入本项目的项目经理、技术负责人、质量管理员、专职管理员等主要管理人员中标后，经中标人申请、监理机构审核允许、招标人同意后方可变更为不低于同等条件的人员。</w:t>
      </w:r>
    </w:p>
    <w:p w14:paraId="680A91F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4.7.2 除非发包人要求或者批准，承包人擅自更换项目经理、项目副经理、技术负责人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专职安全员的，将按每人每天人民币  500 元的标准向发包人支付违约金，由有关行政监督部门处理后报请有关行政监督部门将结果记入市场主体信用档案，公布不良行为记录。</w:t>
      </w:r>
    </w:p>
    <w:p w14:paraId="2E45203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4.7.3 尽管承包人已按第4.6.2款的规定派遣了各类人员，但仍然不能满足合同工程的进度计划或质量要求时，发包人有权要求承包人继续增派（/或更换）人员。承包人在接到通知14天内，增派（和/或更换）的人员要到岗，否则，承包人应按每人每天人民币 1000元的标准向发包人支付违约金，直至按照发包人的要求增派（和/或更换）的人员到岗为此。</w:t>
      </w:r>
    </w:p>
    <w:p w14:paraId="6BCC33B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以上违约金自发包人应支付给承包人的进度付款中扣除。</w:t>
      </w:r>
    </w:p>
    <w:p w14:paraId="1448D6F8">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4.11 不利物质条件</w:t>
      </w:r>
    </w:p>
    <w:p w14:paraId="52A7633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4.11.1不利物质条件的范围： 按通用条款，无特殊约定。</w:t>
      </w:r>
    </w:p>
    <w:p w14:paraId="5C49B701">
      <w:pPr>
        <w:pStyle w:val="3"/>
        <w:bidi w:val="0"/>
        <w:rPr>
          <w:rFonts w:hint="eastAsia"/>
          <w:color w:val="auto"/>
          <w:highlight w:val="none"/>
        </w:rPr>
      </w:pPr>
      <w:bookmarkStart w:id="45" w:name="_Toc4215"/>
      <w:bookmarkStart w:id="46" w:name="_Toc12654"/>
      <w:r>
        <w:rPr>
          <w:rFonts w:hint="eastAsia"/>
          <w:color w:val="auto"/>
          <w:highlight w:val="none"/>
        </w:rPr>
        <w:t>5. 材料和工程设备</w:t>
      </w:r>
      <w:bookmarkEnd w:id="45"/>
      <w:bookmarkEnd w:id="46"/>
    </w:p>
    <w:p w14:paraId="7768B2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发包人提供的材料和工程设备见下表：</w:t>
      </w:r>
    </w:p>
    <w:p w14:paraId="4E8C83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发包人提供的材料表（参考格式）</w:t>
      </w:r>
    </w:p>
    <w:tbl>
      <w:tblPr>
        <w:tblStyle w:val="26"/>
        <w:tblW w:w="85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37"/>
        <w:gridCol w:w="1132"/>
        <w:gridCol w:w="851"/>
        <w:gridCol w:w="1133"/>
        <w:gridCol w:w="1135"/>
        <w:gridCol w:w="1557"/>
        <w:gridCol w:w="856"/>
      </w:tblGrid>
      <w:tr w14:paraId="651C9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0" w:type="dxa"/>
            <w:noWrap w:val="0"/>
            <w:vAlign w:val="top"/>
          </w:tcPr>
          <w:p w14:paraId="3CA448E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37" w:type="dxa"/>
            <w:noWrap w:val="0"/>
            <w:vAlign w:val="top"/>
          </w:tcPr>
          <w:p w14:paraId="28E8707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材料名称</w:t>
            </w:r>
          </w:p>
        </w:tc>
        <w:tc>
          <w:tcPr>
            <w:tcW w:w="1132" w:type="dxa"/>
            <w:noWrap w:val="0"/>
            <w:vAlign w:val="top"/>
          </w:tcPr>
          <w:p w14:paraId="6EBB60B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材料规格</w:t>
            </w:r>
          </w:p>
        </w:tc>
        <w:tc>
          <w:tcPr>
            <w:tcW w:w="851" w:type="dxa"/>
            <w:noWrap w:val="0"/>
            <w:vAlign w:val="top"/>
          </w:tcPr>
          <w:p w14:paraId="3BB81F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33" w:type="dxa"/>
            <w:noWrap w:val="0"/>
            <w:vAlign w:val="top"/>
          </w:tcPr>
          <w:p w14:paraId="66F128F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交货地点</w:t>
            </w:r>
          </w:p>
        </w:tc>
        <w:tc>
          <w:tcPr>
            <w:tcW w:w="1135" w:type="dxa"/>
            <w:noWrap w:val="0"/>
            <w:vAlign w:val="top"/>
          </w:tcPr>
          <w:p w14:paraId="0C7AD0A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交货方式</w:t>
            </w:r>
          </w:p>
        </w:tc>
        <w:tc>
          <w:tcPr>
            <w:tcW w:w="1557" w:type="dxa"/>
            <w:noWrap w:val="0"/>
            <w:vAlign w:val="top"/>
          </w:tcPr>
          <w:p w14:paraId="2AD12BF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计划交货日期</w:t>
            </w:r>
          </w:p>
        </w:tc>
        <w:tc>
          <w:tcPr>
            <w:tcW w:w="856" w:type="dxa"/>
            <w:noWrap w:val="0"/>
            <w:vAlign w:val="top"/>
          </w:tcPr>
          <w:p w14:paraId="3068BC8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29DA8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10" w:type="dxa"/>
            <w:noWrap w:val="0"/>
            <w:vAlign w:val="top"/>
          </w:tcPr>
          <w:p w14:paraId="3BD36D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137" w:type="dxa"/>
            <w:noWrap w:val="0"/>
            <w:vAlign w:val="top"/>
          </w:tcPr>
          <w:p w14:paraId="5D271CD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132" w:type="dxa"/>
            <w:noWrap w:val="0"/>
            <w:vAlign w:val="top"/>
          </w:tcPr>
          <w:p w14:paraId="280396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1" w:type="dxa"/>
            <w:noWrap w:val="0"/>
            <w:vAlign w:val="top"/>
          </w:tcPr>
          <w:p w14:paraId="6C860E5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3" w:type="dxa"/>
            <w:noWrap w:val="0"/>
            <w:vAlign w:val="top"/>
          </w:tcPr>
          <w:p w14:paraId="462D5D8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5" w:type="dxa"/>
            <w:noWrap w:val="0"/>
            <w:vAlign w:val="top"/>
          </w:tcPr>
          <w:p w14:paraId="1250264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557" w:type="dxa"/>
            <w:noWrap w:val="0"/>
            <w:vAlign w:val="top"/>
          </w:tcPr>
          <w:p w14:paraId="7AFBAB4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6" w:type="dxa"/>
            <w:noWrap w:val="0"/>
            <w:vAlign w:val="top"/>
          </w:tcPr>
          <w:p w14:paraId="6F94A0D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r w14:paraId="61B47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710" w:type="dxa"/>
            <w:noWrap w:val="0"/>
            <w:vAlign w:val="top"/>
          </w:tcPr>
          <w:p w14:paraId="567F7E2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7" w:type="dxa"/>
            <w:noWrap w:val="0"/>
            <w:vAlign w:val="top"/>
          </w:tcPr>
          <w:p w14:paraId="6F55320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2" w:type="dxa"/>
            <w:noWrap w:val="0"/>
            <w:vAlign w:val="top"/>
          </w:tcPr>
          <w:p w14:paraId="6C00DE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1" w:type="dxa"/>
            <w:noWrap w:val="0"/>
            <w:vAlign w:val="top"/>
          </w:tcPr>
          <w:p w14:paraId="062D96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3" w:type="dxa"/>
            <w:noWrap w:val="0"/>
            <w:vAlign w:val="top"/>
          </w:tcPr>
          <w:p w14:paraId="3F765F3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5" w:type="dxa"/>
            <w:noWrap w:val="0"/>
            <w:vAlign w:val="top"/>
          </w:tcPr>
          <w:p w14:paraId="096947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557" w:type="dxa"/>
            <w:noWrap w:val="0"/>
            <w:vAlign w:val="top"/>
          </w:tcPr>
          <w:p w14:paraId="7653051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6" w:type="dxa"/>
            <w:noWrap w:val="0"/>
            <w:vAlign w:val="top"/>
          </w:tcPr>
          <w:p w14:paraId="2D77F41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bl>
    <w:p w14:paraId="629F02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发包人提供的工程设备表（参考格式）</w:t>
      </w:r>
    </w:p>
    <w:tbl>
      <w:tblPr>
        <w:tblStyle w:val="26"/>
        <w:tblW w:w="85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1456"/>
        <w:gridCol w:w="1235"/>
        <w:gridCol w:w="852"/>
        <w:gridCol w:w="1132"/>
        <w:gridCol w:w="1135"/>
        <w:gridCol w:w="991"/>
        <w:gridCol w:w="998"/>
      </w:tblGrid>
      <w:tr w14:paraId="72123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12" w:type="dxa"/>
            <w:noWrap w:val="0"/>
            <w:vAlign w:val="top"/>
          </w:tcPr>
          <w:p w14:paraId="75EFE41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56" w:type="dxa"/>
            <w:noWrap w:val="0"/>
            <w:vAlign w:val="top"/>
          </w:tcPr>
          <w:p w14:paraId="5418AE2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工程设备名称</w:t>
            </w:r>
          </w:p>
        </w:tc>
        <w:tc>
          <w:tcPr>
            <w:tcW w:w="1235" w:type="dxa"/>
            <w:noWrap w:val="0"/>
            <w:vAlign w:val="top"/>
          </w:tcPr>
          <w:p w14:paraId="0833B77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型号及规格</w:t>
            </w:r>
          </w:p>
        </w:tc>
        <w:tc>
          <w:tcPr>
            <w:tcW w:w="852" w:type="dxa"/>
            <w:noWrap w:val="0"/>
            <w:vAlign w:val="top"/>
          </w:tcPr>
          <w:p w14:paraId="7D6A98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32" w:type="dxa"/>
            <w:noWrap w:val="0"/>
            <w:vAlign w:val="top"/>
          </w:tcPr>
          <w:p w14:paraId="24112A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交货地点</w:t>
            </w:r>
          </w:p>
        </w:tc>
        <w:tc>
          <w:tcPr>
            <w:tcW w:w="1135" w:type="dxa"/>
            <w:noWrap w:val="0"/>
            <w:vAlign w:val="top"/>
          </w:tcPr>
          <w:p w14:paraId="450AA5D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交货方式</w:t>
            </w:r>
          </w:p>
        </w:tc>
        <w:tc>
          <w:tcPr>
            <w:tcW w:w="991" w:type="dxa"/>
            <w:noWrap w:val="0"/>
            <w:vAlign w:val="top"/>
          </w:tcPr>
          <w:p w14:paraId="2246874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计划交</w:t>
            </w:r>
          </w:p>
          <w:p w14:paraId="5BE73DF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货日期</w:t>
            </w:r>
          </w:p>
        </w:tc>
        <w:tc>
          <w:tcPr>
            <w:tcW w:w="998" w:type="dxa"/>
            <w:noWrap w:val="0"/>
            <w:vAlign w:val="top"/>
          </w:tcPr>
          <w:p w14:paraId="02979B6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D52F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712" w:type="dxa"/>
            <w:noWrap w:val="0"/>
            <w:vAlign w:val="top"/>
          </w:tcPr>
          <w:p w14:paraId="383FE40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456" w:type="dxa"/>
            <w:noWrap w:val="0"/>
            <w:vAlign w:val="top"/>
          </w:tcPr>
          <w:p w14:paraId="51A4DB4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235" w:type="dxa"/>
            <w:noWrap w:val="0"/>
            <w:vAlign w:val="top"/>
          </w:tcPr>
          <w:p w14:paraId="611D458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2" w:type="dxa"/>
            <w:noWrap w:val="0"/>
            <w:vAlign w:val="top"/>
          </w:tcPr>
          <w:p w14:paraId="0692B2B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2" w:type="dxa"/>
            <w:noWrap w:val="0"/>
            <w:vAlign w:val="top"/>
          </w:tcPr>
          <w:p w14:paraId="32315C8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5" w:type="dxa"/>
            <w:noWrap w:val="0"/>
            <w:vAlign w:val="top"/>
          </w:tcPr>
          <w:p w14:paraId="21468B6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1" w:type="dxa"/>
            <w:noWrap w:val="0"/>
            <w:vAlign w:val="top"/>
          </w:tcPr>
          <w:p w14:paraId="5497087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8" w:type="dxa"/>
            <w:noWrap w:val="0"/>
            <w:vAlign w:val="top"/>
          </w:tcPr>
          <w:p w14:paraId="7989F6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r w14:paraId="05CD0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2" w:type="dxa"/>
            <w:noWrap w:val="0"/>
            <w:vAlign w:val="top"/>
          </w:tcPr>
          <w:p w14:paraId="4896C78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456" w:type="dxa"/>
            <w:noWrap w:val="0"/>
            <w:vAlign w:val="top"/>
          </w:tcPr>
          <w:p w14:paraId="43126C6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235" w:type="dxa"/>
            <w:noWrap w:val="0"/>
            <w:vAlign w:val="top"/>
          </w:tcPr>
          <w:p w14:paraId="65D27DB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2" w:type="dxa"/>
            <w:noWrap w:val="0"/>
            <w:vAlign w:val="top"/>
          </w:tcPr>
          <w:p w14:paraId="085CCDD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2" w:type="dxa"/>
            <w:noWrap w:val="0"/>
            <w:vAlign w:val="top"/>
          </w:tcPr>
          <w:p w14:paraId="060C9A0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5" w:type="dxa"/>
            <w:noWrap w:val="0"/>
            <w:vAlign w:val="top"/>
          </w:tcPr>
          <w:p w14:paraId="0FC9C40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1" w:type="dxa"/>
            <w:noWrap w:val="0"/>
            <w:vAlign w:val="top"/>
          </w:tcPr>
          <w:p w14:paraId="6B5AE1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8" w:type="dxa"/>
            <w:noWrap w:val="0"/>
            <w:vAlign w:val="top"/>
          </w:tcPr>
          <w:p w14:paraId="441B1C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bl>
    <w:p w14:paraId="2AAA1EB1">
      <w:pPr>
        <w:pStyle w:val="3"/>
        <w:bidi w:val="0"/>
        <w:rPr>
          <w:rFonts w:hint="eastAsia"/>
          <w:color w:val="auto"/>
          <w:highlight w:val="none"/>
        </w:rPr>
      </w:pPr>
      <w:bookmarkStart w:id="47" w:name="_Toc11482"/>
      <w:bookmarkStart w:id="48" w:name="_Toc16460"/>
      <w:r>
        <w:rPr>
          <w:rFonts w:hint="eastAsia"/>
          <w:color w:val="auto"/>
          <w:highlight w:val="none"/>
        </w:rPr>
        <w:t>6. 施工设备和临时设施</w:t>
      </w:r>
      <w:bookmarkEnd w:id="47"/>
      <w:bookmarkEnd w:id="48"/>
    </w:p>
    <w:p w14:paraId="6694C397">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6.1 承包人提供的施工设备和临时设施</w:t>
      </w:r>
    </w:p>
    <w:p w14:paraId="57F1AE4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 承包人自行承担修建临时设施的费用，需要临时占地的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由承包人办理相关申请手续，发包人予以协助，发生的相关费用由承包人承担。</w:t>
      </w:r>
    </w:p>
    <w:p w14:paraId="6D3999D8">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6.2 发包人提供的施工设备和临时设施</w:t>
      </w:r>
    </w:p>
    <w:p w14:paraId="37BACC9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（1）发包人提供的的施工设备见下表：</w:t>
      </w:r>
    </w:p>
    <w:p w14:paraId="53F7DF7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发包人提供的工程设备表（参考格式）</w:t>
      </w:r>
    </w:p>
    <w:tbl>
      <w:tblPr>
        <w:tblStyle w:val="26"/>
        <w:tblW w:w="85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1456"/>
        <w:gridCol w:w="1235"/>
        <w:gridCol w:w="852"/>
        <w:gridCol w:w="1132"/>
        <w:gridCol w:w="1135"/>
        <w:gridCol w:w="991"/>
        <w:gridCol w:w="998"/>
      </w:tblGrid>
      <w:tr w14:paraId="59A93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12" w:type="dxa"/>
            <w:noWrap w:val="0"/>
            <w:vAlign w:val="top"/>
          </w:tcPr>
          <w:p w14:paraId="129BB81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56" w:type="dxa"/>
            <w:noWrap w:val="0"/>
            <w:vAlign w:val="top"/>
          </w:tcPr>
          <w:p w14:paraId="590934A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施工设备名称</w:t>
            </w:r>
          </w:p>
        </w:tc>
        <w:tc>
          <w:tcPr>
            <w:tcW w:w="1235" w:type="dxa"/>
            <w:noWrap w:val="0"/>
            <w:vAlign w:val="top"/>
          </w:tcPr>
          <w:p w14:paraId="27939A0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型号及规格</w:t>
            </w:r>
          </w:p>
        </w:tc>
        <w:tc>
          <w:tcPr>
            <w:tcW w:w="852" w:type="dxa"/>
            <w:noWrap w:val="0"/>
            <w:vAlign w:val="top"/>
          </w:tcPr>
          <w:p w14:paraId="570ACEC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132" w:type="dxa"/>
            <w:noWrap w:val="0"/>
            <w:vAlign w:val="top"/>
          </w:tcPr>
          <w:p w14:paraId="19BCCC0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设备状况</w:t>
            </w:r>
          </w:p>
        </w:tc>
        <w:tc>
          <w:tcPr>
            <w:tcW w:w="1135" w:type="dxa"/>
            <w:noWrap w:val="0"/>
            <w:vAlign w:val="top"/>
          </w:tcPr>
          <w:p w14:paraId="2D2F873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移交地点</w:t>
            </w:r>
          </w:p>
        </w:tc>
        <w:tc>
          <w:tcPr>
            <w:tcW w:w="991" w:type="dxa"/>
            <w:noWrap w:val="0"/>
            <w:vAlign w:val="top"/>
          </w:tcPr>
          <w:p w14:paraId="10B82D5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计划移交</w:t>
            </w:r>
          </w:p>
          <w:p w14:paraId="4B9FF9B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tc>
        <w:tc>
          <w:tcPr>
            <w:tcW w:w="998" w:type="dxa"/>
            <w:noWrap w:val="0"/>
            <w:vAlign w:val="top"/>
          </w:tcPr>
          <w:p w14:paraId="63A6C1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7F9A8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12" w:type="dxa"/>
            <w:noWrap w:val="0"/>
            <w:vAlign w:val="top"/>
          </w:tcPr>
          <w:p w14:paraId="0BE0E3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456" w:type="dxa"/>
            <w:noWrap w:val="0"/>
            <w:vAlign w:val="top"/>
          </w:tcPr>
          <w:p w14:paraId="2992ECF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1235" w:type="dxa"/>
            <w:noWrap w:val="0"/>
            <w:vAlign w:val="top"/>
          </w:tcPr>
          <w:p w14:paraId="24F7BAD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2" w:type="dxa"/>
            <w:noWrap w:val="0"/>
            <w:vAlign w:val="top"/>
          </w:tcPr>
          <w:p w14:paraId="62B1EB9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2" w:type="dxa"/>
            <w:noWrap w:val="0"/>
            <w:vAlign w:val="top"/>
          </w:tcPr>
          <w:p w14:paraId="16F55E2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5" w:type="dxa"/>
            <w:noWrap w:val="0"/>
            <w:vAlign w:val="top"/>
          </w:tcPr>
          <w:p w14:paraId="3B7C84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1" w:type="dxa"/>
            <w:noWrap w:val="0"/>
            <w:vAlign w:val="top"/>
          </w:tcPr>
          <w:p w14:paraId="5223039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8" w:type="dxa"/>
            <w:noWrap w:val="0"/>
            <w:vAlign w:val="top"/>
          </w:tcPr>
          <w:p w14:paraId="092F132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r w14:paraId="13015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12" w:type="dxa"/>
            <w:noWrap w:val="0"/>
            <w:vAlign w:val="top"/>
          </w:tcPr>
          <w:p w14:paraId="3A86FD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456" w:type="dxa"/>
            <w:noWrap w:val="0"/>
            <w:vAlign w:val="top"/>
          </w:tcPr>
          <w:p w14:paraId="7DC178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235" w:type="dxa"/>
            <w:noWrap w:val="0"/>
            <w:vAlign w:val="top"/>
          </w:tcPr>
          <w:p w14:paraId="469657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852" w:type="dxa"/>
            <w:noWrap w:val="0"/>
            <w:vAlign w:val="top"/>
          </w:tcPr>
          <w:p w14:paraId="442149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2" w:type="dxa"/>
            <w:noWrap w:val="0"/>
            <w:vAlign w:val="top"/>
          </w:tcPr>
          <w:p w14:paraId="240520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135" w:type="dxa"/>
            <w:noWrap w:val="0"/>
            <w:vAlign w:val="top"/>
          </w:tcPr>
          <w:p w14:paraId="247E2CD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1" w:type="dxa"/>
            <w:noWrap w:val="0"/>
            <w:vAlign w:val="top"/>
          </w:tcPr>
          <w:p w14:paraId="6B125C4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998" w:type="dxa"/>
            <w:noWrap w:val="0"/>
            <w:vAlign w:val="top"/>
          </w:tcPr>
          <w:p w14:paraId="156FBCF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bl>
    <w:p w14:paraId="69DA1B5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注：设备状况栏内填写该设备的新旧程度、购进时间、已使用小时数和最近一次的大修时间。</w:t>
      </w:r>
    </w:p>
    <w:p w14:paraId="33C1F71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（2）发包人提供的临时设施：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p>
    <w:p w14:paraId="2A8F4804">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6.3  要求承包人增加或更换施工设备</w:t>
      </w:r>
    </w:p>
    <w:p w14:paraId="462FEAD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本款细化为：承包人投标时承诺的施工设备必须按需到达现场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不得拖延、缺短或任意更换。尽管承包人</w:t>
      </w:r>
      <w:r>
        <w:rPr>
          <w:rFonts w:hint="eastAsia" w:ascii="宋体" w:hAnsi="宋体" w:eastAsia="宋体" w:cs="宋体"/>
          <w:color w:val="auto"/>
          <w:sz w:val="21"/>
          <w:szCs w:val="21"/>
          <w:highlight w:val="none"/>
          <w:lang w:eastAsia="zh-CN"/>
        </w:rPr>
        <w:t>已</w:t>
      </w:r>
      <w:r>
        <w:rPr>
          <w:rFonts w:hint="eastAsia" w:ascii="宋体" w:hAnsi="宋体" w:eastAsia="宋体" w:cs="宋体"/>
          <w:color w:val="auto"/>
          <w:sz w:val="21"/>
          <w:szCs w:val="21"/>
          <w:highlight w:val="none"/>
        </w:rPr>
        <w:t>按承诺提供了上述设备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但若承包人使用的施工设备不能满足合同进度计划和（或）质量要求时，监理人有权要求承包人增加或更换施工设备，承包人应及 时增加或更换，由此增加的费用和（或）工期延误由承包人承担。</w:t>
      </w:r>
    </w:p>
    <w:p w14:paraId="7454A20C">
      <w:pPr>
        <w:pStyle w:val="3"/>
        <w:bidi w:val="0"/>
        <w:rPr>
          <w:rFonts w:hint="eastAsia"/>
          <w:color w:val="auto"/>
          <w:highlight w:val="none"/>
        </w:rPr>
      </w:pPr>
      <w:bookmarkStart w:id="49" w:name="_Toc13355"/>
      <w:bookmarkStart w:id="50" w:name="_Toc5635"/>
      <w:r>
        <w:rPr>
          <w:rFonts w:hint="eastAsia"/>
          <w:color w:val="auto"/>
          <w:highlight w:val="none"/>
        </w:rPr>
        <w:t>7. 交通运输</w:t>
      </w:r>
      <w:bookmarkEnd w:id="49"/>
      <w:bookmarkEnd w:id="50"/>
    </w:p>
    <w:p w14:paraId="50FE67EF">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7.1 道路通行权和场外设施</w:t>
      </w:r>
    </w:p>
    <w:p w14:paraId="16C499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7.1.1 场外施工道路</w:t>
      </w:r>
    </w:p>
    <w:p w14:paraId="5169D6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道路通行权和场外设施扔约定：由承包人自行解决，发包人予以协助。</w:t>
      </w:r>
    </w:p>
    <w:p w14:paraId="0E8BE5A9">
      <w:pPr>
        <w:pStyle w:val="3"/>
        <w:bidi w:val="0"/>
        <w:rPr>
          <w:rFonts w:hint="eastAsia"/>
          <w:color w:val="auto"/>
          <w:highlight w:val="none"/>
        </w:rPr>
      </w:pPr>
      <w:bookmarkStart w:id="51" w:name="_Toc8603"/>
      <w:bookmarkStart w:id="52" w:name="_Toc22843"/>
      <w:r>
        <w:rPr>
          <w:rFonts w:hint="eastAsia"/>
          <w:color w:val="auto"/>
          <w:highlight w:val="none"/>
        </w:rPr>
        <w:t>8. 测量放线</w:t>
      </w:r>
      <w:bookmarkEnd w:id="51"/>
      <w:bookmarkEnd w:id="52"/>
    </w:p>
    <w:p w14:paraId="1C182C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8.1 施工控制网</w:t>
      </w:r>
    </w:p>
    <w:p w14:paraId="05EEED9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本款内容修改为：</w:t>
      </w:r>
    </w:p>
    <w:p w14:paraId="767010B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对发包人所提供的测量基准点、基准线和水准点及其书面资料的真实性、准确性和完整性进行复核，并对复核成果负责。承包人因使用复核成果导致测量放线工作返工或造成工程损失的，由承包人承担由此增加的费用和（或）相应的工期延误。</w:t>
      </w:r>
    </w:p>
    <w:p w14:paraId="05E5BB2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承包人发现发包人提供的上述基准资料存在明显错误或疏忽的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应自收到资料之日起28日内书面通知发包人和监理人，否则应承担由此造成的损失。</w:t>
      </w:r>
    </w:p>
    <w:p w14:paraId="3C03E4C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由发包人提供用于本标段的测量基准点、基准线和水准点，在本合同履行期间由承包人负责维护，相关费用已含在投标报价中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发包人不再另行支付。</w:t>
      </w:r>
    </w:p>
    <w:p w14:paraId="6BB4B25E">
      <w:pPr>
        <w:pStyle w:val="3"/>
        <w:bidi w:val="0"/>
        <w:rPr>
          <w:rFonts w:hint="eastAsia"/>
          <w:color w:val="auto"/>
          <w:highlight w:val="none"/>
        </w:rPr>
      </w:pPr>
      <w:bookmarkStart w:id="53" w:name="_Toc23948"/>
      <w:bookmarkStart w:id="54" w:name="_Toc1967"/>
      <w:r>
        <w:rPr>
          <w:rFonts w:hint="eastAsia"/>
          <w:color w:val="auto"/>
          <w:highlight w:val="none"/>
        </w:rPr>
        <w:t>9. 施工安全、治安保卫和环境保护</w:t>
      </w:r>
      <w:bookmarkEnd w:id="53"/>
      <w:bookmarkEnd w:id="54"/>
    </w:p>
    <w:p w14:paraId="4489A2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9.2 承包人的施工安全责任</w:t>
      </w:r>
    </w:p>
    <w:p w14:paraId="73E2433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9.2.8 安全施工措施所需费用在投标时不得做竞争调整。</w:t>
      </w:r>
    </w:p>
    <w:p w14:paraId="02A793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9.2.12 下列工程应编制专项施工方案：对达到一定规模的危险性较大的（1）基坑支护与降水工程；（2）土方和石方开挖工程；（3）模板工程及支撑体系；（4）起重吊装及安装拆卸工程；（5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脚手架工程；（6）拆除、爆破工程；（7）围堰工程；（8）临时用电工程；（9）其他危险性较大的工程。其中：（1）深基坑及高边坡工程；（2）地下暗挖工程；（3）高大模板工程；（4）相关施工安全标准、规范要求的其他需组织专家论证和审查的施工方案还应组织专家进行论证、审查，其中专家1/2人员应经发包人同意。</w:t>
      </w:r>
    </w:p>
    <w:p w14:paraId="7D96B5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9.3 治安保卫</w:t>
      </w:r>
    </w:p>
    <w:p w14:paraId="48C625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9.3.1项内容修改为：</w:t>
      </w:r>
    </w:p>
    <w:p w14:paraId="573F81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9.3.1承包人应在现场建立治安管理机构，统一管理本合同工程所涉及的施工场地治安保卫事项，相关费用包含于合同价格中。</w:t>
      </w:r>
    </w:p>
    <w:p w14:paraId="567FB64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9.7 文明工地</w:t>
      </w:r>
    </w:p>
    <w:p w14:paraId="260E75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9.7.1 本合同文明工地的约定：按照《水利建设工程文明工地创建管理办法》（水精〔2014〕3号）、工程沿线政府文明工地有关要求、发包人的相关要求创建文明建设工地。</w:t>
      </w:r>
    </w:p>
    <w:p w14:paraId="78AF080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9.7.2项内容修改为：</w:t>
      </w:r>
    </w:p>
    <w:p w14:paraId="0D2D3E5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9.7.2 承包人有责任按照国家和地方有关行政部门机构颁布的现行文明工地标准以及发包人对文明施工的相关要求开展工作，进行文明标准化施工，并接受各级政府管理部门的工作检查，认真落实整改工作。所发生的费用均已包含于合同价中。承包人应成立文明施工领导小组，在正式进场之前，必须根据国家和地方相关规定，按不低于广西水利厅印发的《广西水利工程工地标准化建设指南》和《广西水利建设工程文明工地评选办法》相关要求和评分内容。</w:t>
      </w:r>
    </w:p>
    <w:p w14:paraId="2F6B70FD">
      <w:pPr>
        <w:pStyle w:val="3"/>
        <w:bidi w:val="0"/>
        <w:rPr>
          <w:rFonts w:hint="eastAsia"/>
          <w:color w:val="auto"/>
          <w:highlight w:val="none"/>
        </w:rPr>
      </w:pPr>
      <w:bookmarkStart w:id="55" w:name="_Toc16057"/>
      <w:bookmarkStart w:id="56" w:name="_Toc30552"/>
      <w:r>
        <w:rPr>
          <w:rFonts w:hint="eastAsia"/>
          <w:color w:val="auto"/>
          <w:highlight w:val="none"/>
        </w:rPr>
        <w:t>11. 开工和竣工（完工）</w:t>
      </w:r>
      <w:bookmarkEnd w:id="55"/>
      <w:bookmarkEnd w:id="56"/>
    </w:p>
    <w:p w14:paraId="39134DC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11.2 本工程主体工程完工时间为：</w:t>
      </w:r>
      <w:r>
        <w:rPr>
          <w:rFonts w:hint="eastAsia" w:ascii="宋体" w:hAnsi="宋体" w:eastAsia="宋体" w:cs="宋体"/>
          <w:b/>
          <w:bCs/>
          <w:color w:val="auto"/>
          <w:sz w:val="21"/>
          <w:szCs w:val="21"/>
          <w:highlight w:val="none"/>
          <w:u w:val="single"/>
          <w:lang w:val="en-US" w:eastAsia="zh-CN"/>
        </w:rPr>
        <w:t xml:space="preserve">                     。</w:t>
      </w:r>
    </w:p>
    <w:p w14:paraId="1ECB805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11.3 发包人的工期延误</w:t>
      </w:r>
    </w:p>
    <w:p w14:paraId="17AF8AD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11.4 异常恶劣的气候条件</w:t>
      </w:r>
    </w:p>
    <w:p w14:paraId="0D78CE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11.4.3 本合同工程界定异常恶劣气候条件的范围为：</w:t>
      </w:r>
    </w:p>
    <w:p w14:paraId="1A0A0B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（1）连续 24 小时降雨量200mm 的雨日超过 2 天（以当地气象部门的证明为准）；</w:t>
      </w:r>
    </w:p>
    <w:p w14:paraId="15C1085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（2）风速大于 32.7m/ s的 12 级以上台风灾害（以当地气象部门的证明为准）；</w:t>
      </w:r>
    </w:p>
    <w:p w14:paraId="4E9DA52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（3）日气温超过 40℃的高温天气连续超过 3 天（以当地气象部门的证明为准）；</w:t>
      </w:r>
    </w:p>
    <w:p w14:paraId="48BF79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（4）造成工程损坏的冰雹和大雪灾害；</w:t>
      </w:r>
    </w:p>
    <w:p w14:paraId="1CC0ACB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 级以上的地震；</w:t>
      </w:r>
    </w:p>
    <w:p w14:paraId="537DBBA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（6）50 年一遇及以上的洪水；</w:t>
      </w:r>
    </w:p>
    <w:p w14:paraId="4DC0388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（7）其他双方协商一致认为属于异常恶劣气候条件的情形。</w:t>
      </w:r>
    </w:p>
    <w:p w14:paraId="6A8B7B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11.5 承包人工期延误</w:t>
      </w:r>
    </w:p>
    <w:p w14:paraId="6FD1307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逾期完工违约金表(参考格式)</w:t>
      </w:r>
    </w:p>
    <w:tbl>
      <w:tblPr>
        <w:tblStyle w:val="26"/>
        <w:tblW w:w="83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0"/>
        <w:gridCol w:w="3447"/>
        <w:gridCol w:w="2786"/>
        <w:gridCol w:w="1545"/>
      </w:tblGrid>
      <w:tr w14:paraId="0B62A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80" w:type="dxa"/>
            <w:noWrap w:val="0"/>
            <w:vAlign w:val="center"/>
          </w:tcPr>
          <w:p w14:paraId="28BD7F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3447" w:type="dxa"/>
            <w:noWrap w:val="0"/>
            <w:vAlign w:val="center"/>
          </w:tcPr>
          <w:p w14:paraId="28394B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项目及其说明</w:t>
            </w:r>
          </w:p>
        </w:tc>
        <w:tc>
          <w:tcPr>
            <w:tcW w:w="2786" w:type="dxa"/>
            <w:noWrap w:val="0"/>
            <w:vAlign w:val="center"/>
          </w:tcPr>
          <w:p w14:paraId="4FC2E2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要求完工日期</w:t>
            </w:r>
          </w:p>
        </w:tc>
        <w:tc>
          <w:tcPr>
            <w:tcW w:w="1545" w:type="dxa"/>
            <w:noWrap w:val="0"/>
            <w:vAlign w:val="center"/>
          </w:tcPr>
          <w:p w14:paraId="75E355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违约金(元/天)</w:t>
            </w:r>
          </w:p>
        </w:tc>
      </w:tr>
      <w:tr w14:paraId="0119D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80" w:type="dxa"/>
            <w:noWrap w:val="0"/>
            <w:vAlign w:val="center"/>
          </w:tcPr>
          <w:p w14:paraId="3913FD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447" w:type="dxa"/>
            <w:noWrap w:val="0"/>
            <w:vAlign w:val="center"/>
          </w:tcPr>
          <w:p w14:paraId="7BD318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全部工程</w:t>
            </w:r>
          </w:p>
        </w:tc>
        <w:tc>
          <w:tcPr>
            <w:tcW w:w="2786" w:type="dxa"/>
            <w:noWrap w:val="0"/>
            <w:vAlign w:val="center"/>
          </w:tcPr>
          <w:p w14:paraId="5CA38C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招标文件约定的完工时间</w:t>
            </w:r>
          </w:p>
        </w:tc>
        <w:tc>
          <w:tcPr>
            <w:tcW w:w="1545" w:type="dxa"/>
            <w:noWrap w:val="0"/>
            <w:vAlign w:val="center"/>
          </w:tcPr>
          <w:p w14:paraId="442B6F7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w:t>
            </w:r>
          </w:p>
        </w:tc>
      </w:tr>
      <w:tr w14:paraId="3531A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580" w:type="dxa"/>
            <w:noWrap w:val="0"/>
            <w:vAlign w:val="center"/>
          </w:tcPr>
          <w:p w14:paraId="258D840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c>
          <w:tcPr>
            <w:tcW w:w="3447" w:type="dxa"/>
            <w:noWrap w:val="0"/>
            <w:vAlign w:val="center"/>
          </w:tcPr>
          <w:p w14:paraId="07AB28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c>
          <w:tcPr>
            <w:tcW w:w="2786" w:type="dxa"/>
            <w:noWrap w:val="0"/>
            <w:vAlign w:val="center"/>
          </w:tcPr>
          <w:p w14:paraId="74BAC3E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c>
          <w:tcPr>
            <w:tcW w:w="1545" w:type="dxa"/>
            <w:noWrap w:val="0"/>
            <w:vAlign w:val="center"/>
          </w:tcPr>
          <w:p w14:paraId="7403D6E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r>
      <w:tr w14:paraId="51967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jc w:val="center"/>
        </w:trPr>
        <w:tc>
          <w:tcPr>
            <w:tcW w:w="580" w:type="dxa"/>
            <w:noWrap w:val="0"/>
            <w:vAlign w:val="center"/>
          </w:tcPr>
          <w:p w14:paraId="71FDD8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c>
          <w:tcPr>
            <w:tcW w:w="3447" w:type="dxa"/>
            <w:noWrap w:val="0"/>
            <w:vAlign w:val="center"/>
          </w:tcPr>
          <w:p w14:paraId="1CDBFB8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c>
          <w:tcPr>
            <w:tcW w:w="2786" w:type="dxa"/>
            <w:noWrap w:val="0"/>
            <w:vAlign w:val="center"/>
          </w:tcPr>
          <w:p w14:paraId="70FBB1C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c>
          <w:tcPr>
            <w:tcW w:w="1545" w:type="dxa"/>
            <w:noWrap w:val="0"/>
            <w:vAlign w:val="center"/>
          </w:tcPr>
          <w:p w14:paraId="4540709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jc w:val="center"/>
              <w:textAlignment w:val="baseline"/>
              <w:rPr>
                <w:rFonts w:hint="eastAsia" w:ascii="宋体" w:hAnsi="宋体" w:eastAsia="宋体" w:cs="宋体"/>
                <w:color w:val="auto"/>
                <w:sz w:val="21"/>
                <w:szCs w:val="21"/>
                <w:highlight w:val="none"/>
              </w:rPr>
            </w:pPr>
          </w:p>
        </w:tc>
      </w:tr>
    </w:tbl>
    <w:p w14:paraId="7127C97F">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承包人如未能按上表各节点要求的完工日期前完工，逾期完工违约金按 1000.00元/天计算。</w:t>
      </w:r>
    </w:p>
    <w:p w14:paraId="7A78A5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全部逾期完工违约金的总限额不超过合同总价的 5 %，发包人可从应向承包人支付的任何金额中扣除此项违约金或以其他方式收回此款，此违约金的支付并不能解除承包人应完成工程的责任或合同规定的其他责任。</w:t>
      </w:r>
    </w:p>
    <w:p w14:paraId="1903E13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11.6 工期提前</w:t>
      </w:r>
    </w:p>
    <w:p w14:paraId="081C891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工期提前的资金约定：在保证工程质量的前提下，发包人鼓励承包人提前完工，但本合同工程无提前工期奖金。</w:t>
      </w:r>
    </w:p>
    <w:p w14:paraId="2D3FD046">
      <w:pPr>
        <w:pStyle w:val="3"/>
        <w:bidi w:val="0"/>
        <w:rPr>
          <w:rFonts w:hint="eastAsia"/>
          <w:color w:val="auto"/>
          <w:highlight w:val="none"/>
        </w:rPr>
      </w:pPr>
      <w:bookmarkStart w:id="57" w:name="_Toc31619"/>
      <w:bookmarkStart w:id="58" w:name="_Toc2210"/>
      <w:r>
        <w:rPr>
          <w:rFonts w:hint="eastAsia"/>
          <w:color w:val="auto"/>
          <w:highlight w:val="none"/>
        </w:rPr>
        <w:t>12. 暂停施工</w:t>
      </w:r>
      <w:bookmarkEnd w:id="57"/>
      <w:bookmarkEnd w:id="58"/>
    </w:p>
    <w:p w14:paraId="26271A7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12.1 承包人暂停施工的责任</w:t>
      </w:r>
    </w:p>
    <w:p w14:paraId="5198CE0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（5）承包人承担暂停施工责任的其它情形：</w:t>
      </w:r>
    </w:p>
    <w:p w14:paraId="79EF73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1）因承包人的资金、人员、材料、设备不能按时到位造成暂停施工的；</w:t>
      </w:r>
    </w:p>
    <w:p w14:paraId="4CBD10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2）因承包人施工组织不合理、施工管理不利、技术设备无法满足施工要求、施工队伍实力不足等问题造成暂停施工的；</w:t>
      </w:r>
    </w:p>
    <w:p w14:paraId="31B98C5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3）施工质量、安全及环保等不符合法律、法规规定或合同约定，发包人或监理人要求暂停施工进行整改的；</w:t>
      </w:r>
    </w:p>
    <w:p w14:paraId="07A37B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4）由于承包人原因造成的质量、安全及职业健康等事故引起的暂停施工；</w:t>
      </w:r>
    </w:p>
    <w:p w14:paraId="0E0B805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5）由于承包人原因造成上级部门稽查、行政处罚、检查不合格等情况被勒令停工的；</w:t>
      </w:r>
    </w:p>
    <w:p w14:paraId="17E121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6）承包人未将合同价款专用于本合同，造成工资、材料款等拖欠引起的暂停施工；</w:t>
      </w:r>
    </w:p>
    <w:p w14:paraId="5805193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7）承包人无法继续履行或明确表示不履行或实质上已停止履行合同的。</w:t>
      </w:r>
    </w:p>
    <w:p w14:paraId="1FAD12D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12.2 发包人暂停施工的责任</w:t>
      </w:r>
    </w:p>
    <w:p w14:paraId="524D077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发包人承担暂停施工责任的其它情形：如因发包人原因导致的停工，工期应顺延。</w:t>
      </w:r>
    </w:p>
    <w:p w14:paraId="01F4D74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12.3监理人暂停施工指示</w:t>
      </w:r>
    </w:p>
    <w:p w14:paraId="27B9ED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通用条款 12.3 款补充以下内容：</w:t>
      </w:r>
    </w:p>
    <w:p w14:paraId="51D12D0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凡出现下列情形之一的，监理人有权通知承包人暂停施工并限期整改，由此发生的全部费用由承包人承担，工期不予顺延：</w:t>
      </w:r>
    </w:p>
    <w:p w14:paraId="5F0C2FB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（1）承包人不遵守有关安全文明生产规定的；</w:t>
      </w:r>
    </w:p>
    <w:p w14:paraId="5F463A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（2）出现重大质量事故或安全事故的；</w:t>
      </w:r>
    </w:p>
    <w:p w14:paraId="0ED777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（3）存在安全隐患，未按安监部门、监理人或发包人的要求及时进行整改的；</w:t>
      </w:r>
    </w:p>
    <w:p w14:paraId="6EF8AC7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（4）工程存在质量问题经发包人或监理人提出后未在规定期限内按要求完成整改的；</w:t>
      </w:r>
    </w:p>
    <w:p w14:paraId="58ECC17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（5）因噪音或污染等方面问题而被有关部门罚款或勒令停工且未及时整改的；</w:t>
      </w:r>
    </w:p>
    <w:p w14:paraId="596FBF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（6）承包人使用的材料或设备有质量问题的；</w:t>
      </w:r>
    </w:p>
    <w:p w14:paraId="3EB9956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（7）擅自采用未经监理人及发包人认可的材料或设备的；</w:t>
      </w:r>
    </w:p>
    <w:p w14:paraId="07E2422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（8）不执行或拖延执行发包人或监理人的指令；或有执行不力、敷衍应付、曲解指令等情况或执行情况难以达到合同目的的</w:t>
      </w:r>
      <w:r>
        <w:rPr>
          <w:rFonts w:hint="eastAsia" w:ascii="宋体" w:hAnsi="宋体" w:eastAsia="宋体" w:cs="宋体"/>
          <w:color w:val="auto"/>
          <w:sz w:val="21"/>
          <w:szCs w:val="21"/>
          <w:highlight w:val="none"/>
          <w:lang w:eastAsia="zh-CN"/>
        </w:rPr>
        <w:t>；</w:t>
      </w:r>
    </w:p>
    <w:p w14:paraId="5017FB3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（9）未经监理人验收检验而进行下一道工序作业的；</w:t>
      </w:r>
    </w:p>
    <w:p w14:paraId="621B8F9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（10）图纸未经批准而擅自施工或未按图纸施工的；</w:t>
      </w:r>
    </w:p>
    <w:p w14:paraId="2C37977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（11）擅自变更设计图纸的；</w:t>
      </w:r>
    </w:p>
    <w:p w14:paraId="318486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（12）承包人违反合同或法律法规规章规定的其他情形。</w:t>
      </w:r>
    </w:p>
    <w:p w14:paraId="1EC1B7B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若承包人拒绝整改或未能在限期内妥善完成整改的，属于拒不执行监理人指令，按本专用合同条款22.1条承担违约责任。</w:t>
      </w:r>
    </w:p>
    <w:p w14:paraId="6E958E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12.4 暂停施工后的复工</w:t>
      </w:r>
    </w:p>
    <w:p w14:paraId="1A4C5B3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项内容修改为：</w:t>
      </w:r>
    </w:p>
    <w:p w14:paraId="011436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承包人无故拖延和拒绝复工的，由此增加的费用（包括但不限于因此导致发包人增加工程临时用地期限所需承担的费用）和工期延误由承包人承担，无故拖延和拒绝复工超过56天的，发包人有权解除合同，承包人收到发包人书面解除合同通知之日起14 天内退场；因发包人原因无法按时复工的，承包人有权要求发包人顺延工期。</w:t>
      </w:r>
    </w:p>
    <w:p w14:paraId="03619CB3">
      <w:pPr>
        <w:pStyle w:val="3"/>
        <w:bidi w:val="0"/>
        <w:rPr>
          <w:rFonts w:hint="eastAsia"/>
          <w:color w:val="auto"/>
          <w:highlight w:val="none"/>
        </w:rPr>
      </w:pPr>
      <w:bookmarkStart w:id="59" w:name="_Toc7500"/>
      <w:bookmarkStart w:id="60" w:name="_Toc26879"/>
      <w:r>
        <w:rPr>
          <w:rFonts w:hint="eastAsia"/>
          <w:color w:val="auto"/>
          <w:highlight w:val="none"/>
        </w:rPr>
        <w:t>13. 工程质量</w:t>
      </w:r>
      <w:bookmarkEnd w:id="59"/>
      <w:bookmarkEnd w:id="60"/>
    </w:p>
    <w:p w14:paraId="3952277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13.1 工程质量要求</w:t>
      </w:r>
    </w:p>
    <w:p w14:paraId="1865BBA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13.1.1 项内容细化为：</w:t>
      </w:r>
    </w:p>
    <w:p w14:paraId="57B0F58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工程质量应满足设计要求，达到现行国家及行业验收规范的合格标准，工程项目施工质量评定达到合格等级标准，即本标段单元工程质量优良率应达到60%以上，重要隐藏及关键部位单元工程质量优良率达到80%以上，分部工程质量优良率达到50%以上，外观质量得分率达到80%以上，且施工中未发生过质量事故，施工质量检验与评定资料基本齐全</w:t>
      </w:r>
      <w:r>
        <w:rPr>
          <w:rFonts w:hint="eastAsia" w:ascii="宋体" w:hAnsi="宋体" w:eastAsia="宋体" w:cs="宋体"/>
          <w:color w:val="auto"/>
          <w:sz w:val="21"/>
          <w:szCs w:val="21"/>
          <w:highlight w:val="none"/>
          <w:lang w:eastAsia="zh-CN"/>
        </w:rPr>
        <w:t>。</w:t>
      </w:r>
    </w:p>
    <w:p w14:paraId="1B90B7F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本款补充以下内容：</w:t>
      </w:r>
    </w:p>
    <w:p w14:paraId="112BE43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13.1.4 发包人对工程质量、安全、环境保护和水土保持等建设全过程进行管理，对检查中发现的技术、质量和其他问题，责令承包人返工或整改；对存在的隐患，有权责令承包人予以解决</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且承包人必须在规定的时间内整改完毕。如不按时整改完毕，则按第 22.1 款的约定处理。</w:t>
      </w:r>
    </w:p>
    <w:p w14:paraId="18D86AA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13.1.5 发包人对存在质量问题或质量隐患的工程有权直接发布或授权监理人发布停工令。</w:t>
      </w:r>
    </w:p>
    <w:p w14:paraId="71AB099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13.2 承包人的质量管理</w:t>
      </w:r>
    </w:p>
    <w:p w14:paraId="6898971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本款补充以下内容：</w:t>
      </w:r>
    </w:p>
    <w:p w14:paraId="5BF7AA9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13.2.3 承包人应执行《水利工程质量管理规定》《广西水利工程建设责任主体项目负责人质量终身责任制管理办法》等相关规定的要求，经承包人法定代表人授权的项目经理应按发包人要求签署项目质量终身责任承诺书，与本项目质量管理人员签订质量责任书，在合同签订后 10 天内将授权书与承诺书报发包人备案（包括承包人选定的试验检测单位），设立现场质量管理机构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落实工程施工质量终身责任制。</w:t>
      </w:r>
    </w:p>
    <w:p w14:paraId="46A924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13.2.4 承包人应当加强施工过程质量控制，并形成完整、可追溯的施工质量管理资料，主体工程的隐蔽部位施工根据《广西壮族自治区档案局关于印发&lt;建设项目影像文件采集指南&gt;的通知》要求保留影像资料。对施工中出现的质量问题或者验收不合格的工程，应当负责返工处理；对在保修范围和保修期限内发生质量问题的工程，由承包人履行保修义务。</w:t>
      </w:r>
    </w:p>
    <w:p w14:paraId="649061E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13.2.5 承包人应根据相关规程规范要求及工程实际情况，按照相应取样方法、频次、检测方法、检测时间等对工程材料、中间产品、零部件、设备及施工质量、实体质量等进行检测，并对检测数据的真实性、有效性负责。如因检测数量不足、检验检测出现不合格项、检测数据虚假或无效等违反法律法规及标准规范的行为，承包人须承担由此引发的所有责任和增加的费用，并赔偿发包人的相应损失。</w:t>
      </w:r>
    </w:p>
    <w:p w14:paraId="0DFFDBA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13.2.6 承包人原因导致的监理平行检、法人对比检检测出现不合格项，由此增加的监理平行检、法人对比检检测费用由承包人承担，由发包人在计量支付中扣减。</w:t>
      </w:r>
    </w:p>
    <w:p w14:paraId="74E162E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13.2.7 承包人应加强竣（完）工资料管理工作，设专职专人负责，做到资料管理与施工同步，做好竣（完）工资料的收集、整理和提交工作，并保证资料的准确性、规范性和完整性，并按要求移交发包人。</w:t>
      </w:r>
    </w:p>
    <w:p w14:paraId="18F95E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13.5 工程隐蔽部位覆盖前的检查</w:t>
      </w:r>
    </w:p>
    <w:p w14:paraId="33A107F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13.5.1 通知监理人检查</w:t>
      </w:r>
    </w:p>
    <w:p w14:paraId="00A01D5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承包人应通知监理人检查的期限约定：承包人提前 24 小时通知</w:t>
      </w:r>
      <w:r>
        <w:rPr>
          <w:rFonts w:hint="eastAsia" w:ascii="宋体" w:hAnsi="宋体" w:eastAsia="宋体" w:cs="宋体"/>
          <w:color w:val="auto"/>
          <w:sz w:val="21"/>
          <w:szCs w:val="21"/>
          <w:highlight w:val="none"/>
          <w:lang w:eastAsia="zh-CN"/>
        </w:rPr>
        <w:t>。</w:t>
      </w:r>
    </w:p>
    <w:p w14:paraId="3A6896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13.5.2 监理人未到场检查</w:t>
      </w:r>
    </w:p>
    <w:p w14:paraId="6A9C504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通用条款 13.5.2内容修改为：</w:t>
      </w:r>
    </w:p>
    <w:p w14:paraId="1460095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监理人未按第 13.5.1项约定的时间进行检查的，承包人不可自行完成覆盖工作，应及时通知发包人协调解决，承包人自行完成覆盖的，视为承包人违约。</w:t>
      </w:r>
    </w:p>
    <w:p w14:paraId="687142C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13.5.3 监理人重新检查</w:t>
      </w:r>
    </w:p>
    <w:p w14:paraId="097F7D0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本项内容修改为：</w:t>
      </w:r>
    </w:p>
    <w:p w14:paraId="6040C4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承包人按第 13.5.1 项或第 13.5.2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经检验证明工程质量不符合合同要求的，由此增加的费用和（或）工期延误由承包人承担。</w:t>
      </w:r>
    </w:p>
    <w:p w14:paraId="0675443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本款补充以下内容：</w:t>
      </w:r>
    </w:p>
    <w:p w14:paraId="4E3B79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13.5.5 承包人应对重要隐蔽工程进行拍摄或照相并应保证监理人和发包人有充分的机会对将要覆盖或掩蔽的工程进行检查和量测，并将隐蔽工程的影像资料、数据材料和工程量资料上传项目建设管理系统，随时可进行质量、进度、隐蔽工程量的审核。</w:t>
      </w:r>
    </w:p>
    <w:p w14:paraId="716923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13.6清除不合格工程</w:t>
      </w:r>
    </w:p>
    <w:p w14:paraId="6A3FF2F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第13.6.1项补充：如果承包人未在规定时间内执行监理人的指示，发包人有权雇用他人执行，由此增加的费用和（或）工期延误由承包人承担。</w:t>
      </w:r>
    </w:p>
    <w:p w14:paraId="32D2675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13.7质量评定</w:t>
      </w:r>
    </w:p>
    <w:p w14:paraId="2B339F9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13.7.4 重要隐蔽单元工程和关键部位单元工程质量评定的约定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合格 。</w:t>
      </w:r>
    </w:p>
    <w:p w14:paraId="66365BD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13.7.7 工程合格标准为：按国家和水利行业的相关标准执行；优良标准为：按国家和水利行业的相关标准执行。达到优良的奖金为： 无  。</w:t>
      </w:r>
    </w:p>
    <w:p w14:paraId="6F4B7E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13.8 质量事故处理</w:t>
      </w:r>
    </w:p>
    <w:p w14:paraId="19DD52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13.8.4 工程竣工验收时， 监理单位向竣工验收委员会汇报并提交历次质量缺陷处理的备案资料。</w:t>
      </w:r>
    </w:p>
    <w:p w14:paraId="6CC7A631">
      <w:pPr>
        <w:pStyle w:val="3"/>
        <w:bidi w:val="0"/>
        <w:rPr>
          <w:rFonts w:hint="eastAsia"/>
          <w:color w:val="auto"/>
          <w:highlight w:val="none"/>
        </w:rPr>
      </w:pPr>
      <w:bookmarkStart w:id="61" w:name="_Toc6210"/>
      <w:bookmarkStart w:id="62" w:name="_Toc6164"/>
      <w:r>
        <w:rPr>
          <w:rFonts w:hint="eastAsia"/>
          <w:color w:val="auto"/>
          <w:highlight w:val="none"/>
        </w:rPr>
        <w:t>14. 试验和检验</w:t>
      </w:r>
      <w:bookmarkEnd w:id="61"/>
      <w:bookmarkEnd w:id="62"/>
    </w:p>
    <w:p w14:paraId="2AC4B01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14.1 材料、工程设备和工程的试验和检验</w:t>
      </w:r>
    </w:p>
    <w:p w14:paraId="44CDA44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14.1.5 水工金属结构、启闭机及机电产品进场后的交货检查和验收中， 承包人负责全部工作并保证质量和进度。</w:t>
      </w:r>
    </w:p>
    <w:p w14:paraId="3A6D64E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14.1.6 本工程实行见证取样的试块、试件及有关材料：水泥、钢筋、砂、碎石、混凝土试块、砂浆试块、土工合成材料、外加剂等 。</w:t>
      </w:r>
    </w:p>
    <w:p w14:paraId="07818B3B">
      <w:pPr>
        <w:pStyle w:val="3"/>
        <w:bidi w:val="0"/>
        <w:rPr>
          <w:rFonts w:hint="eastAsia"/>
          <w:color w:val="auto"/>
          <w:highlight w:val="none"/>
        </w:rPr>
      </w:pPr>
      <w:bookmarkStart w:id="63" w:name="_Toc3480"/>
      <w:bookmarkStart w:id="64" w:name="_Toc12869"/>
      <w:r>
        <w:rPr>
          <w:rFonts w:hint="eastAsia"/>
          <w:color w:val="auto"/>
          <w:highlight w:val="none"/>
        </w:rPr>
        <w:t>15. 变更</w:t>
      </w:r>
      <w:bookmarkEnd w:id="63"/>
      <w:bookmarkEnd w:id="64"/>
    </w:p>
    <w:p w14:paraId="2A6831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15.1 变更的范围和内容</w:t>
      </w:r>
    </w:p>
    <w:p w14:paraId="7298980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（6）增加或减少合同中关键项目的工程量超过其项目工程总量的 20 %,关键项目：按设计施工图  ,单价调整方式：不做调整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p>
    <w:p w14:paraId="12F5DCC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15.4 变更的估价原则</w:t>
      </w:r>
    </w:p>
    <w:p w14:paraId="3EF255D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15.4.3已标价工程量清单中无适用或类似子目的单价，按照以下原则确定：①有定额可套的，套用编制控制价所选定额计算，并乘以中标价下浮系数(中标价下浮系数为中标价与控制价的比值)，其中材料价格有信息价的按当地同期信息价，无信息的由发包人、承包人、监理人市场询价（询价单位不少于3家，询价方案由承包人提出，报监理人审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发包人审批，下同）确定。②无定额可套的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由发包人、承包人、监理人市场询价（询价单位不少于3家，询价方案由承包人提出，报监理人审查、发包人审批，下同）确定。</w:t>
      </w:r>
    </w:p>
    <w:p w14:paraId="24D7338F">
      <w:pPr>
        <w:pStyle w:val="3"/>
        <w:bidi w:val="0"/>
        <w:rPr>
          <w:rFonts w:hint="eastAsia"/>
          <w:color w:val="auto"/>
          <w:highlight w:val="none"/>
        </w:rPr>
      </w:pPr>
      <w:bookmarkStart w:id="65" w:name="_Toc9"/>
      <w:bookmarkStart w:id="66" w:name="_Toc2788"/>
      <w:r>
        <w:rPr>
          <w:rFonts w:hint="eastAsia"/>
          <w:color w:val="auto"/>
          <w:highlight w:val="none"/>
        </w:rPr>
        <w:t>16. 价格调整</w:t>
      </w:r>
      <w:bookmarkEnd w:id="65"/>
      <w:bookmarkEnd w:id="66"/>
    </w:p>
    <w:p w14:paraId="063C0D7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16.1 物价波动引起的价格调整</w:t>
      </w:r>
    </w:p>
    <w:p w14:paraId="5DD410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本项目不因为物价波动原因引起合同价格变动而调整。</w:t>
      </w:r>
    </w:p>
    <w:p w14:paraId="572880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本项目由于物价波动原因引起合同价格变动，对其价格按下列方式进行调整。</w:t>
      </w:r>
    </w:p>
    <w:p w14:paraId="14AACF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 物价波动引起的价格调整方式：</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21AF712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16.1.2 调整价格的主要材料：</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47C767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主要材料补差的计算方法：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575168A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16.1.4 采用造价信息调整价格差额：</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4B9BCF3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工程造价信息的来源：</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4AF087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价格调整的项目和系数：</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64B071DC">
      <w:pPr>
        <w:pStyle w:val="3"/>
        <w:bidi w:val="0"/>
        <w:rPr>
          <w:rFonts w:hint="eastAsia"/>
          <w:color w:val="auto"/>
          <w:highlight w:val="none"/>
        </w:rPr>
      </w:pPr>
      <w:bookmarkStart w:id="67" w:name="_Toc2855"/>
      <w:bookmarkStart w:id="68" w:name="_Toc18880"/>
      <w:r>
        <w:rPr>
          <w:rFonts w:hint="eastAsia"/>
          <w:color w:val="auto"/>
          <w:highlight w:val="none"/>
        </w:rPr>
        <w:t>17. 计量与支付</w:t>
      </w:r>
      <w:bookmarkEnd w:id="67"/>
      <w:bookmarkEnd w:id="68"/>
    </w:p>
    <w:p w14:paraId="69B7C88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17.2 预付款</w:t>
      </w:r>
    </w:p>
    <w:p w14:paraId="6C5000D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17.2.1 预付款</w:t>
      </w:r>
    </w:p>
    <w:p w14:paraId="4FC3E45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lang w:val="en-US" w:eastAsia="zh-CN"/>
        </w:rPr>
        <w:t xml:space="preserve">   （签约合同价-安全文明施工措施费）×10%。  </w:t>
      </w:r>
      <w:r>
        <w:rPr>
          <w:rFonts w:hint="eastAsia" w:ascii="宋体" w:hAnsi="宋体" w:eastAsia="宋体" w:cs="宋体"/>
          <w:color w:val="auto"/>
          <w:sz w:val="21"/>
          <w:szCs w:val="21"/>
          <w:highlight w:val="none"/>
          <w:u w:val="single"/>
        </w:rPr>
        <w:t>。</w:t>
      </w:r>
    </w:p>
    <w:p w14:paraId="54ABD1E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合同生效后10个工作日内支付。</w:t>
      </w:r>
    </w:p>
    <w:p w14:paraId="067C07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预付款扣回的方式：预付款</w:t>
      </w:r>
      <w:r>
        <w:rPr>
          <w:rFonts w:hint="eastAsia" w:ascii="宋体" w:hAnsi="宋体" w:eastAsia="宋体" w:cs="宋体"/>
          <w:color w:val="auto"/>
          <w:sz w:val="21"/>
          <w:szCs w:val="21"/>
          <w:highlight w:val="none"/>
          <w:lang w:val="en-US" w:eastAsia="zh-CN"/>
        </w:rPr>
        <w:t>原则上</w:t>
      </w:r>
      <w:r>
        <w:rPr>
          <w:rFonts w:hint="eastAsia" w:ascii="宋体" w:hAnsi="宋体" w:eastAsia="宋体" w:cs="宋体"/>
          <w:color w:val="auto"/>
          <w:sz w:val="21"/>
          <w:szCs w:val="21"/>
          <w:highlight w:val="none"/>
        </w:rPr>
        <w:t>分三次扣回，工程进度</w:t>
      </w:r>
      <w:r>
        <w:rPr>
          <w:rFonts w:hint="eastAsia" w:ascii="宋体" w:hAnsi="宋体" w:eastAsia="宋体" w:cs="宋体"/>
          <w:color w:val="auto"/>
          <w:sz w:val="21"/>
          <w:szCs w:val="21"/>
          <w:highlight w:val="none"/>
          <w:lang w:val="en-US" w:eastAsia="zh-CN"/>
        </w:rPr>
        <w:t>款</w:t>
      </w:r>
      <w:r>
        <w:rPr>
          <w:rFonts w:hint="eastAsia" w:ascii="宋体" w:hAnsi="宋体" w:eastAsia="宋体" w:cs="宋体"/>
          <w:color w:val="auto"/>
          <w:sz w:val="21"/>
          <w:szCs w:val="21"/>
          <w:highlight w:val="none"/>
        </w:rPr>
        <w:t>累计达到合同价30%时，扣回已付预付款的30%；工程进度款累计达到合同价50%时，扣回已付预付款的40%；工程进度款累计达到合同价70%时，扣回已付预付款剩余30%。</w:t>
      </w:r>
      <w:r>
        <w:rPr>
          <w:rFonts w:hint="eastAsia" w:ascii="宋体" w:hAnsi="宋体" w:eastAsia="宋体" w:cs="宋体"/>
          <w:color w:val="auto"/>
          <w:sz w:val="21"/>
          <w:szCs w:val="21"/>
          <w:highlight w:val="none"/>
          <w:lang w:val="en-US" w:eastAsia="zh-CN"/>
        </w:rPr>
        <w:t>若</w:t>
      </w:r>
      <w:r>
        <w:rPr>
          <w:rFonts w:hint="eastAsia" w:ascii="宋体" w:hAnsi="宋体" w:eastAsia="宋体" w:cs="宋体"/>
          <w:color w:val="auto"/>
          <w:sz w:val="21"/>
          <w:szCs w:val="21"/>
          <w:highlight w:val="none"/>
        </w:rPr>
        <w:t>未按对应进度款节点申报的，前期各节点应扣未扣预付款可在当期付款时一并累计扣</w:t>
      </w:r>
      <w:r>
        <w:rPr>
          <w:rFonts w:hint="eastAsia" w:ascii="宋体" w:hAnsi="宋体" w:eastAsia="宋体" w:cs="宋体"/>
          <w:color w:val="auto"/>
          <w:sz w:val="21"/>
          <w:szCs w:val="21"/>
          <w:highlight w:val="none"/>
          <w:lang w:val="en-US" w:eastAsia="zh-CN"/>
        </w:rPr>
        <w:t>回。</w:t>
      </w:r>
    </w:p>
    <w:p w14:paraId="553FD7A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17.3 工程进度付款</w:t>
      </w:r>
    </w:p>
    <w:p w14:paraId="752C0D0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17.3.1 安全生产措施费的支付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在签订合同时约定。</w:t>
      </w:r>
    </w:p>
    <w:p w14:paraId="594F9DC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17.3.2 付款周期</w:t>
      </w:r>
    </w:p>
    <w:p w14:paraId="3EB760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①工程进度款按工程进度分次申请支付，合同内工程进度款按照当期计量的</w:t>
      </w:r>
      <w:r>
        <w:rPr>
          <w:rFonts w:hint="default" w:ascii="宋体" w:hAnsi="宋体" w:eastAsia="宋体" w:cs="宋体"/>
          <w:color w:val="auto"/>
          <w:sz w:val="21"/>
          <w:szCs w:val="21"/>
          <w:highlight w:val="none"/>
        </w:rPr>
        <w:t>80%</w:t>
      </w:r>
      <w:r>
        <w:rPr>
          <w:rFonts w:hint="eastAsia" w:ascii="宋体" w:hAnsi="宋体" w:eastAsia="宋体" w:cs="宋体"/>
          <w:color w:val="auto"/>
          <w:sz w:val="21"/>
          <w:szCs w:val="21"/>
          <w:highlight w:val="none"/>
        </w:rPr>
        <w:t>支付，累计不超过合同价的</w:t>
      </w:r>
      <w:r>
        <w:rPr>
          <w:rFonts w:hint="default" w:ascii="宋体" w:hAnsi="宋体" w:eastAsia="宋体" w:cs="宋体"/>
          <w:color w:val="auto"/>
          <w:sz w:val="21"/>
          <w:szCs w:val="21"/>
          <w:highlight w:val="none"/>
        </w:rPr>
        <w:t>80%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合同外（设计变更）工程进度款累计增加的变更金额在合同价的</w:t>
      </w:r>
      <w:r>
        <w:rPr>
          <w:rFonts w:hint="default" w:ascii="宋体" w:hAnsi="宋体" w:eastAsia="宋体" w:cs="宋体"/>
          <w:color w:val="auto"/>
          <w:sz w:val="21"/>
          <w:szCs w:val="21"/>
          <w:highlight w:val="none"/>
        </w:rPr>
        <w:t>10%</w:t>
      </w:r>
      <w:r>
        <w:rPr>
          <w:rFonts w:hint="eastAsia" w:ascii="宋体" w:hAnsi="宋体" w:eastAsia="宋体" w:cs="宋体"/>
          <w:color w:val="auto"/>
          <w:sz w:val="21"/>
          <w:szCs w:val="21"/>
          <w:highlight w:val="none"/>
        </w:rPr>
        <w:t>以内（含</w:t>
      </w:r>
      <w:r>
        <w:rPr>
          <w:rFonts w:hint="default" w:ascii="宋体" w:hAnsi="宋体" w:eastAsia="宋体" w:cs="宋体"/>
          <w:color w:val="auto"/>
          <w:sz w:val="21"/>
          <w:szCs w:val="21"/>
          <w:highlight w:val="none"/>
        </w:rPr>
        <w:t>10%</w:t>
      </w:r>
      <w:r>
        <w:rPr>
          <w:rFonts w:hint="eastAsia" w:ascii="宋体" w:hAnsi="宋体" w:eastAsia="宋体" w:cs="宋体"/>
          <w:color w:val="auto"/>
          <w:sz w:val="21"/>
          <w:szCs w:val="21"/>
          <w:highlight w:val="none"/>
        </w:rPr>
        <w:t>），按照当期计量的</w:t>
      </w:r>
      <w:r>
        <w:rPr>
          <w:rFonts w:hint="default" w:ascii="宋体" w:hAnsi="宋体" w:eastAsia="宋体" w:cs="宋体"/>
          <w:color w:val="auto"/>
          <w:sz w:val="21"/>
          <w:szCs w:val="21"/>
          <w:highlight w:val="none"/>
        </w:rPr>
        <w:t>60%</w:t>
      </w:r>
      <w:r>
        <w:rPr>
          <w:rFonts w:hint="eastAsia" w:ascii="宋体" w:hAnsi="宋体" w:eastAsia="宋体" w:cs="宋体"/>
          <w:color w:val="auto"/>
          <w:sz w:val="21"/>
          <w:szCs w:val="21"/>
          <w:highlight w:val="none"/>
        </w:rPr>
        <w:t>支付；累计增加的变更金额超出合同价的</w:t>
      </w:r>
      <w:r>
        <w:rPr>
          <w:rFonts w:hint="default" w:ascii="宋体" w:hAnsi="宋体" w:eastAsia="宋体" w:cs="宋体"/>
          <w:color w:val="auto"/>
          <w:sz w:val="21"/>
          <w:szCs w:val="21"/>
          <w:highlight w:val="none"/>
        </w:rPr>
        <w:t>10%</w:t>
      </w:r>
      <w:r>
        <w:rPr>
          <w:rFonts w:hint="eastAsia" w:ascii="宋体" w:hAnsi="宋体" w:eastAsia="宋体" w:cs="宋体"/>
          <w:color w:val="auto"/>
          <w:sz w:val="21"/>
          <w:szCs w:val="21"/>
          <w:highlight w:val="none"/>
        </w:rPr>
        <w:t>部分，不进行进度款计量支付，留待工程结算时一并支付。当完成30%合同工程量后可申请支付进度款，结算经财政部门</w:t>
      </w:r>
      <w:r>
        <w:rPr>
          <w:rFonts w:hint="eastAsia" w:ascii="宋体" w:hAnsi="宋体" w:eastAsia="宋体" w:cs="宋体"/>
          <w:color w:val="auto"/>
          <w:sz w:val="21"/>
          <w:szCs w:val="21"/>
          <w:highlight w:val="none"/>
          <w:lang w:val="en-US" w:eastAsia="zh-CN"/>
        </w:rPr>
        <w:t>相关规定</w:t>
      </w:r>
      <w:r>
        <w:rPr>
          <w:rFonts w:hint="eastAsia" w:ascii="宋体" w:hAnsi="宋体" w:eastAsia="宋体" w:cs="宋体"/>
          <w:color w:val="auto"/>
          <w:sz w:val="21"/>
          <w:szCs w:val="21"/>
          <w:highlight w:val="none"/>
        </w:rPr>
        <w:t>审定后，申请支付至结算总价的97%。发包人按工程价款结算总额的3%，预留工程质量保证金。</w:t>
      </w:r>
    </w:p>
    <w:p w14:paraId="17173D9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每个付款周期在申请施工进度款前，相关的工程计量等有关资料必须完成，材料一式四份（含电子版），经监理工程师审定的实际完成工程量的80%按照财政程序及时支付工程进度款（进度款含因设计变更引起的增加工程量造价同期支付）。</w:t>
      </w:r>
    </w:p>
    <w:p w14:paraId="01A119A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17.4 质量保证金</w:t>
      </w:r>
    </w:p>
    <w:p w14:paraId="61839C2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 款修改为：</w:t>
      </w:r>
    </w:p>
    <w:p w14:paraId="7F83D45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17.4.1 根据《建设工程质量保证金管理办法》（建质（2017）138 号）第七条的规定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“发包人应按照合同约定方式预留保证金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保证金总预留比例不得高于工程价款结算总额的3%。合同约定由承包人以银行保函代预留保证金的，保函金额不得高于工程价款结算总额的3%”。如履约担保的金额大于工程价款结算审计结果总额的 3%，可将多出部分金额退还承包人，不再扣留质量保证金。</w:t>
      </w:r>
    </w:p>
    <w:p w14:paraId="5B11225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17.5 竣工（完工） 结算</w:t>
      </w:r>
    </w:p>
    <w:p w14:paraId="434E096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17.5.1 竣工（完工）付款申请单</w:t>
      </w:r>
    </w:p>
    <w:p w14:paraId="470A69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（1）承包人应提交竣工付款申请单份数：一式8份   。</w:t>
      </w:r>
    </w:p>
    <w:p w14:paraId="57C460E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17.5.3 除按通用合同条款所说的内容外，增加以下内容：最终结算以财政评审结果或审计结果为准。</w:t>
      </w:r>
    </w:p>
    <w:p w14:paraId="1BB894A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 竣工（完工）结算款内容修改为：</w:t>
      </w:r>
    </w:p>
    <w:p w14:paraId="2FF1ECA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w:t>
      </w:r>
    </w:p>
    <w:p w14:paraId="100B32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本合同单位工程验收完成后1个月内按发包人要求的格式向监理人提交完整的竣工（完工）结算资料（一式6份）（所提交的竣工结算资料含变更、索赔项目的，变更单价、索赔项目须已经发包人审定），监理人在收到竣工结算资料后15天内出具审核意见（监理人未能在15天内出具审核意见的，视为承包人申报成果已经监理人认可；若监理人审核时发现承包人所提交的结算资料不完整的，应书面要求承包人进行补充，同时监理审核时间自收到补充资料时重新起算），承包人将连同监理人的审核意见一并报送发包人；发包人在收到竣工结算资料后1个月内出具审核意见（发包人未能在1个月内出具审核意见的，视为发包人同意监理人意见；若发包人审核时发现承包人所提交的结算资料不完整的，可书面要求承包人进行补充，同时发包人审核时间自收到承包人的补充资料时重新计算）。</w:t>
      </w:r>
    </w:p>
    <w:p w14:paraId="13A1142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双方未能就竣工（完工）结算金额达成一致，或承包人在本合同单位工程验收完成后2个月内未按要求报送竣工（完工）结算资料时，发包人有权按发包人委托的第三方审核结果或政府审计结果（以先出具结果为准）作为竣工（完工）结算金额，并以此金额办理余款支付，承包人不得对此提出任何异议。</w:t>
      </w:r>
    </w:p>
    <w:p w14:paraId="0BB7A50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本合同资金来源为财政性资金，款项支付按广西壮族自治区市财政相关规定办理付款手续。如因资金拨付不及时导致支付延误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发包人应尽快协调解决，承包人对此予以充分理解，发包人不承担违约责任。承包人不得因进度款未及时拨付而暂停施工，承包人在投标时应充分考虑这一风险。</w:t>
      </w:r>
    </w:p>
    <w:p w14:paraId="1D896B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17.6 最终结清</w:t>
      </w:r>
    </w:p>
    <w:p w14:paraId="79CEA47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17.6.1 最终结清申请单</w:t>
      </w:r>
    </w:p>
    <w:p w14:paraId="3728DD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（1）承包人应提交最终结清申请单份数：一式8份  。</w:t>
      </w:r>
    </w:p>
    <w:p w14:paraId="45DAF0C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17.7 竣工财务决算</w:t>
      </w:r>
    </w:p>
    <w:p w14:paraId="55ADBB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承包人应为竣工财务决算编制提供的资料：财务决算所需的一切资料。费用均已包含在合同总价中，发包人不另行支付。</w:t>
      </w:r>
    </w:p>
    <w:p w14:paraId="22F23132">
      <w:pPr>
        <w:pStyle w:val="3"/>
        <w:bidi w:val="0"/>
        <w:rPr>
          <w:rFonts w:hint="eastAsia"/>
          <w:color w:val="auto"/>
          <w:highlight w:val="none"/>
        </w:rPr>
      </w:pPr>
      <w:bookmarkStart w:id="69" w:name="_Toc11483"/>
      <w:bookmarkStart w:id="70" w:name="_Toc65"/>
      <w:r>
        <w:rPr>
          <w:rFonts w:hint="eastAsia"/>
          <w:color w:val="auto"/>
          <w:highlight w:val="none"/>
        </w:rPr>
        <w:t>18. 竣工验收（验收）</w:t>
      </w:r>
      <w:bookmarkEnd w:id="69"/>
      <w:bookmarkEnd w:id="70"/>
    </w:p>
    <w:p w14:paraId="40283D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18.1 验收工作分类</w:t>
      </w:r>
    </w:p>
    <w:p w14:paraId="6827FF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根据《水利工程建设项目验收管理规定》（水利部令第30号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和《水利水电建设工程验收规程》（SL</w:t>
      </w:r>
      <w:r>
        <w:rPr>
          <w:rFonts w:hint="eastAsia" w:ascii="宋体" w:hAnsi="宋体" w:cs="宋体"/>
          <w:color w:val="auto"/>
          <w:sz w:val="21"/>
          <w:szCs w:val="21"/>
          <w:highlight w:val="none"/>
          <w:lang w:val="en-US" w:eastAsia="zh-CN"/>
        </w:rPr>
        <w:t>/T</w:t>
      </w:r>
      <w:r>
        <w:rPr>
          <w:rFonts w:hint="eastAsia" w:ascii="宋体" w:hAnsi="宋体" w:eastAsia="宋体" w:cs="宋体"/>
          <w:color w:val="auto"/>
          <w:sz w:val="21"/>
          <w:szCs w:val="21"/>
          <w:highlight w:val="none"/>
        </w:rPr>
        <w:t>223</w:t>
      </w:r>
      <w:r>
        <w:rPr>
          <w:rFonts w:hint="eastAsia" w:ascii="宋体" w:hAnsi="宋体" w:cs="宋体"/>
          <w:color w:val="auto"/>
          <w:sz w:val="21"/>
          <w:szCs w:val="21"/>
          <w:highlight w:val="none"/>
          <w:lang w:val="en-US" w:eastAsia="zh-CN"/>
        </w:rPr>
        <w:t>-2025</w:t>
      </w:r>
      <w:r>
        <w:rPr>
          <w:rFonts w:hint="eastAsia" w:ascii="宋体" w:hAnsi="宋体" w:eastAsia="宋体" w:cs="宋体"/>
          <w:color w:val="auto"/>
          <w:sz w:val="21"/>
          <w:szCs w:val="21"/>
          <w:highlight w:val="none"/>
        </w:rPr>
        <w:t>）的相关规定执行。</w:t>
      </w:r>
    </w:p>
    <w:p w14:paraId="2E0502C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18.2 分部工程验收</w:t>
      </w:r>
    </w:p>
    <w:p w14:paraId="27E5A16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18.2.2 本工程由发包人主持的分部工程验收为：另行通知，其余由监理主持。</w:t>
      </w:r>
    </w:p>
    <w:p w14:paraId="130BD8C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18.3 单位工程验收</w:t>
      </w:r>
    </w:p>
    <w:p w14:paraId="40529D9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18.3.4 提前投入使用的单位工程包括：在签订合同时约定 </w:t>
      </w:r>
      <w:r>
        <w:rPr>
          <w:rFonts w:hint="eastAsia" w:ascii="宋体" w:hAnsi="宋体" w:eastAsia="宋体" w:cs="宋体"/>
          <w:color w:val="auto"/>
          <w:sz w:val="21"/>
          <w:szCs w:val="21"/>
          <w:highlight w:val="none"/>
          <w:lang w:eastAsia="zh-CN"/>
        </w:rPr>
        <w:t>。</w:t>
      </w:r>
    </w:p>
    <w:p w14:paraId="0170C8D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18.5 阶段验收</w:t>
      </w:r>
    </w:p>
    <w:p w14:paraId="08273C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18.5.1 本合同工程阶段验收类别包括：在签订合同时约定 。</w:t>
      </w:r>
    </w:p>
    <w:p w14:paraId="40EC3E4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18.6 专项验收</w:t>
      </w:r>
    </w:p>
    <w:p w14:paraId="0A3CDF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18.6.2 本合同工程专项验收类别包括：在签订合同时约定 。</w:t>
      </w:r>
    </w:p>
    <w:p w14:paraId="0FBB8E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18.8 施工期运行</w:t>
      </w:r>
    </w:p>
    <w:p w14:paraId="2A4C92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18.8.1 需要在施工期运行的单位工程或工程设备为：在签订合同时约定  。</w:t>
      </w:r>
    </w:p>
    <w:p w14:paraId="4C0AAA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18.9 试运行</w:t>
      </w:r>
    </w:p>
    <w:p w14:paraId="6EC3AA4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18.9.1 试运行的组织：  /    发包人；费用承担：  /   。</w:t>
      </w:r>
    </w:p>
    <w:p w14:paraId="6FC2B4BF">
      <w:pPr>
        <w:pStyle w:val="3"/>
        <w:bidi w:val="0"/>
        <w:rPr>
          <w:rFonts w:hint="eastAsia"/>
          <w:color w:val="auto"/>
          <w:highlight w:val="none"/>
        </w:rPr>
      </w:pPr>
      <w:bookmarkStart w:id="71" w:name="_Toc23485"/>
      <w:bookmarkStart w:id="72" w:name="_Toc32630"/>
      <w:r>
        <w:rPr>
          <w:rFonts w:hint="eastAsia"/>
          <w:color w:val="auto"/>
          <w:highlight w:val="none"/>
        </w:rPr>
        <w:t>19. 缺陷责任与保修责任</w:t>
      </w:r>
      <w:bookmarkEnd w:id="71"/>
      <w:bookmarkEnd w:id="72"/>
    </w:p>
    <w:p w14:paraId="52DE56A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19.1 缺陷责任期（工程质量保修期） 的起算时间</w:t>
      </w:r>
    </w:p>
    <w:p w14:paraId="275A8C4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本工程缺陷责任期（工程质量保修）计算如下：起算日按通用条款19.1和19.7的约定，终止日按专用条款</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1.1.4.5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约定。</w:t>
      </w:r>
    </w:p>
    <w:p w14:paraId="2F033CB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通用19.2.4 项补充以下内容：</w:t>
      </w:r>
    </w:p>
    <w:p w14:paraId="1AB312B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承包人应收到保修通知后2天内到达工程现场。</w:t>
      </w:r>
    </w:p>
    <w:p w14:paraId="253D923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本款补充以下内容：</w:t>
      </w:r>
    </w:p>
    <w:p w14:paraId="26B01F2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19.2.5 工程完工后，承包人所在合同段遗留的问题，承包人应积极主动地进行处理和解决并承担所有费用。如上述问题特别是与地方有关的遗留问题，承包人在发包人规定的期限内不能妥善处理的，发包人有权单独或委托相关单位进行处理，发生的全部费用从承包人质量保证金中相应扣回，承包人应无条件接受。</w:t>
      </w:r>
    </w:p>
    <w:p w14:paraId="62D778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19.7保修责任</w:t>
      </w:r>
    </w:p>
    <w:p w14:paraId="167B06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本款补充为:</w:t>
      </w:r>
    </w:p>
    <w:p w14:paraId="3CECB2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（1）工程质量保修范围：按合同约定建造并移交给发包人的工程；</w:t>
      </w:r>
    </w:p>
    <w:p w14:paraId="4DC5281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（2）工程质量保修期限：建筑工程为设计使用年限；</w:t>
      </w:r>
    </w:p>
    <w:p w14:paraId="482B93D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（3）保修责任：承包人负责。</w:t>
      </w:r>
    </w:p>
    <w:p w14:paraId="449A02EF">
      <w:pPr>
        <w:pStyle w:val="3"/>
        <w:bidi w:val="0"/>
        <w:rPr>
          <w:rFonts w:hint="eastAsia"/>
          <w:color w:val="auto"/>
          <w:highlight w:val="none"/>
        </w:rPr>
      </w:pPr>
      <w:bookmarkStart w:id="73" w:name="_Toc24191"/>
      <w:bookmarkStart w:id="74" w:name="_Toc17137"/>
      <w:r>
        <w:rPr>
          <w:rFonts w:hint="eastAsia"/>
          <w:color w:val="auto"/>
          <w:highlight w:val="none"/>
        </w:rPr>
        <w:t>20. 保险</w:t>
      </w:r>
      <w:bookmarkEnd w:id="73"/>
      <w:bookmarkEnd w:id="74"/>
    </w:p>
    <w:p w14:paraId="3AB1395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20.1 工程保险</w:t>
      </w:r>
    </w:p>
    <w:p w14:paraId="7E119E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建筑工程一切险和（或）安装工程一切险投保人：承包人；投保内容</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本工程；保险金额、保险费率和保险期限</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在签订合同时约定。</w:t>
      </w:r>
    </w:p>
    <w:p w14:paraId="3E60084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20.4 第三者责任险</w:t>
      </w:r>
    </w:p>
    <w:p w14:paraId="0160AEC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20.4.2 第三者责任险保险费率：  / ；第三者责任险保险金额</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w:t>
      </w:r>
    </w:p>
    <w:p w14:paraId="794CA26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20.5 其他保险</w:t>
      </w:r>
    </w:p>
    <w:p w14:paraId="0750FA7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需要投保的其他内容：承包人应对其所属人员、临时设施、施工设备、进场的材料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工程设备等购买保险，包括但不限于工伤事故险、人身意外伤害险和安全生产责任险等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相关费用包含在投标报价中，发包人不再另行支付；其中人身意外伤害险每人赔偿责任限额不低于人民币100万元。</w:t>
      </w:r>
    </w:p>
    <w:p w14:paraId="66B103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20.6 对各项保险的一般要求</w:t>
      </w:r>
    </w:p>
    <w:p w14:paraId="77F4951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20.6.1保险凭证</w:t>
      </w:r>
    </w:p>
    <w:p w14:paraId="3895877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承包人提交保险凭证的期限：由承包人投保的保险，承包人应在开工后28天内向发包人提交保险凭证副本（人身意外伤害险应在监理人签发合同工程开工通知前提供）；保险条件：  /  。</w:t>
      </w:r>
    </w:p>
    <w:p w14:paraId="7C4EFDF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20.6.4保险金不足的补偿</w:t>
      </w:r>
    </w:p>
    <w:p w14:paraId="00E4150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承包人负责补偿的范围与金额：合同规定由承包人投保的范围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相关的补偿金额由承包人自行负责；发包人负责补偿的范围与金额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无。</w:t>
      </w:r>
    </w:p>
    <w:p w14:paraId="37D06790">
      <w:pPr>
        <w:pStyle w:val="3"/>
        <w:bidi w:val="0"/>
        <w:rPr>
          <w:rFonts w:hint="eastAsia"/>
          <w:color w:val="auto"/>
          <w:highlight w:val="none"/>
        </w:rPr>
      </w:pPr>
      <w:bookmarkStart w:id="75" w:name="_Toc24389"/>
      <w:bookmarkStart w:id="76" w:name="_Toc8205"/>
      <w:r>
        <w:rPr>
          <w:rFonts w:hint="eastAsia"/>
          <w:color w:val="auto"/>
          <w:highlight w:val="none"/>
        </w:rPr>
        <w:t>21. 不可抗力</w:t>
      </w:r>
      <w:bookmarkEnd w:id="75"/>
      <w:bookmarkEnd w:id="76"/>
    </w:p>
    <w:p w14:paraId="431815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21.1 不可抗力的确认</w:t>
      </w:r>
    </w:p>
    <w:p w14:paraId="62D1E14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21.1.1 不可抗力是指承包人和发包人在订立合同时不可预见， 在工程施工过程中不可避免发生并不能克服的自然灾害和社会性突发事件，如地震、海啸、瘟疫、水灾、骚乱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暴动、战争和本合同专用合同条款第11.4款的约定。</w:t>
      </w:r>
    </w:p>
    <w:p w14:paraId="14B8FC66">
      <w:pPr>
        <w:pStyle w:val="3"/>
        <w:bidi w:val="0"/>
        <w:rPr>
          <w:rFonts w:hint="eastAsia"/>
          <w:color w:val="auto"/>
          <w:highlight w:val="none"/>
        </w:rPr>
      </w:pPr>
      <w:bookmarkStart w:id="77" w:name="_Toc8594"/>
      <w:bookmarkStart w:id="78" w:name="_Toc19436"/>
      <w:r>
        <w:rPr>
          <w:rFonts w:hint="eastAsia"/>
          <w:color w:val="auto"/>
          <w:highlight w:val="none"/>
        </w:rPr>
        <w:t>22.违约</w:t>
      </w:r>
      <w:bookmarkEnd w:id="77"/>
      <w:bookmarkEnd w:id="78"/>
    </w:p>
    <w:p w14:paraId="21947F9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22.1 承包人违约</w:t>
      </w:r>
    </w:p>
    <w:p w14:paraId="5CBDF39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22.1.1 项补充：</w:t>
      </w:r>
    </w:p>
    <w:p w14:paraId="5149A8B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22.1.1 承包人违约的情形</w:t>
      </w:r>
    </w:p>
    <w:p w14:paraId="0542D09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（7）承包人未经发包人同意随意更换项目经理、技术负责人和其他技术骨干。</w:t>
      </w:r>
    </w:p>
    <w:p w14:paraId="3E779CD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22.1.2 项补充：</w:t>
      </w:r>
    </w:p>
    <w:p w14:paraId="4913C4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22.1.2 对承包人违约的处理</w:t>
      </w:r>
    </w:p>
    <w:p w14:paraId="07E6C14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（4）无论发包人是否解除合同，发包人均有权按本合同相关规定向承包人扣除违约金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并由发包人将其违约行为上报省级水利行政主管部门，作为不良记录纳入工程建设市场信用信息管理系统。</w:t>
      </w:r>
    </w:p>
    <w:p w14:paraId="65CA377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发包人按合同规定向承包人开出的任何违约金，发包人均有权从向承包人支付的工程款中直接扣除。发包人向承包人直接扣除的违约金将导致承包人最终的应得结算价款相应地减少。承包人必须完全接受上述条款。</w:t>
      </w:r>
    </w:p>
    <w:p w14:paraId="3A06FB5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（6）发包人按合同规定向承包人开出的任何违约金，发包人扣除违约金时间的延迟或滞后并不代表对承包人当时各种行为的认可或默认。</w:t>
      </w:r>
    </w:p>
    <w:p w14:paraId="6570B17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增加条款：</w:t>
      </w:r>
    </w:p>
    <w:p w14:paraId="544F125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22.1.7 承包人发生上述违约行为，又拒不采取有效措施纠正违约行为，或者因承包人原因导致的工期严重滞后，发包人有权对承包人未完成的工程内容进行切割，安排其他承包人完成相应的施工内容。</w:t>
      </w:r>
    </w:p>
    <w:p w14:paraId="595822A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22.2 发包人违约</w:t>
      </w:r>
    </w:p>
    <w:p w14:paraId="7298FD1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22.2.4 解除合同后的付款</w:t>
      </w:r>
    </w:p>
    <w:p w14:paraId="0C6B3CA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本项（2）目细化为：</w:t>
      </w:r>
    </w:p>
    <w:p w14:paraId="4DB6214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en-US"/>
        </w:rPr>
        <w:t>2）承包人为该工程施工订购并已付款的材料、工程设备和其他物品的金额，发包人付款后，该材料、工程设备和其他物品归发包人所有。</w:t>
      </w:r>
    </w:p>
    <w:p w14:paraId="279933EB">
      <w:pPr>
        <w:pStyle w:val="3"/>
        <w:bidi w:val="0"/>
        <w:rPr>
          <w:rFonts w:hint="eastAsia"/>
          <w:color w:val="auto"/>
          <w:highlight w:val="none"/>
        </w:rPr>
      </w:pPr>
      <w:bookmarkStart w:id="79" w:name="_Toc8034"/>
      <w:bookmarkStart w:id="80" w:name="_Toc8001"/>
      <w:r>
        <w:rPr>
          <w:rFonts w:hint="eastAsia"/>
          <w:color w:val="auto"/>
          <w:highlight w:val="none"/>
        </w:rPr>
        <w:t>24. 争议的解决</w:t>
      </w:r>
      <w:bookmarkEnd w:id="79"/>
      <w:bookmarkEnd w:id="80"/>
    </w:p>
    <w:p w14:paraId="362AEC4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24.1 争议的解决方式</w:t>
      </w:r>
    </w:p>
    <w:p w14:paraId="4186AB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合同当事人友好协商解决不成、不愿提请争议评审或不接受争议评审组意见的，约定的合同争议解决方式： 向项目所在地的人民法院提起诉讼 。</w:t>
      </w:r>
    </w:p>
    <w:p w14:paraId="15B9837F">
      <w:pPr>
        <w:pStyle w:val="3"/>
        <w:bidi w:val="0"/>
        <w:rPr>
          <w:rFonts w:hint="eastAsia"/>
          <w:color w:val="auto"/>
          <w:highlight w:val="none"/>
        </w:rPr>
      </w:pPr>
      <w:bookmarkStart w:id="81" w:name="_Toc32467"/>
      <w:bookmarkStart w:id="82" w:name="_Toc24584"/>
      <w:r>
        <w:rPr>
          <w:rFonts w:hint="eastAsia"/>
          <w:color w:val="auto"/>
          <w:highlight w:val="none"/>
        </w:rPr>
        <w:t>25. 附加条款</w:t>
      </w:r>
      <w:bookmarkEnd w:id="81"/>
      <w:bookmarkEnd w:id="82"/>
    </w:p>
    <w:p w14:paraId="66A56B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25.1 对承包人的要求</w:t>
      </w:r>
    </w:p>
    <w:p w14:paraId="165CFF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1.因承包人的原因造成施工进度计划滞后，承包人均应按发包人和监理人的指示，采取有效措施赶上进度。若施工进度仍然满足不了发包人的要求，视为承包人已经构成违约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发包人可通知承包人解除合同。发包人可在发出通知 5 天后派员进驻工地直接监管工程，使用承包人设备、临时工程和材料，另行组织人员或委托其他承包人施工，但发包人的这一行为不免除承包人按合同规定应负的责任。</w:t>
      </w:r>
    </w:p>
    <w:p w14:paraId="480938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2.遵守国务院《建设工程质量管理条例》，根据水利部、自治区和水利厅的有关质量管理规定，建立健全质量管理机构，结合工程实际制定完善的可操作性强的质量管理制度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施工质量等级达到合同约定等级。</w:t>
      </w:r>
    </w:p>
    <w:p w14:paraId="1732A74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按国家《中华人民共和国生产安全法》、《建设工程安全生产管理条例》、自治区安全生产法规和水利水电工程施工安全操作规程的规定建立健全安全管理机构和安全管理制度，采取安全施工保障措施保障工程施工安全。</w:t>
      </w:r>
    </w:p>
    <w:p w14:paraId="661771F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4.按有关施工规程规范及本招标文件技术条款进行组织施工并实施施工过程和移交前工程保护措施。</w:t>
      </w:r>
    </w:p>
    <w:p w14:paraId="399557A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5.承包人违约有以下情况之一者，发包人有权采取合同规定的以下措施处理，并视情节轻重处予违约金。</w:t>
      </w:r>
    </w:p>
    <w:p w14:paraId="2DD5F94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(1)未经发包人批准，施工期内承包人调走主要施工技术人员(包括建造师、专业工程师)，经发现不及时调回的，违约金额为履约担保金额的5%～20%(视情节严重而定)</w:t>
      </w:r>
      <w:r>
        <w:rPr>
          <w:rFonts w:hint="eastAsia" w:ascii="宋体" w:hAnsi="宋体" w:eastAsia="宋体" w:cs="宋体"/>
          <w:color w:val="auto"/>
          <w:sz w:val="21"/>
          <w:szCs w:val="21"/>
          <w:highlight w:val="none"/>
          <w:lang w:eastAsia="zh-CN"/>
        </w:rPr>
        <w:t>。</w:t>
      </w:r>
    </w:p>
    <w:p w14:paraId="3FB9EAD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(2)未经发包人批准，施工期内自行调走主要施工机械，经发现不及时调回的，违约金额为履约担保金额的5%～20%(视情节严重而定)。</w:t>
      </w:r>
    </w:p>
    <w:p w14:paraId="4C387FB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所有以上违约金额均在承包人的履约担保金额(包括银行利息)及计量支付款内扣除，承包人履约担保金额被扣除后，由发包人从最后一次计量支付时扣相应金额补足履约保证金。</w:t>
      </w:r>
    </w:p>
    <w:p w14:paraId="74924B6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械、材料和劳动力不能满足施工进度要求，有权指令承包人增加机械、材料和劳动力投入,承包人不得拒绝。</w:t>
      </w:r>
    </w:p>
    <w:p w14:paraId="1F17A44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合同签订之日起15日内，承包人无法按合同规定进场全部人员和机械时，作为承包人违约，发包人可解除合同，没收其全部履约担保金额，另行发包工程。</w:t>
      </w:r>
    </w:p>
    <w:p w14:paraId="3C142FA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合同履行过程中，承包人未按规定要求落实安全生产措施费用专款专用，挪用、扣减安全生产措施费用，且不服从发包人或监理人的安全生产管理，发包人有权对违反安全生产相关规定的行为处以罚款直至终止合同。</w:t>
      </w:r>
    </w:p>
    <w:p w14:paraId="3025F06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6.承包人生活设施及施工场地，应自费配备消防设备，防止火灾发生。</w:t>
      </w:r>
    </w:p>
    <w:p w14:paraId="41E835A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7.承包人使用的劳动力均应进行保险，否则不准安排工作，禁止使用童工。</w:t>
      </w:r>
    </w:p>
    <w:p w14:paraId="3DFEDD2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凡招标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r>
        <w:rPr>
          <w:rFonts w:hint="eastAsia" w:ascii="宋体" w:hAnsi="宋体" w:eastAsia="宋体" w:cs="宋体"/>
          <w:color w:val="auto"/>
          <w:sz w:val="21"/>
          <w:szCs w:val="21"/>
          <w:highlight w:val="none"/>
          <w:lang w:eastAsia="zh-CN"/>
        </w:rPr>
        <w:t>。</w:t>
      </w:r>
    </w:p>
    <w:p w14:paraId="22ED12E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9.承包人在合同实施过程中，应严格遵守合同履行期间项目法人制定的相应质量、进度、安全、合同、文明施工、水土保持、环境保护等相关管理规定和办法。</w:t>
      </w:r>
    </w:p>
    <w:p w14:paraId="434B9D5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承包人未能按时完成当月合同进度计划70%工程量的，发包人有权自行组织施工,以不超过投标报价的2倍单价扣减承包人的进度款，支付自行组织施工完成的工程款。也有权终止本合同并清退承包人，承包人须在10天内离场，否则发包人将强行撤出所有施工设备，所造成的全部损失由承包人承担。</w:t>
      </w:r>
    </w:p>
    <w:p w14:paraId="638BB52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有关主管部门及发包人检查发现问题时，承包人应按要求整改。在规定时间内不进行整改或整改无效的，发包人有权终止本施工合同并清退承包人。承包人须在10天内离场，否则发包人将强行撤出所有施工设备，所造成的全部损失由承包人承担。</w:t>
      </w:r>
    </w:p>
    <w:p w14:paraId="709D102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25.2 发包人所有付款（含预付款）均转入如下承包人单位基本账户（签订施工合同时标明），承包人单位基本账户发生改变时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承包人应书面通知（法定代表人签字并加盖单位公章）发包人。</w:t>
      </w:r>
    </w:p>
    <w:p w14:paraId="547D22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25.3  农民工工资</w:t>
      </w:r>
    </w:p>
    <w:p w14:paraId="50CA5A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执行农民工工资专用账户管理及银行代发制度，实行人工费（工资款）与其他工程款分账管理，承包人（农民工用工主体）设立农民工工资专用账户，承包人在申报工程预付款、进度款时，发包人按经审定的本期应付工程款15%计算的金额或以农民工完成实际发生支付的劳务工资总额（选择支付额较高的计算方式）拨付到承包人设立的农民工工资专用账户，承包人（农民工用工主体）委托工资专用账户开户银行直接将农民工工资发份至工资卡。（农民工工资专用账户信息等资料另行补充）</w:t>
      </w:r>
    </w:p>
    <w:p w14:paraId="587621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照以下文件执行：《保障农民工工资支付条例》《自治区水利厅办公室转发关于明确农民工工资专用账户管理、分包企业委托总承包企业银行代发、按时足额发放工资有关问题的通知（水办建设〔2019〕33号）、《关于印发广西壮族自治区工程建设领域农民工工资保证金规定实施办法的通知》（桂人社规〔2021〕16号）等现行有效的农民工工资支付相关法律法规、政策文件。</w:t>
      </w:r>
    </w:p>
    <w:p w14:paraId="270DB1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包人承诺对发包人支付的工程款专款专用，并确保农民工工资及时足额发放，在发包人按合同约定付款的情况下，承包人承诺绝不因农民工工资发放问题对发包人造成任何困扰。如承包人在工程施工期间出现拖欠农民工工资导致农民工上访事件,发包人有权将当期应支付给承包人的工程款直接支付拖欠的农民工工资并有权另行按支付额的30%要求承包人支付违约金。</w:t>
      </w:r>
    </w:p>
    <w:p w14:paraId="13A1F11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包人应处理好其与农民工等之间的劳动雇用、委托以及其他关系，特别是农民工等工资、报酬以及其他费用问题。发生下述纠纷影响发包人正常经营及工作的，如农民工、承包人雇员、承包人供应商、合作方等在发包人工地、营业场所、办公场所闹事、堵路、媒体曝光以及其他影响发包人工地施工、发包人声誉等情形的， 属承包人违约，每发生一次承包人向发包人支付违约金叁万元人民币(￥30000.00元) ，或发包人有权解约， 承包人支付合同总价10%违约金，发包人有权从需支付给承包人的任何款项中直接抵扣；发生上述情形，发包人也有权不经承包人同意而直接将款支付给上述人员，支付的款自动直接冲抵应支付给承包人的工程款，且承包人按支付额的 10%承担违约责任。</w:t>
      </w:r>
    </w:p>
    <w:p w14:paraId="21C9BEF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包人应积极配合属地人力资源社会保障行政部门、行业主管部门等相关部门对农民工工资支付情况的监督检查，并按要求按期提交保障农民工工资支付工作的基础台账，包括但不限于农民工工资支付证明、考勤记录、工资表、银行代发凭证等；具体提交的台账类别及格式，以相关部门出具的正式资料清单为准，承包人不得拒绝、拖延提交或提供虚假台账。</w:t>
      </w:r>
    </w:p>
    <w:p w14:paraId="5040ED3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程验收时，承包人应额外提交农民工工资支付有效凭证（具体以当地政府出具的工程资料明细单为准）；工程竣工验收后三个月内，向发包人提交以下材料：劳动部门（属地人力资源社会保障行政部门）出具的农民工工资支付情况公示结果、完整的保障农民工工资支付工作基础台账资料（包括但不限于农民工工资支付证明、工资表、银行代发凭证等）、农民工工资投诉处理结果（仅在存在投诉情况时提供），以及属地人力资源社会保障行政部门出具的《保证金账户解除通知》。</w:t>
      </w:r>
    </w:p>
    <w:p w14:paraId="1A351D8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25.4 安全文明施工措施费</w:t>
      </w:r>
    </w:p>
    <w:p w14:paraId="1B64CE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安全文明施工措施费按照承包人申请、 监理单位审核、 发包人审定的程序支付。</w:t>
      </w:r>
    </w:p>
    <w:p w14:paraId="5588A9C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工期在一年（含本数）以内的，发包人预付安全文明生产措施费不得低于该费用总额的50%；合同工期在一年以上的，预付安全文明措施费不得低于该费用总额的30%，该项费用应以预付款的形式向承包（分包）单位支付，随工程进度按实际发生额度进行抵扣；其余费用应当按照施工进度和措施落实情况支付。预付的安全文明措施费可与工程预付款同步申请、同步支付，但需在主体工程开工前支付到位。</w:t>
      </w:r>
    </w:p>
    <w:p w14:paraId="0B449DC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包人应设立安全生产文明措施费专项监管账户，定期核查资金使用合规性，对违规行为（如挪用资金、安全措施不到位）进行处罚，罚款从工程款中直接扣除；承包人应建立安全生产文明措施费使用台账，确保专款专用，配合监理和发包方的现场检查，及时整改安全隐患。</w:t>
      </w:r>
    </w:p>
    <w:p w14:paraId="685235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包人应据实申报安全文明施工措施费，总计不能超过批复概算工程直接费的2.5%，实际使用未达到限额的，实报实销；实际使用超过限额的，由承包人纳入落实相关安全责任管理成本。工程完工结算后结余的安全生产措施费，退回发包人。</w:t>
      </w:r>
    </w:p>
    <w:p w14:paraId="2E38E9C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承包人应按照编制详细的安全文明施工措施费使用计划报监理单位审核同意后实施，根据项目清单和使用凭据据实申请支付。</w:t>
      </w:r>
    </w:p>
    <w:p w14:paraId="7D77848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文明施工措施费应采用现场计量、按实支付的方式。难以现场计量的可以采用总额包干、分期支付的方式。采用现场计量的，计量凭证应当包括发票、工程结算单、设备台班结算单、设备租赁合同等。采用总额包干的，应当提供使用人签字、影像等材料。虚报或谎报按虚报（谎报）金额双倍处罚。</w:t>
      </w:r>
    </w:p>
    <w:p w14:paraId="21510B4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25.5 专用合同条款中未尽事宜，在签订施工合同时双方再商定。</w:t>
      </w:r>
    </w:p>
    <w:p w14:paraId="532AEA0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5B89EAA5">
      <w:pPr>
        <w:pStyle w:val="3"/>
        <w:bidi w:val="0"/>
        <w:jc w:val="center"/>
        <w:rPr>
          <w:rFonts w:hint="eastAsia" w:ascii="宋体" w:hAnsi="宋体" w:eastAsia="宋体" w:cs="宋体"/>
          <w:color w:val="auto"/>
          <w:sz w:val="32"/>
          <w:szCs w:val="32"/>
          <w:highlight w:val="none"/>
        </w:rPr>
      </w:pPr>
      <w:bookmarkStart w:id="83" w:name="_Toc27720"/>
      <w:r>
        <w:rPr>
          <w:rFonts w:hint="eastAsia" w:ascii="宋体" w:hAnsi="宋体" w:eastAsia="宋体" w:cs="宋体"/>
          <w:b/>
          <w:color w:val="auto"/>
          <w:sz w:val="32"/>
          <w:szCs w:val="32"/>
          <w:highlight w:val="none"/>
          <w:lang w:val="en-US" w:eastAsia="en-US"/>
        </w:rPr>
        <w:t>第</w:t>
      </w:r>
      <w:r>
        <w:rPr>
          <w:rFonts w:hint="eastAsia" w:ascii="宋体" w:hAnsi="宋体" w:cs="宋体"/>
          <w:b/>
          <w:color w:val="auto"/>
          <w:sz w:val="32"/>
          <w:szCs w:val="32"/>
          <w:highlight w:val="none"/>
          <w:lang w:val="en-US" w:eastAsia="zh-CN"/>
        </w:rPr>
        <w:t>三</w:t>
      </w:r>
      <w:r>
        <w:rPr>
          <w:rFonts w:hint="eastAsia" w:ascii="宋体" w:hAnsi="宋体" w:eastAsia="宋体" w:cs="宋体"/>
          <w:b/>
          <w:color w:val="auto"/>
          <w:sz w:val="32"/>
          <w:szCs w:val="32"/>
          <w:highlight w:val="none"/>
          <w:lang w:val="en-US" w:eastAsia="en-US"/>
        </w:rPr>
        <w:t>节 通用合同条款</w:t>
      </w:r>
      <w:bookmarkEnd w:id="83"/>
    </w:p>
    <w:p w14:paraId="4AA33F11">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84" w:name="_Toc10143"/>
      <w:bookmarkStart w:id="85" w:name="_Toc15917"/>
      <w:r>
        <w:rPr>
          <w:rFonts w:hint="eastAsia"/>
          <w:color w:val="auto"/>
          <w:highlight w:val="none"/>
        </w:rPr>
        <w:t>1. 一般约定</w:t>
      </w:r>
      <w:bookmarkEnd w:id="84"/>
      <w:bookmarkEnd w:id="85"/>
    </w:p>
    <w:p w14:paraId="2C5AD26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 词语定义</w:t>
      </w:r>
    </w:p>
    <w:p w14:paraId="780F98B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通用合同条款、专用合同条款中的下列词语应具有本款所赋予的含义。</w:t>
      </w:r>
    </w:p>
    <w:p w14:paraId="5BE65F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合同</w:t>
      </w:r>
    </w:p>
    <w:p w14:paraId="051DCD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合同文件（或称合同）：指合同协议书、中标通知书、投标函及投标函附录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专用合同条款、通用合同条款、技术标准和要求、图纸、已标价工程量清单，以及其他合同文件。</w:t>
      </w:r>
    </w:p>
    <w:p w14:paraId="2EAE22F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合同协议书：指第1.5款所指的合同协议书。</w:t>
      </w:r>
    </w:p>
    <w:p w14:paraId="3A108F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1.1.1.3 中标通知书：指发包人通知承包人中标的函件。</w:t>
      </w:r>
    </w:p>
    <w:p w14:paraId="1B0CF4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1.1.1.4 投标函：指构成合同文件组成部分的由承包人填写并签署的投标函。</w:t>
      </w:r>
    </w:p>
    <w:p w14:paraId="0E6EEE2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1.1.1.5 投标函附录：指附在投标函后构成合同文件的投标函附录。</w:t>
      </w:r>
    </w:p>
    <w:p w14:paraId="4E8337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1.1.1.6 技术标准和要求：指构成合同文件组成部分的名为技术标准和要求（合同技术条款）的文件，包括合同双方当事人约定对其所做的修改或补充。</w:t>
      </w:r>
    </w:p>
    <w:p w14:paraId="4DCDF5C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1.1.1.7 图纸：指列入合同的招标图纸、投标图纸和发包人按合同约定向承包人提供的施工图纸和其他图纸（包括配套说明和有关资料）。列入合同的招标图纸已成为合同文件的一部分，具有合同效力，主要用于在履行合同过程中作为衡量变更的依据，但不能直接用于施工。经发包人确认进入合同的投标图纸亦成为合同文件的一部分，用于在履行合同中检验承包人是否按其投标时承诺的条件进行施工的依据，亦不能直接用于施工。</w:t>
      </w:r>
    </w:p>
    <w:p w14:paraId="168ABD8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1.1.1.8 已标价工程量清单：指构成合同文件组成部分的由承包人按照规定的格式和要求填写并标明价格的工程量清单。</w:t>
      </w:r>
    </w:p>
    <w:p w14:paraId="068DA0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1.1.1.9 其他合同文件：指经合同双方当事人确认构成合同文件的其他文件。</w:t>
      </w:r>
    </w:p>
    <w:p w14:paraId="35A22D1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合同当事人和人员。</w:t>
      </w:r>
    </w:p>
    <w:p w14:paraId="5126461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1.1.2.1 合同当事人：指发包人和（或）承包人。</w:t>
      </w:r>
    </w:p>
    <w:p w14:paraId="05DD72F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1.1.2.2 发包人：指专用合同条款中指明并与承包人在合同协议书中签字的当事人。</w:t>
      </w:r>
    </w:p>
    <w:p w14:paraId="6DAFC29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1.1.2.3 承包人：指专用合同条款中指明并与发包人在合同协议书中签字的当事人。</w:t>
      </w:r>
    </w:p>
    <w:p w14:paraId="3214AAE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1.1.2.4 承包人项目经理：指承包人派驻施工场地的全权负责人。</w:t>
      </w:r>
    </w:p>
    <w:p w14:paraId="7CAAB35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1.1.2.5 分包人：指专用合同条款中指明的，从承包人处分包合同中某一部分工程，并与其签订分包合同的分包人。</w:t>
      </w:r>
    </w:p>
    <w:p w14:paraId="0BB1560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1.1.2.6监理人：指在专用合同条款中指明的，受发包人委托对合同履行实施管理的法人或其他组织。</w:t>
      </w:r>
    </w:p>
    <w:p w14:paraId="3F94514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1.1.2.7 总监理工程师（总监）:指由监理人委派常驻施工场地对合同履行实施管理的全权负责人。</w:t>
      </w:r>
    </w:p>
    <w:p w14:paraId="50BE94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工程和设备</w:t>
      </w:r>
    </w:p>
    <w:p w14:paraId="30BD38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1.1.3.1 工程：指永久工程和（或）临时工程。</w:t>
      </w:r>
    </w:p>
    <w:p w14:paraId="598FF5E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1.1.3.2 永久工程：指按合同约定建造并移交给发包人的工程，包括工程设备。</w:t>
      </w:r>
    </w:p>
    <w:p w14:paraId="77DC71E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1.1.3.3 临时工程：指为完成合同约定的永久工程所修建的各类临时性工程，不包括施工设备。</w:t>
      </w:r>
    </w:p>
    <w:p w14:paraId="1F3AFB0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1.1.3.4 单位工程：指专用合同条款中指明特定范围的永久工程</w:t>
      </w:r>
      <w:r>
        <w:rPr>
          <w:rFonts w:hint="eastAsia" w:ascii="宋体" w:hAnsi="宋体" w:eastAsia="宋体" w:cs="宋体"/>
          <w:color w:val="auto"/>
          <w:sz w:val="21"/>
          <w:szCs w:val="21"/>
          <w:highlight w:val="none"/>
          <w:lang w:eastAsia="zh-CN"/>
        </w:rPr>
        <w:t>。</w:t>
      </w:r>
    </w:p>
    <w:p w14:paraId="5488894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1.1.3.5 工程设备：指构成或计划构成永久工程一部分的机电设备、金属结构设备、仪器装置及其他类似的设备和装置。</w:t>
      </w:r>
    </w:p>
    <w:p w14:paraId="7F6A02A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1.1.3.6 施工设备：指为完成合同约定的各项工作所需的设备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器具和其他物品，不包括临时工程和材料。</w:t>
      </w:r>
    </w:p>
    <w:p w14:paraId="2EBAF88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1.1.3.7 临时设施：指为完成合同约定的各项工作所服务的临时性生产和生活设施。</w:t>
      </w:r>
    </w:p>
    <w:p w14:paraId="3006D16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1.1.3.8 承包人设备：指承包人自带的施工设备。</w:t>
      </w:r>
    </w:p>
    <w:p w14:paraId="371EAFC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1.1.3.9 施工场地（或称工地、现场）：指用于合同工程施工的场所，以及在合同中指定作为施工场地组成部分的其他场所，包括永久占地和临时占地。</w:t>
      </w:r>
    </w:p>
    <w:p w14:paraId="6F99FBD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"1.1.3.10"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1.1.3.10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永久占地：指发包人为建设本合同工程永久征用的场地。</w:t>
      </w:r>
    </w:p>
    <w:p w14:paraId="7ADAD4F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"1.1.3.11"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1.1.3.11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临时占地：指发包人为建设本合同工程临时征用，并应在完工后须按合同要求退还的场地。</w:t>
      </w:r>
    </w:p>
    <w:p w14:paraId="688E43E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日期</w:t>
      </w:r>
    </w:p>
    <w:p w14:paraId="3D722C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1 开工通知：指监理人按第 11.1款通知承包人开工的函件。</w:t>
      </w:r>
    </w:p>
    <w:p w14:paraId="3BFE990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1.1.4.2 开工日期：指监理人按第 11.1款发出的开工通知中写明的开工日期。</w:t>
      </w:r>
    </w:p>
    <w:p w14:paraId="69AA650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1.1.4.3 工期：指承包人在投标函中承诺的完成合同工程所需的期限，包括按第 11.3 款、第 11. 4 款和第 11. 6 款约定所作的变更。</w:t>
      </w:r>
    </w:p>
    <w:p w14:paraId="3E7E77E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1.1.4.4 竣工日期：即合同工程完工日期，指第1.1.4.3目约定工期届满时的日期。实际完工时间以合同工程完工证书中写明的日期为准。</w:t>
      </w:r>
    </w:p>
    <w:p w14:paraId="5E944B9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1.1.4.5 缺陷责任期：即工程质量保修期，指履行第19.2款约定的缺陷责任的期限，包括根据第19.3款约定所作的延长，具体期限由专用合同条款约定。</w:t>
      </w:r>
    </w:p>
    <w:p w14:paraId="68B2487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1.1.4.6 基准日期：指投标截止时间前 28 天的日期。</w:t>
      </w:r>
    </w:p>
    <w:p w14:paraId="54E3752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1.1.4.7 天：除特别指明外，指日历天。合同中按天计算时间的，开始当天不计入，从次日开始计算。期限最后一天的截止时间为当天 24</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00</w:t>
      </w:r>
      <w:r>
        <w:rPr>
          <w:rFonts w:hint="eastAsia" w:ascii="宋体" w:hAnsi="宋体" w:eastAsia="宋体" w:cs="宋体"/>
          <w:color w:val="auto"/>
          <w:sz w:val="21"/>
          <w:szCs w:val="21"/>
          <w:highlight w:val="none"/>
          <w:lang w:eastAsia="zh-CN"/>
        </w:rPr>
        <w:t>。</w:t>
      </w:r>
    </w:p>
    <w:p w14:paraId="775B839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 合同价格和费用</w:t>
      </w:r>
    </w:p>
    <w:p w14:paraId="00A3FF6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1.1.5.1 签约合同价：指签定合同时合同协议书中写明的，包括了暂列金额、暂估价的合同总金额。</w:t>
      </w:r>
    </w:p>
    <w:p w14:paraId="405601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1.1.5.2 合同价格：指承包人按合同约定完成了包括缺陷责任期内的全部承包工作后，发包人应付给承包人的金额，包括在履行合同过程中按合同约定进行的变更和调整。</w:t>
      </w:r>
    </w:p>
    <w:p w14:paraId="5F1C96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1.1.5.3 费用：指为履行合同所发生的或将要发生的所有合理开支，包括管理费和应分摊的其他费用，但不包括利润。</w:t>
      </w:r>
    </w:p>
    <w:p w14:paraId="37C39A3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1.1.5.4 暂列金额：指已标价工程量清单中所列的暂列金额，用于在签订协议书时尚未确定或不可预见变更的施工及其所需材料、工程设备、服务等的金额，包括以计日工方式支付的金额。</w:t>
      </w:r>
    </w:p>
    <w:p w14:paraId="3F199D5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1.1.5.5 暂估价：指发包人在工程量清单中给定的用于支付必然发生但暂时不能确定价格的材料、设备以及专业工程的金额。</w:t>
      </w:r>
    </w:p>
    <w:p w14:paraId="2D8DE88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 6 计日工：指对零星工作采取的一种计价方式，按合同中的计日工子目及其单价计价付款。</w:t>
      </w:r>
    </w:p>
    <w:p w14:paraId="3474717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1.1.5.7 质量保证金(或称保留金)：指按第17.4.1项约定用于保证在缺陷责任期内履行缺陷修复义务的金额。</w:t>
      </w:r>
    </w:p>
    <w:p w14:paraId="097C562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 其他</w:t>
      </w:r>
    </w:p>
    <w:p w14:paraId="0DF87F1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1.1.6.1书面形式：指合同文件、信函、电报、传真等可以有形地表现所载内容的形式。</w:t>
      </w:r>
    </w:p>
    <w:p w14:paraId="5AFFD2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 语言文字</w:t>
      </w:r>
    </w:p>
    <w:p w14:paraId="2C4243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除专用术语外，合同使用的语言文字为中文。必要时专用术语应附有中文注释。</w:t>
      </w:r>
    </w:p>
    <w:p w14:paraId="1682C4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 法律</w:t>
      </w:r>
    </w:p>
    <w:p w14:paraId="30296AE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适用于合同的法律包括中华人民共和国法律、行政法规、部门规章，以及工程所在地的地方法规、自治条例、单行条例和地方政府规章。</w:t>
      </w:r>
    </w:p>
    <w:p w14:paraId="12D746E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 合同文件的优先顺序</w:t>
      </w:r>
    </w:p>
    <w:p w14:paraId="646906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组成合同的各项文件应互相解释，互为说明。除专用合同条款另有约定外，解释合同文件的优先顺序如下：</w:t>
      </w:r>
    </w:p>
    <w:p w14:paraId="20B2F2CA">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（1）合同协议书；</w:t>
      </w:r>
    </w:p>
    <w:p w14:paraId="441CFC45">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（2）中标通知书；</w:t>
      </w:r>
    </w:p>
    <w:p w14:paraId="487BA0A0">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（3）投标函及投标函附录；</w:t>
      </w:r>
    </w:p>
    <w:p w14:paraId="2B9FFBFF">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（4）专用合同条款；</w:t>
      </w:r>
    </w:p>
    <w:p w14:paraId="37433FA0">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（5）通用合同条款；</w:t>
      </w:r>
    </w:p>
    <w:p w14:paraId="5C800DAC">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（6）技术标准和要求；</w:t>
      </w:r>
    </w:p>
    <w:p w14:paraId="36789BD5">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（7）图纸；</w:t>
      </w:r>
    </w:p>
    <w:p w14:paraId="3D3678FD">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（8）已标价工程量清单；</w:t>
      </w:r>
    </w:p>
    <w:p w14:paraId="29290DB8">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（9）其他合同文件。</w:t>
      </w:r>
    </w:p>
    <w:p w14:paraId="43CA2A9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 合同协议书</w:t>
      </w:r>
    </w:p>
    <w:p w14:paraId="3D6269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承包人按中标通知书规定的时间与发包人签订合同协议书。除法律另有规定或合同另有约定外，发包人和承包人的法定代表人或其委托代理人在合同协议书上签字并盖单位电子公章后，合同生效</w:t>
      </w:r>
      <w:r>
        <w:rPr>
          <w:rFonts w:hint="eastAsia" w:ascii="宋体" w:hAnsi="宋体" w:eastAsia="宋体" w:cs="宋体"/>
          <w:color w:val="auto"/>
          <w:sz w:val="21"/>
          <w:szCs w:val="21"/>
          <w:highlight w:val="none"/>
          <w:lang w:eastAsia="zh-CN"/>
        </w:rPr>
        <w:t>。</w:t>
      </w:r>
    </w:p>
    <w:p w14:paraId="6228020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 图纸和承包人文件</w:t>
      </w:r>
    </w:p>
    <w:p w14:paraId="1B44608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图纸的提供</w:t>
      </w:r>
    </w:p>
    <w:p w14:paraId="3BA96AE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发包人应按技术标准和要求(合同技术条款)约定的期限和数量将施工图纸以及其它图纸（包括配套说明和有关资料）提供给承包人。由于发包人未按时提供图纸造成工期延误的，按第11.3款的约定办理。</w:t>
      </w:r>
    </w:p>
    <w:p w14:paraId="1D004F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 承包人提供的文件</w:t>
      </w:r>
    </w:p>
    <w:p w14:paraId="39E38FD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承包人提供的文件应按技术标准和要求（合同技术条款）约定的期限和数量提供给监理人。监理人应按技术标准和要求（合同技术条款）约定的期限批复承包人。</w:t>
      </w:r>
    </w:p>
    <w:p w14:paraId="4D42CCC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1.6.3 图纸的修改</w:t>
      </w:r>
    </w:p>
    <w:p w14:paraId="22B8BDB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人需要对已发给承包人的施工图纸进行修改时，监理人应在技术标准和要求（合同技术条款）约定的期限内签发施工图纸的修改图给承包人。承包人应按技术标准和要求（合同技术条款）的约定编制一份承包人实施计划提交监理人批准后执行。</w:t>
      </w:r>
    </w:p>
    <w:p w14:paraId="77C84C0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1.6.4 图纸的错误</w:t>
      </w:r>
    </w:p>
    <w:p w14:paraId="2C77889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承包人发现发包人提供的图纸存在明显错误或疏忽，应及时通知监理人。</w:t>
      </w:r>
    </w:p>
    <w:p w14:paraId="5412586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 图纸和承包人文件的保管</w:t>
      </w:r>
    </w:p>
    <w:p w14:paraId="220490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监理人和承包人均应在施工场地各保存一套完整的包含第1.6.1项、第1.6.2项、第1.6.3项约定内容的图纸和承包人文件。</w:t>
      </w:r>
    </w:p>
    <w:p w14:paraId="64B0AB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 联络</w:t>
      </w:r>
    </w:p>
    <w:p w14:paraId="5E7649D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 与合同有关的通知、批准、证明、证书、指示、要求、请求、同意、意见、确定和决定等，均应采用书面形式。</w:t>
      </w:r>
    </w:p>
    <w:p w14:paraId="22B5D58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1.7.2第1.7.1项中的通知、批准、证明、证书、指示、要求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请求、同意、意见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确定和决定等来往函件，均应在合同约定的期限内送达指定地点和接收人，并办理签收手续。来往函件的送达期限在技术标准和要求（合同技术条款）中约定，送达地点在专用合同条款中约定。</w:t>
      </w:r>
    </w:p>
    <w:p w14:paraId="6A7301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 来往函件均应按合同约定的期限及时发出和答复，不得无故扣压和拖延，亦不得拒收。否则，由此造成的后果由责任方负责。</w:t>
      </w:r>
    </w:p>
    <w:p w14:paraId="5E03DAD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 转让</w:t>
      </w:r>
    </w:p>
    <w:p w14:paraId="31460C9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除合同另有约定外，未经对方当事人同意，一方当事人不得将合同权利全部或部分转让给第三人，也不得全部或部分转移合同义务。</w:t>
      </w:r>
    </w:p>
    <w:p w14:paraId="20159E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 严禁贿赂</w:t>
      </w:r>
    </w:p>
    <w:p w14:paraId="6CD5B2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合同双方当事人不得以贿赂或变相贿赂的方式，谋取不当利益或损害对方权益。因贿赂造成对方损失的，行为人应赔偿损失，并承担相应的法律责任。</w:t>
      </w:r>
    </w:p>
    <w:p w14:paraId="1EEF505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1.10 化石、文物</w:t>
      </w:r>
    </w:p>
    <w:p w14:paraId="7195604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4C3ABC6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1.10.2承包人发现文物后不及时报告或隐瞒不报，致使文物丢失或损坏的，应赔偿损失，并承担相应的法律责任。</w:t>
      </w:r>
    </w:p>
    <w:p w14:paraId="76927CD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1.11 专利技术</w:t>
      </w:r>
    </w:p>
    <w:p w14:paraId="19C1F7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承包人在使用任何材料、承包人设备、工程设备或采用施工工艺时，因侵犯专利权或其他知识产权所引起的责任，由承包人承担，但由于遵照发包人提供的设计或技术标准和要求引起的除外。</w:t>
      </w:r>
    </w:p>
    <w:p w14:paraId="09C7725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承包人在投标文件中采用专利技术的，专利技术的使用费包含在投标报价内。</w:t>
      </w:r>
    </w:p>
    <w:p w14:paraId="5A0D540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1.11.3 承包人的技术秘密和声明需要保密的资料和信息，发包人和监理人不得为合同以外的目的泄露给他人。</w:t>
      </w:r>
    </w:p>
    <w:p w14:paraId="2F559F8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1.11.4 合同实施过程中，发包人要求承包人采用专利技术的，发包人应办理相应的使用手续，承包人应按发包人约定的条件使用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并承担使用专利技术的相关试验工作。所需的费用由发包人承担</w:t>
      </w:r>
      <w:r>
        <w:rPr>
          <w:rFonts w:hint="eastAsia" w:ascii="宋体" w:hAnsi="宋体" w:eastAsia="宋体" w:cs="宋体"/>
          <w:color w:val="auto"/>
          <w:sz w:val="21"/>
          <w:szCs w:val="21"/>
          <w:highlight w:val="none"/>
          <w:lang w:eastAsia="zh-CN"/>
        </w:rPr>
        <w:t>。</w:t>
      </w:r>
    </w:p>
    <w:p w14:paraId="4AEC927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图纸和文件的保密</w:t>
      </w:r>
    </w:p>
    <w:p w14:paraId="50EE4E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1.12.1 发包人提供的图纸和文件，未经发包人同意，承包人不得为合同以外的目的泄露给他人或公开发表与引用。</w:t>
      </w:r>
    </w:p>
    <w:p w14:paraId="2A9F23D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1.12.2 承包人提供的文件，未经承包人同意，发包人和监理人不得为合同以外的目的泄露给他人或公开发表与引用。</w:t>
      </w:r>
    </w:p>
    <w:p w14:paraId="5C58CF10">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86" w:name="_Toc13638"/>
      <w:bookmarkStart w:id="87" w:name="_Toc30196"/>
      <w:r>
        <w:rPr>
          <w:rFonts w:hint="eastAsia"/>
          <w:color w:val="auto"/>
          <w:highlight w:val="none"/>
        </w:rPr>
        <w:t>2.发包人义务</w:t>
      </w:r>
      <w:bookmarkEnd w:id="86"/>
      <w:bookmarkEnd w:id="87"/>
    </w:p>
    <w:p w14:paraId="6EC828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 遵守法律</w:t>
      </w:r>
    </w:p>
    <w:p w14:paraId="5F34F03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发包人在履行合同过程中应遵守法律，并保证承包人免于承担因发包人违反法律而引起的任何责任。</w:t>
      </w:r>
    </w:p>
    <w:p w14:paraId="37221B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 发出开工通知</w:t>
      </w:r>
    </w:p>
    <w:p w14:paraId="764CE6C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发包人应委托监理人按第 H. 1 款的约定向承包人发出开工通知</w:t>
      </w:r>
      <w:r>
        <w:rPr>
          <w:rFonts w:hint="eastAsia" w:ascii="宋体" w:hAnsi="宋体" w:eastAsia="宋体" w:cs="宋体"/>
          <w:color w:val="auto"/>
          <w:sz w:val="21"/>
          <w:szCs w:val="21"/>
          <w:highlight w:val="none"/>
          <w:lang w:eastAsia="zh-CN"/>
        </w:rPr>
        <w:t>。</w:t>
      </w:r>
    </w:p>
    <w:p w14:paraId="72340E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 提供施工场地</w:t>
      </w:r>
    </w:p>
    <w:p w14:paraId="7A96F51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2.3.1 发包人应在合同双方签定合同协议书后的 14 天内，将本合同工程的施工场地范围图提交给承包人。发包人提供的施工用地范围图应标明用地范围内永久占地与临时占地的范围和界限，以及指明提供给承包人用于施工场地布置的范围和界限及其有关资料</w:t>
      </w:r>
      <w:r>
        <w:rPr>
          <w:rFonts w:hint="eastAsia" w:ascii="宋体" w:hAnsi="宋体" w:eastAsia="宋体" w:cs="宋体"/>
          <w:color w:val="auto"/>
          <w:sz w:val="21"/>
          <w:szCs w:val="21"/>
          <w:highlight w:val="none"/>
          <w:lang w:eastAsia="zh-CN"/>
        </w:rPr>
        <w:t>。</w:t>
      </w:r>
    </w:p>
    <w:p w14:paraId="7510BBD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 发包人提供的施工用地范围在专用合同条款中约定。</w:t>
      </w:r>
    </w:p>
    <w:p w14:paraId="7D6E65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2.3.3 除专用合同条款另有约定外，发包人应按技术标准和要求（合同技术条款）的约定，向承包人提供施工场地内的工程地质图纸和报告，以及地下障碍物图纸等施工场地有关资料，并保证资料的真实、准确、完整。</w:t>
      </w:r>
    </w:p>
    <w:p w14:paraId="7B144C3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 协助承包人办理证件和批件</w:t>
      </w:r>
    </w:p>
    <w:p w14:paraId="008912A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发包人应协助承包人办理法律规定的有关施工证件和批件。</w:t>
      </w:r>
    </w:p>
    <w:p w14:paraId="06FC67B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2.5 组织设计交底</w:t>
      </w:r>
    </w:p>
    <w:p w14:paraId="19136E5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发包人应根据合同进度计划，组织设计单位向承包人进行设计交底。</w:t>
      </w:r>
    </w:p>
    <w:p w14:paraId="0D04DF9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2.6 支付合同价款</w:t>
      </w:r>
    </w:p>
    <w:p w14:paraId="773DC1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发包人应按合同约定向承包人及时支付合同价款。</w:t>
      </w:r>
    </w:p>
    <w:p w14:paraId="72AD4F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2.7 组织竣工验收（组织法人验收）</w:t>
      </w:r>
    </w:p>
    <w:p w14:paraId="5DD10E8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发包人应按合同约定及时组织法人验收。</w:t>
      </w:r>
    </w:p>
    <w:p w14:paraId="484CDCF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2.8 其它义务</w:t>
      </w:r>
    </w:p>
    <w:p w14:paraId="78FB66B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其它义务在专用合同条款中补充约定。</w:t>
      </w:r>
    </w:p>
    <w:p w14:paraId="3DE0B861">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88" w:name="_Toc16105"/>
      <w:bookmarkStart w:id="89" w:name="_Toc28034"/>
      <w:r>
        <w:rPr>
          <w:rFonts w:hint="eastAsia"/>
          <w:color w:val="auto"/>
          <w:highlight w:val="none"/>
        </w:rPr>
        <w:t>3.监理人</w:t>
      </w:r>
      <w:bookmarkEnd w:id="88"/>
      <w:bookmarkEnd w:id="89"/>
    </w:p>
    <w:p w14:paraId="7CEFAFE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3.1 监理人的职责和权利</w:t>
      </w:r>
    </w:p>
    <w:p w14:paraId="2EF8956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 监理人受发包人的委托，享有合同约定的权力。监理人的权力范围在专用合同条款中约定。当监理人认为出现了危及生命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或毗邻财产等安全的紧急事件时，在不免除合同约定的承包人责任的情况下，监理人可以指示承包人实施为消除或减少这种危险所必须进行的工作，即使没有发包人的事先批准，承包人也应立即遵照执行。监理人应按第 15 条的约定增加相应的费用，并通知承包人。</w:t>
      </w:r>
    </w:p>
    <w:p w14:paraId="35DF152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 监理人发出的任何指示应视为已得到发包人的批准，但监理人无权免除或变更合同约定的发包人和承包人的权利、义务和责任。</w:t>
      </w:r>
    </w:p>
    <w:p w14:paraId="34A2E0F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 合同约定应由承包人承担的义务和责任，不因监理人对承包人提交文件的审查或批准，对工程、材料和设备的检查和检验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以及为实施监理作出的指示等职务行为而减轻或解除。</w:t>
      </w:r>
    </w:p>
    <w:p w14:paraId="73D7B44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3.2 总监理工程师</w:t>
      </w:r>
    </w:p>
    <w:p w14:paraId="165499B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发包人应在发出开工通知前将总监理工程师的任命通知承包人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总监理工程师更换时，应在调离 14 天前通知承包人。总监理工程师短期离开施工场地的，应委派代表代行其职责，并通知承包人。</w:t>
      </w:r>
    </w:p>
    <w:p w14:paraId="18EEC5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3.3 监理人员</w:t>
      </w:r>
    </w:p>
    <w:p w14:paraId="15152C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36F9EC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3.3.2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监理人员对承包人的任何工作、工程或其采用的材料和工程设备未在约定的或合理的期限内提出否定意见的，视为已获批准，但不影响监理人在以后拒绝该项工作、工程、材料或工程设备的权利。</w:t>
      </w:r>
    </w:p>
    <w:p w14:paraId="10076B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 承包人对总监理工程师授权的监理人员发出的指示有疑问的，可向总监理工程师提出书面异议，总监理工程师应在 48 小时内对该指示予以确认、更改或撤销。</w:t>
      </w:r>
    </w:p>
    <w:p w14:paraId="0AF9EB9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3.3.4 除专用合同条款另有约定外，总监理工程师不应将第 3.5 款约定应由总监理工程师作出确定的权力授权或委托给其他监理人员。</w:t>
      </w:r>
    </w:p>
    <w:p w14:paraId="409D1F7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3.4 监理人的指示</w:t>
      </w:r>
    </w:p>
    <w:p w14:paraId="021BA7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 监理人应按第 3. 1 款的约定向承包人发出指示，监理人的指示应盖有监理人授权的施工场地机构章，并由总监理工程师或总监理工程师按第 3. 3. 1 项约定授权的监理人员签字。</w:t>
      </w:r>
    </w:p>
    <w:p w14:paraId="0013CDE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 承包人收到监理人按第 3.4.1 项作出的指示后应遵照执行。指示构成变更的，应按第 15 条处理。</w:t>
      </w:r>
    </w:p>
    <w:p w14:paraId="7A9E49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13CFE5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3.4.4 除合同另有约定外，承包人只从总监理工程师或按第 3.3.1项被授权的监理人员处取得指示。</w:t>
      </w:r>
    </w:p>
    <w:p w14:paraId="7C8ADF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3.4.5 由于监理人未能按合同约定发出指示、指示延误或指示错误而导致承包人费用增加和（或）工期延误的，由发包人承担赔偿责任。</w:t>
      </w:r>
    </w:p>
    <w:p w14:paraId="1085E38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3.5 商定或确定</w:t>
      </w:r>
    </w:p>
    <w:p w14:paraId="5A8121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 合同约定总监理工程师应按照本款对任何事项进行商定或确定时，总监理工程师应与合同当事人协商，尽量达成一致。不能达成一致的，总监理工程师应认真研究后审慎确定。</w:t>
      </w:r>
    </w:p>
    <w:p w14:paraId="59C7A90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3.5.2 总监理工程师应将商定或确定的事项通知合同当事人，并附详细依据。对总监理工程师的确定有异议的，构成争议，按照第 24 条的约定处理。在争议解决前，双方应暂按总监理工程师的确定执行，按照第 24 条的约定对总监理工程师的确定作出修改的，按修改后的结果执行。</w:t>
      </w:r>
    </w:p>
    <w:p w14:paraId="791BDCEC">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90" w:name="_Toc170"/>
      <w:bookmarkStart w:id="91" w:name="_Toc27395"/>
      <w:r>
        <w:rPr>
          <w:rFonts w:hint="eastAsia"/>
          <w:color w:val="auto"/>
          <w:highlight w:val="none"/>
        </w:rPr>
        <w:t>4.承包人</w:t>
      </w:r>
      <w:bookmarkEnd w:id="90"/>
      <w:bookmarkEnd w:id="91"/>
    </w:p>
    <w:p w14:paraId="078A849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4.1 承包人的一般义务</w:t>
      </w:r>
    </w:p>
    <w:p w14:paraId="5E57EFF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 遵守法律</w:t>
      </w:r>
    </w:p>
    <w:p w14:paraId="2068249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承包人在履行合同过程中应遵守法律，并保证发包人免于承担因承包人违反法律而引起的任何责任。</w:t>
      </w:r>
    </w:p>
    <w:p w14:paraId="57C776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 依法纳税</w:t>
      </w:r>
    </w:p>
    <w:p w14:paraId="61912BC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承包人应按有关法律规定纳税，应缴纳的税金包括在合同价格内。</w:t>
      </w:r>
    </w:p>
    <w:p w14:paraId="38C22B1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4.1.3 完成各项承包工作</w:t>
      </w:r>
    </w:p>
    <w:p w14:paraId="7FE46DD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承包人应按合同约定以及监理人根据第3.4款作出的指示，实施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完成全部工程，并修补工程中的任何缺陷。除第5.2款、第6.2款另有约定外，承包人应提供为完成合同工作所需的劳务、材料、施工设备、工程设备和其它物品，并按合同约定负责临时设施的设计、建造、运行、维护、管理和拆除。</w:t>
      </w:r>
    </w:p>
    <w:p w14:paraId="3611823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4.1.4 对施工作业和施工方法的完备性负责</w:t>
      </w:r>
    </w:p>
    <w:p w14:paraId="7E0F33C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承包人应按合同约定的工作内容和施工进度要求，编制施工组织设计和施工措施计划，并对所有施工作业和施工方法的完备性和安全可靠性负责。</w:t>
      </w:r>
    </w:p>
    <w:p w14:paraId="2152807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4.1.5 保证工程施工和人员的安全</w:t>
      </w:r>
    </w:p>
    <w:p w14:paraId="390B057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承包人应按第 9.2 款约定采取施工安全措施，确保工程及其人员、材料、设备和设施的安全，防止因工程施工造成的人身伤害和财产损失。</w:t>
      </w:r>
    </w:p>
    <w:p w14:paraId="08E2041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4.1.6 负责施工场地及其周边环境与生态的保护工作</w:t>
      </w:r>
    </w:p>
    <w:p w14:paraId="46B4391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承包人应按照第 9.4 款约定负责施工场地及其周边环境与生态的保护工作。</w:t>
      </w:r>
    </w:p>
    <w:p w14:paraId="6973B67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4.1.7 避免施工对公众与他人的利益造成损害</w:t>
      </w:r>
    </w:p>
    <w:p w14:paraId="535E9CC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6023E18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4.1.8 为他人提供方便</w:t>
      </w:r>
    </w:p>
    <w:p w14:paraId="7DFF0F4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承包人应按监理人的指示为他人在施工场地或附近实施与工程有关的其他各项工作提供可能的条件。除合同另有约定外，提供有关条件的内容和可能发生的费用，由监理人按第3.5款商定或确定</w:t>
      </w:r>
      <w:r>
        <w:rPr>
          <w:rFonts w:hint="eastAsia" w:ascii="宋体" w:hAnsi="宋体" w:eastAsia="宋体" w:cs="宋体"/>
          <w:color w:val="auto"/>
          <w:sz w:val="21"/>
          <w:szCs w:val="21"/>
          <w:highlight w:val="none"/>
          <w:lang w:eastAsia="zh-CN"/>
        </w:rPr>
        <w:t>。</w:t>
      </w:r>
    </w:p>
    <w:p w14:paraId="6328AA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4.1.9 工程的维护和照管</w:t>
      </w:r>
    </w:p>
    <w:p w14:paraId="09F8DAB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除合同另有约定外，合同工程完工证书颁发前，承包人应负责照管和维护工程。合同工程完工证书颁发时尚有部分未完工程的，承包人还应负责该未完工程的照管和维护工作</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直至完工后移交给发包人为止。</w:t>
      </w:r>
    </w:p>
    <w:p w14:paraId="3B23063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4.1.10 其它义务</w:t>
      </w:r>
    </w:p>
    <w:p w14:paraId="4C27438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其它义务在专用合同条款中补充约定。</w:t>
      </w:r>
    </w:p>
    <w:p w14:paraId="25BB138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4.2 履约担保</w:t>
      </w:r>
    </w:p>
    <w:p w14:paraId="140AE93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承包人应保证其履约担保在发包人颁发合同工程完工证书前一直有效。发包人应在合同工程完工证书颁发后 28 天内将履约担保退还给承包人。</w:t>
      </w:r>
    </w:p>
    <w:p w14:paraId="6768599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4.3 分包</w:t>
      </w:r>
    </w:p>
    <w:p w14:paraId="138CC7B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 承包人不得将其承包的全部工程转包给第三人，或将其承包的全部工程肢解后以分包的名义转包给第三人。</w:t>
      </w:r>
    </w:p>
    <w:p w14:paraId="2D37D9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 承包人不得将工程主体、关键性工作分包给第三人。除专用合同条款另有约定外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未经发包人同意，承包人不得将工程的其他部分或工作分包给第三人。</w:t>
      </w:r>
    </w:p>
    <w:p w14:paraId="36A0574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4.3.3 分包人的资格能力应与其分包工程的标准和规模相适应</w:t>
      </w:r>
      <w:r>
        <w:rPr>
          <w:rFonts w:hint="eastAsia" w:ascii="宋体" w:hAnsi="宋体" w:eastAsia="宋体" w:cs="宋体"/>
          <w:color w:val="auto"/>
          <w:sz w:val="21"/>
          <w:szCs w:val="21"/>
          <w:highlight w:val="none"/>
          <w:lang w:eastAsia="zh-CN"/>
        </w:rPr>
        <w:t>。</w:t>
      </w:r>
    </w:p>
    <w:p w14:paraId="1DAE1CB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4.3.4 按投标函附录约定分包工程的，承包人应向发包人和监理人提交分包合同副本。</w:t>
      </w:r>
    </w:p>
    <w:p w14:paraId="52C2E6F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4.3.5 承包人应与分包人就分包工程向发包人承担连带责任。</w:t>
      </w:r>
    </w:p>
    <w:p w14:paraId="7755034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4.3.6 分包分为工程分包和劳务作业分包。工程分包应遵循合同约定或者经发包人书面认可。禁止承包人将本合同工程进行违法分包。分包人应具备与分包工程规模和标准相适应的资质和业绩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在人力、设备、资金等方面具有承担分包工程施工的能力。分包人应自行完成所承包的任务。</w:t>
      </w:r>
    </w:p>
    <w:p w14:paraId="6A96FD6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4.3.7 在合同实施过程中，如承包人无力在合同规定的期限内完成合同中的应急防汛、抢险等危及公共安全和工程安全的项目，发包人可对该应急防汛、抢险等项目的部分工程指定分包人。因非承包人原因形成指定分包条件的，发包人的指定分包不得增加承包人的额外费用；因承包人原因形成指定分包条件的，承包人应承担指定分包所增加的费用。由指定分包人造成的与其分包工作有关的一切索赔、诉讼和损失赔偿由指定分包人直接对发包人负责，承包人不对此承担责任。</w:t>
      </w:r>
    </w:p>
    <w:p w14:paraId="70FCF2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4.3.8 承包人和发包人应当签订分包合同，并履行合同约定的义务。分包合同必须遵循承包合同的各项原则，满足相应条款的要求。发包人可以对分包合同实施情况进行监督检查。承包人应将分包合同副本提交发包人和监理人。</w:t>
      </w:r>
    </w:p>
    <w:p w14:paraId="0ECBDE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4.3.9 除第 4. 3. 7 项规定的指定分包外，承包人对其分包项目的实施以及分包人的行为向发包人负全部责任。承包人应对分包项目的工程进度、质量、安全、计量和验收等实施监督和管理。</w:t>
      </w:r>
    </w:p>
    <w:p w14:paraId="6EE9F1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4.3.10分包人应按专用合同条款的约定设立项目管理机构组织管理分包工程的施工活动。</w:t>
      </w:r>
    </w:p>
    <w:p w14:paraId="58DC766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4.4 联合体</w:t>
      </w:r>
    </w:p>
    <w:p w14:paraId="1628F4E7">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4.4.1 联合体各方应共同与发包人签订合同协议书。联合体各方应为履行合同承担连带责任。</w:t>
      </w:r>
    </w:p>
    <w:p w14:paraId="508A084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4.4.2 联合体协议经发包人确认后作为合同附件。在履行合同过程中，未经发包人同意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不得修改联合体协议。</w:t>
      </w:r>
    </w:p>
    <w:p w14:paraId="41198C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4.4.3 联合体牵头人负责与发包人和监理人联系，并接受指示，负责组织联合体各成员全面履行合同。</w:t>
      </w:r>
    </w:p>
    <w:p w14:paraId="279877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4.5 承包人项目经理</w:t>
      </w:r>
    </w:p>
    <w:p w14:paraId="1323AD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4.5.1 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6518F87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4.5.2 承包人项目经理应按合同约定以及监理人按第 3.4款作出的指示，负责组织合同工程的实施。在情况紧急且无法与监理人取得联系时，可采取保证工程和人员生命财产安全的紧急措施，并在采取措施后24小时内向监理人提交书面报告。</w:t>
      </w:r>
    </w:p>
    <w:p w14:paraId="5ECB3EA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4.5.3 承包人为履行合同发出的一切函件均应盖有承包人授权的施工场地管理机构章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并由承包人项目经理或其授权代表签字。</w:t>
      </w:r>
    </w:p>
    <w:p w14:paraId="17CFE16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4.5.4 承包人项目经理可以授权其下属人员履行其某项职责，但事先应将这些人员的姓名和授权范围通知监理人。</w:t>
      </w:r>
    </w:p>
    <w:p w14:paraId="5F69908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4.6 承包人人员的管理</w:t>
      </w:r>
    </w:p>
    <w:p w14:paraId="0C832F6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4.6.1 承包人应在接到开工通知后28天内，向</w:t>
      </w:r>
      <w:r>
        <w:rPr>
          <w:rFonts w:hint="eastAsia" w:ascii="宋体" w:hAnsi="宋体" w:eastAsia="宋体" w:cs="宋体"/>
          <w:color w:val="auto"/>
          <w:sz w:val="21"/>
          <w:szCs w:val="21"/>
          <w:highlight w:val="none"/>
          <w:lang w:val="en-US" w:eastAsia="zh-CN"/>
        </w:rPr>
        <w:t>发包人和</w:t>
      </w:r>
      <w:r>
        <w:rPr>
          <w:rFonts w:hint="eastAsia" w:ascii="宋体" w:hAnsi="宋体" w:eastAsia="宋体" w:cs="宋体"/>
          <w:color w:val="auto"/>
          <w:sz w:val="21"/>
          <w:szCs w:val="21"/>
          <w:highlight w:val="none"/>
        </w:rPr>
        <w:t>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783493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4.6.2为完成合同约定的各项工作，承包人应向施工场地派遣或雇佣足够数量的下列人员：</w:t>
      </w:r>
    </w:p>
    <w:p w14:paraId="3F39EFAC">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(1)具有相应资格的专业技工和合格的普工；</w:t>
      </w:r>
    </w:p>
    <w:p w14:paraId="046106AA">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(2)具有相应施工经验的技术人员；</w:t>
      </w:r>
    </w:p>
    <w:p w14:paraId="1D8F20C3">
      <w:pPr>
        <w:keepNext w:val="0"/>
        <w:keepLines w:val="0"/>
        <w:pageBreakBefore w:val="0"/>
        <w:widowControl/>
        <w:kinsoku w:val="0"/>
        <w:wordWrap/>
        <w:overflowPunct/>
        <w:topLinePunct w:val="0"/>
        <w:autoSpaceDE w:val="0"/>
        <w:autoSpaceDN w:val="0"/>
        <w:bidi w:val="0"/>
        <w:adjustRightInd w:val="0"/>
        <w:snapToGrid w:val="0"/>
        <w:spacing w:line="360" w:lineRule="exact"/>
        <w:ind w:left="420" w:left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(3)具有相应岗位资格的各级管理人员。</w:t>
      </w:r>
    </w:p>
    <w:p w14:paraId="62EE1E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4.6.3 承包人安排在施工场地的主要管理人员和技术骨干应相对稳定。承包人更换主要管理人员和技术骨干时，应取得监理人的同意。</w:t>
      </w:r>
    </w:p>
    <w:p w14:paraId="6D063A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4.6.4 特殊岗位的工作人员均应持有相应的资格证明，监理人有权随时检查。监理人认为有必要时，可进行现场考核。</w:t>
      </w:r>
    </w:p>
    <w:p w14:paraId="05C8E63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4.7 撤换承包人项目经理和其他人员</w:t>
      </w:r>
    </w:p>
    <w:p w14:paraId="6334B67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承包人应对其项目经理和其他人员进行有效管理。监理人要求撤换不能胜任本职工作</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行为不端或玩忽职守的承包人项目经理和其他人员的，承包人应予以撤换。</w:t>
      </w:r>
    </w:p>
    <w:p w14:paraId="7BB370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4.8 保障承包人人员的合法权益</w:t>
      </w:r>
    </w:p>
    <w:p w14:paraId="3683768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4.8.1 承包人应与其雇佣的人员签订劳动合同，并按时发放工资</w:t>
      </w:r>
      <w:r>
        <w:rPr>
          <w:rFonts w:hint="eastAsia" w:ascii="宋体" w:hAnsi="宋体" w:eastAsia="宋体" w:cs="宋体"/>
          <w:color w:val="auto"/>
          <w:sz w:val="21"/>
          <w:szCs w:val="21"/>
          <w:highlight w:val="none"/>
          <w:lang w:eastAsia="zh-CN"/>
        </w:rPr>
        <w:t>。</w:t>
      </w:r>
    </w:p>
    <w:p w14:paraId="3A55DA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4.8.2 承包人应按劳动法的规定安排工作时间，保证其雇佣人员享有休息和休假的权利。因工程施工的特殊需要占用休假日或延长工作时间的，应不超过法律规定的限度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并按法律规定给予补休或付酬。</w:t>
      </w:r>
    </w:p>
    <w:p w14:paraId="2DAEAA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4.8.3 承包人应为其雇佣人员提供必要的食宿条件，以及符合环境保护和卫生要求的生活环境，在远离城镇的施工场地，还应配备必要的伤病防治和急救的医务人员与医疗设施</w:t>
      </w:r>
      <w:r>
        <w:rPr>
          <w:rFonts w:hint="eastAsia" w:ascii="宋体" w:hAnsi="宋体" w:eastAsia="宋体" w:cs="宋体"/>
          <w:color w:val="auto"/>
          <w:sz w:val="21"/>
          <w:szCs w:val="21"/>
          <w:highlight w:val="none"/>
          <w:lang w:eastAsia="zh-CN"/>
        </w:rPr>
        <w:t>。</w:t>
      </w:r>
    </w:p>
    <w:p w14:paraId="6732633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2D4B40E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4.8.5 承包人应按有关法律规定和合同约定，为其雇佣人员办理保险。</w:t>
      </w:r>
    </w:p>
    <w:p w14:paraId="5370A58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4.8.6 承包人应负责处理其雇佣人员因工伤亡事故的善后事宜。</w:t>
      </w:r>
    </w:p>
    <w:p w14:paraId="7B00F42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4.9 工程价款应专款专用</w:t>
      </w:r>
    </w:p>
    <w:p w14:paraId="23DAA02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发包人按合同约定支付给承包人的各项价款应专用于合同工程</w:t>
      </w:r>
      <w:r>
        <w:rPr>
          <w:rFonts w:hint="eastAsia" w:ascii="宋体" w:hAnsi="宋体" w:eastAsia="宋体" w:cs="宋体"/>
          <w:color w:val="auto"/>
          <w:sz w:val="21"/>
          <w:szCs w:val="21"/>
          <w:highlight w:val="none"/>
          <w:lang w:eastAsia="zh-CN"/>
        </w:rPr>
        <w:t>。</w:t>
      </w:r>
    </w:p>
    <w:p w14:paraId="43CEE60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4.10 承包人现场查勘</w:t>
      </w:r>
    </w:p>
    <w:p w14:paraId="47738C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4.10.1 发包人应将其持有的现场地质勘探资料、水文气象资料提供给承包人，并对其准确性负责。但承包人应对其阅读上述有关资料后所作出的解释和推断负责。</w:t>
      </w:r>
    </w:p>
    <w:p w14:paraId="4B54E83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4.10.2 承包人应对施工场地和周围环境进行查勘，并收集有关地质、水文、气象条件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交通条件、风俗习惯以及其他为完成合同工作有关的当地资料。在全部合同工作中，应视为承包人已充分估计了应承担的责任和风险。</w:t>
      </w:r>
    </w:p>
    <w:p w14:paraId="76D63E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4.11 不利物质条件</w:t>
      </w:r>
    </w:p>
    <w:p w14:paraId="09B97B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4.11.1 除专用合同条款另有约定外，不利的物质条件是指在施工中遭遇不可预见的外界障碍或自然条件造成施工受阻。</w:t>
      </w:r>
    </w:p>
    <w:p w14:paraId="5DF72A1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4.11.2承包人遇到不利物质条件时，应采取适应不利物质条件的合理措施继续施工，并及时通知监理人。承包人应有权根据第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23.1 款的约定，要求延长工期及增加费用。监理人收到此类要求后</w:t>
      </w:r>
      <w:r>
        <w:rPr>
          <w:rFonts w:hint="eastAsia" w:ascii="宋体" w:hAnsi="宋体" w:eastAsia="宋体" w:cs="宋体"/>
          <w:color w:val="auto"/>
          <w:sz w:val="21"/>
          <w:szCs w:val="21"/>
          <w:highlight w:val="none"/>
          <w:lang w:eastAsia="zh-CN"/>
        </w:rPr>
        <w:t>，</w:t>
      </w:r>
    </w:p>
    <w:p w14:paraId="3CE1318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应在分析上述外界障碍或自然条件是否不可预见及不可预见程度的基础上，按照通用合同条款第15条的约定办理。</w:t>
      </w:r>
    </w:p>
    <w:p w14:paraId="645A2A87">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92" w:name="_Toc13643"/>
      <w:bookmarkStart w:id="93" w:name="_Toc4086"/>
      <w:r>
        <w:rPr>
          <w:rFonts w:hint="eastAsia"/>
          <w:color w:val="auto"/>
          <w:highlight w:val="none"/>
        </w:rPr>
        <w:t>5.材料和工程设备</w:t>
      </w:r>
      <w:bookmarkEnd w:id="92"/>
      <w:bookmarkEnd w:id="93"/>
    </w:p>
    <w:p w14:paraId="7C8BFE1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5.1 承包人提供的材料和工程设备</w:t>
      </w:r>
    </w:p>
    <w:p w14:paraId="7B523BB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5.1.1 除第 5.2 款约定由发包人提供的材料和工程设备外，承包人负责采购、运输和保管完成本合同工作所需的材料和工程设备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承包人应对其采购的材料和工程设备负责</w:t>
      </w:r>
      <w:r>
        <w:rPr>
          <w:rFonts w:hint="eastAsia" w:ascii="宋体" w:hAnsi="宋体" w:eastAsia="宋体" w:cs="宋体"/>
          <w:color w:val="auto"/>
          <w:sz w:val="21"/>
          <w:szCs w:val="21"/>
          <w:highlight w:val="none"/>
          <w:lang w:eastAsia="zh-CN"/>
        </w:rPr>
        <w:t>。</w:t>
      </w:r>
    </w:p>
    <w:p w14:paraId="3B84789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210" w:firstLineChars="1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5.1.2 承包人应按专用合同条款的约定，将各项材料和工程设备的供货人及品种、规格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数量和供货时间等报送监理人审批。承包人应向监理人提交其负责提供的材料和工程设备的质量证明文件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并满足合同约定的质量标准。</w:t>
      </w:r>
    </w:p>
    <w:p w14:paraId="2731878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5.1.3 对承包人提供的材料和工程设备，承包人应会同监理人进行检验和交货验收，查验材料合格证明和产品合格证书，并按合同约定和监理人指示，进行材料的抽样检验和工程设备的检验测试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检验和测试结果应提交监理人，所需费用由承包人承担。</w:t>
      </w:r>
    </w:p>
    <w:p w14:paraId="0B036F4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5.2 发包人提供的材料和工程设备</w:t>
      </w:r>
    </w:p>
    <w:p w14:paraId="4BECD48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发包人提供的材料和工程设备，应在专用合同条款中写明材料和工程设备的名称、规格、数量、价格、交货方式、交货地点和计划交货日期等。</w:t>
      </w:r>
    </w:p>
    <w:p w14:paraId="32E3270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 承包人应根据合同进度计划的安排，向监理人报送要求发包人交货的日期计划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发包人应按照监理人与合同双方当事人商定的交货日期，向承包人提交材料和工程设备。</w:t>
      </w:r>
    </w:p>
    <w:p w14:paraId="620A4B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5.2.3 发包人应在材料和工程设备到货 7 天前通知承包人，承包人应会同监理人在约定的时间内，赴交货地点共同进行验收。发包人提供的材料和工程设备运至交货地点验收后，由承包人负责接收、卸货、运输和保管。</w:t>
      </w:r>
    </w:p>
    <w:p w14:paraId="5AC5FD6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5.2.4 发包人要求向承包人提前交货的，承包人不得拒绝，但发包人应承担承包人由此增加的费用。</w:t>
      </w:r>
    </w:p>
    <w:p w14:paraId="534AA0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5.2.5 承包人要求更改交货日期或地点的，应事先报请监理人批准。由于承包人要求更改交货时间或地点所增加的费用和（或）工期延误由承包人承担。</w:t>
      </w:r>
    </w:p>
    <w:p w14:paraId="4C589E9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4BCC1C7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5.3 材料和工程设备专用于合同工程</w:t>
      </w:r>
    </w:p>
    <w:p w14:paraId="4F72FCB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5.3.1 运入施工场地的材料、工程设备，包括备品备件、安装专用工器具与随机资料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必须专用于合同工程，未经监理人同意，承包人不得运出施工场地或挪作他用。</w:t>
      </w:r>
    </w:p>
    <w:p w14:paraId="01E1ED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54FD0A8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5.4 禁止使用不合格的材料和工程设备</w:t>
      </w:r>
    </w:p>
    <w:p w14:paraId="3AF46D7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5.4.1 监理人有权拒绝承包人提供的不合格材料或工程设备，并要求承包人立即进行更换。监理人应在更换后再次进行检查和检验，由此增加的费用和（或）工期延误由承包人承担。</w:t>
      </w:r>
    </w:p>
    <w:p w14:paraId="74920D0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5.4.2 监理人发现承包人使用了不合格的材料和工程设备，应即时发出指示要求承包人立即改正，并禁止在工程中继续使用不合格的材料和工程设备。</w:t>
      </w:r>
    </w:p>
    <w:p w14:paraId="548CA6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5.4.3 发包人提供的材料或工程设备不符合合同要求的，承包人有权拒绝，并可要求发包人更换，由此增加的费用和（或）工期延误由发包人承担。</w:t>
      </w:r>
    </w:p>
    <w:p w14:paraId="640565A4">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94" w:name="_Toc10251"/>
      <w:bookmarkStart w:id="95" w:name="_Toc10951"/>
      <w:r>
        <w:rPr>
          <w:rFonts w:hint="eastAsia"/>
          <w:color w:val="auto"/>
          <w:highlight w:val="none"/>
        </w:rPr>
        <w:t>6.施工设备和临时设施</w:t>
      </w:r>
      <w:bookmarkEnd w:id="94"/>
      <w:bookmarkEnd w:id="95"/>
    </w:p>
    <w:p w14:paraId="55AEBDD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6.1 承包人提供的施工设备和临时设施</w:t>
      </w:r>
    </w:p>
    <w:p w14:paraId="182F795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 承包人应按合同进度计划的要求，及时配置施工设备和修建临时设施。进入施工场地的承包人设备需经监理人核查后才能投入使用。承包人更换合同约定的承包人设备的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应报监理人批准。</w:t>
      </w:r>
    </w:p>
    <w:p w14:paraId="695F294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 除专用合同条款另有约定外，承包人应自行承担修建临时设施的费用，需要临时占地的，应由发包人办理申请手续并承担相应费用。</w:t>
      </w:r>
    </w:p>
    <w:p w14:paraId="3D6AE76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6.2 发包人提供的施工设备和临时设施</w:t>
      </w:r>
    </w:p>
    <w:p w14:paraId="48FD96D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发包人提供的施工设备或临时设施在专用合同条款中约定。</w:t>
      </w:r>
    </w:p>
    <w:p w14:paraId="412C95B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6.3 要求承包人增加或更换施工设备</w:t>
      </w:r>
    </w:p>
    <w:p w14:paraId="1C6E09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承包人使用的施工设备不能满足合同进度计划和（或）质量要求时，监理人有权要求承包人增加或更换施工设备，承包人应及时增加或更换，由此增加的费用和（或）工期延误由承包人承担。</w:t>
      </w:r>
    </w:p>
    <w:p w14:paraId="423686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6.4 施工设备和临时设施专用于合同工程</w:t>
      </w:r>
    </w:p>
    <w:p w14:paraId="7AC65CA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6.4.1 除合同另有约定外，</w:t>
      </w:r>
      <w:r>
        <w:rPr>
          <w:rFonts w:hint="eastAsia" w:ascii="宋体" w:hAnsi="宋体" w:eastAsia="宋体" w:cs="宋体"/>
          <w:color w:val="auto"/>
          <w:sz w:val="21"/>
          <w:szCs w:val="21"/>
          <w:highlight w:val="none"/>
          <w:u w:val="none"/>
          <w:lang w:eastAsia="zh-CN"/>
        </w:rPr>
        <w:t>进入</w:t>
      </w:r>
      <w:r>
        <w:rPr>
          <w:rFonts w:hint="eastAsia" w:ascii="宋体" w:hAnsi="宋体" w:eastAsia="宋体" w:cs="宋体"/>
          <w:color w:val="auto"/>
          <w:sz w:val="21"/>
          <w:szCs w:val="21"/>
          <w:highlight w:val="none"/>
        </w:rPr>
        <w:t>施工场地的所有施工设备以及在施工场地建设的临时设施应专用于合同工程。未经监理人同意，不得将上述施工设备和临时设施中的任何部分运出施工场地或挪作他用。</w:t>
      </w:r>
    </w:p>
    <w:p w14:paraId="6D841F0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6.4.2 经监理人同意，承包人可根据合同进度计划撤走闲置的施工设备。</w:t>
      </w:r>
    </w:p>
    <w:p w14:paraId="25DBC15B">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96" w:name="_Toc27913"/>
      <w:bookmarkStart w:id="97" w:name="_Toc19733"/>
      <w:r>
        <w:rPr>
          <w:rFonts w:hint="eastAsia"/>
          <w:color w:val="auto"/>
          <w:highlight w:val="none"/>
        </w:rPr>
        <w:t>7.交通运输</w:t>
      </w:r>
      <w:bookmarkEnd w:id="96"/>
      <w:bookmarkEnd w:id="97"/>
    </w:p>
    <w:p w14:paraId="10B150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7.1 道路通行权和场外设施</w:t>
      </w:r>
    </w:p>
    <w:p w14:paraId="3706D8F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除专用合同条款另有约定外，承包人应根据合同工程的施工需要，负责办理取得出入施工场地的专用和临时道路的通行权，以及取得为工程建设所需修建场外设施的权利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并承担相关费用。发包人应协助承包人办理上述手续。</w:t>
      </w:r>
    </w:p>
    <w:p w14:paraId="063B30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7.2 场内施工道路</w:t>
      </w:r>
    </w:p>
    <w:p w14:paraId="0B4607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7.2.1 除本合同约定由发包人提供的部分道路和交通设施外，承包人应负责修建、维修、养护和管理其施工所需的全部临时道路和交通设施（包括合同约定由发包人提供的部分道路和交通设施维修、养护和管理），并承担相应费用。</w:t>
      </w:r>
    </w:p>
    <w:p w14:paraId="7232DF7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7.2.2 承包人修建的临时道路和交通设施，应免费提供发包人、监理人，以及与本合同有关的其他承包人使用。</w:t>
      </w:r>
    </w:p>
    <w:p w14:paraId="62A0A28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7.3 场外交通</w:t>
      </w:r>
    </w:p>
    <w:p w14:paraId="31FD0A2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承包人车辆外出行驶所需的场外公共道路的通行费、养路费和税款等由承包人承担。</w:t>
      </w:r>
    </w:p>
    <w:p w14:paraId="3894E5C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承包人应遵守有关交通法规，严格按照道路和桥梁的限制荷重安全行驶，并服从交通管理部门的检查和监督。</w:t>
      </w:r>
    </w:p>
    <w:p w14:paraId="4F8596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7.4 超大件和超重件的运输</w:t>
      </w:r>
    </w:p>
    <w:p w14:paraId="381B97E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6D7000B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7.5 道路和桥梁的损坏责任</w:t>
      </w:r>
    </w:p>
    <w:p w14:paraId="291A844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因承包人运输造成施工场地内外公共道路和桥梁损坏的，由承包人承担修复损坏的全部费用和可能引起的赔偿。</w:t>
      </w:r>
    </w:p>
    <w:p w14:paraId="74436A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7.6 水路和航空运输</w:t>
      </w:r>
    </w:p>
    <w:p w14:paraId="7C7B81F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本条上述各款的内容适用于水路运输和航空运输，其中“道路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一词的涵义包括河道</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航线、船闸、机场、码头、堤防以及水路或航空运输中其他相似结构物；“车辆”一词的涵义包括船舶和飞机等。</w:t>
      </w:r>
    </w:p>
    <w:p w14:paraId="50C30986">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98" w:name="_Toc7950"/>
      <w:bookmarkStart w:id="99" w:name="_Toc6279"/>
      <w:r>
        <w:rPr>
          <w:rFonts w:hint="eastAsia"/>
          <w:color w:val="auto"/>
          <w:highlight w:val="none"/>
        </w:rPr>
        <w:t>8.测量放线</w:t>
      </w:r>
      <w:bookmarkEnd w:id="98"/>
      <w:bookmarkEnd w:id="99"/>
    </w:p>
    <w:p w14:paraId="0C304A9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8.1 施工控制网</w:t>
      </w:r>
    </w:p>
    <w:p w14:paraId="62D4620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8.1.1 除专用条款另有约定外，施工控制网由承包人负责测设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发包人应在本合同协议书签订后的14天内，向承包人提供测量基准点、基准线和水准点及其相关资料。承包人应在收到上述资料后的 28 天内，将施测的施工控制网资料提交监理人审批。监理人应在收到报批件后的14天内批复承包人。</w:t>
      </w:r>
    </w:p>
    <w:p w14:paraId="47EAD26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8.1.2 承包人应负责管理施工控制网点。施工控制网点丢失或损坏的，承包人应及时修复。承包人应承担施工控制网点的管理与修复费用，并在工程竣工后将施工控制网点移交发包人。</w:t>
      </w:r>
    </w:p>
    <w:p w14:paraId="737A698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8.2 施工测量</w:t>
      </w:r>
    </w:p>
    <w:p w14:paraId="41D85EC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8.2.1 承包人应负责施工过程中的全部施工测量放线工作，并配置合格的人员、仪器、设备和其他物品。</w:t>
      </w:r>
    </w:p>
    <w:p w14:paraId="72411B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8.2.2 监理人可以指示承包人进行抽样复测，当复测中发现错误或出现超过合同约定的误差时，承包人应按监理人指示进行修正或补测，并承担相应的复测费用。</w:t>
      </w:r>
    </w:p>
    <w:p w14:paraId="7C3A9C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8.3 基准资料错误的责任</w:t>
      </w:r>
    </w:p>
    <w:p w14:paraId="3DD2FD4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571D468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8.4 监理人使用施工控制网</w:t>
      </w:r>
    </w:p>
    <w:p w14:paraId="2E289A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监理人需要使用施工控制网的，承包人应提供必要的协助，发包人不再为此支付费用。</w:t>
      </w:r>
    </w:p>
    <w:p w14:paraId="725D50D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8.5 补充地质勘探</w:t>
      </w:r>
    </w:p>
    <w:p w14:paraId="72BEAE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实施期间，监理人可以指示承包人进行必要的补充地质勘探和提供有关资料;承包人为本合同永久工程施工的需要进行补充地质勘探时，须经监理人批准，并应向监理人提交有关资料，上述补充勘探的费用由发包人承担。承包人为其临时工程所需进行的补充地质勘探，其费用由承包人承担。</w:t>
      </w:r>
    </w:p>
    <w:p w14:paraId="7D66F9D4">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00" w:name="_Toc12074"/>
      <w:bookmarkStart w:id="101" w:name="_Toc19411"/>
      <w:r>
        <w:rPr>
          <w:rFonts w:hint="eastAsia"/>
          <w:color w:val="auto"/>
          <w:highlight w:val="none"/>
        </w:rPr>
        <w:t>9.施工安全、治安保卫和环境保护</w:t>
      </w:r>
      <w:bookmarkEnd w:id="100"/>
      <w:bookmarkEnd w:id="101"/>
    </w:p>
    <w:p w14:paraId="6496F57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9.1 发包人的施工安全责任</w:t>
      </w:r>
    </w:p>
    <w:p w14:paraId="16AC8A4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9.1.1 发包人应按合同约定履行安全职责，发包人委托监理人根据国家有关安全的法律、法规、强制性标准以及部门规章，对承包人的安全责任履行情况进行监督和检查。监理人的监督检查不减轻承包人应负的安全责任。</w:t>
      </w:r>
    </w:p>
    <w:p w14:paraId="388808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9.1.2 发包人应对其现场机构雇佣的全部人员的工伤事故承担责任，但由于承包人原因造成发包人人员工伤的，应由承包人承担责任。</w:t>
      </w:r>
    </w:p>
    <w:p w14:paraId="4FD411E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9.1.3 发包人应负责赔偿以下各种情况造成的第三者人身伤亡和财产损失：</w:t>
      </w:r>
    </w:p>
    <w:p w14:paraId="408E063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(1)工程或工程的任何部分对土地的占用所造成的第三者财产损失；</w:t>
      </w:r>
    </w:p>
    <w:p w14:paraId="352BCC4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(2)由于发包人原因在施工场地及其毗邻地带造成的第三者人身伤亡和财产损失。</w:t>
      </w:r>
    </w:p>
    <w:p w14:paraId="0C0F559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9.1.4 除专用合同条款另有约定外，发包人负责向承包人提供施工现场及施工可能影响的毗邻区域内供水、排水、供电、供气、供热、通信、广播电视等地下管线资料，气象和水文观测资料，拟建工程可能影响的相邻建筑物地下工程的有关资料，并保证有关资料的真实、准确、完整，满足有关技术规程的要求。</w:t>
      </w:r>
    </w:p>
    <w:p w14:paraId="469AC88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9.1.5 发包人按照已标价工程量清单所列金额和合同约定的计量支付规定，支付安全作业环境及安全施工措施所需费用。</w:t>
      </w:r>
    </w:p>
    <w:p w14:paraId="2977F89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9.1.6 发包人负责组织工程参建单位编制保证安全生产的措施方案。工程开工前，就落实安全生产的措施进行全面系统的布置，进一步明确承包人的安全生产责任。</w:t>
      </w:r>
    </w:p>
    <w:p w14:paraId="5C42D9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9.1.7 发包人负责在拆除工程和爆破工程施工 14 天前向有关部门或机构报送相关备案资料。</w:t>
      </w:r>
    </w:p>
    <w:p w14:paraId="022C5D6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9.2 承包人的施工安全责任</w:t>
      </w:r>
    </w:p>
    <w:p w14:paraId="2F94FA0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 承包人应按合同约定履行安全职责，执行监理人有关安全工作的指示。承包人应按技术标准和要求(合同技术条款)约定的内容和期限，以及监理人的指示，编制施工安全技术措施提交监理人审批。监理人应技术标准和要求(合同技术条款)约定的期限内批复承包人。</w:t>
      </w:r>
    </w:p>
    <w:p w14:paraId="4FF75A3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9.2.2 承包人应加强施工作业安全管理，特别应加强易燃、易爆材料、火工器材、有毒与腐蚀性材料和其他危险品的管理，以及对爆破作业和地下工程施工等危险作业的管理。</w:t>
      </w:r>
    </w:p>
    <w:p w14:paraId="149AD2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9.2.3承包人应严格按照国家安全标准制定施工安全操作规程，配备必要的安全生产和劳动保护设施，加强对承包人人员的安全教育，并发放安全工作手册和劳动保护用具。</w:t>
      </w:r>
    </w:p>
    <w:p w14:paraId="0DE5156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9.2.4 承包人应按监理人的指示制定应对灾害的紧急预案，报送监理人审批。承包人还应按预案做好安全检查，配置必要的救助物资和器材，切实保护好有关人员的人身和财产安全。</w:t>
      </w:r>
    </w:p>
    <w:p w14:paraId="78A640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9.2.5 合同约定的安全作业环境及安全施工措施所需费用应遵守有关规定，并包括在相关工作的合同价格中。因采取合同未约定的安全作业环境及安全施工措施增加的费用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由监理人按第 3. 5 款商定或确定。</w:t>
      </w:r>
    </w:p>
    <w:p w14:paraId="125BD4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9.2.6 承包人应对其履行合同所雇佣的全部人员，包括分包人人员的工伤事故承担责任，但由于发包人原因造成承包人人员工伤事故的，应由发包人承担责任。</w:t>
      </w:r>
    </w:p>
    <w:p w14:paraId="20D9CEC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9.2.7 由于承包人原因在施工场地内及其毗邻地带造成的第三者人员伤亡和财产损失</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由承包人负责赔偿。</w:t>
      </w:r>
    </w:p>
    <w:p w14:paraId="275E340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9.2.8 承包人已标价工程量清单应包含工程安全作业环境及安全施工措施所需费用。</w:t>
      </w:r>
    </w:p>
    <w:p w14:paraId="59DD37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9.2.9承包人应建立健全安全生产责任制度和安全生产教育培训制度，制定安全生产规章制度和操作规程，保证本单位建立和完善安全生产条件所需资金的投入，对本工程进行定期和专项安全检查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并做好安全检查记录。</w:t>
      </w:r>
    </w:p>
    <w:p w14:paraId="7545BE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9.2.10 承包人应设立安全生产管理机构，施工现场应有专职安全生产管理人员。</w:t>
      </w:r>
    </w:p>
    <w:p w14:paraId="49E7213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9.2.11 承包人应负责对特种作业人员进行专门的安全作业培训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并保证特种作业人员持证上岗。</w:t>
      </w:r>
    </w:p>
    <w:p w14:paraId="0E604BD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9.2.12 承包人应在施工组织设计中编制安全技术措施和施工现场临时用电方案。对专用合同条款约定的工程，应编制专项施工方案报监理人批准。对专用合同条款约定的专项施工方案，还应组织专家进行论证、审查，其中专家1/2人员应经发包人同意。</w:t>
      </w:r>
    </w:p>
    <w:p w14:paraId="1CF934D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9.2.13 承包人在使用施工起重机构和整体提升脚手架、模板等自升式架设设施前，应组织有关单位进行验收。</w:t>
      </w:r>
    </w:p>
    <w:p w14:paraId="0C80DAB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9.3 治安保卫</w:t>
      </w:r>
    </w:p>
    <w:p w14:paraId="3905AE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9.3.1 除合同另有约定外，发包人应与当地公安部门协商，在现场建立治安管理机构或联防组织，统一管理施工场地的治安保卫事项，履行合同工程的治安保卫职责。</w:t>
      </w:r>
    </w:p>
    <w:p w14:paraId="39DEDC7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9.3.2 发包人和承包人除应协助现场治安管理机构或联防组织维护施工场地的社会治安外，还应做好包括生活区在内的各自管辖区的治安保卫工作。</w:t>
      </w:r>
    </w:p>
    <w:p w14:paraId="7B47B56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尽量减少财产损失和避免人员伤亡。</w:t>
      </w:r>
    </w:p>
    <w:p w14:paraId="3566CD2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9.4 环境保护</w:t>
      </w:r>
    </w:p>
    <w:p w14:paraId="4E9905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9.4.1 承包人在施工过程中，应遵守有关环境保护的法律，履行合同约定的环境保护义务，并对违反法律和合同约定义务所造成的环境破坏、人身伤害和财产损失负责。</w:t>
      </w:r>
    </w:p>
    <w:p w14:paraId="4FDC9CB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9.4.2 承包人应按合同约定的环保工作内容，编制施工环保措施计划，报送监理人审批。</w:t>
      </w:r>
    </w:p>
    <w:p w14:paraId="0A257C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180588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9.4.4 承包人应按合同约定采取有效措施，对施工开挖的边坡及时进行支护，维护排水设施，并进行水土保护，避免因施工造成的地质灾害。</w:t>
      </w:r>
    </w:p>
    <w:p w14:paraId="3AC0F13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9.4.5 承包人应按国家饮用水管理标准定期对饮用水源进行监测，防止施工活动污染饮用水源。</w:t>
      </w:r>
    </w:p>
    <w:p w14:paraId="71B0693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9.4.6 承包人应按合同约定，加强对噪声、粉尘、废气、废水和废油的控制，努力降低噪声，控制粉尘和废气浓度，做好废水和废油的治理和排放。</w:t>
      </w:r>
    </w:p>
    <w:p w14:paraId="4028801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9.5 事故处理</w:t>
      </w:r>
    </w:p>
    <w:p w14:paraId="6120AD3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9.5.1 发包人负责组织参建单位制定本工程的质量与安全事故应急预案，建立质量与安全事故应急处置指挥部。</w:t>
      </w:r>
    </w:p>
    <w:p w14:paraId="1CD248D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9.5.2 承包人应对施工现场易发生重大事故的部位、环节的进行监控，配备救援器材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设备，并定期组织演练。</w:t>
      </w:r>
    </w:p>
    <w:p w14:paraId="549DC2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9.5.3 工程开工前，承包人应根据本工程特点制定施工现场施工质量与安全事故应急预案，并报发包人备案。</w:t>
      </w:r>
    </w:p>
    <w:p w14:paraId="228FC9A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9.5.4 施工过程中发生事故时，发包人、承包人应立即启动应急预案。</w:t>
      </w:r>
    </w:p>
    <w:p w14:paraId="75F5943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9.5.5 事故调查处理由发包人按相关规定履行手续，承包人应配合。</w:t>
      </w:r>
    </w:p>
    <w:p w14:paraId="756121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9.6 水土保持</w:t>
      </w:r>
    </w:p>
    <w:p w14:paraId="15C59C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9.6.1 发包人应及时向承包人提供水土保持方案。</w:t>
      </w:r>
    </w:p>
    <w:p w14:paraId="58A93D8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9.6.2 承包人在施工过程中，应遵守有关水土保持的法律法规和规章，履行合同约定的水土保持义务，并对其违反法律和合同约定义务所造成的水土流失灾害、人身伤害和财产损失负责。</w:t>
      </w:r>
    </w:p>
    <w:p w14:paraId="71C3B2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9.6.3 承包人的水土保持措施计划，应满足技术标准和要求（合同技术条款）约定的要求。</w:t>
      </w:r>
    </w:p>
    <w:p w14:paraId="121B90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9.7 文明工地</w:t>
      </w:r>
    </w:p>
    <w:p w14:paraId="0F36221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9.7.1发包人应按专用合同条款的约定，负责建立创建文明建设工地的组织机构，制定创建文明建设工地的规划和办法。</w:t>
      </w:r>
    </w:p>
    <w:p w14:paraId="7938261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9.7.2 承包人应按创建文明建设工地的规划和办法，履行职责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承担相应责任。所需费用应含在已标价工程量清单中。</w:t>
      </w:r>
    </w:p>
    <w:p w14:paraId="21D896A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9.8 防汛度汛</w:t>
      </w:r>
    </w:p>
    <w:p w14:paraId="3836881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9.8.1 发包人负责组织工程参建单位编制本工程的度汛方案和措施。</w:t>
      </w:r>
    </w:p>
    <w:p w14:paraId="10166BC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9.8.2 承包人应根据发包人编制的本工程度汛方案和措施，制定相应的度汛方案，报发包人批准后实施。</w:t>
      </w:r>
    </w:p>
    <w:p w14:paraId="1A698FA7">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02" w:name="_Toc17992"/>
      <w:bookmarkStart w:id="103" w:name="_Toc13688"/>
      <w:r>
        <w:rPr>
          <w:rFonts w:hint="eastAsia"/>
          <w:color w:val="auto"/>
          <w:highlight w:val="none"/>
        </w:rPr>
        <w:t>10.进度计划</w:t>
      </w:r>
      <w:bookmarkEnd w:id="102"/>
      <w:bookmarkEnd w:id="103"/>
    </w:p>
    <w:p w14:paraId="1E5E4D6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10.1 合同进度计划</w:t>
      </w:r>
    </w:p>
    <w:p w14:paraId="16DCE77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技术标准和要求（合同技术条款）约定的内容和期限以及监理人的指示，编制详细的施工总进度计划及其说明提交监理人审批。监理人应在技术标准和要求（合同技术条款）约定的期限内批复承包人，否则该进度计划视为已得到批准。经监理人批准的施工进度计划称为合同进度计划，是控制合同工程进度的依据。承包人还应根据合同进度计划，编制更为详细的分阶段或单位工程或分部工程进度计划，报监理人审批。</w:t>
      </w:r>
    </w:p>
    <w:p w14:paraId="60F39F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10.2 合同进度计划的修订</w:t>
      </w:r>
    </w:p>
    <w:p w14:paraId="6B01408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不论何种原因造成工程的实际进度与第 10. 1 款的合同进度计划不符时，承包人均应在14 天内向监理人提交修订合同进度计划的申请报告，并附有关措施和相关资料，报监理人审批；监理人应在收到申请报告后的 14 天内批复。当监理人认为需要修订合同进度计划时，承包人应按监理人的指示，在14天内向监理人提交修订的合同进度计划，并附调整计划的相关资料，提交监理人审批。监理人应在收到进度计划后的 14 天内批复。</w:t>
      </w:r>
    </w:p>
    <w:p w14:paraId="133B9F9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不论何种原因造成施工进度延迟，承包人均应按监理人的指示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采取有效措施赶上进度。承包人应在向监理人提交修订合同进度计划的同时，编制一份赶工措施报告提交监理人审批。由于发包人原因造成施工进度延迟，应按第 11. 3 款的约定办理；由于承包人原因造成施工进度延迟，应按第 11.5 款的约定办理。</w:t>
      </w:r>
    </w:p>
    <w:p w14:paraId="078D88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10.3 单位工程进度计划</w:t>
      </w:r>
    </w:p>
    <w:p w14:paraId="6EF44C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监理人认为有必要时，承包人应按监理人指示的内容和期限，并根据合同进度计划的进度控制要求，编制单位工程进度计划，提交监理人审批。</w:t>
      </w:r>
    </w:p>
    <w:p w14:paraId="0F666AF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10.4 提交资金流估算表</w:t>
      </w:r>
    </w:p>
    <w:p w14:paraId="19B102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承包人应在按第 10.1 款约定向监理人提交施工总进度计划的同时，按下表约定的格式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向监理人提交按月的资金流估算表。估算表应包括承包人计划可从发包人处得到的全部款额，以供发包人参考。此后，当监理人提出要求时，承包人应在监理人指定的期限内提交修订的资金流估算表。</w:t>
      </w:r>
    </w:p>
    <w:p w14:paraId="003358D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资金流估算表（参考格式）</w:t>
      </w:r>
    </w:p>
    <w:p w14:paraId="7A3C74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金额单位：</w:t>
      </w:r>
    </w:p>
    <w:tbl>
      <w:tblPr>
        <w:tblStyle w:val="26"/>
        <w:tblW w:w="891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6"/>
        <w:gridCol w:w="302"/>
        <w:gridCol w:w="1090"/>
        <w:gridCol w:w="1511"/>
        <w:gridCol w:w="1090"/>
        <w:gridCol w:w="1085"/>
        <w:gridCol w:w="1090"/>
        <w:gridCol w:w="482"/>
        <w:gridCol w:w="726"/>
        <w:gridCol w:w="1223"/>
      </w:tblGrid>
      <w:tr w14:paraId="54F73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316" w:type="dxa"/>
            <w:noWrap w:val="0"/>
            <w:vAlign w:val="top"/>
          </w:tcPr>
          <w:p w14:paraId="3C43EAC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w:t>
            </w:r>
          </w:p>
        </w:tc>
        <w:tc>
          <w:tcPr>
            <w:tcW w:w="302" w:type="dxa"/>
            <w:noWrap w:val="0"/>
            <w:vAlign w:val="top"/>
          </w:tcPr>
          <w:p w14:paraId="33E070F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月</w:t>
            </w:r>
          </w:p>
        </w:tc>
        <w:tc>
          <w:tcPr>
            <w:tcW w:w="1090" w:type="dxa"/>
            <w:noWrap w:val="0"/>
            <w:vAlign w:val="top"/>
          </w:tcPr>
          <w:p w14:paraId="1C0916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工程预付款</w:t>
            </w:r>
          </w:p>
        </w:tc>
        <w:tc>
          <w:tcPr>
            <w:tcW w:w="1511" w:type="dxa"/>
            <w:noWrap w:val="0"/>
            <w:vAlign w:val="top"/>
          </w:tcPr>
          <w:p w14:paraId="563A4FA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完成工作量付款</w:t>
            </w:r>
          </w:p>
        </w:tc>
        <w:tc>
          <w:tcPr>
            <w:tcW w:w="1090" w:type="dxa"/>
            <w:noWrap w:val="0"/>
            <w:vAlign w:val="top"/>
          </w:tcPr>
          <w:p w14:paraId="3CF4F55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保留金扣留</w:t>
            </w:r>
          </w:p>
        </w:tc>
        <w:tc>
          <w:tcPr>
            <w:tcW w:w="1085" w:type="dxa"/>
            <w:noWrap w:val="0"/>
            <w:vAlign w:val="top"/>
          </w:tcPr>
          <w:p w14:paraId="28DD7A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材料款扣除</w:t>
            </w:r>
          </w:p>
        </w:tc>
        <w:tc>
          <w:tcPr>
            <w:tcW w:w="1090" w:type="dxa"/>
            <w:noWrap w:val="0"/>
            <w:vAlign w:val="top"/>
          </w:tcPr>
          <w:p w14:paraId="5CCC8C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预付款扣还</w:t>
            </w:r>
          </w:p>
        </w:tc>
        <w:tc>
          <w:tcPr>
            <w:tcW w:w="482" w:type="dxa"/>
            <w:noWrap w:val="0"/>
            <w:vAlign w:val="top"/>
          </w:tcPr>
          <w:p w14:paraId="10DF875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p>
        </w:tc>
        <w:tc>
          <w:tcPr>
            <w:tcW w:w="726" w:type="dxa"/>
            <w:noWrap w:val="0"/>
            <w:vAlign w:val="top"/>
          </w:tcPr>
          <w:p w14:paraId="5B99093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应收款</w:t>
            </w:r>
          </w:p>
        </w:tc>
        <w:tc>
          <w:tcPr>
            <w:tcW w:w="1223" w:type="dxa"/>
            <w:noWrap w:val="0"/>
            <w:vAlign w:val="top"/>
          </w:tcPr>
          <w:p w14:paraId="3150A4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累计应收款</w:t>
            </w:r>
          </w:p>
        </w:tc>
      </w:tr>
      <w:tr w14:paraId="0909B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316" w:type="dxa"/>
            <w:noWrap w:val="0"/>
            <w:vAlign w:val="top"/>
          </w:tcPr>
          <w:p w14:paraId="71C5FC9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302" w:type="dxa"/>
            <w:noWrap w:val="0"/>
            <w:vAlign w:val="top"/>
          </w:tcPr>
          <w:p w14:paraId="07FA228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69AB68C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511" w:type="dxa"/>
            <w:noWrap w:val="0"/>
            <w:vAlign w:val="top"/>
          </w:tcPr>
          <w:p w14:paraId="2A80CE5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49FCE38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85" w:type="dxa"/>
            <w:noWrap w:val="0"/>
            <w:vAlign w:val="top"/>
          </w:tcPr>
          <w:p w14:paraId="23996F9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18AC9F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482" w:type="dxa"/>
            <w:noWrap w:val="0"/>
            <w:vAlign w:val="top"/>
          </w:tcPr>
          <w:p w14:paraId="4DE2759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726" w:type="dxa"/>
            <w:noWrap w:val="0"/>
            <w:vAlign w:val="top"/>
          </w:tcPr>
          <w:p w14:paraId="1D1089F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223" w:type="dxa"/>
            <w:noWrap w:val="0"/>
            <w:vAlign w:val="top"/>
          </w:tcPr>
          <w:p w14:paraId="600C6F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r w14:paraId="4D835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316" w:type="dxa"/>
            <w:noWrap w:val="0"/>
            <w:vAlign w:val="top"/>
          </w:tcPr>
          <w:p w14:paraId="0852E0C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302" w:type="dxa"/>
            <w:noWrap w:val="0"/>
            <w:vAlign w:val="top"/>
          </w:tcPr>
          <w:p w14:paraId="713E7DB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3B11640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511" w:type="dxa"/>
            <w:noWrap w:val="0"/>
            <w:vAlign w:val="top"/>
          </w:tcPr>
          <w:p w14:paraId="745CF4C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3BF9F22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85" w:type="dxa"/>
            <w:noWrap w:val="0"/>
            <w:vAlign w:val="top"/>
          </w:tcPr>
          <w:p w14:paraId="7921C4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372CDB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482" w:type="dxa"/>
            <w:noWrap w:val="0"/>
            <w:vAlign w:val="top"/>
          </w:tcPr>
          <w:p w14:paraId="4D211A7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726" w:type="dxa"/>
            <w:noWrap w:val="0"/>
            <w:vAlign w:val="top"/>
          </w:tcPr>
          <w:p w14:paraId="2317EAF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223" w:type="dxa"/>
            <w:noWrap w:val="0"/>
            <w:vAlign w:val="top"/>
          </w:tcPr>
          <w:p w14:paraId="3F5C98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r w14:paraId="2FCDB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316" w:type="dxa"/>
            <w:noWrap w:val="0"/>
            <w:vAlign w:val="top"/>
          </w:tcPr>
          <w:p w14:paraId="0B20A57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302" w:type="dxa"/>
            <w:noWrap w:val="0"/>
            <w:vAlign w:val="top"/>
          </w:tcPr>
          <w:p w14:paraId="3CA33FC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66E9CEE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511" w:type="dxa"/>
            <w:noWrap w:val="0"/>
            <w:vAlign w:val="top"/>
          </w:tcPr>
          <w:p w14:paraId="2E3560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09A05D5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85" w:type="dxa"/>
            <w:noWrap w:val="0"/>
            <w:vAlign w:val="top"/>
          </w:tcPr>
          <w:p w14:paraId="50FDD9B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090" w:type="dxa"/>
            <w:noWrap w:val="0"/>
            <w:vAlign w:val="top"/>
          </w:tcPr>
          <w:p w14:paraId="07BEB2C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482" w:type="dxa"/>
            <w:noWrap w:val="0"/>
            <w:vAlign w:val="top"/>
          </w:tcPr>
          <w:p w14:paraId="18393F5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726" w:type="dxa"/>
            <w:noWrap w:val="0"/>
            <w:vAlign w:val="top"/>
          </w:tcPr>
          <w:p w14:paraId="588CD6D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c>
          <w:tcPr>
            <w:tcW w:w="1223" w:type="dxa"/>
            <w:noWrap w:val="0"/>
            <w:vAlign w:val="top"/>
          </w:tcPr>
          <w:p w14:paraId="333AE0B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color w:val="auto"/>
                <w:sz w:val="21"/>
                <w:szCs w:val="21"/>
                <w:highlight w:val="none"/>
              </w:rPr>
            </w:pPr>
          </w:p>
        </w:tc>
      </w:tr>
    </w:tbl>
    <w:p w14:paraId="0AF4F924">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04" w:name="_Toc24076"/>
      <w:bookmarkStart w:id="105" w:name="_Toc16217"/>
      <w:r>
        <w:rPr>
          <w:rFonts w:hint="eastAsia"/>
          <w:color w:val="auto"/>
          <w:highlight w:val="none"/>
        </w:rPr>
        <w:t>11. 开工和竣工（完工）</w:t>
      </w:r>
      <w:bookmarkEnd w:id="104"/>
      <w:bookmarkEnd w:id="105"/>
    </w:p>
    <w:p w14:paraId="521A85E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11.1 开工</w:t>
      </w:r>
    </w:p>
    <w:p w14:paraId="4FEAD8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监理人应在开工日期7天前向承包人发出开工通知。监理人在发出开工通知前应获得发包人同意。工期自监理人发出的开工通知中载明的开工日期起计算。承包人应在开工日期后尽快施工。</w:t>
      </w:r>
    </w:p>
    <w:p w14:paraId="7B5F94E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承包人应按第10.1款约定的合同进度计划，向监理人提交工程开工报审表，经监理人审批后执行。开工报审表应详细说明按合同进度计划正常施工所需的施工道路、临时设施、材料设备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施工人员等施工组织措施的落实情况以及工程的进度安排。</w:t>
      </w:r>
    </w:p>
    <w:p w14:paraId="0D86D81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11.1.3 若发包人未能按合同约定向承包人提供开工的必要条件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承包人有权要求延长工期。监理人应在收到承包人的书面要求后，按第 3.5 款的约定，与合同双方商定或确定增加的费用和延长的工期。</w:t>
      </w:r>
    </w:p>
    <w:p w14:paraId="7108877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11.1.4 承包人在接到开工通知后14天内未按进度计划要求及时进场组织施工，监理人可通知承包人在接到通知后7天内提交一份说明其进场延误的书面报告，报送监理人。书面报告应说明不能及时进场的原因和补救措施，由此增加的费用和工期延误责任由承包人承担。</w:t>
      </w:r>
    </w:p>
    <w:p w14:paraId="57B9EA0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11.2 竣工(完工)</w:t>
      </w:r>
    </w:p>
    <w:p w14:paraId="57EBA0B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承包人应在第</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"1.1.4.3"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1.1.4.3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目约定的期限内完成合同工程。合同工程实际完工时间在合同工程完工证书中明确（以完工验收鉴定书或竣工验收鉴定书标明的验收日期为准，没有标明验收日期的则以印发鉴定书的日期为准）。</w:t>
      </w:r>
    </w:p>
    <w:p w14:paraId="189208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11.3 发包人的工期延误</w:t>
      </w:r>
    </w:p>
    <w:p w14:paraId="00E6E78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在履行合同过程中，由于发包人的下列原因造成工期延误的，承包人有权要求发包人延长工期和(或)增加费用，并支付合理利润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需要修订合同进度计划的，按照第10.2款的约定办理。</w:t>
      </w:r>
    </w:p>
    <w:p w14:paraId="3557779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（1）增加合同工作内容；</w:t>
      </w:r>
    </w:p>
    <w:p w14:paraId="528443C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（2）改变合同中任何一项工作的质量要求或其他特性；</w:t>
      </w:r>
    </w:p>
    <w:p w14:paraId="6FF1838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（3）发包人迟延提供材料、工程设备或变更交货地点的；</w:t>
      </w:r>
    </w:p>
    <w:p w14:paraId="46430A6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（4）因发包人原因导致的暂停施工；</w:t>
      </w:r>
    </w:p>
    <w:p w14:paraId="4371AE7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（5）提供图纸延误；</w:t>
      </w:r>
    </w:p>
    <w:p w14:paraId="6EB1CD5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（6）未按合同约定及时支付预付款、进度款；</w:t>
      </w:r>
    </w:p>
    <w:p w14:paraId="089A019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（7）发包人造成工期延误的其他原因。</w:t>
      </w:r>
    </w:p>
    <w:p w14:paraId="6CA997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11.4 异常恶劣的气候条件</w:t>
      </w:r>
    </w:p>
    <w:p w14:paraId="36E2581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11.4.1 当工程所在地发生危及施工安全的异常恶劣气候时，发包人和承包人应按本合同通用合同条款第12条的约定，及时采取暂停施工或部分暂停施工措施。异常恶劣气候条</w:t>
      </w:r>
    </w:p>
    <w:p w14:paraId="441BEEE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件解除后，承包人应及时安排复工。</w:t>
      </w:r>
    </w:p>
    <w:p w14:paraId="49C65B1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11.4.2 异常恶劣气候条件造成的工期延误和工程损坏，应由发包人与承包人参照本合同通用合同条款第 21.3 款的约定共同协商处理。</w:t>
      </w:r>
    </w:p>
    <w:p w14:paraId="0285575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11.4.3 本合同工程界定异常恶劣气候条件的范围在专用合同条款中约定。</w:t>
      </w:r>
    </w:p>
    <w:p w14:paraId="1B782E5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11.5 承包人工期延误</w:t>
      </w:r>
    </w:p>
    <w:p w14:paraId="35F22E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277C6DB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11.6 工期提前</w:t>
      </w:r>
    </w:p>
    <w:p w14:paraId="71B09E8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发包人要求承包人提前完工，或承包人提出提前完工的建议能够给发包人带来效益的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应由监理人与承包人共同协商采取加快工程进度的措施和修订合同进度计划。发包人应承担承包人由此增加的费用，并向承包人支付专用合同条款约定的相应奖金。</w:t>
      </w:r>
    </w:p>
    <w:p w14:paraId="6231CA1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发包人要求提前完工的，双方协商一致后应签订提前完工协议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协议内容包括：</w:t>
      </w:r>
    </w:p>
    <w:p w14:paraId="0E7A6B1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（1）提前的时间和修订后的进度计划。</w:t>
      </w:r>
    </w:p>
    <w:p w14:paraId="67C7CCD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（2）承包人的赶工措施。</w:t>
      </w:r>
    </w:p>
    <w:p w14:paraId="50EBDB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发包人为赶工提供的条件。</w:t>
      </w:r>
    </w:p>
    <w:p w14:paraId="375EA46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（4）赶工费用(包括利润和奖金)</w:t>
      </w:r>
    </w:p>
    <w:p w14:paraId="04A35B76">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06" w:name="_Toc18748"/>
      <w:bookmarkStart w:id="107" w:name="_Toc29908"/>
      <w:r>
        <w:rPr>
          <w:rFonts w:hint="eastAsia"/>
          <w:color w:val="auto"/>
          <w:highlight w:val="none"/>
        </w:rPr>
        <w:t>12.暂停施工</w:t>
      </w:r>
      <w:bookmarkEnd w:id="106"/>
      <w:bookmarkEnd w:id="107"/>
    </w:p>
    <w:p w14:paraId="78E4B1E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12.1 承包人暂停施工的责任</w:t>
      </w:r>
    </w:p>
    <w:p w14:paraId="52B5B04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因下列暂停施工增加的费用和(或)工期延误由承包人承担：</w:t>
      </w:r>
    </w:p>
    <w:p w14:paraId="6A994D4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（1）承包人违约引起的暂停施工；</w:t>
      </w:r>
    </w:p>
    <w:p w14:paraId="4D645E8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（2）由于承包人原因为工程合理施工和安全保障所必需的暂停施工；</w:t>
      </w:r>
    </w:p>
    <w:p w14:paraId="3B0B114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（3）承包人擅自暂停施工；</w:t>
      </w:r>
    </w:p>
    <w:p w14:paraId="4D4D42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（4）承包人其他原因引起的暂停施工；</w:t>
      </w:r>
    </w:p>
    <w:p w14:paraId="1D6B153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（5）专用合同条款约定由承包人承担的其他暂停施工。</w:t>
      </w:r>
    </w:p>
    <w:p w14:paraId="0BFA3DC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12.2 发包人暂停施工的责任</w:t>
      </w:r>
    </w:p>
    <w:p w14:paraId="5ED955F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由于发包人原因引起的暂停施工造成工期延误的，承包人有权要求发包人延长工期和(或)增加费用，并支付合理利润。属于下列任何一种情况引起的暂停施工，均为发包人的责任：</w:t>
      </w:r>
    </w:p>
    <w:p w14:paraId="440870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（1）由于发包人违约引起的暂停施工。</w:t>
      </w:r>
    </w:p>
    <w:p w14:paraId="29B9DD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（2）由于不可抗力的自然或社会因素引起的暂停施工。</w:t>
      </w:r>
    </w:p>
    <w:p w14:paraId="797270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（3）专用合同条款中约定的其它由于发包人原因引起的暂停施工。</w:t>
      </w:r>
    </w:p>
    <w:p w14:paraId="621DF3D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12.3 监理人暂停施工指示</w:t>
      </w:r>
    </w:p>
    <w:p w14:paraId="278FDB8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12.3.1监理人认为有必要时，可向承包人作出暂停施工的指示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承包人应按监理人指示暂停施工。不论由于何种原因引起的暂停施工，暂停施工期间承包人应负责妥善保护工程并提供安全保障。</w:t>
      </w:r>
    </w:p>
    <w:p w14:paraId="233412A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由于发包人的原因发生暂停施工的紧急情况，且监理人未及时下达暂停施工指示的，承包人可先暂停施工，并及时向监理人提出暂停施工的书面请求。监理人应在接到书面请求后的 24 小时内予以答复，逾期未答复的，视为同意承包人的暂停施工请求。</w:t>
      </w:r>
    </w:p>
    <w:p w14:paraId="6455AFE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12.4 暂停施工后的复工</w:t>
      </w:r>
    </w:p>
    <w:p w14:paraId="6078E33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14:paraId="355BB9E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承包人无故拖延和拒绝复工的，由此增加的费用和工期延误由承包人承担；因发包人原因无法按时复工的，承包人有权要求发包人延长工期和(或)增加费用，并支付合理利润。</w:t>
      </w:r>
    </w:p>
    <w:p w14:paraId="73E1AD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12.5 暂停施工持续 56 天以上</w:t>
      </w:r>
    </w:p>
    <w:p w14:paraId="44B6184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12.5.1 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应按第 22.2款的约定办理。</w:t>
      </w:r>
    </w:p>
    <w:p w14:paraId="741E1C2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12.5.2 由于承包人责任引起的暂停施工，如承包人在收到监理人暂停施工指示后56天内不认真采取有效的复工措施，造成工期延误，可视为承包人违约，应按第22.1 款的约定办理。</w:t>
      </w:r>
    </w:p>
    <w:p w14:paraId="77653D14">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08" w:name="_Toc30193"/>
      <w:bookmarkStart w:id="109" w:name="_Toc306"/>
      <w:r>
        <w:rPr>
          <w:rFonts w:hint="eastAsia"/>
          <w:color w:val="auto"/>
          <w:highlight w:val="none"/>
        </w:rPr>
        <w:t>13.工程质量</w:t>
      </w:r>
      <w:bookmarkEnd w:id="108"/>
      <w:bookmarkEnd w:id="109"/>
    </w:p>
    <w:p w14:paraId="4D59133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13.1 工程质量要求</w:t>
      </w:r>
    </w:p>
    <w:p w14:paraId="0EA092F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13.1.1 工程质量验收按合同约定验收标准执行。</w:t>
      </w:r>
    </w:p>
    <w:p w14:paraId="3333926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13.1.2 因承包人原因造成工程质量达不到合同约定验收标准的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监理人有权要求承包人返工直至符合合同要求为止，由此造成的费用增加和（或）工期延误由承包人承担。</w:t>
      </w:r>
    </w:p>
    <w:p w14:paraId="74EB8E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13.1.3 因发包人原因造成工程质量达不到合同约定验收标准的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发包人应承担由于承包人返工造成的费用增加和（或）工期延误，并支付承包人合理利润。</w:t>
      </w:r>
    </w:p>
    <w:p w14:paraId="5D8FE26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13.2 承包人的质量管理</w:t>
      </w:r>
    </w:p>
    <w:p w14:paraId="113A344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13.2.1 承包人应在施工场地设置专门的质量检查机构，配备专职质量检查人员，建立完善的质量检查制度。承包人应按技术标准和要求（合同技术条款）约定的内容和期限，编制工程质量保证措施文件，包括质量检查机构的组织和岗位责任、质量检查人员的组成、质量检查程序和实施细则等，提交监理人监批。监理人应在技术标准和要求（合同技术条款）约定期限内批复承包人。</w:t>
      </w:r>
    </w:p>
    <w:p w14:paraId="511B37F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 2 承包人应加强对施工人员的质量教育和技术培训，定期考核施工人员的劳动技能，严格执行规范和操作规程。</w:t>
      </w:r>
    </w:p>
    <w:p w14:paraId="69A2A9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13.3 承包人的质量检查</w:t>
      </w:r>
    </w:p>
    <w:p w14:paraId="701FDC6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承包人应按合同约定对材料、工程设备以及工程的所有部位及其施工工艺进行全过程的质量检查和检验，并作详细记录，编制工程质量报表，报送监理人审查。</w:t>
      </w:r>
    </w:p>
    <w:p w14:paraId="75E576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13.4 监理人的质量检查</w:t>
      </w:r>
    </w:p>
    <w:p w14:paraId="05EF59F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6E9E361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13.5 工程隐蔽部位覆盖前的检查</w:t>
      </w:r>
    </w:p>
    <w:p w14:paraId="2712061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13.5.1 通知监理人检查</w:t>
      </w:r>
    </w:p>
    <w:p w14:paraId="6611C27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经承包人自检确认的工程隐蔽部位具备覆盖条件后，承包人应通知监理人在约定的期限内检查。承包人的通知应附有自检记录和必要的检查资料。监理人应按时到场检查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经监理人检查确认质量符合隐蔽要求，并在检查记录上签字后，承包人才能进行覆盖。监理人检查确认质量不合格的，承包人应在监理人指示的时间内修整返工后，由监理人重新检查。</w:t>
      </w:r>
    </w:p>
    <w:p w14:paraId="1F6A33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13.5.2 监理人未到场检查</w:t>
      </w:r>
    </w:p>
    <w:p w14:paraId="272EB68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监理人未按第13.5.1项约定的时间进行检查的，除监理人另有指示外，承包人可自行完成覆盖工作，并作相应记录报送监理人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监理人应签字确认。监理人事后对检查记录有疑问的，可按第13.5.3 项的约定重新检查。</w:t>
      </w:r>
    </w:p>
    <w:p w14:paraId="4E851C0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13.5.3 监理人重新检查</w:t>
      </w:r>
    </w:p>
    <w:p w14:paraId="506C9B9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承包人按第 13.5.1项或第13.5.2项覆盖工程隐蔽部位后，监理人对质量有疑问的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785EA4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13.5.4 承包人私自覆盖</w:t>
      </w:r>
    </w:p>
    <w:p w14:paraId="0184560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承包人未通知监理人到场检查，私自将工程隐蔽部位覆盖的，监理人有权指示承包人钻孔探测或揭开检查，由此增加的费用和（或）工期延误由承包人承担。</w:t>
      </w:r>
    </w:p>
    <w:p w14:paraId="3BEFAAA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13.6 清除不合格工程</w:t>
      </w:r>
    </w:p>
    <w:p w14:paraId="53120D2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3F0558D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13.6.2 由于发包人提供的材料或工程设备不合格造成的工程不合格，需要承包人采取措施补救的，发包人应承担由此增加的费用和（或）工期延误，并支付承包人合理利润。</w:t>
      </w:r>
    </w:p>
    <w:p w14:paraId="18CBA08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13.7 质量评定</w:t>
      </w:r>
    </w:p>
    <w:p w14:paraId="272D7BB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13.7.1 发包人应组织承包人进行工程项目划分，并确定单位工程、主要分部工程、重要隐蔽单元工程和关键部位单元工程。</w:t>
      </w:r>
    </w:p>
    <w:p w14:paraId="11BA0BE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13.7.2 工程实施过程中，单位工程、主要分部工程、重要隐蔽单元工程和关键部位单元工程的项目划分需要调整时，承包人应报发包人确认。</w:t>
      </w:r>
    </w:p>
    <w:p w14:paraId="67D699C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13.7.3 承包人应在单元（工序）工程质量自评合格后，报监理人核定质量等级并签证认可。</w:t>
      </w:r>
    </w:p>
    <w:p w14:paraId="7D3E75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13.7.4 除专用合同条款另有约定外，承包人应在重要隐蔽单元工程和关键部位单元工程质量自评合格后以及监理人抽检后，由监理人组织承包人等单位组成的联合小组，共同检查核定其质量等级并填写签证表。发包人按有关规定完成质量结论报工程质量监督机构核备手续。</w:t>
      </w:r>
    </w:p>
    <w:p w14:paraId="4FF7A23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13.7.5 承包人应在分部工程质量自评合格后，报监理人复核和发包人认定。发包人负责按有关规定完成分部工程质量结论报工程质量监督机构核备（核定）手续。</w:t>
      </w:r>
    </w:p>
    <w:p w14:paraId="17BD5B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13.7.6 承包人应在单位工程质量自评合格后，报监理人复核和发包人认定。发包人负责按有关规定完成单位工程质量结论报工程质量监督机构核定手续。</w:t>
      </w:r>
    </w:p>
    <w:p w14:paraId="15A53F1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13.7.7 除专用合同条款另有约定外，工程质量等级分为合格和优良，应分别达到约定的标准。</w:t>
      </w:r>
    </w:p>
    <w:p w14:paraId="308B18F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13.8 质量事故处理</w:t>
      </w:r>
    </w:p>
    <w:p w14:paraId="2C45B7E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13.8.1 发生质量事故时，承包人应及时向发包人和监理人报告</w:t>
      </w:r>
      <w:r>
        <w:rPr>
          <w:rFonts w:hint="eastAsia" w:ascii="宋体" w:hAnsi="宋体" w:eastAsia="宋体" w:cs="宋体"/>
          <w:color w:val="auto"/>
          <w:sz w:val="21"/>
          <w:szCs w:val="21"/>
          <w:highlight w:val="none"/>
          <w:lang w:eastAsia="zh-CN"/>
        </w:rPr>
        <w:t>。</w:t>
      </w:r>
    </w:p>
    <w:p w14:paraId="7ADF6E6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13.8.2 质量事故调查处理由发包人按相关规定履行手续，承包人应配合。</w:t>
      </w:r>
    </w:p>
    <w:p w14:paraId="2E0B1A1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13.8.3 承包人应对质量缺陷进行备案。发包人委托监理人对质量缺陷备案情况进行监督检查并履行相关手续。</w:t>
      </w:r>
    </w:p>
    <w:p w14:paraId="3F117D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13.8.4 除专用合同条款另有约定外，工程竣工验收时，发包人负责向竣工验收委员会汇报并提交历次质量缺陷处理的备案资料。</w:t>
      </w:r>
    </w:p>
    <w:p w14:paraId="7FE4A5E4">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10" w:name="_Toc17199"/>
      <w:bookmarkStart w:id="111" w:name="_Toc13279"/>
      <w:r>
        <w:rPr>
          <w:rFonts w:hint="eastAsia"/>
          <w:color w:val="auto"/>
          <w:highlight w:val="none"/>
        </w:rPr>
        <w:t>14 .试验和检验</w:t>
      </w:r>
      <w:bookmarkEnd w:id="110"/>
      <w:bookmarkEnd w:id="111"/>
    </w:p>
    <w:p w14:paraId="07EC133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14.1 材料、工程设备和工程的试验和检验</w:t>
      </w:r>
    </w:p>
    <w:p w14:paraId="79B0F4F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r>
        <w:rPr>
          <w:rFonts w:hint="eastAsia" w:ascii="宋体" w:hAnsi="宋体" w:eastAsia="宋体" w:cs="宋体"/>
          <w:color w:val="auto"/>
          <w:sz w:val="21"/>
          <w:szCs w:val="21"/>
          <w:highlight w:val="none"/>
          <w:lang w:eastAsia="zh-CN"/>
        </w:rPr>
        <w:t>。</w:t>
      </w:r>
    </w:p>
    <w:p w14:paraId="5B6D9AD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14.1.2 监理人未按合同约定派员参加试验和检验的，除监理人另有指示外，承包人可自行试验和检验，并应立即将试验和检验结果报送监理人，监理人应签字确认。</w:t>
      </w:r>
    </w:p>
    <w:p w14:paraId="1F5E2F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3DAAD2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14.1.4承包人应按相关规定和标准对水泥、钢材等原材料与中间产品质量进行检验，并报监理人复核。</w:t>
      </w:r>
    </w:p>
    <w:p w14:paraId="3712EFF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14.1.5 除专用合同条款另有约定外，水工金属结构、启闭机及机电产品进场后，监理人组织发包人按合同进行交货检查和验收。安装前，承包人应检查产品是否有出厂合格证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设备安装说明书及有关技术文件，对在运输和存放过程中发生的变形、受潮、损坏等问题应作好记录，并进行妥善处理。</w:t>
      </w:r>
    </w:p>
    <w:p w14:paraId="3D61E93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14.1.6 对专用合同条款约定的试块、试件及有关材料，监理人实行见证取样。见证取样资料由承包人制备，记录应真实齐全，监理人、承包人等参与见证取样人员均应在相关文件上签字。</w:t>
      </w:r>
    </w:p>
    <w:p w14:paraId="57B5401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14.2 现场材料试验</w:t>
      </w:r>
    </w:p>
    <w:p w14:paraId="69B3131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14.2.1 承包人根据合同约定或监理人指示进行的现场材料试验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应由承包人提供试验场所、试验人员、试验设备器材以及其他必要的试验条件。</w:t>
      </w:r>
    </w:p>
    <w:p w14:paraId="06339F0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14.2.2 监理人在必要时可以使用承包人的试验场所、试验设备器材以及其他试验条件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进行以工程质量检查为目的的复核性材料试验，承包人应予以协助。</w:t>
      </w:r>
    </w:p>
    <w:p w14:paraId="4D53590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14.3 现场工艺试验</w:t>
      </w:r>
    </w:p>
    <w:p w14:paraId="3A11332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承包人应按合同约定或监理人指示进行现场工艺试验。对大型的现场工艺试验，监理人认为必要时，应由承包人根据监理人提出的工艺试验要求，编制工艺试验措施计划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报送监理人审批。</w:t>
      </w:r>
    </w:p>
    <w:p w14:paraId="1A2FA9CF">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12" w:name="_Toc18148"/>
      <w:bookmarkStart w:id="113" w:name="_Toc14809"/>
      <w:r>
        <w:rPr>
          <w:rFonts w:hint="eastAsia"/>
          <w:color w:val="auto"/>
          <w:highlight w:val="none"/>
        </w:rPr>
        <w:t>15.变更</w:t>
      </w:r>
      <w:bookmarkEnd w:id="112"/>
      <w:bookmarkEnd w:id="113"/>
    </w:p>
    <w:p w14:paraId="32B930E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15.1 变更的范围和内容</w:t>
      </w:r>
    </w:p>
    <w:p w14:paraId="0E7724D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在履行合同中发生以下情形之一，应按照本条规定进行变更。</w:t>
      </w:r>
    </w:p>
    <w:p w14:paraId="4F2435F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（1）取消合同中任何一项工作，但被取消的工作不能转由发包人或其它人实施；</w:t>
      </w:r>
    </w:p>
    <w:p w14:paraId="6DB348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（2）改变合同中任何一项工作的质量或其它特性；</w:t>
      </w:r>
    </w:p>
    <w:p w14:paraId="02ADEE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（3）改变合同工程的基线、标高、位置或尺寸；</w:t>
      </w:r>
    </w:p>
    <w:p w14:paraId="2DBECEA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（4）改变合同中任何一项工作的施工时间或改变已批准的施工工艺或顺序；</w:t>
      </w:r>
    </w:p>
    <w:p w14:paraId="1A3D6AA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（5）为完成工程需要追加的额外工作；</w:t>
      </w:r>
    </w:p>
    <w:p w14:paraId="0CD0F45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（6）增加或减少专用合同条款中约定的关键项目工程量超过其工程总量的一定数量的百分比。</w:t>
      </w:r>
    </w:p>
    <w:p w14:paraId="4A051FF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上述第（1）～（6）目的变更内容引起工程施工组织和进度计划发生实质性变动和影响其原定的价格时，才予调整该项目的单价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第（6） 目情形下单价调整方式在专用合同条款中约定。</w:t>
      </w:r>
    </w:p>
    <w:p w14:paraId="5AB247A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15.2 变更权</w:t>
      </w:r>
    </w:p>
    <w:p w14:paraId="7AF0833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在履行合同过程中，经发包人同意，监理人可按第15.3款约定的变更程序向承包人作出变更指示，承包人应遵照执行。没有监理人的变更指示，承包人不得擅自变更。</w:t>
      </w:r>
    </w:p>
    <w:p w14:paraId="1A64FC1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15.3 变更程序</w:t>
      </w:r>
    </w:p>
    <w:p w14:paraId="4349C9E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15.3.1 变更的提出</w:t>
      </w:r>
    </w:p>
    <w:p w14:paraId="37EE09E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w:t>
      </w:r>
    </w:p>
    <w:p w14:paraId="6CE0C61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（2）在合同履行过程中，发生第15.1款约定情形的，监理人应按照第15.3.3项约定向承包人发出变更指示。</w:t>
      </w:r>
    </w:p>
    <w:p w14:paraId="7D66EDF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（3）承包人收到监理人按合同约定发出的图纸和文件，经检查认为其中存在第15.1款约定情形的，可向监理人提出书面变更建议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变更建议应阐明要求变更的依据，并附必要的图纸和说明。监理人收到承包人书面建议后，应与发包人共同研究，确认存在变更的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应在收到承包人书面建议后的14天内作出变更指示。经研究后不同意作为变更的，应由监理人书面答复承包人。</w:t>
      </w:r>
    </w:p>
    <w:p w14:paraId="1C5BFD7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（4）若承包人收到监理人的变更意向书后认为难以实施此项变更，应立即通知监理，说明原因并附详细依据。监理人与承包人和发包人协商后确定撤销、改变或不改变原变更意向书。</w:t>
      </w:r>
    </w:p>
    <w:p w14:paraId="742376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15.3.2 变更估价</w:t>
      </w:r>
    </w:p>
    <w:p w14:paraId="209BA3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14:paraId="3A35A45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（2）变更工作影响工期的，承包人应提出调整工期的具体细节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监理人认为有必要，可要求承包人提交要求提前或延长工期的施工进度计划及相应施工措施等详细资料。</w:t>
      </w:r>
    </w:p>
    <w:p w14:paraId="36673F2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（3）除专用合同条款对期限另有约定外，监理人收到承包人变更报价书后的14天内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根据第15.4款约定的估价原则，按照第3.5款商定或确定变更价格。</w:t>
      </w:r>
    </w:p>
    <w:p w14:paraId="0B1BF87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15.3.3 变更指示</w:t>
      </w:r>
    </w:p>
    <w:p w14:paraId="27A7EDD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（1）变更指示只能由监理人发出。</w:t>
      </w:r>
    </w:p>
    <w:p w14:paraId="770978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（2）变更指示应说明变更的目的、范围、变更内容以及变更的工程量及其进度和技术要求，并附有关图纸和文件。承包人收到变更指示后，应按变更指示进行变更工作。</w:t>
      </w:r>
    </w:p>
    <w:p w14:paraId="104179B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15.4 变更的估价原则</w:t>
      </w:r>
    </w:p>
    <w:p w14:paraId="06991D7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除专用合同条款另有约定外，因变更引起的价格调整按照本款约定处理。</w:t>
      </w:r>
    </w:p>
    <w:p w14:paraId="7BDD23C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15.4.1 已标价工程量清单中有适用于变更工作的子目的，采用该子目的单价。</w:t>
      </w:r>
    </w:p>
    <w:p w14:paraId="0027B69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15.4.2 已标价工程量清单中无适用于变更工作的子目，但有类似子目的，可在合理范围内参照类似子目的单价，由监理人按第</w:t>
      </w:r>
      <w:r>
        <w:rPr>
          <w:rFonts w:hint="eastAsia" w:ascii="宋体" w:hAnsi="宋体" w:eastAsia="宋体" w:cs="宋体"/>
          <w:color w:val="auto"/>
          <w:sz w:val="21"/>
          <w:szCs w:val="21"/>
          <w:highlight w:val="none"/>
          <w:lang w:val="en-US" w:eastAsia="zh-CN"/>
        </w:rPr>
        <w:t>3.5</w:t>
      </w:r>
      <w:r>
        <w:rPr>
          <w:rFonts w:hint="eastAsia" w:ascii="宋体" w:hAnsi="宋体" w:eastAsia="宋体" w:cs="宋体"/>
          <w:color w:val="auto"/>
          <w:sz w:val="21"/>
          <w:szCs w:val="21"/>
          <w:highlight w:val="none"/>
        </w:rPr>
        <w:t>款商定或确定变更工作的单价。</w:t>
      </w:r>
    </w:p>
    <w:p w14:paraId="58F40C6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15.4.3 已标价工程量清单中无适用或类似子目的单价，可按照成本加利润的原则，由监理人按第3.5款商定或确定变更工作的单价。</w:t>
      </w:r>
    </w:p>
    <w:p w14:paraId="7C64FEB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15.5 承包人的合理化建议</w:t>
      </w:r>
    </w:p>
    <w:p w14:paraId="5C9C79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 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Fonts w:hint="eastAsia" w:ascii="宋体" w:hAnsi="宋体" w:eastAsia="宋体" w:cs="宋体"/>
          <w:color w:val="auto"/>
          <w:sz w:val="21"/>
          <w:szCs w:val="21"/>
          <w:highlight w:val="none"/>
          <w:lang w:val="en-US" w:eastAsia="zh-CN"/>
        </w:rPr>
        <w:t>15.3.3</w:t>
      </w:r>
      <w:r>
        <w:rPr>
          <w:rFonts w:hint="eastAsia" w:ascii="宋体" w:hAnsi="宋体" w:eastAsia="宋体" w:cs="宋体"/>
          <w:color w:val="auto"/>
          <w:sz w:val="21"/>
          <w:szCs w:val="21"/>
          <w:highlight w:val="none"/>
        </w:rPr>
        <w:t>项约定向承包人发出变更指示。</w:t>
      </w:r>
    </w:p>
    <w:p w14:paraId="7B90BD6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15.5.2 承包人提出的合理化建议降低了合同价格、缩短了工期或者提高了工程经济效益的，发包人可按国家有关规定在专用合同条款中约定给予奖励。</w:t>
      </w:r>
    </w:p>
    <w:p w14:paraId="0CAA515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15.6 暂列金额</w:t>
      </w:r>
    </w:p>
    <w:p w14:paraId="3BDE1E4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暂列金额只能按照监理人的指示使用，并对合同价格进行相应调整。</w:t>
      </w:r>
    </w:p>
    <w:p w14:paraId="42335EE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15.7 计日工</w:t>
      </w:r>
    </w:p>
    <w:p w14:paraId="04E5441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15.7.1 发包人认为有必要时，由监理人通知承包人以计日工方式实施变更的零星工作</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其价款按列入已标价工程量清单中的计日工计价子目及其单价进行计算。</w:t>
      </w:r>
    </w:p>
    <w:p w14:paraId="78F2A96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15.7.2 采用计日工计价的任何一项变更工作，应从暂列金额中支付，承包人应在该项变更的实施过程中，每天提交以下报表和有关凭证报送监理人审批：</w:t>
      </w:r>
    </w:p>
    <w:p w14:paraId="133884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（1）工作名称、内容和数量；</w:t>
      </w:r>
    </w:p>
    <w:p w14:paraId="03FE4CE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（2）投入该工作所有人员的姓名、工种、级别和耗用工时；</w:t>
      </w:r>
    </w:p>
    <w:p w14:paraId="220B0BB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（3）投入该工作的材料类别和数量；</w:t>
      </w:r>
    </w:p>
    <w:p w14:paraId="03A64BE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（4）投入该工作的施工设备型号、台数和耗用台时；</w:t>
      </w:r>
    </w:p>
    <w:p w14:paraId="0BAB905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（5）监理人要求提交的其他资料和凭证。</w:t>
      </w:r>
    </w:p>
    <w:p w14:paraId="6FD685E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15.7.3 计日工由承包人汇总后，按第17.3.2项的约定列入进度付款申请单，由监理人复核并经发包人同意后列入进度付款。</w:t>
      </w:r>
    </w:p>
    <w:p w14:paraId="40A970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15.8 暂估价</w:t>
      </w:r>
    </w:p>
    <w:p w14:paraId="0201CB4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15.8.1 发包人在工程量清单中给定暂估价的材料、工程设备和专业工程属于依法必须招标的范围并达到规定的规模标准的，若承包人不具备承担暂估价项目的能力或具备承担暂估价项目的能力但明确不参与投标的，由发包人和承包人组织招标；若承包人具备承担暂估价项目的能力且明确参与投标的，由发包人组织招标。暂估价项目中标金额与工程量清单中所列金额差以及相应的税金等其他费用列入合同价格。必须招标的暂估价项目招标组织形式、发包人和承包人组织招标时双方的权利义务关系在专用合同条款中约定。</w:t>
      </w:r>
    </w:p>
    <w:p w14:paraId="41714FF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15.8.2 发包人在工程量清单中给定暂估价的材料和工程设备不属于依法必须招标的范围或未达到规定的规模标准的，应由承包人按第5.1款的约定提供。经监理人确认的材料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工程设备的价格与工程量清单中所列的暂估价的金额差以及相应的税金等其他费用列入合同价格。</w:t>
      </w:r>
    </w:p>
    <w:p w14:paraId="4FC27BF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15.8.3 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55C87FC5">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14" w:name="_Toc1242"/>
      <w:bookmarkStart w:id="115" w:name="_Toc8678"/>
      <w:r>
        <w:rPr>
          <w:rFonts w:hint="eastAsia"/>
          <w:color w:val="auto"/>
          <w:highlight w:val="none"/>
        </w:rPr>
        <w:t xml:space="preserve">16 </w:t>
      </w:r>
      <w:r>
        <w:rPr>
          <w:rFonts w:hint="eastAsia"/>
          <w:color w:val="auto"/>
          <w:highlight w:val="none"/>
          <w:lang w:val="en-US" w:eastAsia="zh-CN"/>
        </w:rPr>
        <w:t>.</w:t>
      </w:r>
      <w:r>
        <w:rPr>
          <w:rFonts w:hint="eastAsia"/>
          <w:color w:val="auto"/>
          <w:highlight w:val="none"/>
        </w:rPr>
        <w:t>价格调整</w:t>
      </w:r>
      <w:bookmarkEnd w:id="114"/>
      <w:bookmarkEnd w:id="115"/>
    </w:p>
    <w:p w14:paraId="669915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16.1 物价波动引起的价格调整</w:t>
      </w:r>
    </w:p>
    <w:p w14:paraId="5CEAAC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由于物价波动原因引起合同价格需要调整的，其价格调整方式在专用合同条款中约定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除专用合同条款另有约定外，因物价波动引起的价格调整按照本款约定处理。</w:t>
      </w:r>
    </w:p>
    <w:p w14:paraId="6910DA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 采用价格指数调整价格差额</w:t>
      </w:r>
    </w:p>
    <w:p w14:paraId="2AC4E2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16.1.1.1 价格调整公式</w:t>
      </w:r>
    </w:p>
    <w:p w14:paraId="57A579E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anchor distT="0" distB="0" distL="114300" distR="114300" simplePos="0" relativeHeight="251664384" behindDoc="0" locked="0" layoutInCell="1" allowOverlap="1">
            <wp:simplePos x="0" y="0"/>
            <wp:positionH relativeFrom="column">
              <wp:posOffset>219075</wp:posOffset>
            </wp:positionH>
            <wp:positionV relativeFrom="paragraph">
              <wp:posOffset>17780</wp:posOffset>
            </wp:positionV>
            <wp:extent cx="4521835" cy="444500"/>
            <wp:effectExtent l="0" t="0" r="4445" b="12700"/>
            <wp:wrapSquare wrapText="bothSides"/>
            <wp:docPr id="5" name="图片 1"/>
            <wp:cNvGraphicFramePr/>
            <a:graphic xmlns:a="http://schemas.openxmlformats.org/drawingml/2006/main">
              <a:graphicData uri="http://schemas.openxmlformats.org/drawingml/2006/picture">
                <pic:pic xmlns:pic="http://schemas.openxmlformats.org/drawingml/2006/picture">
                  <pic:nvPicPr>
                    <pic:cNvPr id="5" name="图片 1"/>
                    <pic:cNvPicPr/>
                  </pic:nvPicPr>
                  <pic:blipFill>
                    <a:blip r:embed="rId13"/>
                    <a:stretch>
                      <a:fillRect/>
                    </a:stretch>
                  </pic:blipFill>
                  <pic:spPr>
                    <a:xfrm>
                      <a:off x="0" y="0"/>
                      <a:ext cx="4521835" cy="444500"/>
                    </a:xfrm>
                    <a:prstGeom prst="rect">
                      <a:avLst/>
                    </a:prstGeom>
                    <a:noFill/>
                    <a:ln>
                      <a:noFill/>
                    </a:ln>
                  </pic:spPr>
                </pic:pic>
              </a:graphicData>
            </a:graphic>
          </wp:anchor>
        </w:drawing>
      </w:r>
    </w:p>
    <w:p w14:paraId="17C9DF5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p>
    <w:p w14:paraId="6E7FEB64">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p>
    <w:p w14:paraId="0AEFA366">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因人工、材料和设备等价格波动影响合同价格时，根据投标函附录中的价格指数和权重表约定的数据，按以下公式计算差额并调整合同价格。</w:t>
      </w:r>
    </w:p>
    <w:p w14:paraId="177DD3F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p>
    <w:p w14:paraId="104568C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式中： △P -- 需调整的价格差额；</w:t>
      </w:r>
    </w:p>
    <w:p w14:paraId="6B7215B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P0 -- 第 17.3.3项、第17.5.2 项和第17.6.2 项约定的付款证书中承包人应得到的已完成工程量的金额。此项金额应不包括价格调整、不计质量保证金的扣留和支付、预付款的支付和扣回。第15条约定的变更及其他金额已按现行价格计价的，也不计在内；</w:t>
      </w:r>
    </w:p>
    <w:p w14:paraId="4D5AE45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 定值权重(即不调部分的权重)；</w:t>
      </w:r>
    </w:p>
    <w:p w14:paraId="1ECF628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B1；B2；B3 ·····Bn -- 各可调因子的变值权重(即可调部分的权重)为各可调因 子在投标函投标总报价中所占的比例；</w:t>
      </w:r>
    </w:p>
    <w:p w14:paraId="118D586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Ft1；Ft2；Ft3 ·····Ftn -- 各可调因子的现行价格指数，指第 17.3.3 项、第 17.5.2 项和第 17.6.2 项约定的付款证书相关周期最后一天的前42 天的各可调因子的价格指数；</w:t>
      </w:r>
    </w:p>
    <w:p w14:paraId="15D45CE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Fo1；Fo2; Fo3 ·····Fon -- 各可调因子的基本价格指数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指基准日期的各可调因子的价格指数。</w:t>
      </w:r>
    </w:p>
    <w:p w14:paraId="17F66F8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以上价格调整公式中的各可调因子、定值和变值权重，以及基本价格指数及其来源在投标函附录价格指数和权重表中约定。价格指数应首先采用有关部门提供的价格指数，缺乏上述价格指数时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可采用有关部门提供的价格代替。</w:t>
      </w:r>
    </w:p>
    <w:p w14:paraId="175FD50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"16.1.1.2"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16.1.1.2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暂时确定调整差额</w:t>
      </w:r>
    </w:p>
    <w:p w14:paraId="5DDE2D5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在计算调整差额时得不到现行价格指数的，可暂用上一次价格指数计算，并在以后的付款中再按实际价格指数进行调整。</w:t>
      </w:r>
    </w:p>
    <w:p w14:paraId="6E8F83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"16.1.1.3"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16.1.1.3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权重的调整</w:t>
      </w:r>
    </w:p>
    <w:p w14:paraId="19A0248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按第15.1款约定的变更导致原定合同中的权重不合理时，由监理人与承包人和发包人协商后进行调整。</w:t>
      </w:r>
    </w:p>
    <w:p w14:paraId="1E7822C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"16.1.1.4"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16.1.1.4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承包人工期延误后的价格调整</w:t>
      </w:r>
    </w:p>
    <w:p w14:paraId="2314263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由于承包人原因未在约定的工期内竣工的，则对原约定竣工日期后继续施工的工程，在使用第</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"16.1.1.1"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16.1.1.1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目价格调整公式时，应采用原约定竣工日期与实际竣工日期的两个价格指数中较低的一个作为现行价格指数。</w:t>
      </w:r>
    </w:p>
    <w:p w14:paraId="6C6E73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16.1.2 采用造价信息调整价格差额</w:t>
      </w:r>
    </w:p>
    <w:p w14:paraId="06750DE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r>
        <w:rPr>
          <w:rFonts w:hint="eastAsia" w:ascii="宋体" w:hAnsi="宋体" w:eastAsia="宋体" w:cs="宋体"/>
          <w:color w:val="auto"/>
          <w:sz w:val="21"/>
          <w:szCs w:val="21"/>
          <w:highlight w:val="none"/>
          <w:lang w:eastAsia="zh-CN"/>
        </w:rPr>
        <w:t>。</w:t>
      </w:r>
    </w:p>
    <w:p w14:paraId="05291E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工程造价信息的来源以及价格调整的项目和系数在专用合同条款中约定。</w:t>
      </w:r>
    </w:p>
    <w:p w14:paraId="04691D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16.2 法律变化引起的价格调整</w:t>
      </w:r>
    </w:p>
    <w:p w14:paraId="6980AEB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10BDA992">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16" w:name="_Toc10304"/>
      <w:bookmarkStart w:id="117" w:name="_Toc9515"/>
      <w:r>
        <w:rPr>
          <w:rFonts w:hint="eastAsia"/>
          <w:color w:val="auto"/>
          <w:highlight w:val="none"/>
        </w:rPr>
        <w:t>17.计量与支付</w:t>
      </w:r>
      <w:bookmarkEnd w:id="116"/>
      <w:bookmarkEnd w:id="117"/>
    </w:p>
    <w:p w14:paraId="7349BE6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17.1 计量</w:t>
      </w:r>
    </w:p>
    <w:p w14:paraId="759290F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17.1.1 计量单位</w:t>
      </w:r>
    </w:p>
    <w:p w14:paraId="0EA5A34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计量采用国家法定的计量单位。</w:t>
      </w:r>
    </w:p>
    <w:p w14:paraId="2D45A72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17.1.2 计量方法</w:t>
      </w:r>
    </w:p>
    <w:p w14:paraId="03DDB5B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结算工程量应按工程量清单中约定的方法计算。</w:t>
      </w:r>
    </w:p>
    <w:p w14:paraId="3E062FB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17.1.3 计量周期</w:t>
      </w:r>
    </w:p>
    <w:p w14:paraId="0A4137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除专用合同条款另有约定外，单价子目已完成工程量按月计量，总价子目的计量周期按批准的支付分解报告确定。</w:t>
      </w:r>
    </w:p>
    <w:p w14:paraId="7B24C4D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17.1.4 单价子目的计量</w:t>
      </w:r>
    </w:p>
    <w:p w14:paraId="1F35164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（1）已标价工程量清单中的单价子目工程量为估算工程量。结算工程量是承包人实际完成的，并按合同约定的计量方法进行计量的工程量。</w:t>
      </w:r>
    </w:p>
    <w:p w14:paraId="3F90DFE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（2）承包人对已完成的工程进行计量，向监理人提交进度付款申请单、已完成工程量报表和有关计量资料。</w:t>
      </w:r>
    </w:p>
    <w:p w14:paraId="4526443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（3）监理人对承包人提交的工程量报表进行复核，以确定实际完成的工程量。对数量有异议的，可要求承包人按第 8</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2款约定进行共同复核和抽样复测。承包人应协助监理人进行复核并按监理人要求提供补充计量资料。承包人未按监理人要求参加复核，监理人复核或修正的工程量视为承包人实际完成的工程量。</w:t>
      </w:r>
    </w:p>
    <w:p w14:paraId="5096EC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（4）监理人认为有必要时，可通知承包人共同进行联合测量、计量，承包人应遵照执行。</w:t>
      </w:r>
    </w:p>
    <w:p w14:paraId="4010C1B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监理人最终核实的工程量视为承包人完成该子目的准确工程量</w:t>
      </w:r>
      <w:r>
        <w:rPr>
          <w:rFonts w:hint="eastAsia" w:ascii="宋体" w:hAnsi="宋体" w:eastAsia="宋体" w:cs="宋体"/>
          <w:color w:val="auto"/>
          <w:sz w:val="21"/>
          <w:szCs w:val="21"/>
          <w:highlight w:val="none"/>
          <w:lang w:eastAsia="zh-CN"/>
        </w:rPr>
        <w:t>。</w:t>
      </w:r>
    </w:p>
    <w:p w14:paraId="51A6B6F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（6）监理人应在收到承包人提交的工程量报表后的7天内进行复核，监理人未在约定时间内复核的，承包人提交的工程量报表中的工程量视为承包人实际完成的工程量，据此计算工程价款。</w:t>
      </w:r>
    </w:p>
    <w:p w14:paraId="58A28D2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17.1.5 总价子目的计量</w:t>
      </w:r>
    </w:p>
    <w:p w14:paraId="00FF929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总价子目的分解和计量按照下述约定进行。</w:t>
      </w:r>
    </w:p>
    <w:p w14:paraId="271F96B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（1）总价子目的计量和支付应以总价为基础，不因第16.1款中的因素而进行调整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承包人实际完成的工程量，是进行工程目标管理和控制进度支付的依据。</w:t>
      </w:r>
    </w:p>
    <w:p w14:paraId="4DD6ABB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应按工程量清单的要求对总价子目进行分解，并在签订协议书后的28天内将各子目的总价支付分解表提交监理人审批。分解表应标明其所属子目和分阶段需支付的金额。承包人应按批准的各总价子目支付周期，对已完成的总价子目进行计量，确定分项的应付金额列入进度付款申请单中。</w:t>
      </w:r>
    </w:p>
    <w:p w14:paraId="4CC8AD7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（3）监理人对承包人提交的上述资料进行复核，以确定分阶段实际完成的工程量和工程形象目标。对其有异议的，可要求承包人按第 8.2款约定进行共同复核和抽样复测。</w:t>
      </w:r>
    </w:p>
    <w:p w14:paraId="57D8EDA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（4）除按照第15条约定的变更外，总价子目的工程量是承包人用于结算的最终工程量。</w:t>
      </w:r>
    </w:p>
    <w:p w14:paraId="0DA0B7A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17.2 预付款</w:t>
      </w:r>
    </w:p>
    <w:p w14:paraId="27B43BB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17.2.1 预付款</w:t>
      </w:r>
    </w:p>
    <w:p w14:paraId="44F51B7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预付款用于承包人为合同工程施工购置材料、工程设备、施工设备、修建临时设施以及组织施工队伍进场等，分为工程预付款和工程材料预付款。预付款必须专用于合同工程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预付款的额度和预付办法在专用合同条款中约定。</w:t>
      </w:r>
    </w:p>
    <w:p w14:paraId="704F46A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17.2.2 预付款保函(担保)</w:t>
      </w:r>
    </w:p>
    <w:p w14:paraId="41CBF50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（1）承包人应在收到第一次工程预付款的同时向发包人提交工程预付款担保，担保金额应与第一次工程预付款金额相同，工程预付款担保在第一次工程预付款被发包人扣回前一直有效。</w:t>
      </w:r>
    </w:p>
    <w:p w14:paraId="12DEC0E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（2）工程材料预付款的担保在专用合同条款中约定。</w:t>
      </w:r>
    </w:p>
    <w:p w14:paraId="4AEAF42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（3）预付款担保的担保金额可根据预付款扣回的金额相应递减</w:t>
      </w:r>
      <w:r>
        <w:rPr>
          <w:rFonts w:hint="eastAsia" w:ascii="宋体" w:hAnsi="宋体" w:eastAsia="宋体" w:cs="宋体"/>
          <w:color w:val="auto"/>
          <w:sz w:val="21"/>
          <w:szCs w:val="21"/>
          <w:highlight w:val="none"/>
          <w:lang w:eastAsia="zh-CN"/>
        </w:rPr>
        <w:t>。</w:t>
      </w:r>
    </w:p>
    <w:p w14:paraId="3E2B771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17.2.3 预付款的扣回与还清</w:t>
      </w:r>
    </w:p>
    <w:p w14:paraId="1C514C5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预付款在进度付款中扣回，扣回与还清办法在专用合同条款中约定。在颁发合同工程完工证书前，由于不可抗力或其它原因解除合同时，预付款尚未扣清的，尚未扣清的预付款余额应作为承包人的到期应付款。</w:t>
      </w:r>
    </w:p>
    <w:p w14:paraId="2D21420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17.3 工程进度付款</w:t>
      </w:r>
    </w:p>
    <w:p w14:paraId="12663D2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17.3.1 付款周期</w:t>
      </w:r>
    </w:p>
    <w:p w14:paraId="64C35BE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付款周期同计量周期。</w:t>
      </w:r>
    </w:p>
    <w:p w14:paraId="47EA5A7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17.3.2 进度付款申请单</w:t>
      </w:r>
    </w:p>
    <w:p w14:paraId="6EE526E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承包人应在每个付款周期末，按监理人批准的格式和专用合同条款约定的份数，向监理人提交进度付款申请单，并附相应的支持性证明文件。除专用合同条款另有约定外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进度付款申请单应包括下列内容：</w:t>
      </w:r>
    </w:p>
    <w:p w14:paraId="269EB9B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（1）截至本次付款周期末已实施工程的价款；</w:t>
      </w:r>
    </w:p>
    <w:p w14:paraId="24BC3DD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（2）根据第 15 条应增加和扣减的变更金额；</w:t>
      </w:r>
    </w:p>
    <w:p w14:paraId="77A945E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（3）根据第 23 条应增加和扣减的索赔金额；</w:t>
      </w:r>
    </w:p>
    <w:p w14:paraId="185CB87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（4）根据第 17.2 款约定应支付的预付款和扣减的返还预付款</w:t>
      </w:r>
      <w:r>
        <w:rPr>
          <w:rFonts w:hint="eastAsia" w:ascii="宋体" w:hAnsi="宋体" w:eastAsia="宋体" w:cs="宋体"/>
          <w:color w:val="auto"/>
          <w:sz w:val="21"/>
          <w:szCs w:val="21"/>
          <w:highlight w:val="none"/>
          <w:lang w:eastAsia="zh-CN"/>
        </w:rPr>
        <w:t>；</w:t>
      </w:r>
    </w:p>
    <w:p w14:paraId="58DE0B8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（5）根据第 17.4.1 项约定应扣减的质量保证金；</w:t>
      </w:r>
    </w:p>
    <w:p w14:paraId="4D53F1D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（6）根据合同应增加和扣减的其他金额。</w:t>
      </w:r>
    </w:p>
    <w:p w14:paraId="54E23BF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17.3.3 进度付款证书和支付时间</w:t>
      </w:r>
    </w:p>
    <w:p w14:paraId="65EC033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（1）监理人在收到承包人进度付款申请单以及相应的支持性证明文件后的 14 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2765467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（2）发包人应在监理人收到进度付款申请单后的28天内，将进度应付款支付给承包人。发包人不按期支付的，按专用合同条款的约定支付逾期付款违约金。</w:t>
      </w:r>
    </w:p>
    <w:p w14:paraId="56B2C22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（3）监理人出具进度付款证书，不应视为监理人已同意、批准或接受了承包人完成的该部分工作。</w:t>
      </w:r>
    </w:p>
    <w:p w14:paraId="3060872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（4）进度付款涉及政府投资资金的，按照国库集中支付等国家相关规定和专用合同条款的约定办理。</w:t>
      </w:r>
    </w:p>
    <w:p w14:paraId="7BF563A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17.3.4 工程进度付款的修正</w:t>
      </w:r>
    </w:p>
    <w:p w14:paraId="6942EE3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在对以往历次已签发的进度付款证书进行汇总和复核中发现错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漏或重复的，监理人有权予以修正，承包人也有权提出修正申请。经双方复核同意的修正，应在本次进度付款中支付或扣除。</w:t>
      </w:r>
    </w:p>
    <w:p w14:paraId="7BB1B71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17.4 质量保证金</w:t>
      </w:r>
    </w:p>
    <w:p w14:paraId="25E629A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17.4.1 监理人应从第一个工程进度付款周期开始，在发包人的进度付款中，按专用合同条款约定扣留质量保证金，直至扣留的工程质量保证金总额达到专用合同条款约定的金额或比例为止。质量保证金的计算额度不包括预付款的支付与扣回金额。</w:t>
      </w:r>
    </w:p>
    <w:p w14:paraId="60EF81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17.4.2竣工验收鉴定书签署后14天内，发包人将质量保证金总额的一半支付给承包人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在第1.1.4.5目约定的缺陷责任期(工程质量保修期)满时，发包人将在30个工作日内会同承包人按照合同约定的内容核实承包人是否完成保修责任。如无异议，发包人应当在核实后将剩余的质量保证金支付给承包人。</w:t>
      </w:r>
    </w:p>
    <w:p w14:paraId="2E7D9CF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17.4.3 在第</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"1.1.4.5"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1.1.4.5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目约定的缺陷责任期满时，承包人没有完成缺陷责任的，发包人有权扣留与未履行责任剩余工作所需金额相应的质量保证金余额，并有权根据第19.3款约定要求延长缺陷责任期，直至完成剩余工作为止。</w:t>
      </w:r>
    </w:p>
    <w:p w14:paraId="3329417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17.5 竣工结算(完工结算)</w:t>
      </w:r>
    </w:p>
    <w:p w14:paraId="5B888E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17.5.1 竣工(完工)付款申请单</w:t>
      </w:r>
    </w:p>
    <w:p w14:paraId="1360AB5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应在合同工程完工证书颁发后28天内，按专用合同条款约定的份数向监理人提交完工付款申请单，并提供相关证明材料。完工付款申请单应包括下列内容：完工结算合同总价、发包人已支付承包人的工程价款、应扣留的质量保证金、应支付的完工付款金额。</w:t>
      </w:r>
    </w:p>
    <w:p w14:paraId="005E3C1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（2）监理人对完工付款申请单有异议的，有权要求承包人进行修正和提供补充资料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经监理人和承包人协商后，由承包人向监理人提交修正后的完工付款申请单。</w:t>
      </w:r>
    </w:p>
    <w:p w14:paraId="498369B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17.5.2 竣工(完工)付款证书及支付时间</w:t>
      </w:r>
    </w:p>
    <w:p w14:paraId="51814A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人在收到承包人提交的完工付款申请单后的14天内完成核查，提出发包人到期应支付给承包人的价款送发包人审核并抄送承包人。发包人应在收到后14天内审核完毕，由监理人向承包人出具经发包人签认的完工付款证书。监理人未在约定时间内核查，又未提出具体意见的，视为承包人提交的完工付款申请单已经监理人核查同意。发包人未在约定时间内审核又未提出具体意见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监理人提出发包人到期应支付给承包人的价款视为已经发包人同意</w:t>
      </w:r>
      <w:r>
        <w:rPr>
          <w:rFonts w:hint="eastAsia" w:ascii="宋体" w:hAnsi="宋体" w:eastAsia="宋体" w:cs="宋体"/>
          <w:color w:val="auto"/>
          <w:sz w:val="21"/>
          <w:szCs w:val="21"/>
          <w:highlight w:val="none"/>
          <w:lang w:eastAsia="zh-CN"/>
        </w:rPr>
        <w:t>。</w:t>
      </w:r>
    </w:p>
    <w:p w14:paraId="7003B57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（2）发包人应在监理人出具完工付款证书后的14天内，将应支付款支付给承包人。发包人不按期支付的，按第17.3.3(2)目的约定，将逾期付款违约金支付给承包人。</w:t>
      </w:r>
    </w:p>
    <w:p w14:paraId="4EB814B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（3）承包人对发包人签认的完工付款证书有异议的，发包人可出具完工付款申请单中承包人已同意部分的临时付款证书。存在争议的部分，按第24条的约定办理。</w:t>
      </w:r>
    </w:p>
    <w:p w14:paraId="52C1CAB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（4）完工付款涉及政府投资资金的，按第17.3.3(4)目的约定办理。</w:t>
      </w:r>
    </w:p>
    <w:p w14:paraId="166733F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17.6 最终结清</w:t>
      </w:r>
    </w:p>
    <w:p w14:paraId="2434788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17.6.1 最终结清申请单</w:t>
      </w:r>
    </w:p>
    <w:p w14:paraId="371FB4A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(1)工程质量保修责任终止证书签发后，承包人应按监理人批准的格式提交最终结清申请单。提交最终结清申请单的份数在专用合同条款中约定。</w:t>
      </w:r>
    </w:p>
    <w:p w14:paraId="7D4D727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(2)发包人对最终结清申请单内容有异议的，有权要求承包人进行修正和提供补充资料，由承包人向监理人提交修正后的最终结清申请单。</w:t>
      </w:r>
    </w:p>
    <w:p w14:paraId="7784403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17.6.2 最终结清证书和支付时间</w:t>
      </w:r>
    </w:p>
    <w:p w14:paraId="4B62550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(1)监理人收到承包人提交的最终结清申请单后的14天内，提出发包人应支付给承包人的价款送发包人审核并抄送承包人。发包人应在收到后 14 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2C6FE90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(2)发包人应在监理人出具最终结清证书后的14天内，将应支付款支付给承包人。发包人不按期支付的，按第17.3.3(2)目的约定，将逾期付款违约金支付给承包人。</w:t>
      </w:r>
    </w:p>
    <w:p w14:paraId="6DEB96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(3)承包人对发包人签认的最终结清证书有异议的，按第24条的约定办理。</w:t>
      </w:r>
    </w:p>
    <w:p w14:paraId="35E5E7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(4)最终结清付款涉及政府投资资金的，按第17.3.3(4)目的约定办理。</w:t>
      </w:r>
    </w:p>
    <w:p w14:paraId="7B44AB0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17.7 竣工财务决算</w:t>
      </w:r>
    </w:p>
    <w:p w14:paraId="24A8F0D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发包人负责编制本工程项目竣工财务决算，承包人应按专用合同条款的约定提供竣工财务决算编制所需的相关材料。</w:t>
      </w:r>
    </w:p>
    <w:p w14:paraId="5D92539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17.8 竣工审计</w:t>
      </w:r>
    </w:p>
    <w:p w14:paraId="18349EA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发包人负责完成本工程竣工审计手续，承包人应完成相关配合工作。</w:t>
      </w:r>
    </w:p>
    <w:p w14:paraId="13744D1B">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18" w:name="_Toc8003"/>
      <w:bookmarkStart w:id="119" w:name="_Toc19053"/>
      <w:r>
        <w:rPr>
          <w:rFonts w:hint="eastAsia"/>
          <w:color w:val="auto"/>
          <w:highlight w:val="none"/>
        </w:rPr>
        <w:t>18.竣工验收（验收）</w:t>
      </w:r>
      <w:bookmarkEnd w:id="118"/>
      <w:bookmarkEnd w:id="119"/>
    </w:p>
    <w:p w14:paraId="2FE1520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18.1 验收工作分类</w:t>
      </w:r>
    </w:p>
    <w:p w14:paraId="74ABFB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验收工作按主持单位分为法人验收和政府验收。法人验收和政府验收的类别在专用合同条款中约定。除专用合同条款另有约定外，法人验收由发包人主持。承包人应完成法人验收和政府验收的配合工作，所需费用应含在已标价工程量清单中。</w:t>
      </w:r>
    </w:p>
    <w:p w14:paraId="53799B6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18.2 分部工程验收</w:t>
      </w:r>
    </w:p>
    <w:p w14:paraId="1E67C26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18.2.1 分部工程具备验收条件时，承包人应向发包人提交验收申请报告，发包人应在收到验收申请报告之日起10个工作日内决定是否同意进行验收。</w:t>
      </w:r>
    </w:p>
    <w:p w14:paraId="6CCC859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18.2.2 除专用合同条款另有约定外，监理人主持分部工程验收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承包人应派符合条件的代表参加验收工作组。</w:t>
      </w:r>
    </w:p>
    <w:p w14:paraId="54A6CB0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18.2.3 分部工程验收通过后，发包人向承包人发送分部工程验收鉴定书。承包人应及时完成分部工程验收鉴定书载明应由承包人处理的遗留问题。</w:t>
      </w:r>
    </w:p>
    <w:p w14:paraId="0620A8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18.3 单位工程验收</w:t>
      </w:r>
    </w:p>
    <w:p w14:paraId="4A4FF89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18.3.1 单位工程具备验收条件时，承包人应向发包人提交验收申请报告，发包人应在收到验收申请报告之日起 10 个工作日内决定是否同意进行验收。</w:t>
      </w:r>
    </w:p>
    <w:p w14:paraId="49505CD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18.3.2 发包人主持单位工程验收，承包人应派符合条件的代表参加验收工作组。</w:t>
      </w:r>
    </w:p>
    <w:p w14:paraId="0E3755D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18.3.3 单位工程验收通过后，发包人向承包人发送单位工程验收鉴定书。承包人应及时完成单位工程验收鉴定书载明应由承包人处理的遗留问题。</w:t>
      </w:r>
    </w:p>
    <w:p w14:paraId="5D3BC77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18.3.4 需提前投入使用的单位工程在专用合同条款中明确。</w:t>
      </w:r>
    </w:p>
    <w:p w14:paraId="113945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18.4 合同工程完工验收</w:t>
      </w:r>
    </w:p>
    <w:p w14:paraId="7AA3E5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18.4.1 合同工程具备验收条件时，承包人应向发包人提交验收申请报告，发包人应在收到验收申请报告之日起20个工作日内决定是否同意进行验收。</w:t>
      </w:r>
    </w:p>
    <w:p w14:paraId="4BF162C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18.4.2 发包人主持合同工程完工验收，承包人应派项目经理参加验收工作组。</w:t>
      </w:r>
    </w:p>
    <w:p w14:paraId="2C9BA98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18.4.3 合同工程完工验收通过后，发包人向承包人发送合同工程完工验收鉴定书。承包人应及时完成合同工程完工验收鉴定书载明应由承包人处理的遗留问题。</w:t>
      </w:r>
    </w:p>
    <w:p w14:paraId="50B664C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18.4.4 合同工程完工验收通过后，发包人与承包人应在30个工作日内组织专人负责工程交接，双方交接负责人应在交接记录上签字。承包人应按验收鉴定书约定的时间及时移交工程及其档案资料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工程移交时，承包人应向发包人递交工程质量保修书。在承包人递交了工程质量保修书、完成施工场地清理以及提交有关资料后，发包人应30个工作日内向承包人颁发合同工程完工证书。</w:t>
      </w:r>
    </w:p>
    <w:p w14:paraId="4570756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18.5 阶段验收</w:t>
      </w:r>
    </w:p>
    <w:p w14:paraId="48531A1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18.5.1 工程建设具备阶段验收条件时，发包人负责提出阶段验收申请报告。承包人应派代表参加阶段验收，并作为被验收单位在验收鉴定书上签字。阶段验收的具体类别在专用合同条款中约定。</w:t>
      </w:r>
    </w:p>
    <w:p w14:paraId="5142C4A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18.5.2 承包人应及时完成阶段验收鉴定书载明应由承包人处理的遗留问题。</w:t>
      </w:r>
    </w:p>
    <w:p w14:paraId="0FA4501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18.6 专项验收</w:t>
      </w:r>
    </w:p>
    <w:p w14:paraId="5FAC89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18.6.1 发包人负责提出专项验收申请报告。承包人应按专项验收的相关规定参加专项验收。专项验收的具体类别在专用合同条款中约定。</w:t>
      </w:r>
    </w:p>
    <w:p w14:paraId="24A3A97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18.6.2 承包应及时完成专项验收成果性文件载明应由承包人处理的遗留问题。</w:t>
      </w:r>
    </w:p>
    <w:p w14:paraId="4D7DE1C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18.7 竣工验收</w:t>
      </w:r>
    </w:p>
    <w:p w14:paraId="32CA657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18.7.1 申请竣工验收前，发包人组织竣工验收自查，承包人应派项目经理或技术负责人参加。</w:t>
      </w:r>
    </w:p>
    <w:p w14:paraId="4E5D847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18.7.2 竣工验收分为竣工技术预验收和竣工验收两个阶段</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发包人应通知承包人派法定代表人或项目经理参加技术预验收和竣工验收。</w:t>
      </w:r>
    </w:p>
    <w:p w14:paraId="5882E29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18.7.3 专用合同条款约定工程需要进行技术鉴定的，承包人应提交有关资料并完成配合工作。</w:t>
      </w:r>
    </w:p>
    <w:p w14:paraId="0B4019B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18.7.4 竣工验收需要进行质量检测的，所需费用由发包人承担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但因承包人原因造成质量不合格的除外。</w:t>
      </w:r>
    </w:p>
    <w:p w14:paraId="68D84C8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18.7.5 工程质量保修期满以及竣工验收遗留问题和尾工处理完成并通过验收后，发包人负责将处理情况和验收成果报送竣工验收主持单位，申请领取工程竣工证书，并发送承包人。</w:t>
      </w:r>
    </w:p>
    <w:p w14:paraId="6D0EAE0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18.8 施工期运行</w:t>
      </w:r>
    </w:p>
    <w:p w14:paraId="356C674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18.8.1施工期运行是指合同工程尚未全部完工，其中某单位工程或部分工程已完工，需要投入施工期运行的，经发包人按第18.2款或第18.3款的约定验收合格，证明能确保安全后，才能在施工期投入运行。需要在施工期运行的单位工程或部分工程在专用合同条款中约定。</w:t>
      </w:r>
    </w:p>
    <w:p w14:paraId="1C43E2B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18.8.2 在施工期运行中发现工程或工程设备损坏或存在缺陷的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由承包人按第19. 2 款约定进行修复。</w:t>
      </w:r>
    </w:p>
    <w:p w14:paraId="0109C7B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18.9 试运行</w:t>
      </w:r>
    </w:p>
    <w:p w14:paraId="2A6C621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18.9.1 除专用合同条款另有约定外，承包人应按规定进行工程及工程设备试运行，负责提供试运行所需的人员、器材和必要的条件，并承担全部试运行费用。</w:t>
      </w:r>
    </w:p>
    <w:p w14:paraId="0ED9AD3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18.9.2 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27DBC6D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18.10 竣工（完工） 清场</w:t>
      </w:r>
    </w:p>
    <w:p w14:paraId="5F9E0DC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18.10.1 工程项目竣工（完工）清场的工作范围和内容在技术标准和要求（合同技术条款）中约定。</w:t>
      </w:r>
    </w:p>
    <w:p w14:paraId="38C817B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18.10.2 承包未按监理人的要求恢复临时占地，或者场地清理未达到合同约定的，发包人有权委托其它人恢复或清理，所发生的金额从拟支付给承包人的款项中扣除。</w:t>
      </w:r>
    </w:p>
    <w:p w14:paraId="783139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18.11 施工队伍的撤离</w:t>
      </w:r>
    </w:p>
    <w:p w14:paraId="7A4931B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合同工程完工证书颁发后的 56 天内，除了经监理人同意需在缺陷责任期（工程质量保修期）内继续工作和使用的人员、施工设备和临时工程外，其余的人员、施工设备和临时工程均应撤离施工场地或拆除。除合同另有约定外，缺陷责任期（工程质量保修期）满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承包人的人员和施工设备应全部撤离施工场地。</w:t>
      </w:r>
    </w:p>
    <w:p w14:paraId="05CDE98E">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20" w:name="_Toc2889"/>
      <w:bookmarkStart w:id="121" w:name="_Toc18851"/>
      <w:r>
        <w:rPr>
          <w:rFonts w:hint="eastAsia"/>
          <w:color w:val="auto"/>
          <w:highlight w:val="none"/>
        </w:rPr>
        <w:t>19.缺陷责任与保修责任</w:t>
      </w:r>
      <w:bookmarkEnd w:id="120"/>
      <w:bookmarkEnd w:id="121"/>
    </w:p>
    <w:p w14:paraId="3CB68D1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19.1 缺陷责任期（工程质量保修期）的起算时间</w:t>
      </w:r>
    </w:p>
    <w:p w14:paraId="6FF943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除专用合同条款另有约定外，缺陷责任期（工程质量保修期）从工程通过合同工程完工验收后开始计算。在合同工程完工验收前，已经发包人提前验收的单位工程或部分工程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若未投入使用，其缺陷责任期（工程质量保修期）亦从工程通过合同工程完工验收后开始计算；若已投入使用，其缺陷责任期（工程质量保修期）从通过单位工程或部分工程投入使用验收后开始计算。缺陷责任期（工程质量保修期）的期限在专用合同条款中约定。</w:t>
      </w:r>
    </w:p>
    <w:p w14:paraId="432E58C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19.2 缺陷责任</w:t>
      </w:r>
    </w:p>
    <w:p w14:paraId="670D2A5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19.2.1 承包人应在缺陷责任期内对已交付使用的工程承担缺陷责任。</w:t>
      </w:r>
    </w:p>
    <w:p w14:paraId="48EF7B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0F575FE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50789A8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19.2.4承包人不能在合理时间内修复缺陷的，发包人可自行修复或委托其他人修复，所需费用和利润的承担，按第19.2.3项约定办理。</w:t>
      </w:r>
    </w:p>
    <w:p w14:paraId="14E8126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19.3 缺陷责任期的延长</w:t>
      </w:r>
    </w:p>
    <w:p w14:paraId="2048D6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由于承包人原因造成某项缺陷或损坏使某项工程或工程设备不能按原定目标使用而需要再次检查、检验和修复的，发包人有权要求承包人相应延长缺陷责任期，但缺陷责任期最长不超过 2 年。</w:t>
      </w:r>
    </w:p>
    <w:p w14:paraId="2ED2FF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19.4 进一步试验和试运行</w:t>
      </w:r>
    </w:p>
    <w:p w14:paraId="4E87E1F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任何一项缺陷或损坏修复后，经检查证明其影响了工程或工程设备的使用性能，承包人应重新进行合同约定的试验和试运行，试验和试运行的全部费用应由责任方承担。</w:t>
      </w:r>
    </w:p>
    <w:p w14:paraId="3CB9082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19.5 承包人的进入权</w:t>
      </w:r>
    </w:p>
    <w:p w14:paraId="280E246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缺陷责任期内承包人为缺陷修复工作需要，有权进入工程现场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但应遵守发包人的保安和保密规定。</w:t>
      </w:r>
    </w:p>
    <w:p w14:paraId="61F373D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19.6 缺陷责任期终止证书（工程质量保修责任终止证书）</w:t>
      </w:r>
    </w:p>
    <w:p w14:paraId="67A5E35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合同工程完工验收后，发包人与承包人应办理工程交接手续，承包人应向发包人递交工程质量保修书。</w:t>
      </w:r>
    </w:p>
    <w:p w14:paraId="29E44DE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缺陷责任期（工程质量保修期）满后30个工作日内，发包人应向承包人颁发工程质量保修责任终止证书，并退还剩余的质量保证金，但保修责任范围内的质量缺陷未处理完成的应除外。</w:t>
      </w:r>
    </w:p>
    <w:p w14:paraId="0A42E59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19.7 保修责任</w:t>
      </w:r>
    </w:p>
    <w:p w14:paraId="524924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根据有关法律规定，在专用合同条款中约定工程质量保修范围、期限和责任。保修期自实际完工验收日期起计算。在全部工程竣工验收前，已经发包人提前验收的单位工程，其保修期的起算日期相应提前。</w:t>
      </w:r>
    </w:p>
    <w:p w14:paraId="75E3724F">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22" w:name="_Toc13815"/>
      <w:bookmarkStart w:id="123" w:name="_Toc19068"/>
      <w:r>
        <w:rPr>
          <w:rFonts w:hint="eastAsia"/>
          <w:color w:val="auto"/>
          <w:highlight w:val="none"/>
        </w:rPr>
        <w:t>20.保险</w:t>
      </w:r>
      <w:bookmarkEnd w:id="122"/>
      <w:bookmarkEnd w:id="123"/>
    </w:p>
    <w:p w14:paraId="083C92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20.1 工程保险</w:t>
      </w:r>
    </w:p>
    <w:p w14:paraId="509226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除专用合同条款另有约定外，承包人应以发包人和承包人的共同名义向双方同意的保险人投保建筑工程一切险、安装工程一切险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其具体的投保内容、保险金额、保险费率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保险期限等有关内容在专用合同条款中约定。</w:t>
      </w:r>
    </w:p>
    <w:p w14:paraId="2105C8B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20.2 人员工伤事故的保险</w:t>
      </w:r>
    </w:p>
    <w:p w14:paraId="3925038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 承包人员工伤事故的保险</w:t>
      </w:r>
    </w:p>
    <w:p w14:paraId="4B996C7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承包人应依照有关法律规定参加工伤保险，为其履行合同所雇佣的全部人员，缴纳工伤保险费，并要求其分包人也进行此项保险。</w:t>
      </w:r>
    </w:p>
    <w:p w14:paraId="0AFF7E4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20.2.2 发包人员工伤事故的保险</w:t>
      </w:r>
    </w:p>
    <w:p w14:paraId="43553BE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发包人应依照有关法律规定参加工伤保险，为其现场机构雇佣的全部人员，缴纳工伤保险费，并要求其监理人也进行此项保险。</w:t>
      </w:r>
    </w:p>
    <w:p w14:paraId="5A88C80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20.3 人身意外伤害险</w:t>
      </w:r>
    </w:p>
    <w:p w14:paraId="2AF461A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20.3.1 发包人应在整个施工期间为其现场机构雇用的全部人员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投保人身意外伤害险</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缴纳保险费，并要求其监理人也进行此项保险。</w:t>
      </w:r>
    </w:p>
    <w:p w14:paraId="3D7D4A3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20.3.2 承包人应在整个施工期间为其现场机构雇用的全部人员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投保人身意外伤害险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缴纳保险费，并要求其分包人也进行此项保险。</w:t>
      </w:r>
    </w:p>
    <w:p w14:paraId="6ADBEE9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20.4 第三者责任险</w:t>
      </w:r>
    </w:p>
    <w:p w14:paraId="2ED2917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20.4.1 第三者责任系指在保险期内，对因工程意外事故造成的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依法应由被保险人负责的工地上及毗邻地区的第三者人身伤亡、疾病或财产损失（本工程除外），以及被保险人因此而支付的诉讼费用和事先经保险人书面同意支付的其他费用等赔偿责任。</w:t>
      </w:r>
    </w:p>
    <w:p w14:paraId="5808BC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20.4.2 在缺陷责任期终止证书颁发前，承包人应以承包人和发包人的共同名义，投保第20.4.1项约定的第三者责任险，其保险费率、保险金额等有关内容在专用合同条款中约定。</w:t>
      </w:r>
    </w:p>
    <w:p w14:paraId="08648DB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20.5 其他保险</w:t>
      </w:r>
    </w:p>
    <w:p w14:paraId="53E02B1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除专用合同条款另有约定外，承包人应为其施工设备、进场的材料和工程设备等办理保险。</w:t>
      </w:r>
    </w:p>
    <w:p w14:paraId="4C2EB65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20.6 对各项保险的一般要求</w:t>
      </w:r>
    </w:p>
    <w:p w14:paraId="198C533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20.6.1 保险凭证</w:t>
      </w:r>
    </w:p>
    <w:p w14:paraId="0C4187C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承包人应在专用合同条款约定的期限内向发包人提交各项保险生效的证据和保险单副本，保险单必须与专用合同条款约定的条件保持一致。</w:t>
      </w:r>
    </w:p>
    <w:p w14:paraId="35EE1F1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20.6.2 保险合同条款的变动</w:t>
      </w:r>
    </w:p>
    <w:p w14:paraId="76179B2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承包人需要变动保险合同条款时，应事先征得发包人同意，并通知监理人。保险人作出变动的，承包人应在收到保险人通知后立即通知发包人和监理人。</w:t>
      </w:r>
    </w:p>
    <w:p w14:paraId="71A1A8E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20.6.3 持续保险</w:t>
      </w:r>
    </w:p>
    <w:p w14:paraId="06DAC08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承包人应与保险人保持联系，使保险人能够随时了解工程实施中的变动，并确保按保险合同条款要求持续保险。</w:t>
      </w:r>
    </w:p>
    <w:p w14:paraId="4C6DDE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20.6.4 保险金不足的补偿</w:t>
      </w:r>
    </w:p>
    <w:p w14:paraId="4FEAAEC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保险金不足以补偿损失时，应由承包人和发包人各自负责补偿的范围和金额在专用合同条款中约定。</w:t>
      </w:r>
    </w:p>
    <w:p w14:paraId="26EBE38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 6.5 未按约定投保的补救</w:t>
      </w:r>
    </w:p>
    <w:p w14:paraId="3E63AD5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(1)由于负有投保义务的一方当事人未按合同约定办理保险，或未能使保险持续有效的，另一方当事人可代为办理，所需费用由对方当事人承担。</w:t>
      </w:r>
    </w:p>
    <w:p w14:paraId="72073D7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(2)由于负有投保义务的一方当事人未按合同约定办理某项保险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导致受益人未能得到保险人的赔偿，原应从该项保险得到的保险金应由负有投保义务的一方当事人支付。</w:t>
      </w:r>
    </w:p>
    <w:p w14:paraId="4726816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20.6.6 报告义务</w:t>
      </w:r>
    </w:p>
    <w:p w14:paraId="2E21049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当保险事故发生时，投保人应按照保险单规定的条件和期限及时向保险人报告。</w:t>
      </w:r>
    </w:p>
    <w:p w14:paraId="3A64FA4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20.7 风险责任的转移</w:t>
      </w:r>
    </w:p>
    <w:p w14:paraId="2534D1C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工程通过合同工程完工验收并移交给发包人后，原由承包人应承担的风险责任，以及保险的责任、权利和义务同时转移给发包人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但承包人在缺陷责任期(工程质量保修期)前造成损失和损坏情形除外。</w:t>
      </w:r>
    </w:p>
    <w:p w14:paraId="6D57B6D7">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24" w:name="_Toc10798"/>
      <w:bookmarkStart w:id="125" w:name="_Toc987"/>
      <w:r>
        <w:rPr>
          <w:rFonts w:hint="eastAsia"/>
          <w:color w:val="auto"/>
          <w:highlight w:val="none"/>
        </w:rPr>
        <w:t>21.不可抗力</w:t>
      </w:r>
      <w:bookmarkEnd w:id="124"/>
      <w:bookmarkEnd w:id="125"/>
    </w:p>
    <w:p w14:paraId="6FEA293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21.1 不可抗力的确认</w:t>
      </w:r>
    </w:p>
    <w:p w14:paraId="19F2FCB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698E1E9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21.1.2 不可抗力发生后，发包人和承包人应及时认真统计所造成的损失，收集不可抗力造成损失的证据。合同双方对是否属于不可抗力或其损失的意见不一致的，由监理人按第 3.5 款商定或确定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发生争议时，按第 24 条的约定办理。</w:t>
      </w:r>
    </w:p>
    <w:p w14:paraId="6529AF9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21.2 不可抗力的通知</w:t>
      </w:r>
    </w:p>
    <w:p w14:paraId="016DF42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21.2.1 合同一方当事人遇到不可抗力事件，使其履行合同义务受到阻碍时，应立即通知合同另一方当事人和监理人，书面说明不可抗力和受阻碍的详细情况，并提供必要的证明。</w:t>
      </w:r>
    </w:p>
    <w:p w14:paraId="4E77F4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14:paraId="586CC72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21.3 不可抗力后果及其处理</w:t>
      </w:r>
    </w:p>
    <w:p w14:paraId="0DC2791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21.3.1 不可抗力造成损害的责任</w:t>
      </w:r>
    </w:p>
    <w:p w14:paraId="42509D8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除专用合同条款另有约定外，不可抗力导致的人员伤亡、财产损失、费用增加和(或)工期延误等后果，由合同双方按以下原则承担</w:t>
      </w:r>
      <w:r>
        <w:rPr>
          <w:rFonts w:hint="eastAsia" w:ascii="宋体" w:hAnsi="宋体" w:eastAsia="宋体" w:cs="宋体"/>
          <w:color w:val="auto"/>
          <w:sz w:val="21"/>
          <w:szCs w:val="21"/>
          <w:highlight w:val="none"/>
          <w:lang w:eastAsia="zh-CN"/>
        </w:rPr>
        <w:t>；</w:t>
      </w:r>
    </w:p>
    <w:p w14:paraId="67AF6A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(1)永久工程，包括已运至施工场地的材料和工程设备的损害，以及因工程损害造成的第三者人员伤亡和财产损失由发包人承担；</w:t>
      </w:r>
    </w:p>
    <w:p w14:paraId="768DB2F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(2)承包人设备的损坏由承包人承担；</w:t>
      </w:r>
    </w:p>
    <w:p w14:paraId="766D966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(3)发包人和承包人各自承担其人员伤亡和其他财产损失及其相关费用；</w:t>
      </w:r>
    </w:p>
    <w:p w14:paraId="764FC4F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(4)承包人的停工损失由承包人承担，但停工期间应监理人要求照管工程和清理、修复工程的金额由发包人承担；</w:t>
      </w:r>
    </w:p>
    <w:p w14:paraId="509DB7B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(5)不能按期竣工的，应合理延长工期，承包人不需支付逾期竣工违约金。发包人要求赶工的，承包人应采取赶工措施，赶工费用由发包人承担。</w:t>
      </w:r>
    </w:p>
    <w:p w14:paraId="07D444F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21.3.2 延迟履行期间发生的不可抗力</w:t>
      </w:r>
    </w:p>
    <w:p w14:paraId="6E54D2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合同一方当事人延迟履行，在延迟履行期间发生不可抗力的</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不免除其责任。</w:t>
      </w:r>
    </w:p>
    <w:p w14:paraId="6C350A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21.3.3 避免和减少不可抗力损失</w:t>
      </w:r>
    </w:p>
    <w:p w14:paraId="4DE3FD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不可抗力发生后，发包人和承包人均应采取措施尽量避免和减少损失的扩大，任何一方没有采取有效措施导致损失扩大的，应对扩大的损失承担责任。</w:t>
      </w:r>
    </w:p>
    <w:p w14:paraId="455E408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21.3.4 因不可抗力解除合同</w:t>
      </w:r>
    </w:p>
    <w:p w14:paraId="6544B71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合同一方当事人因不可抗力不能履行合同的，应当及时通知对方解除合同。合同解除后，承包人应按照第22.2.5项约定撤离施工场地。已经订货的材料、设备由订货方负责退货或解除订货合同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不能退还的货款和因退货、解除订货合同发生的费用，由发包人承担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因未及时退货造成的损失由责任方承担。合同解除后的付款，参照第22.2.4项约定，由监理人按第3.5款商定或确定。</w:t>
      </w:r>
    </w:p>
    <w:p w14:paraId="528B9BFD">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26" w:name="_Toc2898"/>
      <w:bookmarkStart w:id="127" w:name="_Toc8663"/>
      <w:r>
        <w:rPr>
          <w:rFonts w:hint="eastAsia"/>
          <w:color w:val="auto"/>
          <w:highlight w:val="none"/>
        </w:rPr>
        <w:t>22.违约</w:t>
      </w:r>
      <w:bookmarkEnd w:id="126"/>
      <w:bookmarkEnd w:id="127"/>
    </w:p>
    <w:p w14:paraId="043094E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22.1 承包人违约</w:t>
      </w:r>
    </w:p>
    <w:p w14:paraId="60F0D94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22.1.1 承包人违约的情形</w:t>
      </w:r>
    </w:p>
    <w:p w14:paraId="44B5CFC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在履行合同过程中发生的下列情况属承包人违约：</w:t>
      </w:r>
    </w:p>
    <w:p w14:paraId="63055AC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(1)承包人违反第1.8款或第4.3款的约定，私自将合同的全部或部分权利转让给其他人，或私自将合同的全部或部分义务转移给其他人；</w:t>
      </w:r>
    </w:p>
    <w:p w14:paraId="2C14398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(2)承包人违反第5.3款或第6.4款的约定，未经监理人批准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私自将已按合同约定进入施工场地的施工设备、临时设施或材料撤离施工场地；</w:t>
      </w:r>
    </w:p>
    <w:p w14:paraId="4078D0A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(3)承包人违反第5.4款的约定使用了不合格材料或工程设备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工程质量达不到标准要求，又拒绝清除不合格工程；</w:t>
      </w:r>
    </w:p>
    <w:p w14:paraId="060CA91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(4)承包人未能按合同进度计划及时完成合同约定的工作，已造成或预期造成工期延误；</w:t>
      </w:r>
    </w:p>
    <w:p w14:paraId="4C9D347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(5)承包人在缺陷责任期(工程质量保修期)内，未能对合同工程完工验收鉴定书中所列的缺陷清单的内容或缺陷责任期(工程质量保修期)内发生的缺陷进行修复，而又拒绝按监理人指示再进行修补；</w:t>
      </w:r>
    </w:p>
    <w:p w14:paraId="5F1B4C2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(6)承包人无法继续履行或明确表示不履行或实质上已停止履行合同；</w:t>
      </w:r>
    </w:p>
    <w:p w14:paraId="768F5CD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(7)承包人不按合同约定履行义务的其他情况。</w:t>
      </w:r>
    </w:p>
    <w:p w14:paraId="7A84B65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22.1.2 对承包人违约的处理</w:t>
      </w:r>
    </w:p>
    <w:p w14:paraId="38A37E2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(1)承包人发生第22.1.1(6)目约定的违约情况时，发包人可通知承包人立即解除合同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并按有关法律处理。</w:t>
      </w:r>
    </w:p>
    <w:p w14:paraId="20F5789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(2)承包人发生除第22.1.1(6)目约定以外的其他违约情况时，监理人可向承包人发出整改通知，要求其在指定的期限内改正。承包人应承担其违约所引起的费用增加和(或)工期延误。</w:t>
      </w:r>
    </w:p>
    <w:p w14:paraId="0BC16AF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(3)经检查证明承包人已采取了有效措施纠正违约行为，具备复工条件的，可由监理人签发复工通知复工。</w:t>
      </w:r>
    </w:p>
    <w:p w14:paraId="5478E0A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22.1.3 承包人违约解除合同</w:t>
      </w:r>
    </w:p>
    <w:p w14:paraId="13722AB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5D61236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22.1.4 合同解除后的估价、付款和结清</w:t>
      </w:r>
    </w:p>
    <w:p w14:paraId="4F854B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(1)合同解除后，监理人按第3.5款商定或确定承包人实际完成工作的价值，以及承包人已提供的材料、施工设备、工程设备和临时工程等的价值。</w:t>
      </w:r>
    </w:p>
    <w:p w14:paraId="2F4D661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(2)合同解除后，发包人应暂停对承包人的一切付款，查清各项付款和已扣款金额，包括承包人应支付的违约金。</w:t>
      </w:r>
    </w:p>
    <w:p w14:paraId="6E4BE08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(3)合同解除后，发包人应按第23.4款的约定向承包人索赔由于解除合同给发包人造成的损失。</w:t>
      </w:r>
    </w:p>
    <w:p w14:paraId="09EC5AD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(4)合同双方确认上述往来款项后，出具最终结清付款证书，结清全部合同款项。</w:t>
      </w:r>
    </w:p>
    <w:p w14:paraId="4A1615F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(5)发包人和承包人未能就解除合同后的结清达成一致而形成争议的，按第 24 条的约定办理。</w:t>
      </w:r>
    </w:p>
    <w:p w14:paraId="27DE91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22.1.5 协议利益的转让</w:t>
      </w:r>
    </w:p>
    <w:p w14:paraId="7A25ABA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因承包人违约解除合同的，发包人有权要求承包人将其为实施合同而签订的材料和设备的订货协议或任何服务协议利益转让给发包人，并在解除合同后的14天内，依法办理转让手续。</w:t>
      </w:r>
    </w:p>
    <w:p w14:paraId="2C64F3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22.1.6 紧急情况下无能力或不愿进行抢救</w:t>
      </w:r>
    </w:p>
    <w:p w14:paraId="49A35B2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2BECB5F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22.2 发包人违约</w:t>
      </w:r>
    </w:p>
    <w:p w14:paraId="17C8DF2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22.2.1 发包人违约的情形</w:t>
      </w:r>
    </w:p>
    <w:p w14:paraId="27A9435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在履行合同过程中发生的下列情形，属发包人违约：</w:t>
      </w:r>
    </w:p>
    <w:p w14:paraId="4D68215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(1)发包人未能按合同约定支付预付款或合同价款，或拖延、拒绝批准付款申请和支付凭证，导致付款延误的；</w:t>
      </w:r>
    </w:p>
    <w:p w14:paraId="6928B8B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(2)发包人原因造成停工的；</w:t>
      </w:r>
    </w:p>
    <w:p w14:paraId="083FCDE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(3)监理人无正当理由没有在约定期限内发出复工指示，导致承包人无法复工的；</w:t>
      </w:r>
    </w:p>
    <w:p w14:paraId="0CDA8A0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(4)发包人无法继续履行或明确表示不履行或实质上已停止履行合同的；</w:t>
      </w:r>
    </w:p>
    <w:p w14:paraId="105698C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(5)发包人不履行合同约定其他义务的。</w:t>
      </w:r>
    </w:p>
    <w:p w14:paraId="1F98619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22.2.2 承包人有权暂停施工</w:t>
      </w:r>
    </w:p>
    <w:p w14:paraId="172A17D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并支付承包人合理利润。</w:t>
      </w:r>
    </w:p>
    <w:p w14:paraId="52A39BC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22.2.3 发包人违约解除合同</w:t>
      </w:r>
    </w:p>
    <w:p w14:paraId="677E464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(1)发生第22.2.1(4)目的违约情况时，承包人可书面通知发包人解除合同。</w:t>
      </w:r>
    </w:p>
    <w:p w14:paraId="68D11C6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(2)承包人按 22. 2. 2 项暂停施工 28 天后，发包人仍不纠正违约行为的，承包人可向发包人发出解除合同通知。但承包人的这一行动不免除发包人承担的违约责任，也不影响承包人根据合同约定享有的索赔权利。</w:t>
      </w:r>
    </w:p>
    <w:p w14:paraId="0DB9DC0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22.2.4 解除合同后的付款</w:t>
      </w:r>
    </w:p>
    <w:p w14:paraId="3191262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因发包人违约解除合同的，发包人应在解除合同后28天内向承包人支付下列金额，承包人应在此期限内及时向发包人提交要求支付下列金额的有关资料和凭证：</w:t>
      </w:r>
    </w:p>
    <w:p w14:paraId="3BDC11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(1)合同解除日以前所完成工作的价款；</w:t>
      </w:r>
    </w:p>
    <w:p w14:paraId="1D50CBD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(2)承包人为该工程施工订购并已付款的材料、工程设备和其他物品的金额。发包人付还后，该材料、工程设备和其他物品归发包人所有；</w:t>
      </w:r>
    </w:p>
    <w:p w14:paraId="77D7A72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(3)承包人为完成工程所发生的，而发包人未支付的金额；</w:t>
      </w:r>
    </w:p>
    <w:p w14:paraId="7F4FC43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(4)承包人撤离施工场地以及遣散承包人人员的金额；</w:t>
      </w:r>
    </w:p>
    <w:p w14:paraId="0B543CE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(5)由于解除合同应赔偿的承包人损失；</w:t>
      </w:r>
    </w:p>
    <w:p w14:paraId="6B31395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(6)按合同约定在合同解除日前应支付给承包人的其他金额。</w:t>
      </w:r>
    </w:p>
    <w:p w14:paraId="54E1713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发包人应按本项约定支付上述金额并退还质量保证金和履约担保，但有权要求承包人支付应偿还给发包人的各项金额。</w:t>
      </w:r>
    </w:p>
    <w:p w14:paraId="5C07EA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22.2.5 解除合同后的承包人撤离</w:t>
      </w:r>
    </w:p>
    <w:p w14:paraId="6ECA592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6887152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22.3 第三人造成的违约</w:t>
      </w:r>
    </w:p>
    <w:p w14:paraId="2771C3B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在履行合同过程中，一方当事人因第三人的原因造成违约的，应当向对方当事人承担违约责任。一方当事人和第三人之间的纠纷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依照法律规定或者按照约定解决。</w:t>
      </w:r>
    </w:p>
    <w:p w14:paraId="50EB2113">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28" w:name="_Toc12908"/>
      <w:bookmarkStart w:id="129" w:name="_Toc7324"/>
      <w:r>
        <w:rPr>
          <w:rFonts w:hint="eastAsia"/>
          <w:color w:val="auto"/>
          <w:highlight w:val="none"/>
        </w:rPr>
        <w:t>23.索赔</w:t>
      </w:r>
      <w:bookmarkEnd w:id="128"/>
      <w:bookmarkEnd w:id="129"/>
    </w:p>
    <w:p w14:paraId="1A5E146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23.1 承包人索赔的提出</w:t>
      </w:r>
    </w:p>
    <w:p w14:paraId="1D91B42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根据合同约定，承包人认为有权得到追加付款和(或)延长工期的，应按以下程序向发包人提出索赔：</w:t>
      </w:r>
    </w:p>
    <w:p w14:paraId="414C8B1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承包人应在知道或应当知道索赔事件发生后28天内，向监理人递交索赔意向通知书，并说明发生索赔事件的事由。承包人未在前述28天内发出索赔意向通知书的，丧失要求追加付款和(或)延长工期的权利；</w:t>
      </w:r>
    </w:p>
    <w:p w14:paraId="4260477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（2）承包人应在发出索赔意向通知书后28天内，向监理人正式递交索赔通知书。索赔通知书应详细说明索赔理由以及要求追加的付款金额和(或)延长的工期，并附必要的记录和证明材料；</w:t>
      </w:r>
    </w:p>
    <w:p w14:paraId="51F339C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（3）索赔事件具有连续影响的，承包人应按合理时间间隔继续递交延续索赔通知，说明连续影响的实际情况和记录，列出累计的追加付款金额和(或)工期延长天数；</w:t>
      </w:r>
    </w:p>
    <w:p w14:paraId="4468980B">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（4）在索赔事件影响结束后的28天内，承包人应向监理人递交最终索赔通知书，说明最终要求索赔的追加付款金额和延长的工期，并附必要的记录和证明材料。</w:t>
      </w:r>
    </w:p>
    <w:p w14:paraId="1088688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23.2 承包人索赔处理程序</w:t>
      </w:r>
    </w:p>
    <w:p w14:paraId="2326EE3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（1）监理人收到承包人提交的索赔通知书后，应及时审查索赔通知书的内容、查验承包人的记录和证明材料，必要时监理人可要求承包人提交全部原始记录副本。</w:t>
      </w:r>
    </w:p>
    <w:p w14:paraId="26712BB8">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（2）监理人应按第3.5款商定或确定追加的付款和(或)延长的工期，并在收到上述索赔通知书或有关索赔的进一步证明材料后的42天内，将索赔处理结果答复承包人。</w:t>
      </w:r>
    </w:p>
    <w:p w14:paraId="658E7C4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（3）承包人接受索赔处理结果的，发包人应在作出索赔处理结果答复后28天内完成赔付。承包人不接受索赔处理结果的，按第24 条的约定办理。</w:t>
      </w:r>
    </w:p>
    <w:p w14:paraId="749065F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23.3 承包人提出索赔的期限</w:t>
      </w:r>
    </w:p>
    <w:p w14:paraId="7E067C2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22.3.1 承包人按第17.5款的约定接受了完工付款证书后，应被认为已无权再提出在合同工程完工证书颁发前所发生的任何索赔。</w:t>
      </w:r>
    </w:p>
    <w:p w14:paraId="61F05F6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23.3.2 承包人按第17.6款的约定提交的最终结清申请单中，只限于提出合同工程完工证书颁发后发生的索赔。提出索赔的期限自接受最终结清证书时终止。</w:t>
      </w:r>
    </w:p>
    <w:p w14:paraId="69C11279">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23.4 发包人的索赔</w:t>
      </w:r>
    </w:p>
    <w:p w14:paraId="2E9D5F6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0A436B9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23.4.2 监理人按第3. 5 款商定或确定发包人从承包人处得到赔付的金额和(或)缺陷责任期的延长期。承包人应付给发包人的金额可从拟支付给承包人的合同价款中扣除，或由承包人以其他方式支付给发包人。</w:t>
      </w:r>
    </w:p>
    <w:p w14:paraId="23E0309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23.4.3 承包人对监理人按第23.4.1项发出的索赔书面通知内容持异议时，应在收到书面通知后的14天内，将持有异议的书面报告及其证明材料提交监理人。监理人应在收到承包人书面报告后的14天内，将异议的处理意见通知承包人，并按第23.4.2项的约定执行赔付。若承包人不接受监理人的索赔处理意见，可按本合同第 24 条的规定办理。</w:t>
      </w:r>
    </w:p>
    <w:p w14:paraId="0C4F4482">
      <w:pPr>
        <w:pStyle w:val="3"/>
        <w:pageBreakBefore w:val="0"/>
        <w:widowControl/>
        <w:kinsoku w:val="0"/>
        <w:wordWrap/>
        <w:overflowPunct/>
        <w:topLinePunct w:val="0"/>
        <w:autoSpaceDE w:val="0"/>
        <w:autoSpaceDN w:val="0"/>
        <w:bidi w:val="0"/>
        <w:adjustRightInd w:val="0"/>
        <w:snapToGrid w:val="0"/>
        <w:spacing w:line="360" w:lineRule="exact"/>
        <w:textAlignment w:val="baseline"/>
        <w:rPr>
          <w:rFonts w:hint="eastAsia"/>
          <w:color w:val="auto"/>
          <w:highlight w:val="none"/>
        </w:rPr>
      </w:pPr>
      <w:bookmarkStart w:id="130" w:name="_Toc15360"/>
      <w:bookmarkStart w:id="131" w:name="_Toc11022"/>
      <w:r>
        <w:rPr>
          <w:rFonts w:hint="eastAsia"/>
          <w:color w:val="auto"/>
          <w:highlight w:val="none"/>
        </w:rPr>
        <w:t>24.争议的解决</w:t>
      </w:r>
      <w:bookmarkEnd w:id="130"/>
      <w:bookmarkEnd w:id="131"/>
    </w:p>
    <w:p w14:paraId="4B98620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24.1 争议的解决方式</w:t>
      </w:r>
    </w:p>
    <w:p w14:paraId="12D0249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4A6CD0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（1）向约定的仲裁委员会申请仲裁；</w:t>
      </w:r>
    </w:p>
    <w:p w14:paraId="1D9C6A7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（2）向有管辖权的人民法院提起诉讼。</w:t>
      </w:r>
    </w:p>
    <w:p w14:paraId="55AF393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24.2 友好解决</w:t>
      </w:r>
    </w:p>
    <w:p w14:paraId="2EF26C22">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在提请争议评审、仲裁或者诉讼前，以及在争议评审、仲裁或诉讼过程中，发包人和承包人均可共同努力友好协商解决争议。</w:t>
      </w:r>
    </w:p>
    <w:p w14:paraId="1A58E6A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24.3 争议评审</w:t>
      </w:r>
    </w:p>
    <w:p w14:paraId="1B20B63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24.3.1 采用争议评审的，发包人和承包人应在开工日后的 28 天内或在争议发生后，协商成立争议评审组。争议评审组由有合同管理和工程实践经验的专家组成。</w:t>
      </w:r>
    </w:p>
    <w:p w14:paraId="273BCA4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24.3.2 合同双方的争议，应首先由申请人向争议评审组提交一份详细的评审申请报告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并附必要的文件、图纸和证明材料，申请人还应将上述报告的副本同时提交给被申请人和监理人。</w:t>
      </w:r>
    </w:p>
    <w:p w14:paraId="484144D5">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24.3.3 被申请人在收到申请人评审申请报告副本后的28天内，向争议评审组提交一份答辩报告，并附证明材料。被申请人应将答辩报告的副本同时提交给申请人和监理人。</w:t>
      </w:r>
    </w:p>
    <w:p w14:paraId="7881E66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24.3.4 除专用合同条款另有约定外，争议评审组在收到合同双方报告后的14天内，邀请双方代表和有关人员举行调查会，向双方调查争议细节；必要时争议评审组可要求双方进一步提供补充材料</w:t>
      </w:r>
      <w:r>
        <w:rPr>
          <w:rFonts w:hint="eastAsia" w:ascii="宋体" w:hAnsi="宋体" w:eastAsia="宋体" w:cs="宋体"/>
          <w:color w:val="auto"/>
          <w:sz w:val="21"/>
          <w:szCs w:val="21"/>
          <w:highlight w:val="none"/>
          <w:lang w:eastAsia="zh-CN"/>
        </w:rPr>
        <w:t>。</w:t>
      </w:r>
    </w:p>
    <w:p w14:paraId="48AEDE1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24.3.5 除专用合同条款另有约定外，在调查会结束后的14天内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争议评审组应在不受任何干扰的情况下进行独立、公正的评审，作出书面评审意见，并说明理由。在争议评审期间，争议双方暂按总监理工程师的确定执行。</w:t>
      </w:r>
    </w:p>
    <w:p w14:paraId="3BC82064">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24.3.6 发包人和承包人接受评审意见的，由监理人根据评审意见拟定执行协议，经争议双方签字后作为合同的补充文件，并遵照执行。</w:t>
      </w:r>
    </w:p>
    <w:p w14:paraId="05A3DE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14:paraId="7A9B215E">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24.4 仲裁</w:t>
      </w:r>
    </w:p>
    <w:p w14:paraId="7447DE2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24.4.1 若合同双方商定直接向仲裁机构申请仲裁，应签订仲裁协议并约定仲裁机构。</w:t>
      </w:r>
    </w:p>
    <w:p w14:paraId="1687CA5C">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24.4.2 若合同双方未能达成仲裁协议，则本合同的仲裁条款无效，任一方均有权向人民法院提起诉讼。</w:t>
      </w:r>
    </w:p>
    <w:p w14:paraId="67A7DA7A">
      <w:pPr>
        <w:widowControl/>
        <w:spacing w:line="360" w:lineRule="auto"/>
        <w:jc w:val="left"/>
        <w:rPr>
          <w:rFonts w:ascii="宋体" w:hAnsi="宋体"/>
          <w:b/>
          <w:bCs/>
          <w:color w:val="auto"/>
          <w:sz w:val="44"/>
          <w:szCs w:val="44"/>
          <w:highlight w:val="none"/>
        </w:rPr>
        <w:sectPr>
          <w:pgSz w:w="11905" w:h="16838"/>
          <w:pgMar w:top="958" w:right="1440" w:bottom="958" w:left="1587" w:header="850" w:footer="992" w:gutter="0"/>
          <w:pgNumType w:fmt="decimal"/>
          <w:cols w:space="720" w:num="1"/>
          <w:rtlGutter w:val="0"/>
          <w:docGrid w:type="lines" w:linePitch="317" w:charSpace="0"/>
        </w:sectPr>
      </w:pPr>
    </w:p>
    <w:p w14:paraId="05EB4A68">
      <w:pPr>
        <w:pStyle w:val="2"/>
        <w:jc w:val="center"/>
        <w:rPr>
          <w:rFonts w:hint="eastAsia" w:ascii="宋体" w:hAnsi="宋体" w:cs="仿宋_GB2312"/>
          <w:color w:val="auto"/>
          <w:highlight w:val="none"/>
        </w:rPr>
      </w:pPr>
      <w:bookmarkStart w:id="132" w:name="_Toc18254"/>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br w:type="textWrapping"/>
      </w:r>
      <w:r>
        <w:rPr>
          <w:rFonts w:hint="eastAsia" w:ascii="宋体" w:hAnsi="宋体" w:cs="仿宋_GB2312"/>
          <w:b w:val="0"/>
          <w:color w:val="auto"/>
          <w:highlight w:val="none"/>
        </w:rPr>
        <w:t>第七章 质疑、投诉材料格式</w:t>
      </w:r>
      <w:bookmarkEnd w:id="132"/>
    </w:p>
    <w:p w14:paraId="53728EEC">
      <w:pPr>
        <w:widowControl/>
        <w:spacing w:line="576" w:lineRule="auto"/>
        <w:jc w:val="left"/>
        <w:rPr>
          <w:rFonts w:ascii="宋体" w:hAnsi="宋体" w:cs="仿宋_GB2312"/>
          <w:b/>
          <w:bCs/>
          <w:color w:val="auto"/>
          <w:kern w:val="44"/>
          <w:sz w:val="44"/>
          <w:szCs w:val="44"/>
          <w:highlight w:val="none"/>
        </w:rPr>
        <w:sectPr>
          <w:pgSz w:w="11905" w:h="16838"/>
          <w:pgMar w:top="958" w:right="1440" w:bottom="958" w:left="1587" w:header="850" w:footer="992" w:gutter="0"/>
          <w:pgNumType w:fmt="decimal"/>
          <w:cols w:space="720" w:num="1"/>
          <w:rtlGutter w:val="0"/>
          <w:docGrid w:type="lines" w:linePitch="317" w:charSpace="0"/>
        </w:sectPr>
      </w:pPr>
    </w:p>
    <w:p w14:paraId="69444F6D">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质疑函（格式）</w:t>
      </w:r>
    </w:p>
    <w:p w14:paraId="4C34B0C6">
      <w:pPr>
        <w:pStyle w:val="14"/>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5448AE29">
      <w:pPr>
        <w:pStyle w:val="1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6F36B737">
      <w:pPr>
        <w:pStyle w:val="14"/>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5D13D77">
      <w:pPr>
        <w:pStyle w:val="14"/>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7CBEDFF4">
      <w:pPr>
        <w:pStyle w:val="14"/>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2366FC6E">
      <w:pPr>
        <w:pStyle w:val="1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41DA487A">
      <w:pPr>
        <w:pStyle w:val="14"/>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F0B1342">
      <w:pPr>
        <w:pStyle w:val="14"/>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0F9D09D1">
      <w:pPr>
        <w:pStyle w:val="14"/>
        <w:spacing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1BE655ED">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E16F308">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7C05B06B">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5908F2FB">
      <w:pPr>
        <w:pStyle w:val="1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27D29AB2">
      <w:pPr>
        <w:pStyle w:val="1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4953858A">
      <w:pPr>
        <w:pStyle w:val="14"/>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409171DC">
      <w:pPr>
        <w:pStyle w:val="14"/>
        <w:spacing w:line="360" w:lineRule="auto"/>
        <w:ind w:left="25" w:leftChars="12" w:firstLine="472" w:firstLineChars="196"/>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01AC1FE5">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61E6386F">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41BE9D17">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4EFE35A7">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68DE2B51">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w:t>
      </w:r>
    </w:p>
    <w:p w14:paraId="675E0720">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6E4A0B22">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00AA3926">
      <w:pPr>
        <w:pStyle w:val="14"/>
        <w:spacing w:line="360" w:lineRule="auto"/>
        <w:ind w:left="25" w:leftChars="12" w:firstLine="352" w:firstLineChars="147"/>
        <w:contextualSpacing/>
        <w:rPr>
          <w:rFonts w:hint="eastAsia" w:hAnsi="宋体"/>
          <w:color w:val="auto"/>
          <w:sz w:val="24"/>
          <w:szCs w:val="24"/>
          <w:highlight w:val="none"/>
        </w:rPr>
      </w:pPr>
    </w:p>
    <w:p w14:paraId="03FCA601">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594A64B7">
      <w:pPr>
        <w:pStyle w:val="14"/>
        <w:spacing w:line="360" w:lineRule="auto"/>
        <w:ind w:left="25" w:leftChars="12" w:firstLine="352" w:firstLineChars="147"/>
        <w:contextualSpacing/>
        <w:rPr>
          <w:rFonts w:hint="eastAsia" w:hAnsi="宋体"/>
          <w:color w:val="auto"/>
          <w:sz w:val="24"/>
          <w:szCs w:val="24"/>
          <w:highlight w:val="none"/>
        </w:rPr>
      </w:pPr>
    </w:p>
    <w:p w14:paraId="6102FBDD">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日期：</w:t>
      </w:r>
    </w:p>
    <w:p w14:paraId="178C67AD">
      <w:pPr>
        <w:pStyle w:val="14"/>
        <w:spacing w:line="360" w:lineRule="auto"/>
        <w:rPr>
          <w:rFonts w:hint="eastAsia" w:hAnsi="宋体"/>
          <w:b/>
          <w:color w:val="auto"/>
          <w:sz w:val="24"/>
          <w:szCs w:val="24"/>
          <w:highlight w:val="none"/>
        </w:rPr>
      </w:pPr>
    </w:p>
    <w:p w14:paraId="599FBFA7">
      <w:pPr>
        <w:pStyle w:val="14"/>
        <w:spacing w:line="360" w:lineRule="auto"/>
        <w:rPr>
          <w:rFonts w:hint="eastAsia" w:hAnsi="宋体"/>
          <w:b/>
          <w:color w:val="auto"/>
          <w:sz w:val="24"/>
          <w:szCs w:val="24"/>
          <w:highlight w:val="none"/>
        </w:rPr>
      </w:pPr>
    </w:p>
    <w:p w14:paraId="5E64ED64">
      <w:pPr>
        <w:pStyle w:val="14"/>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618E07A0">
      <w:pPr>
        <w:pStyle w:val="14"/>
        <w:spacing w:line="360" w:lineRule="auto"/>
        <w:ind w:left="25" w:leftChars="12" w:firstLine="354" w:firstLineChars="147"/>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04CCF95F">
      <w:pPr>
        <w:pStyle w:val="1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F04454A">
      <w:pPr>
        <w:pStyle w:val="1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71303E2A">
      <w:pPr>
        <w:pStyle w:val="14"/>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2D214D9B">
      <w:pPr>
        <w:pStyle w:val="14"/>
        <w:spacing w:line="360" w:lineRule="auto"/>
        <w:ind w:left="25" w:leftChars="12" w:firstLine="354" w:firstLineChars="147"/>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47BC9A04">
      <w:pPr>
        <w:pStyle w:val="14"/>
        <w:snapToGrid w:val="0"/>
        <w:rPr>
          <w:rFonts w:hint="eastAsia"/>
          <w:b/>
          <w:color w:val="auto"/>
          <w:sz w:val="24"/>
          <w:szCs w:val="24"/>
          <w:highlight w:val="none"/>
        </w:rPr>
      </w:pPr>
    </w:p>
    <w:p w14:paraId="34DDA76B">
      <w:pPr>
        <w:spacing w:line="460" w:lineRule="exact"/>
        <w:jc w:val="center"/>
        <w:rPr>
          <w:rFonts w:hint="eastAsia" w:eastAsia="隶书"/>
          <w:color w:val="auto"/>
          <w:sz w:val="44"/>
          <w:highlight w:val="none"/>
        </w:rPr>
      </w:pPr>
      <w:r>
        <w:rPr>
          <w:rFonts w:eastAsia="隶书"/>
          <w:color w:val="auto"/>
          <w:sz w:val="44"/>
          <w:highlight w:val="none"/>
        </w:rPr>
        <w:br w:type="page"/>
      </w:r>
    </w:p>
    <w:p w14:paraId="1D646249">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投诉书（格式）</w:t>
      </w:r>
    </w:p>
    <w:p w14:paraId="0271E9FE">
      <w:pPr>
        <w:pStyle w:val="14"/>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08993A95">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4F038FB">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949718E">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66D48699">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3FAF79AC">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2A9135A4">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3CEE2E69">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2BD3990">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2A9A9102">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6A1D3989">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F79D407">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p>
    <w:p w14:paraId="54861EA8">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68D781CA">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w:t>
      </w:r>
    </w:p>
    <w:p w14:paraId="0BF15DED">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33656252">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r>
        <w:rPr>
          <w:rFonts w:hint="eastAsia" w:hAnsi="宋体"/>
          <w:bCs/>
          <w:color w:val="auto"/>
          <w:sz w:val="24"/>
          <w:szCs w:val="24"/>
          <w:highlight w:val="none"/>
        </w:rPr>
        <w:t>邮编：</w:t>
      </w:r>
      <w:r>
        <w:rPr>
          <w:rFonts w:hint="eastAsia" w:hAnsi="宋体"/>
          <w:bCs/>
          <w:color w:val="auto"/>
          <w:sz w:val="24"/>
          <w:szCs w:val="24"/>
          <w:highlight w:val="none"/>
          <w:u w:val="single"/>
        </w:rPr>
        <w:t xml:space="preserve">                         </w:t>
      </w:r>
    </w:p>
    <w:p w14:paraId="68E4CA12">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int="eastAsia" w:hAnsi="宋体"/>
          <w:bCs/>
          <w:color w:val="auto"/>
          <w:sz w:val="24"/>
          <w:szCs w:val="24"/>
          <w:highlight w:val="none"/>
        </w:rPr>
        <w:t>联系电话：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18FB902">
      <w:pPr>
        <w:pStyle w:val="14"/>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50542227">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34E23EE7">
      <w:pPr>
        <w:pStyle w:val="1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810666D">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2AA72C0F">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193D314A">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招标文件公告：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74E64B54">
      <w:pPr>
        <w:pStyle w:val="14"/>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289B762C">
      <w:pPr>
        <w:pStyle w:val="1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三、质疑基本情况</w:t>
      </w:r>
    </w:p>
    <w:p w14:paraId="16F87C8A">
      <w:pPr>
        <w:pStyle w:val="14"/>
        <w:spacing w:line="360" w:lineRule="auto"/>
        <w:ind w:firstLine="480" w:firstLineChars="20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7B13FA9B">
      <w:pPr>
        <w:pStyle w:val="14"/>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0E51E855">
      <w:pPr>
        <w:pStyle w:val="14"/>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12BE225">
      <w:pPr>
        <w:pStyle w:val="14"/>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7E10C8BD">
      <w:pPr>
        <w:pStyle w:val="1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四、投诉事项具体内容</w:t>
      </w:r>
    </w:p>
    <w:p w14:paraId="13D2DF71">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72A58242">
      <w:pPr>
        <w:pStyle w:val="1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83ABE99">
      <w:pPr>
        <w:pStyle w:val="1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u w:val="single"/>
        </w:rPr>
        <w:t xml:space="preserve">                                                                                        </w:t>
      </w:r>
    </w:p>
    <w:p w14:paraId="080E93EE">
      <w:pPr>
        <w:pStyle w:val="1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BDF2D7C">
      <w:pPr>
        <w:pStyle w:val="14"/>
        <w:spacing w:line="360" w:lineRule="auto"/>
        <w:ind w:left="25" w:leftChars="12" w:firstLine="352" w:firstLineChars="147"/>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4C69AAC3">
      <w:pPr>
        <w:pStyle w:val="14"/>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51386757">
      <w:pPr>
        <w:pStyle w:val="14"/>
        <w:spacing w:line="360" w:lineRule="auto"/>
        <w:ind w:left="25" w:leftChars="12" w:firstLine="472" w:firstLineChars="197"/>
        <w:rPr>
          <w:rFonts w:hint="eastAsia" w:hAnsi="宋体"/>
          <w:bCs/>
          <w:color w:val="auto"/>
          <w:sz w:val="24"/>
          <w:szCs w:val="24"/>
          <w:highlight w:val="none"/>
        </w:rPr>
      </w:pPr>
      <w:r>
        <w:rPr>
          <w:rFonts w:hint="eastAsia" w:hAnsi="宋体"/>
          <w:bCs/>
          <w:color w:val="auto"/>
          <w:sz w:val="24"/>
          <w:szCs w:val="24"/>
          <w:highlight w:val="none"/>
        </w:rPr>
        <w:t>……</w:t>
      </w:r>
    </w:p>
    <w:p w14:paraId="2CCDBBAA">
      <w:pPr>
        <w:pStyle w:val="1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2FFDCD18">
      <w:pPr>
        <w:pStyle w:val="1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50B813D0">
      <w:pPr>
        <w:pStyle w:val="14"/>
        <w:spacing w:line="360" w:lineRule="auto"/>
        <w:ind w:left="25" w:leftChars="12" w:firstLine="352" w:firstLineChars="147"/>
        <w:rPr>
          <w:rFonts w:hint="eastAsia" w:hAnsi="宋体"/>
          <w:color w:val="auto"/>
          <w:sz w:val="24"/>
          <w:szCs w:val="24"/>
          <w:highlight w:val="none"/>
        </w:rPr>
      </w:pPr>
    </w:p>
    <w:p w14:paraId="70096508">
      <w:pPr>
        <w:pStyle w:val="1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3D7938E7">
      <w:pPr>
        <w:pStyle w:val="14"/>
        <w:spacing w:line="360" w:lineRule="auto"/>
        <w:ind w:left="25" w:leftChars="12" w:firstLine="352" w:firstLineChars="147"/>
        <w:rPr>
          <w:rFonts w:hint="eastAsia" w:hAnsi="宋体"/>
          <w:color w:val="auto"/>
          <w:sz w:val="24"/>
          <w:szCs w:val="24"/>
          <w:highlight w:val="none"/>
        </w:rPr>
      </w:pPr>
    </w:p>
    <w:p w14:paraId="6634B2B3">
      <w:pPr>
        <w:pStyle w:val="1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3ECD6B55">
      <w:pPr>
        <w:pStyle w:val="1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 xml:space="preserve">                                                                                 </w:t>
      </w:r>
    </w:p>
    <w:p w14:paraId="280DF32C">
      <w:pPr>
        <w:pStyle w:val="14"/>
        <w:snapToGrid w:val="0"/>
        <w:spacing w:line="360" w:lineRule="auto"/>
        <w:rPr>
          <w:rFonts w:hint="eastAsia" w:hAnsi="宋体"/>
          <w:b/>
          <w:color w:val="auto"/>
          <w:sz w:val="24"/>
          <w:szCs w:val="24"/>
          <w:highlight w:val="none"/>
        </w:rPr>
      </w:pPr>
    </w:p>
    <w:p w14:paraId="4DEFF202">
      <w:pPr>
        <w:pStyle w:val="14"/>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48BB152C">
      <w:pPr>
        <w:pStyle w:val="14"/>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11710474">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47588A7">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74D87F8A">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7E857824">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54B4DF16">
      <w:pPr>
        <w:pStyle w:val="14"/>
        <w:spacing w:line="360" w:lineRule="auto"/>
        <w:ind w:left="25" w:leftChars="12" w:firstLine="354" w:firstLineChars="147"/>
        <w:rPr>
          <w:rFonts w:hint="eastAsia"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63F19B69">
      <w:pPr>
        <w:rPr>
          <w:rFonts w:hint="eastAsia"/>
          <w:color w:val="auto"/>
          <w:highlight w:val="none"/>
        </w:rPr>
      </w:pPr>
    </w:p>
    <w:p w14:paraId="3B9298AF">
      <w:pPr>
        <w:rPr>
          <w:color w:val="auto"/>
          <w:highlight w:val="none"/>
        </w:rPr>
      </w:pPr>
    </w:p>
    <w:sectPr>
      <w:footerReference r:id="rId10" w:type="first"/>
      <w:headerReference r:id="rId8" w:type="default"/>
      <w:footerReference r:id="rId9"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917494-44D4-4552-ABEA-EBBC8C2DF388}"/>
  </w:font>
  <w:font w:name="黑体">
    <w:panose1 w:val="02010609060101010101"/>
    <w:charset w:val="86"/>
    <w:family w:val="auto"/>
    <w:pitch w:val="default"/>
    <w:sig w:usb0="800002BF" w:usb1="38CF7CFA" w:usb2="00000016" w:usb3="00000000" w:csb0="00040001" w:csb1="00000000"/>
    <w:embedRegular r:id="rId2" w:fontKey="{D8948344-548F-4145-8B8F-87E19222BCA3}"/>
  </w:font>
  <w:font w:name="Courier New">
    <w:panose1 w:val="02070309020205020404"/>
    <w:charset w:val="01"/>
    <w:family w:val="modern"/>
    <w:pitch w:val="default"/>
    <w:sig w:usb0="E0002EFF" w:usb1="C0007843" w:usb2="00000009" w:usb3="00000000" w:csb0="400001FF" w:csb1="FFFF0000"/>
    <w:embedRegular r:id="rId3" w:fontKey="{DD7AD4FF-B023-4CC5-A0D0-5B35AA87801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4" w:fontKey="{312B3768-313F-46CA-8972-25961784B6B5}"/>
  </w:font>
  <w:font w:name="仿宋_GB2312">
    <w:altName w:val="仿宋"/>
    <w:panose1 w:val="02010609030101010101"/>
    <w:charset w:val="86"/>
    <w:family w:val="modern"/>
    <w:pitch w:val="default"/>
    <w:sig w:usb0="00000000" w:usb1="00000000" w:usb2="00000000" w:usb3="00000000" w:csb0="00040000" w:csb1="00000000"/>
    <w:embedRegular r:id="rId5" w:fontKey="{3674C0D5-3C9E-44F0-B78E-DB5702D3CE97}"/>
  </w:font>
  <w:font w:name="仿宋">
    <w:panose1 w:val="02010609060101010101"/>
    <w:charset w:val="86"/>
    <w:family w:val="modern"/>
    <w:pitch w:val="default"/>
    <w:sig w:usb0="800002BF" w:usb1="38CF7CFA" w:usb2="00000016" w:usb3="00000000" w:csb0="00040001" w:csb1="00000000"/>
    <w:embedRegular r:id="rId6" w:fontKey="{6606EA40-6F2E-4139-BBFD-8FC29F3F2F77}"/>
  </w:font>
  <w:font w:name="·...">
    <w:altName w:val="黑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7" w:fontKey="{53C38147-B200-4213-BED4-23E78D0233C2}"/>
  </w:font>
  <w:font w:name="华文新魏">
    <w:panose1 w:val="02010800040101010101"/>
    <w:charset w:val="86"/>
    <w:family w:val="auto"/>
    <w:pitch w:val="default"/>
    <w:sig w:usb0="00000001" w:usb1="080F0000" w:usb2="00000000" w:usb3="00000000" w:csb0="00040000" w:csb1="00000000"/>
    <w:embedRegular r:id="rId8" w:fontKey="{C7026E32-F021-4EF2-804A-05EE67349A92}"/>
  </w:font>
  <w:font w:name="Arial Unicode MS">
    <w:panose1 w:val="020B0604020202020204"/>
    <w:charset w:val="86"/>
    <w:family w:val="swiss"/>
    <w:pitch w:val="default"/>
    <w:sig w:usb0="FFFFFFFF" w:usb1="E9FFFFFF" w:usb2="0000003F" w:usb3="00000000" w:csb0="603F01FF" w:csb1="FFFF0000"/>
    <w:embedRegular r:id="rId9" w:fontKey="{E5470891-33CC-418D-84B2-CCA1C68FBECB}"/>
  </w:font>
  <w:font w:name="微软雅黑">
    <w:panose1 w:val="020B0503020204020204"/>
    <w:charset w:val="86"/>
    <w:family w:val="swiss"/>
    <w:pitch w:val="default"/>
    <w:sig w:usb0="80000287" w:usb1="2ACF3C50" w:usb2="00000016" w:usb3="00000000" w:csb0="0004001F" w:csb1="00000000"/>
    <w:embedRegular r:id="rId10" w:fontKey="{39F9C6BB-DE62-44A2-8094-A5D167AE627D}"/>
  </w:font>
  <w:font w:name="Helvetica">
    <w:altName w:val="Arial"/>
    <w:panose1 w:val="020B0604020202020204"/>
    <w:charset w:val="00"/>
    <w:family w:val="swiss"/>
    <w:pitch w:val="default"/>
    <w:sig w:usb0="00000000" w:usb1="00000000" w:usb2="00000009" w:usb3="00000000" w:csb0="000001FF" w:csb1="00000000"/>
    <w:embedRegular r:id="rId11" w:fontKey="{6A1734C0-131C-4D0C-B761-B7D486D32190}"/>
  </w:font>
  <w:font w:name="楷体">
    <w:panose1 w:val="02010609060101010101"/>
    <w:charset w:val="86"/>
    <w:family w:val="modern"/>
    <w:pitch w:val="default"/>
    <w:sig w:usb0="800002BF" w:usb1="38CF7CFA" w:usb2="00000016" w:usb3="00000000" w:csb0="00040001" w:csb1="00000000"/>
    <w:embedRegular r:id="rId12" w:fontKey="{1A768E5B-5D85-4264-ADC9-8587AC42B31E}"/>
  </w:font>
  <w:font w:name="隶书">
    <w:panose1 w:val="02010509060101010101"/>
    <w:charset w:val="86"/>
    <w:family w:val="modern"/>
    <w:pitch w:val="default"/>
    <w:sig w:usb0="00000001" w:usb1="080E0000" w:usb2="00000000" w:usb3="00000000" w:csb0="00040000" w:csb1="00000000"/>
    <w:embedRegular r:id="rId13" w:fontKey="{606BD425-9A98-46EF-BE9C-BD2213EA6148}"/>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4A94B">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BB5E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EBB5E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0C186">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BFA36C">
                          <w:pPr>
                            <w:pStyle w:val="15"/>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DBFA36C">
                    <w:pPr>
                      <w:pStyle w:val="15"/>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CB339">
    <w:pPr>
      <w:pStyle w:val="15"/>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66318">
                          <w:pPr>
                            <w:pStyle w:val="15"/>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AA66318">
                    <w:pPr>
                      <w:pStyle w:val="15"/>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EC12D">
    <w:pPr>
      <w:pStyle w:val="15"/>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3063A">
                          <w:pPr>
                            <w:pStyle w:val="15"/>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DE3063A">
                    <w:pPr>
                      <w:pStyle w:val="15"/>
                    </w:pPr>
                    <w:r>
                      <w:fldChar w:fldCharType="begin"/>
                    </w:r>
                    <w:r>
                      <w:instrText xml:space="preserve"> PAGE  \* MERGEFORMAT </w:instrText>
                    </w:r>
                    <w:r>
                      <w:fldChar w:fldCharType="separate"/>
                    </w:r>
                    <w:r>
                      <w:t>138</w:t>
                    </w:r>
                    <w:r>
                      <w:fldChar w:fldCharType="end"/>
                    </w:r>
                  </w:p>
                </w:txbxContent>
              </v:textbox>
            </v:shape>
          </w:pict>
        </mc:Fallback>
      </mc:AlternateContent>
    </w:r>
  </w:p>
  <w:p w14:paraId="18921B2B">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AE9B6">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1CC6C4">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A1CC6C4">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0064A">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A9655">
    <w:pPr>
      <w:pStyle w:val="1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C57E0">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9EDE5E"/>
    <w:multiLevelType w:val="singleLevel"/>
    <w:tmpl w:val="D49EDE5E"/>
    <w:lvl w:ilvl="0" w:tentative="0">
      <w:start w:val="1"/>
      <w:numFmt w:val="decimal"/>
      <w:pStyle w:val="5"/>
      <w:lvlText w:val="%1."/>
      <w:lvlJc w:val="left"/>
      <w:pPr>
        <w:tabs>
          <w:tab w:val="left" w:pos="360"/>
        </w:tabs>
        <w:ind w:left="360" w:hanging="36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508D7A92"/>
    <w:multiLevelType w:val="singleLevel"/>
    <w:tmpl w:val="508D7A92"/>
    <w:lvl w:ilvl="0" w:tentative="0">
      <w:start w:val="1"/>
      <w:numFmt w:val="decimal"/>
      <w:suff w:val="nothing"/>
      <w:lvlText w:val="（%1）"/>
      <w:lvlJc w:val="left"/>
    </w:lvl>
  </w:abstractNum>
  <w:num w:numId="1">
    <w:abstractNumId w:val="0"/>
  </w:num>
  <w:num w:numId="2">
    <w:abstractNumId w:val="2"/>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483505"/>
    <w:rsid w:val="02614FC7"/>
    <w:rsid w:val="026B0005"/>
    <w:rsid w:val="038D51FF"/>
    <w:rsid w:val="03AA7303"/>
    <w:rsid w:val="03B57EBE"/>
    <w:rsid w:val="047F0FEB"/>
    <w:rsid w:val="04A42800"/>
    <w:rsid w:val="057B1F4D"/>
    <w:rsid w:val="08AB57EE"/>
    <w:rsid w:val="0ADD6A6C"/>
    <w:rsid w:val="0B5D195B"/>
    <w:rsid w:val="0C1069CD"/>
    <w:rsid w:val="0DE3083D"/>
    <w:rsid w:val="0FF04C5A"/>
    <w:rsid w:val="10725EA8"/>
    <w:rsid w:val="11335637"/>
    <w:rsid w:val="11E475BB"/>
    <w:rsid w:val="145A2EDB"/>
    <w:rsid w:val="15051099"/>
    <w:rsid w:val="15455939"/>
    <w:rsid w:val="15494373"/>
    <w:rsid w:val="1668514F"/>
    <w:rsid w:val="16EB0762"/>
    <w:rsid w:val="1703305D"/>
    <w:rsid w:val="186C142F"/>
    <w:rsid w:val="188E54A8"/>
    <w:rsid w:val="18BF3C55"/>
    <w:rsid w:val="18FC6C57"/>
    <w:rsid w:val="192C2D2A"/>
    <w:rsid w:val="1A271AB1"/>
    <w:rsid w:val="1A297F8C"/>
    <w:rsid w:val="1B99078D"/>
    <w:rsid w:val="1C297D63"/>
    <w:rsid w:val="1DF61EC7"/>
    <w:rsid w:val="21BC6F83"/>
    <w:rsid w:val="21D22B02"/>
    <w:rsid w:val="223B434C"/>
    <w:rsid w:val="229E7AF4"/>
    <w:rsid w:val="241C1F5B"/>
    <w:rsid w:val="255A71DF"/>
    <w:rsid w:val="26F61189"/>
    <w:rsid w:val="274041B2"/>
    <w:rsid w:val="27ED433A"/>
    <w:rsid w:val="28B766F6"/>
    <w:rsid w:val="29BA515E"/>
    <w:rsid w:val="29C0782D"/>
    <w:rsid w:val="2CC338BC"/>
    <w:rsid w:val="2F2D3F07"/>
    <w:rsid w:val="2FC260AC"/>
    <w:rsid w:val="30711881"/>
    <w:rsid w:val="307F3F9D"/>
    <w:rsid w:val="31020321"/>
    <w:rsid w:val="31B639EF"/>
    <w:rsid w:val="32AA3F35"/>
    <w:rsid w:val="32B37F2E"/>
    <w:rsid w:val="32E91BA2"/>
    <w:rsid w:val="35FD7CCE"/>
    <w:rsid w:val="360D5BA8"/>
    <w:rsid w:val="36820344"/>
    <w:rsid w:val="369B729A"/>
    <w:rsid w:val="369D6F2B"/>
    <w:rsid w:val="38762C82"/>
    <w:rsid w:val="38B7004D"/>
    <w:rsid w:val="39A34394"/>
    <w:rsid w:val="39D47B84"/>
    <w:rsid w:val="3A59585F"/>
    <w:rsid w:val="3B1F2605"/>
    <w:rsid w:val="3CDE029E"/>
    <w:rsid w:val="3D0F66A9"/>
    <w:rsid w:val="3E506F79"/>
    <w:rsid w:val="3FC57395"/>
    <w:rsid w:val="41735459"/>
    <w:rsid w:val="42BF022A"/>
    <w:rsid w:val="443609BF"/>
    <w:rsid w:val="44BF2763"/>
    <w:rsid w:val="4525645E"/>
    <w:rsid w:val="458B6AE9"/>
    <w:rsid w:val="45EB79E8"/>
    <w:rsid w:val="46B338FB"/>
    <w:rsid w:val="474156B1"/>
    <w:rsid w:val="479C0CF5"/>
    <w:rsid w:val="49F96717"/>
    <w:rsid w:val="4A2B6EBA"/>
    <w:rsid w:val="4A437992"/>
    <w:rsid w:val="4B0C0320"/>
    <w:rsid w:val="4E994025"/>
    <w:rsid w:val="4F950C90"/>
    <w:rsid w:val="4FD74E04"/>
    <w:rsid w:val="4FE47521"/>
    <w:rsid w:val="50C03AEB"/>
    <w:rsid w:val="51193757"/>
    <w:rsid w:val="51824544"/>
    <w:rsid w:val="520E6AD8"/>
    <w:rsid w:val="53A05E55"/>
    <w:rsid w:val="55E55DA1"/>
    <w:rsid w:val="571E77BD"/>
    <w:rsid w:val="58EA204C"/>
    <w:rsid w:val="5A2A0227"/>
    <w:rsid w:val="5B060C94"/>
    <w:rsid w:val="5D4C3189"/>
    <w:rsid w:val="5DD60DF1"/>
    <w:rsid w:val="5E525F9E"/>
    <w:rsid w:val="5F3333FF"/>
    <w:rsid w:val="5F97635E"/>
    <w:rsid w:val="5FF64891"/>
    <w:rsid w:val="610C68D8"/>
    <w:rsid w:val="626D784A"/>
    <w:rsid w:val="63442359"/>
    <w:rsid w:val="638B0529"/>
    <w:rsid w:val="63EA73A4"/>
    <w:rsid w:val="63FC456C"/>
    <w:rsid w:val="655D7702"/>
    <w:rsid w:val="66AB26EF"/>
    <w:rsid w:val="676B4B7A"/>
    <w:rsid w:val="67D22E92"/>
    <w:rsid w:val="684B11AF"/>
    <w:rsid w:val="68953657"/>
    <w:rsid w:val="68B91F19"/>
    <w:rsid w:val="690C3919"/>
    <w:rsid w:val="69A973BA"/>
    <w:rsid w:val="6AB1198E"/>
    <w:rsid w:val="6BC920B8"/>
    <w:rsid w:val="6D476FC2"/>
    <w:rsid w:val="6F992AFB"/>
    <w:rsid w:val="6FF56433"/>
    <w:rsid w:val="719E7958"/>
    <w:rsid w:val="71BC7EA6"/>
    <w:rsid w:val="72070234"/>
    <w:rsid w:val="72B666A4"/>
    <w:rsid w:val="738E13CF"/>
    <w:rsid w:val="740D6797"/>
    <w:rsid w:val="74744A68"/>
    <w:rsid w:val="7581462B"/>
    <w:rsid w:val="758D7B90"/>
    <w:rsid w:val="772E0EFE"/>
    <w:rsid w:val="787361FA"/>
    <w:rsid w:val="787E5EB6"/>
    <w:rsid w:val="79B00498"/>
    <w:rsid w:val="7A6730A5"/>
    <w:rsid w:val="7AAD1D53"/>
    <w:rsid w:val="7B012C8F"/>
    <w:rsid w:val="7B593278"/>
    <w:rsid w:val="7C3E5676"/>
    <w:rsid w:val="7D39071A"/>
    <w:rsid w:val="7D515947"/>
    <w:rsid w:val="7D7D498E"/>
    <w:rsid w:val="7EB4618D"/>
    <w:rsid w:val="7EE36A72"/>
    <w:rsid w:val="7F044C25"/>
    <w:rsid w:val="7F0C754E"/>
    <w:rsid w:val="7F4F1B36"/>
    <w:rsid w:val="7FCA1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29"/>
    <w:unhideWhenUsed/>
    <w:qFormat/>
    <w:uiPriority w:val="0"/>
    <w:pPr>
      <w:keepNext/>
      <w:keepLines/>
      <w:spacing w:before="260" w:after="260" w:line="416" w:lineRule="auto"/>
      <w:outlineLvl w:val="2"/>
    </w:pPr>
    <w:rPr>
      <w:b/>
      <w:bCs/>
      <w:sz w:val="32"/>
      <w:szCs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szCs w:val="20"/>
    </w:rPr>
  </w:style>
  <w:style w:type="paragraph" w:styleId="7">
    <w:name w:val="annotation text"/>
    <w:basedOn w:val="1"/>
    <w:qFormat/>
    <w:uiPriority w:val="0"/>
    <w:pPr>
      <w:jc w:val="left"/>
    </w:pPr>
  </w:style>
  <w:style w:type="paragraph" w:styleId="8">
    <w:name w:val="Body Text 3"/>
    <w:basedOn w:val="1"/>
    <w:qFormat/>
    <w:uiPriority w:val="0"/>
    <w:pPr>
      <w:spacing w:after="120"/>
    </w:pPr>
    <w:rPr>
      <w:sz w:val="16"/>
      <w:szCs w:val="16"/>
    </w:rPr>
  </w:style>
  <w:style w:type="paragraph" w:styleId="9">
    <w:name w:val="Body Text"/>
    <w:basedOn w:val="1"/>
    <w:next w:val="10"/>
    <w:qFormat/>
    <w:uiPriority w:val="0"/>
    <w:pPr>
      <w:spacing w:after="120"/>
    </w:pPr>
  </w:style>
  <w:style w:type="paragraph" w:styleId="10">
    <w:name w:val="Body Text First Indent 2"/>
    <w:basedOn w:val="11"/>
    <w:next w:val="1"/>
    <w:qFormat/>
    <w:uiPriority w:val="0"/>
    <w:pPr>
      <w:ind w:firstLine="420" w:firstLineChars="200"/>
    </w:pPr>
    <w:rPr>
      <w:rFonts w:hAnsi="Times New Roman" w:cs="Times New Roman"/>
    </w:rPr>
  </w:style>
  <w:style w:type="paragraph" w:styleId="11">
    <w:name w:val="Body Text Indent"/>
    <w:basedOn w:val="1"/>
    <w:qFormat/>
    <w:uiPriority w:val="0"/>
    <w:pPr>
      <w:ind w:firstLine="830" w:firstLineChars="352"/>
    </w:pPr>
    <w:rPr>
      <w:rFonts w:ascii="仿宋_GB2312" w:eastAsia="仿宋_GB2312"/>
      <w:kern w:val="0"/>
      <w:sz w:val="32"/>
      <w:szCs w:val="20"/>
    </w:rPr>
  </w:style>
  <w:style w:type="paragraph" w:styleId="12">
    <w:name w:val="List 2"/>
    <w:basedOn w:val="1"/>
    <w:qFormat/>
    <w:uiPriority w:val="0"/>
    <w:pPr>
      <w:ind w:left="100" w:leftChars="200" w:hanging="200" w:hangingChars="200"/>
      <w:contextualSpacing/>
    </w:pPr>
  </w:style>
  <w:style w:type="paragraph" w:styleId="13">
    <w:name w:val="toc 3"/>
    <w:basedOn w:val="1"/>
    <w:next w:val="1"/>
    <w:qFormat/>
    <w:uiPriority w:val="0"/>
    <w:pPr>
      <w:ind w:left="840" w:leftChars="400"/>
    </w:pPr>
  </w:style>
  <w:style w:type="paragraph" w:styleId="14">
    <w:name w:val="Plain Text"/>
    <w:basedOn w:val="1"/>
    <w:next w:val="1"/>
    <w:qFormat/>
    <w:uiPriority w:val="0"/>
    <w:rPr>
      <w:rFonts w:ascii="宋体" w:hAnsi="Courier New"/>
      <w:kern w:val="0"/>
      <w:sz w:val="20"/>
      <w:szCs w:val="21"/>
    </w:rPr>
  </w:style>
  <w:style w:type="paragraph" w:styleId="15">
    <w:name w:val="footer"/>
    <w:basedOn w:val="1"/>
    <w:qFormat/>
    <w:uiPriority w:val="0"/>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0"/>
  </w:style>
  <w:style w:type="paragraph" w:styleId="18">
    <w:name w:val="List"/>
    <w:basedOn w:val="1"/>
    <w:qFormat/>
    <w:uiPriority w:val="0"/>
    <w:pPr>
      <w:ind w:left="200" w:hanging="200" w:hangingChars="200"/>
      <w:contextualSpacing/>
    </w:pPr>
  </w:style>
  <w:style w:type="paragraph" w:styleId="19">
    <w:name w:val="toc 2"/>
    <w:basedOn w:val="1"/>
    <w:next w:val="1"/>
    <w:qFormat/>
    <w:uiPriority w:val="0"/>
    <w:pPr>
      <w:tabs>
        <w:tab w:val="right" w:leader="dot" w:pos="8296"/>
      </w:tabs>
      <w:ind w:left="420" w:leftChars="200"/>
    </w:pPr>
  </w:style>
  <w:style w:type="table" w:styleId="21">
    <w:name w:val="Table Grid"/>
    <w:basedOn w:val="2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Hyperlink"/>
    <w:qFormat/>
    <w:uiPriority w:val="0"/>
    <w:rPr>
      <w:color w:val="0000FF"/>
      <w:u w:val="single"/>
    </w:rPr>
  </w:style>
  <w:style w:type="paragraph" w:customStyle="1" w:styleId="24">
    <w:name w:val="正文2"/>
    <w:basedOn w:val="1"/>
    <w:qFormat/>
    <w:uiPriority w:val="0"/>
    <w:pPr>
      <w:adjustRightInd w:val="0"/>
      <w:spacing w:before="156" w:line="360" w:lineRule="auto"/>
      <w:ind w:firstLine="510" w:firstLineChars="200"/>
    </w:pPr>
    <w:rPr>
      <w:kern w:val="0"/>
      <w:sz w:val="24"/>
      <w:szCs w:val="20"/>
    </w:rPr>
  </w:style>
  <w:style w:type="paragraph" w:customStyle="1" w:styleId="25">
    <w:name w:val="Default"/>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table" w:customStyle="1" w:styleId="26">
    <w:name w:val="Table Normal"/>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宋体" w:hAnsi="宋体" w:eastAsia="宋体" w:cs="宋体"/>
      <w:sz w:val="19"/>
      <w:szCs w:val="19"/>
      <w:lang w:val="en-US" w:eastAsia="en-US" w:bidi="ar-SA"/>
    </w:rPr>
  </w:style>
  <w:style w:type="character" w:customStyle="1" w:styleId="28">
    <w:name w:val="标题 2 Char"/>
    <w:link w:val="3"/>
    <w:qFormat/>
    <w:uiPriority w:val="0"/>
    <w:rPr>
      <w:rFonts w:ascii="Cambria" w:hAnsi="Cambria"/>
      <w:b/>
      <w:bCs/>
      <w:sz w:val="32"/>
      <w:szCs w:val="32"/>
    </w:rPr>
  </w:style>
  <w:style w:type="character" w:customStyle="1" w:styleId="29">
    <w:name w:val="标题 3 Char"/>
    <w:link w:val="4"/>
    <w:qFormat/>
    <w:uiPriority w:val="0"/>
    <w:rPr>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144</Pages>
  <Words>30368</Words>
  <Characters>33035</Characters>
  <Lines>0</Lines>
  <Paragraphs>0</Paragraphs>
  <TotalTime>131</TotalTime>
  <ScaleCrop>false</ScaleCrop>
  <LinksUpToDate>false</LinksUpToDate>
  <CharactersWithSpaces>33277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2026-08-11T07:36:00Z</dcterms:created>
  <dc:creator>Administrator</dc:creator>
  <cp:lastModifiedBy>芭比不会唱噢</cp:lastModifiedBy>
  <dcterms:modified xsi:type="dcterms:W3CDTF">2026-10-19T07:04:57Z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eyJoZGlkIjoiMDg4M2U3ODkwOWJjMGQ2YTIxMjY4NTIzZDIwOTZmMTIiLCJ1c2VySWQiOiI5MDk2MTI5NzMifQ==</vt:lpwstr>
  </property>
  <property fmtid="{D5CDD505-2E9C-101B-9397-08002B2CF9AE}" pid="4" name="ICV">
    <vt:lpwstr>8AC69194BD914C17A728DBC594606070_13</vt:lpwstr>
  </property>
</Properties>
</file>